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366E74">
      <w:pPr>
        <w:bidi w:val="0"/>
        <w:rPr>
          <w:rFonts w:hint="default"/>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lang w:eastAsia="zh-CN"/>
        </w:rPr>
        <w:drawing>
          <wp:anchor distT="0" distB="0" distL="114300" distR="114300" simplePos="0" relativeHeight="251664384" behindDoc="1" locked="0" layoutInCell="1" allowOverlap="1">
            <wp:simplePos x="0" y="0"/>
            <wp:positionH relativeFrom="column">
              <wp:posOffset>-779780</wp:posOffset>
            </wp:positionH>
            <wp:positionV relativeFrom="paragraph">
              <wp:posOffset>-598170</wp:posOffset>
            </wp:positionV>
            <wp:extent cx="7012305" cy="9719945"/>
            <wp:effectExtent l="0" t="0" r="0" b="0"/>
            <wp:wrapNone/>
            <wp:docPr id="3" name="图片 3" descr="封皮5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皮5月"/>
                    <pic:cNvPicPr>
                      <a:picLocks noChangeAspect="1"/>
                    </pic:cNvPicPr>
                  </pic:nvPicPr>
                  <pic:blipFill>
                    <a:blip r:embed="rId10"/>
                    <a:srcRect l="1278"/>
                    <a:stretch>
                      <a:fillRect/>
                    </a:stretch>
                  </pic:blipFill>
                  <pic:spPr>
                    <a:xfrm>
                      <a:off x="0" y="0"/>
                      <a:ext cx="7012305" cy="9719945"/>
                    </a:xfrm>
                    <a:prstGeom prst="rect">
                      <a:avLst/>
                    </a:prstGeom>
                  </pic:spPr>
                </pic:pic>
              </a:graphicData>
            </a:graphic>
          </wp:anchor>
        </w:drawing>
      </w:r>
    </w:p>
    <w:p w14:paraId="5447F107">
      <w:pPr>
        <w:rPr>
          <w:rFonts w:hint="default"/>
          <w:lang w:eastAsia="zh-CN"/>
        </w:rPr>
      </w:pPr>
    </w:p>
    <w:p w14:paraId="03E79FBE">
      <w:pPr>
        <w:rPr>
          <w:rFonts w:hint="default" w:ascii="Times New Roman" w:hAnsi="Times New Roman" w:eastAsia="仿宋_GB2312" w:cs="Times New Roman"/>
          <w:color w:val="auto"/>
          <w:sz w:val="36"/>
          <w:szCs w:val="36"/>
          <w:highlight w:val="none"/>
        </w:rPr>
      </w:pPr>
    </w:p>
    <w:p w14:paraId="081DA50A">
      <w:pPr>
        <w:rPr>
          <w:rFonts w:hint="default" w:ascii="Times New Roman" w:hAnsi="Times New Roman" w:eastAsia="仿宋_GB2312" w:cs="Times New Roman"/>
          <w:color w:val="auto"/>
          <w:sz w:val="36"/>
          <w:szCs w:val="36"/>
          <w:highlight w:val="none"/>
        </w:rPr>
      </w:pPr>
    </w:p>
    <w:p w14:paraId="14DA67DF">
      <w:pPr>
        <w:adjustRightInd w:val="0"/>
        <w:snapToGrid w:val="0"/>
        <w:jc w:val="center"/>
        <w:outlineLvl w:val="0"/>
        <w:rPr>
          <w:rFonts w:hint="default" w:ascii="Times New Roman" w:hAnsi="Times New Roman" w:eastAsia="方正小标宋_GBK" w:cs="Times New Roman"/>
          <w:bCs/>
          <w:color w:val="auto"/>
          <w:sz w:val="72"/>
          <w:szCs w:val="72"/>
          <w:highlight w:val="none"/>
        </w:rPr>
      </w:pPr>
      <w:bookmarkStart w:id="0" w:name="_Toc9788"/>
      <w:r>
        <w:rPr>
          <w:rFonts w:hint="default" w:ascii="Times New Roman" w:hAnsi="Times New Roman" w:eastAsia="方正小标宋_GBK" w:cs="Times New Roman"/>
          <w:bCs/>
          <w:color w:val="auto"/>
          <w:sz w:val="72"/>
          <w:szCs w:val="72"/>
          <w:highlight w:val="none"/>
        </w:rPr>
        <w:t>建设项目环境影响报告表</w:t>
      </w:r>
      <w:bookmarkEnd w:id="0"/>
    </w:p>
    <w:p w14:paraId="7CF8F693">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02B10F9D">
      <w:pPr>
        <w:rPr>
          <w:rFonts w:hint="default" w:ascii="Times New Roman" w:hAnsi="Times New Roman" w:eastAsia="仿宋_GB2312" w:cs="Times New Roman"/>
          <w:color w:val="auto"/>
          <w:sz w:val="36"/>
          <w:szCs w:val="36"/>
          <w:highlight w:val="none"/>
        </w:rPr>
      </w:pPr>
    </w:p>
    <w:p w14:paraId="4AAD1432">
      <w:pPr>
        <w:rPr>
          <w:rFonts w:hint="default" w:ascii="Times New Roman" w:hAnsi="Times New Roman" w:eastAsia="仿宋_GB2312" w:cs="Times New Roman"/>
          <w:color w:val="auto"/>
          <w:sz w:val="36"/>
          <w:szCs w:val="36"/>
          <w:highlight w:val="none"/>
        </w:rPr>
      </w:pPr>
    </w:p>
    <w:p w14:paraId="495E3D2C">
      <w:pPr>
        <w:rPr>
          <w:rFonts w:hint="default" w:ascii="Times New Roman" w:hAnsi="Times New Roman" w:eastAsia="仿宋_GB2312" w:cs="Times New Roman"/>
          <w:color w:val="auto"/>
          <w:sz w:val="36"/>
          <w:szCs w:val="36"/>
          <w:highlight w:val="none"/>
        </w:rPr>
      </w:pPr>
    </w:p>
    <w:p w14:paraId="6BF10DA8">
      <w:pPr>
        <w:rPr>
          <w:rFonts w:hint="default" w:ascii="Times New Roman" w:hAnsi="Times New Roman" w:eastAsia="仿宋_GB2312" w:cs="Times New Roman"/>
          <w:color w:val="auto"/>
          <w:sz w:val="36"/>
          <w:szCs w:val="36"/>
          <w:highlight w:val="none"/>
        </w:rPr>
      </w:pPr>
      <w:bookmarkStart w:id="21" w:name="_GoBack"/>
      <w:bookmarkEnd w:id="21"/>
    </w:p>
    <w:p w14:paraId="705DA7A4">
      <w:pPr>
        <w:rPr>
          <w:rFonts w:hint="default" w:ascii="Times New Roman" w:hAnsi="Times New Roman" w:eastAsia="仿宋_GB2312" w:cs="Times New Roman"/>
          <w:color w:val="auto"/>
          <w:sz w:val="36"/>
          <w:szCs w:val="36"/>
          <w:highlight w:val="none"/>
        </w:rPr>
      </w:pPr>
    </w:p>
    <w:p w14:paraId="1054B951">
      <w:pPr>
        <w:rPr>
          <w:rFonts w:hint="default" w:ascii="Times New Roman" w:hAnsi="Times New Roman" w:eastAsia="仿宋_GB2312" w:cs="Times New Roman"/>
          <w:color w:val="auto"/>
          <w:sz w:val="36"/>
          <w:szCs w:val="36"/>
          <w:highlight w:val="none"/>
        </w:rPr>
      </w:pPr>
    </w:p>
    <w:p w14:paraId="1BDB7176">
      <w:pPr>
        <w:rPr>
          <w:rFonts w:hint="default" w:ascii="Times New Roman" w:hAnsi="Times New Roman" w:eastAsia="仿宋_GB2312" w:cs="Times New Roman"/>
          <w:color w:val="auto"/>
          <w:sz w:val="36"/>
          <w:szCs w:val="36"/>
          <w:highlight w:val="none"/>
        </w:rPr>
      </w:pPr>
    </w:p>
    <w:p w14:paraId="79286D5A">
      <w:pPr>
        <w:rPr>
          <w:rFonts w:hint="default" w:ascii="Times New Roman" w:hAnsi="Times New Roman" w:eastAsia="仿宋_GB2312" w:cs="Times New Roman"/>
          <w:color w:val="auto"/>
          <w:sz w:val="36"/>
          <w:szCs w:val="36"/>
          <w:highlight w:val="none"/>
        </w:rPr>
      </w:pPr>
    </w:p>
    <w:p w14:paraId="3FD3AC4C">
      <w:pPr>
        <w:rPr>
          <w:rFonts w:hint="default" w:ascii="Times New Roman" w:hAnsi="Times New Roman" w:eastAsia="仿宋_GB2312" w:cs="Times New Roman"/>
          <w:color w:val="auto"/>
          <w:sz w:val="36"/>
          <w:szCs w:val="36"/>
          <w:highlight w:val="none"/>
        </w:rPr>
      </w:pPr>
    </w:p>
    <w:p w14:paraId="0458E372">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 w:cs="Times New Roman"/>
          <w:color w:val="auto"/>
          <w:sz w:val="36"/>
          <w:szCs w:val="36"/>
          <w:highlight w:val="none"/>
        </w:rPr>
      </w:pPr>
      <w:r>
        <w:rPr>
          <w:rFonts w:hint="default" w:ascii="Times New Roman" w:hAnsi="Times New Roman" w:eastAsia="仿宋" w:cs="Times New Roman"/>
          <w:color w:val="auto"/>
          <w:sz w:val="36"/>
          <w:szCs w:val="36"/>
          <w:highlight w:val="none"/>
        </w:rPr>
        <w:t>项目名称：</w:t>
      </w:r>
      <w:r>
        <w:rPr>
          <w:rFonts w:hint="default" w:ascii="Times New Roman" w:hAnsi="Times New Roman" w:eastAsia="仿宋" w:cs="Times New Roman"/>
          <w:color w:val="auto"/>
          <w:sz w:val="36"/>
          <w:szCs w:val="36"/>
          <w:highlight w:val="none"/>
          <w:u w:val="single"/>
          <w:lang w:val="en-US" w:eastAsia="zh-CN"/>
        </w:rPr>
        <w:t>长治市盛石工贸有限公司</w:t>
      </w:r>
    </w:p>
    <w:p w14:paraId="47F9ACCB">
      <w:pPr>
        <w:keepNext w:val="0"/>
        <w:keepLines w:val="0"/>
        <w:pageBreakBefore w:val="0"/>
        <w:widowControl w:val="0"/>
        <w:kinsoku/>
        <w:wordWrap/>
        <w:overflowPunct/>
        <w:topLinePunct w:val="0"/>
        <w:autoSpaceDE/>
        <w:autoSpaceDN/>
        <w:bidi w:val="0"/>
        <w:adjustRightInd w:val="0"/>
        <w:snapToGrid w:val="0"/>
        <w:spacing w:line="288" w:lineRule="auto"/>
        <w:ind w:firstLine="2520" w:firstLineChars="700"/>
        <w:textAlignment w:val="auto"/>
        <w:rPr>
          <w:rFonts w:hint="default" w:ascii="Times New Roman" w:hAnsi="Times New Roman" w:eastAsia="仿宋" w:cs="Times New Roman"/>
          <w:color w:val="auto"/>
          <w:sz w:val="36"/>
          <w:szCs w:val="36"/>
          <w:highlight w:val="none"/>
        </w:rPr>
      </w:pPr>
      <w:r>
        <w:rPr>
          <w:rFonts w:hint="default" w:ascii="Times New Roman" w:hAnsi="Times New Roman" w:eastAsia="仿宋" w:cs="Times New Roman"/>
          <w:color w:val="auto"/>
          <w:sz w:val="36"/>
          <w:szCs w:val="36"/>
          <w:highlight w:val="none"/>
          <w:u w:val="single"/>
          <w:lang w:val="en-US" w:eastAsia="zh-CN"/>
        </w:rPr>
        <w:t>年30万吨建筑垃圾回收再利用项目</w:t>
      </w:r>
    </w:p>
    <w:p w14:paraId="43EE3572">
      <w:pPr>
        <w:keepNext w:val="0"/>
        <w:keepLines w:val="0"/>
        <w:pageBreakBefore w:val="0"/>
        <w:widowControl w:val="0"/>
        <w:kinsoku/>
        <w:wordWrap/>
        <w:overflowPunct/>
        <w:topLinePunct w:val="0"/>
        <w:autoSpaceDE/>
        <w:autoSpaceDN/>
        <w:bidi w:val="0"/>
        <w:adjustRightInd w:val="0"/>
        <w:snapToGrid w:val="0"/>
        <w:spacing w:line="288" w:lineRule="auto"/>
        <w:ind w:left="3058" w:leftChars="342" w:hanging="2340" w:hangingChars="650"/>
        <w:textAlignment w:val="auto"/>
        <w:rPr>
          <w:rFonts w:hint="eastAsia"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rPr>
        <w:t>建设单位（盖章）：</w:t>
      </w:r>
      <w:r>
        <w:rPr>
          <w:rFonts w:hint="default" w:ascii="Times New Roman" w:hAnsi="Times New Roman" w:eastAsia="仿宋" w:cs="Times New Roman"/>
          <w:color w:val="auto"/>
          <w:sz w:val="36"/>
          <w:szCs w:val="36"/>
          <w:highlight w:val="none"/>
          <w:u w:val="single"/>
          <w:lang w:val="en-US" w:eastAsia="zh-CN"/>
        </w:rPr>
        <w:t>长治市盛石工贸有限公司</w:t>
      </w:r>
    </w:p>
    <w:p w14:paraId="4AF15D89">
      <w:pPr>
        <w:keepNext w:val="0"/>
        <w:keepLines w:val="0"/>
        <w:pageBreakBefore w:val="0"/>
        <w:widowControl w:val="0"/>
        <w:kinsoku/>
        <w:wordWrap/>
        <w:overflowPunct/>
        <w:topLinePunct w:val="0"/>
        <w:autoSpaceDE/>
        <w:autoSpaceDN/>
        <w:bidi w:val="0"/>
        <w:adjustRightInd w:val="0"/>
        <w:snapToGrid w:val="0"/>
        <w:spacing w:line="288" w:lineRule="auto"/>
        <w:ind w:firstLine="737"/>
        <w:textAlignment w:val="auto"/>
        <w:rPr>
          <w:rFonts w:hint="default" w:ascii="Times New Roman" w:hAnsi="Times New Roman" w:eastAsia="仿宋" w:cs="Times New Roman"/>
          <w:color w:val="auto"/>
          <w:sz w:val="36"/>
          <w:szCs w:val="36"/>
          <w:highlight w:val="none"/>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rPr>
        <w:t xml:space="preserve">      </w:t>
      </w: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r>
        <w:rPr>
          <w:rFonts w:hint="default" w:ascii="Times New Roman" w:hAnsi="Times New Roman" w:eastAsia="仿宋" w:cs="Times New Roman"/>
          <w:color w:val="auto"/>
          <w:sz w:val="36"/>
          <w:szCs w:val="36"/>
          <w:highlight w:val="none"/>
          <w:u w:val="single"/>
          <w:lang w:val="en-US" w:eastAsia="zh-CN"/>
        </w:rPr>
        <w:t>202</w:t>
      </w:r>
      <w:r>
        <w:rPr>
          <w:rFonts w:hint="eastAsia" w:eastAsia="仿宋" w:cs="Times New Roman"/>
          <w:color w:val="auto"/>
          <w:sz w:val="36"/>
          <w:szCs w:val="36"/>
          <w:highlight w:val="none"/>
          <w:u w:val="single"/>
          <w:lang w:val="en-US" w:eastAsia="zh-CN"/>
        </w:rPr>
        <w:t>6</w:t>
      </w:r>
      <w:r>
        <w:rPr>
          <w:rFonts w:hint="default" w:ascii="Times New Roman" w:hAnsi="Times New Roman" w:eastAsia="仿宋" w:cs="Times New Roman"/>
          <w:color w:val="auto"/>
          <w:sz w:val="36"/>
          <w:szCs w:val="36"/>
          <w:highlight w:val="none"/>
          <w:u w:val="single"/>
          <w:lang w:val="en-US" w:eastAsia="zh-CN"/>
        </w:rPr>
        <w:t>年</w:t>
      </w:r>
      <w:r>
        <w:rPr>
          <w:rFonts w:hint="eastAsia" w:eastAsia="仿宋" w:cs="Times New Roman"/>
          <w:color w:val="auto"/>
          <w:sz w:val="36"/>
          <w:szCs w:val="36"/>
          <w:highlight w:val="none"/>
          <w:u w:val="single"/>
          <w:lang w:val="en-US" w:eastAsia="zh-CN"/>
        </w:rPr>
        <w:t>5</w:t>
      </w:r>
      <w:r>
        <w:rPr>
          <w:rFonts w:hint="default" w:ascii="Times New Roman" w:hAnsi="Times New Roman" w:eastAsia="仿宋" w:cs="Times New Roman"/>
          <w:color w:val="auto"/>
          <w:sz w:val="36"/>
          <w:szCs w:val="36"/>
          <w:highlight w:val="none"/>
          <w:u w:val="single"/>
          <w:lang w:val="en-US" w:eastAsia="zh-CN"/>
        </w:rPr>
        <w:t>月</w:t>
      </w:r>
      <w:r>
        <w:rPr>
          <w:rFonts w:hint="default" w:ascii="Times New Roman" w:hAnsi="Times New Roman"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p>
    <w:p w14:paraId="6D146603">
      <w:pPr>
        <w:rPr>
          <w:rFonts w:hint="default" w:ascii="Times New Roman" w:hAnsi="Times New Roman" w:eastAsia="仿宋_GB2312" w:cs="Times New Roman"/>
          <w:color w:val="auto"/>
          <w:sz w:val="36"/>
          <w:szCs w:val="36"/>
          <w:highlight w:val="none"/>
        </w:rPr>
      </w:pPr>
      <w:bookmarkStart w:id="1" w:name="_Hlk57884087"/>
    </w:p>
    <w:p w14:paraId="0DCC8CBD">
      <w:pPr>
        <w:rPr>
          <w:rFonts w:hint="default" w:ascii="Times New Roman" w:hAnsi="Times New Roman" w:eastAsia="仿宋_GB2312" w:cs="Times New Roman"/>
          <w:color w:val="auto"/>
          <w:sz w:val="36"/>
          <w:szCs w:val="36"/>
          <w:highlight w:val="none"/>
        </w:rPr>
      </w:pPr>
    </w:p>
    <w:p w14:paraId="0562BA0F">
      <w:pPr>
        <w:rPr>
          <w:rFonts w:hint="default" w:ascii="Times New Roman" w:hAnsi="Times New Roman" w:eastAsia="仿宋_GB2312" w:cs="Times New Roman"/>
          <w:color w:val="auto"/>
          <w:sz w:val="36"/>
          <w:szCs w:val="36"/>
          <w:highlight w:val="none"/>
        </w:rPr>
      </w:pPr>
    </w:p>
    <w:p w14:paraId="06047DE5">
      <w:pPr>
        <w:rPr>
          <w:rFonts w:hint="default" w:ascii="Times New Roman" w:hAnsi="Times New Roman" w:eastAsia="仿宋_GB2312" w:cs="Times New Roman"/>
          <w:color w:val="auto"/>
          <w:sz w:val="36"/>
          <w:szCs w:val="36"/>
          <w:highlight w:val="none"/>
        </w:rPr>
      </w:pPr>
    </w:p>
    <w:p w14:paraId="40E65159">
      <w:pPr>
        <w:rPr>
          <w:rFonts w:hint="default" w:ascii="Times New Roman" w:hAnsi="Times New Roman" w:eastAsia="仿宋_GB2312" w:cs="Times New Roman"/>
          <w:color w:val="auto"/>
          <w:sz w:val="36"/>
          <w:szCs w:val="36"/>
          <w:highlight w:val="none"/>
        </w:rPr>
      </w:pPr>
    </w:p>
    <w:bookmarkEnd w:id="1"/>
    <w:p w14:paraId="221B2C18">
      <w:pPr>
        <w:adjustRightInd w:val="0"/>
        <w:snapToGrid w:val="0"/>
        <w:spacing w:line="288" w:lineRule="auto"/>
        <w:jc w:val="center"/>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eastAsia="楷体_GB2312" w:cs="Times New Roman"/>
          <w:color w:val="auto"/>
          <w:sz w:val="36"/>
          <w:szCs w:val="36"/>
          <w:highlight w:val="none"/>
        </w:rPr>
        <w:t>中华人民共和国生态环境部</w:t>
      </w:r>
    </w:p>
    <w:p w14:paraId="3142C4CB">
      <w:pPr>
        <w:pStyle w:val="20"/>
        <w:jc w:val="center"/>
        <w:outlineLvl w:val="0"/>
        <w:rPr>
          <w:rFonts w:hint="default" w:ascii="Times New Roman" w:hAnsi="Times New Roman" w:eastAsia="黑体" w:cs="Times New Roman"/>
          <w:snapToGrid w:val="0"/>
          <w:color w:val="auto"/>
          <w:sz w:val="30"/>
          <w:szCs w:val="30"/>
          <w:highlight w:val="none"/>
        </w:rPr>
      </w:pPr>
      <w:bookmarkStart w:id="2" w:name="_Toc12561"/>
      <w:r>
        <w:rPr>
          <w:rFonts w:hint="default" w:ascii="Times New Roman" w:hAnsi="Times New Roman" w:eastAsia="黑体" w:cs="Times New Roman"/>
          <w:snapToGrid w:val="0"/>
          <w:color w:val="auto"/>
          <w:sz w:val="30"/>
          <w:szCs w:val="30"/>
          <w:highlight w:val="none"/>
        </w:rPr>
        <w:t>一、建设项目基本情况</w:t>
      </w:r>
      <w:bookmarkEnd w:id="2"/>
    </w:p>
    <w:tbl>
      <w:tblPr>
        <w:tblStyle w:val="28"/>
        <w:tblW w:w="89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93"/>
        <w:gridCol w:w="2122"/>
        <w:gridCol w:w="1896"/>
        <w:gridCol w:w="3571"/>
      </w:tblGrid>
      <w:tr w14:paraId="6ADE4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72D16F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建设项目</w:t>
            </w:r>
          </w:p>
          <w:p w14:paraId="756AEB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名称</w:t>
            </w:r>
          </w:p>
        </w:tc>
        <w:tc>
          <w:tcPr>
            <w:tcW w:w="7589" w:type="dxa"/>
            <w:gridSpan w:val="3"/>
            <w:vAlign w:val="center"/>
          </w:tcPr>
          <w:p w14:paraId="54FD4D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长治市盛石工贸有限公司年30万吨建筑垃圾回收再利用项目</w:t>
            </w:r>
          </w:p>
        </w:tc>
      </w:tr>
      <w:tr w14:paraId="25BA6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21A18B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项目代码</w:t>
            </w:r>
          </w:p>
        </w:tc>
        <w:tc>
          <w:tcPr>
            <w:tcW w:w="7589" w:type="dxa"/>
            <w:gridSpan w:val="3"/>
            <w:vAlign w:val="center"/>
          </w:tcPr>
          <w:p w14:paraId="1C5D48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2603-140405-89-05-669802</w:t>
            </w:r>
          </w:p>
        </w:tc>
      </w:tr>
      <w:tr w14:paraId="1E895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02914C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建设单位</w:t>
            </w:r>
          </w:p>
          <w:p w14:paraId="4C9019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联系人</w:t>
            </w:r>
          </w:p>
        </w:tc>
        <w:tc>
          <w:tcPr>
            <w:tcW w:w="2122" w:type="dxa"/>
            <w:vAlign w:val="center"/>
          </w:tcPr>
          <w:p w14:paraId="70B924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崔姚姚</w:t>
            </w:r>
          </w:p>
        </w:tc>
        <w:tc>
          <w:tcPr>
            <w:tcW w:w="1896" w:type="dxa"/>
            <w:vAlign w:val="center"/>
          </w:tcPr>
          <w:p w14:paraId="676A65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b w:val="0"/>
                <w:bCs w:val="0"/>
                <w:color w:val="auto"/>
                <w:sz w:val="24"/>
                <w:szCs w:val="24"/>
                <w:highlight w:val="none"/>
              </w:rPr>
              <w:t>联系方式</w:t>
            </w:r>
          </w:p>
        </w:tc>
        <w:tc>
          <w:tcPr>
            <w:tcW w:w="3571" w:type="dxa"/>
            <w:vAlign w:val="center"/>
          </w:tcPr>
          <w:p w14:paraId="60F0D4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8035571071</w:t>
            </w:r>
          </w:p>
        </w:tc>
      </w:tr>
      <w:tr w14:paraId="1DF89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4816B7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建设地点</w:t>
            </w:r>
          </w:p>
        </w:tc>
        <w:tc>
          <w:tcPr>
            <w:tcW w:w="7589" w:type="dxa"/>
            <w:gridSpan w:val="3"/>
            <w:vAlign w:val="center"/>
          </w:tcPr>
          <w:p w14:paraId="09ED3F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长治市屯留区李高乡西酪余村北</w:t>
            </w:r>
          </w:p>
        </w:tc>
      </w:tr>
      <w:tr w14:paraId="608D3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131EB9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地理坐标</w:t>
            </w:r>
          </w:p>
        </w:tc>
        <w:tc>
          <w:tcPr>
            <w:tcW w:w="7589" w:type="dxa"/>
            <w:gridSpan w:val="3"/>
            <w:vAlign w:val="center"/>
          </w:tcPr>
          <w:p w14:paraId="2A34094C">
            <w:pPr>
              <w:keepNext w:val="0"/>
              <w:keepLines w:val="0"/>
              <w:suppressLineNumbers w:val="0"/>
              <w:spacing w:before="0" w:beforeAutospacing="0" w:after="0" w:afterAutospacing="0"/>
              <w:ind w:left="0" w:right="0"/>
              <w:jc w:val="center"/>
              <w:rPr>
                <w:rFonts w:hint="default"/>
                <w:color w:val="auto"/>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11</w:t>
            </w:r>
            <w:r>
              <w:rPr>
                <w:rFonts w:hint="eastAsia" w:cs="Times New Roman"/>
                <w:color w:val="auto"/>
                <w:sz w:val="24"/>
                <w:szCs w:val="24"/>
                <w:highlight w:val="none"/>
                <w:u w:val="single"/>
                <w:lang w:val="en-US" w:eastAsia="zh-CN"/>
              </w:rPr>
              <w:t>2</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5</w:t>
            </w:r>
            <w:r>
              <w:rPr>
                <w:rFonts w:hint="eastAsia" w:cs="Times New Roman"/>
                <w:color w:val="auto"/>
                <w:sz w:val="24"/>
                <w:szCs w:val="24"/>
                <w:highlight w:val="none"/>
                <w:u w:val="single"/>
                <w:lang w:val="en-US" w:eastAsia="zh-CN"/>
              </w:rPr>
              <w:t>7</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19.546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36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14</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56.425 </w:t>
            </w:r>
            <w:r>
              <w:rPr>
                <w:rFonts w:hint="default" w:ascii="Times New Roman" w:hAnsi="Times New Roman" w:cs="Times New Roman"/>
                <w:color w:val="auto"/>
                <w:sz w:val="24"/>
                <w:szCs w:val="24"/>
                <w:highlight w:val="none"/>
              </w:rPr>
              <w:t>秒）</w:t>
            </w:r>
          </w:p>
        </w:tc>
      </w:tr>
      <w:tr w14:paraId="0F0F0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93" w:type="dxa"/>
            <w:tcMar>
              <w:top w:w="16" w:type="dxa"/>
              <w:left w:w="16" w:type="dxa"/>
              <w:right w:w="16" w:type="dxa"/>
            </w:tcMar>
            <w:vAlign w:val="center"/>
          </w:tcPr>
          <w:p w14:paraId="123A72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国民经济</w:t>
            </w:r>
          </w:p>
          <w:p w14:paraId="052BB5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行业类别</w:t>
            </w:r>
          </w:p>
        </w:tc>
        <w:tc>
          <w:tcPr>
            <w:tcW w:w="2122" w:type="dxa"/>
            <w:vAlign w:val="center"/>
          </w:tcPr>
          <w:p w14:paraId="46075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C3039 其他建筑材料制造</w:t>
            </w:r>
          </w:p>
        </w:tc>
        <w:tc>
          <w:tcPr>
            <w:tcW w:w="1896" w:type="dxa"/>
            <w:vAlign w:val="center"/>
          </w:tcPr>
          <w:p w14:paraId="38C978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bookmarkStart w:id="3" w:name="_Hlk49843745"/>
            <w:r>
              <w:rPr>
                <w:rFonts w:hint="default" w:ascii="Times New Roman" w:hAnsi="Times New Roman" w:cs="Times New Roman"/>
                <w:b w:val="0"/>
                <w:bCs w:val="0"/>
                <w:color w:val="auto"/>
                <w:sz w:val="24"/>
                <w:szCs w:val="24"/>
                <w:highlight w:val="none"/>
              </w:rPr>
              <w:t>建设项目</w:t>
            </w:r>
          </w:p>
          <w:p w14:paraId="60C7ED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行业类别</w:t>
            </w:r>
            <w:bookmarkEnd w:id="3"/>
          </w:p>
        </w:tc>
        <w:tc>
          <w:tcPr>
            <w:tcW w:w="3571" w:type="dxa"/>
            <w:vAlign w:val="center"/>
          </w:tcPr>
          <w:p w14:paraId="364D7C18">
            <w:pPr>
              <w:keepNext w:val="0"/>
              <w:keepLines w:val="0"/>
              <w:widowControl/>
              <w:suppressLineNumbers w:val="0"/>
              <w:spacing w:before="0" w:beforeAutospacing="0" w:after="0" w:afterAutospacing="0"/>
              <w:ind w:left="0" w:right="0"/>
              <w:jc w:val="both"/>
              <w:rPr>
                <w:rFonts w:hint="default" w:ascii="Times New Roman" w:hAnsi="Times New Roman"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二十七、非金属矿物制品业30-</w:t>
            </w:r>
            <w:r>
              <w:rPr>
                <w:rFonts w:hint="eastAsia" w:cs="Times New Roman"/>
                <w:color w:val="auto"/>
                <w:sz w:val="24"/>
                <w:szCs w:val="24"/>
                <w:highlight w:val="none"/>
                <w:lang w:val="en-US" w:eastAsia="zh-CN"/>
              </w:rPr>
              <w:t>56</w:t>
            </w:r>
            <w:r>
              <w:rPr>
                <w:rFonts w:hint="eastAsia" w:ascii="Times New Roman" w:hAnsi="Times New Roman" w:eastAsia="宋体" w:cs="Times New Roman"/>
                <w:color w:val="auto"/>
                <w:sz w:val="24"/>
                <w:szCs w:val="24"/>
                <w:highlight w:val="none"/>
                <w:lang w:val="en-US" w:eastAsia="zh-CN"/>
              </w:rPr>
              <w:t>、砖瓦、石材等建筑材料制造 303 其他建筑材料制造</w:t>
            </w:r>
          </w:p>
        </w:tc>
      </w:tr>
      <w:tr w14:paraId="32228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93" w:type="dxa"/>
            <w:tcMar>
              <w:top w:w="16" w:type="dxa"/>
              <w:left w:w="16" w:type="dxa"/>
              <w:right w:w="16" w:type="dxa"/>
            </w:tcMar>
            <w:vAlign w:val="center"/>
          </w:tcPr>
          <w:p w14:paraId="3D07EC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建设性质</w:t>
            </w:r>
          </w:p>
        </w:tc>
        <w:tc>
          <w:tcPr>
            <w:tcW w:w="2122" w:type="dxa"/>
            <w:vAlign w:val="center"/>
          </w:tcPr>
          <w:p w14:paraId="3C01A7AE">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新建（迁建）</w:t>
            </w:r>
          </w:p>
          <w:p w14:paraId="1CF60439">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0B020FC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扩建</w:t>
            </w:r>
          </w:p>
          <w:p w14:paraId="7AA83DCA">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1896" w:type="dxa"/>
            <w:vAlign w:val="center"/>
          </w:tcPr>
          <w:p w14:paraId="3C319C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建设项目</w:t>
            </w:r>
          </w:p>
          <w:p w14:paraId="68D253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申报情形</w:t>
            </w:r>
          </w:p>
        </w:tc>
        <w:tc>
          <w:tcPr>
            <w:tcW w:w="3571" w:type="dxa"/>
            <w:vAlign w:val="center"/>
          </w:tcPr>
          <w:p w14:paraId="4E2D1866">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首次申报项目</w:t>
            </w:r>
          </w:p>
          <w:p w14:paraId="66542240">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不予批准后再次申报项目</w:t>
            </w:r>
          </w:p>
          <w:p w14:paraId="5A10708A">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超五年重新审核项目</w:t>
            </w:r>
          </w:p>
          <w:p w14:paraId="08075D48">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14:paraId="48188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93" w:type="dxa"/>
            <w:tcMar>
              <w:top w:w="16" w:type="dxa"/>
              <w:left w:w="16" w:type="dxa"/>
              <w:right w:w="16" w:type="dxa"/>
            </w:tcMar>
            <w:vAlign w:val="center"/>
          </w:tcPr>
          <w:p w14:paraId="79E200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项目审批</w:t>
            </w:r>
          </w:p>
          <w:p w14:paraId="476C58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（备案）部门（选填）</w:t>
            </w:r>
          </w:p>
        </w:tc>
        <w:tc>
          <w:tcPr>
            <w:tcW w:w="2122" w:type="dxa"/>
            <w:vAlign w:val="center"/>
          </w:tcPr>
          <w:p w14:paraId="3E6A85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lang w:val="en-US"/>
              </w:rPr>
            </w:pPr>
            <w:r>
              <w:rPr>
                <w:rFonts w:hint="eastAsia" w:cs="Times New Roman"/>
                <w:color w:val="auto"/>
                <w:sz w:val="24"/>
                <w:szCs w:val="24"/>
                <w:highlight w:val="none"/>
                <w:lang w:val="en-US" w:eastAsia="zh-CN"/>
              </w:rPr>
              <w:t>长治市屯留区行政审批服务管理局</w:t>
            </w:r>
          </w:p>
        </w:tc>
        <w:tc>
          <w:tcPr>
            <w:tcW w:w="1896" w:type="dxa"/>
            <w:vAlign w:val="center"/>
          </w:tcPr>
          <w:p w14:paraId="2E29A9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项目审批（核准/</w:t>
            </w:r>
          </w:p>
          <w:p w14:paraId="3981EF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备案）文号（选填）</w:t>
            </w:r>
          </w:p>
        </w:tc>
        <w:tc>
          <w:tcPr>
            <w:tcW w:w="3571" w:type="dxa"/>
            <w:vAlign w:val="center"/>
          </w:tcPr>
          <w:p w14:paraId="20AF8E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2603-140405-89-05-669802</w:t>
            </w:r>
          </w:p>
        </w:tc>
      </w:tr>
      <w:tr w14:paraId="11450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1393" w:type="dxa"/>
            <w:tcMar>
              <w:top w:w="16" w:type="dxa"/>
              <w:left w:w="16" w:type="dxa"/>
              <w:right w:w="16" w:type="dxa"/>
            </w:tcMar>
            <w:vAlign w:val="center"/>
          </w:tcPr>
          <w:p w14:paraId="7EAEA8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总投资</w:t>
            </w:r>
          </w:p>
          <w:p w14:paraId="12619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（万元）</w:t>
            </w:r>
          </w:p>
        </w:tc>
        <w:tc>
          <w:tcPr>
            <w:tcW w:w="2122" w:type="dxa"/>
            <w:vAlign w:val="center"/>
          </w:tcPr>
          <w:p w14:paraId="11F159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00</w:t>
            </w:r>
          </w:p>
        </w:tc>
        <w:tc>
          <w:tcPr>
            <w:tcW w:w="1896" w:type="dxa"/>
            <w:tcMar>
              <w:top w:w="16" w:type="dxa"/>
              <w:left w:w="16" w:type="dxa"/>
              <w:right w:w="16" w:type="dxa"/>
            </w:tcMar>
            <w:vAlign w:val="center"/>
          </w:tcPr>
          <w:p w14:paraId="4DC5B9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环保投资（万元）</w:t>
            </w:r>
          </w:p>
        </w:tc>
        <w:tc>
          <w:tcPr>
            <w:tcW w:w="3571" w:type="dxa"/>
            <w:vAlign w:val="center"/>
          </w:tcPr>
          <w:p w14:paraId="5668E6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13.2</w:t>
            </w:r>
          </w:p>
        </w:tc>
      </w:tr>
      <w:tr w14:paraId="4A581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63ED3A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环保投资</w:t>
            </w:r>
          </w:p>
          <w:p w14:paraId="53FEAC7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占比</w:t>
            </w:r>
          </w:p>
        </w:tc>
        <w:tc>
          <w:tcPr>
            <w:tcW w:w="2122" w:type="dxa"/>
            <w:vAlign w:val="center"/>
          </w:tcPr>
          <w:p w14:paraId="1CEF5F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13.2</w:t>
            </w:r>
            <w:r>
              <w:rPr>
                <w:rFonts w:hint="eastAsia" w:ascii="Times New Roman" w:hAnsi="Times New Roman" w:cs="Times New Roman"/>
                <w:color w:val="auto"/>
                <w:sz w:val="24"/>
                <w:szCs w:val="24"/>
                <w:highlight w:val="none"/>
                <w:lang w:val="en-US" w:eastAsia="zh-CN"/>
              </w:rPr>
              <w:t>%</w:t>
            </w:r>
          </w:p>
        </w:tc>
        <w:tc>
          <w:tcPr>
            <w:tcW w:w="1896" w:type="dxa"/>
            <w:tcMar>
              <w:top w:w="16" w:type="dxa"/>
              <w:left w:w="16" w:type="dxa"/>
              <w:right w:w="16" w:type="dxa"/>
            </w:tcMar>
            <w:vAlign w:val="center"/>
          </w:tcPr>
          <w:p w14:paraId="3167BB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施工工期</w:t>
            </w:r>
          </w:p>
        </w:tc>
        <w:tc>
          <w:tcPr>
            <w:tcW w:w="3571" w:type="dxa"/>
            <w:vAlign w:val="center"/>
          </w:tcPr>
          <w:p w14:paraId="1D3E06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个</w:t>
            </w:r>
            <w:r>
              <w:rPr>
                <w:rFonts w:hint="default" w:ascii="Times New Roman" w:hAnsi="Times New Roman" w:cs="Times New Roman"/>
                <w:color w:val="auto"/>
                <w:sz w:val="24"/>
                <w:szCs w:val="24"/>
                <w:highlight w:val="none"/>
                <w:lang w:val="en-US" w:eastAsia="zh-CN"/>
              </w:rPr>
              <w:t>月</w:t>
            </w:r>
          </w:p>
        </w:tc>
      </w:tr>
      <w:tr w14:paraId="4173D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93" w:type="dxa"/>
            <w:tcMar>
              <w:top w:w="16" w:type="dxa"/>
              <w:left w:w="16" w:type="dxa"/>
              <w:right w:w="16" w:type="dxa"/>
            </w:tcMar>
            <w:vAlign w:val="center"/>
          </w:tcPr>
          <w:p w14:paraId="7E459B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是否开工建设</w:t>
            </w:r>
          </w:p>
        </w:tc>
        <w:tc>
          <w:tcPr>
            <w:tcW w:w="2122" w:type="dxa"/>
            <w:vAlign w:val="center"/>
          </w:tcPr>
          <w:p w14:paraId="677C1212">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否</w:t>
            </w:r>
          </w:p>
          <w:p w14:paraId="21BC411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r>
              <w:rPr>
                <w:rFonts w:hint="default" w:ascii="Times New Roman" w:hAnsi="Times New Roman" w:cs="Times New Roman"/>
                <w:color w:val="auto"/>
                <w:sz w:val="24"/>
                <w:szCs w:val="24"/>
                <w:highlight w:val="none"/>
                <w:u w:val="single"/>
              </w:rPr>
              <w:t xml:space="preserve">             </w:t>
            </w:r>
          </w:p>
        </w:tc>
        <w:tc>
          <w:tcPr>
            <w:tcW w:w="1896" w:type="dxa"/>
            <w:tcMar>
              <w:top w:w="16" w:type="dxa"/>
              <w:left w:w="16" w:type="dxa"/>
              <w:right w:w="16" w:type="dxa"/>
            </w:tcMar>
            <w:vAlign w:val="center"/>
          </w:tcPr>
          <w:p w14:paraId="2D15B5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pacing w:val="-6"/>
                <w:sz w:val="24"/>
                <w:szCs w:val="24"/>
                <w:highlight w:val="none"/>
              </w:rPr>
            </w:pPr>
            <w:r>
              <w:rPr>
                <w:rFonts w:hint="default" w:ascii="Times New Roman" w:hAnsi="Times New Roman" w:cs="Times New Roman"/>
                <w:b w:val="0"/>
                <w:bCs w:val="0"/>
                <w:color w:val="auto"/>
                <w:spacing w:val="-6"/>
                <w:sz w:val="24"/>
                <w:szCs w:val="24"/>
                <w:highlight w:val="none"/>
              </w:rPr>
              <w:t>用地（用海）</w:t>
            </w:r>
          </w:p>
          <w:p w14:paraId="0FC0FE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pacing w:val="-6"/>
                <w:sz w:val="24"/>
                <w:szCs w:val="24"/>
                <w:highlight w:val="none"/>
              </w:rPr>
              <w:t>面积（m</w:t>
            </w:r>
            <w:r>
              <w:rPr>
                <w:rFonts w:hint="default" w:ascii="Times New Roman" w:hAnsi="Times New Roman" w:cs="Times New Roman"/>
                <w:b w:val="0"/>
                <w:bCs w:val="0"/>
                <w:color w:val="auto"/>
                <w:spacing w:val="-6"/>
                <w:sz w:val="24"/>
                <w:szCs w:val="24"/>
                <w:highlight w:val="none"/>
                <w:vertAlign w:val="superscript"/>
              </w:rPr>
              <w:t>2</w:t>
            </w:r>
            <w:r>
              <w:rPr>
                <w:rFonts w:hint="default" w:ascii="Times New Roman" w:hAnsi="Times New Roman" w:cs="Times New Roman"/>
                <w:b w:val="0"/>
                <w:bCs w:val="0"/>
                <w:color w:val="auto"/>
                <w:spacing w:val="-6"/>
                <w:sz w:val="24"/>
                <w:szCs w:val="24"/>
                <w:highlight w:val="none"/>
              </w:rPr>
              <w:t>）</w:t>
            </w:r>
          </w:p>
        </w:tc>
        <w:tc>
          <w:tcPr>
            <w:tcW w:w="3571" w:type="dxa"/>
            <w:vAlign w:val="center"/>
          </w:tcPr>
          <w:p w14:paraId="32CD9D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6336.5</w:t>
            </w:r>
          </w:p>
        </w:tc>
      </w:tr>
      <w:tr w14:paraId="6653C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393" w:type="dxa"/>
            <w:vAlign w:val="center"/>
          </w:tcPr>
          <w:p w14:paraId="4D6064E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专项评价设置情况</w:t>
            </w:r>
          </w:p>
        </w:tc>
        <w:tc>
          <w:tcPr>
            <w:tcW w:w="7589" w:type="dxa"/>
            <w:gridSpan w:val="3"/>
            <w:vAlign w:val="center"/>
          </w:tcPr>
          <w:p w14:paraId="4D0FC3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rPr>
              <w:t>无</w:t>
            </w:r>
          </w:p>
        </w:tc>
      </w:tr>
      <w:tr w14:paraId="433D7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393" w:type="dxa"/>
            <w:vAlign w:val="center"/>
          </w:tcPr>
          <w:p w14:paraId="2D6F55E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sz w:val="24"/>
                <w:szCs w:val="24"/>
                <w:highlight w:val="none"/>
              </w:rPr>
              <w:t>规划情况</w:t>
            </w:r>
          </w:p>
        </w:tc>
        <w:tc>
          <w:tcPr>
            <w:tcW w:w="7589" w:type="dxa"/>
            <w:gridSpan w:val="3"/>
            <w:vAlign w:val="center"/>
          </w:tcPr>
          <w:p w14:paraId="63B0B17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rPr>
              <w:t>无</w:t>
            </w:r>
          </w:p>
        </w:tc>
      </w:tr>
      <w:tr w14:paraId="7901A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393" w:type="dxa"/>
            <w:vAlign w:val="center"/>
          </w:tcPr>
          <w:p w14:paraId="118C21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sz w:val="24"/>
                <w:szCs w:val="24"/>
                <w:highlight w:val="none"/>
              </w:rPr>
              <w:t>规划环境影响评价情况</w:t>
            </w:r>
          </w:p>
        </w:tc>
        <w:tc>
          <w:tcPr>
            <w:tcW w:w="7589" w:type="dxa"/>
            <w:gridSpan w:val="3"/>
            <w:vAlign w:val="center"/>
          </w:tcPr>
          <w:p w14:paraId="4CC62C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0" w:firstLineChars="0"/>
              <w:jc w:val="center"/>
              <w:textAlignment w:val="auto"/>
              <w:rPr>
                <w:rFonts w:hint="default" w:hAnsi="宋体"/>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14:paraId="6F57E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1393" w:type="dxa"/>
            <w:vAlign w:val="center"/>
          </w:tcPr>
          <w:p w14:paraId="57B694F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规划及规划环境影响评价符合性分析</w:t>
            </w:r>
          </w:p>
        </w:tc>
        <w:tc>
          <w:tcPr>
            <w:tcW w:w="7589" w:type="dxa"/>
            <w:gridSpan w:val="3"/>
            <w:vAlign w:val="center"/>
          </w:tcPr>
          <w:p w14:paraId="2CDFD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宋体"/>
                <w:b/>
                <w:bCs/>
                <w:color w:val="auto"/>
                <w:kern w:val="2"/>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bl>
    <w:p w14:paraId="295EAC76">
      <w:pPr>
        <w:rPr>
          <w:color w:val="auto"/>
        </w:rPr>
      </w:pPr>
    </w:p>
    <w:tbl>
      <w:tblPr>
        <w:tblStyle w:val="28"/>
        <w:tblW w:w="89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303"/>
      </w:tblGrid>
      <w:tr w14:paraId="5447B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79" w:type="dxa"/>
            <w:vAlign w:val="center"/>
          </w:tcPr>
          <w:p w14:paraId="4F1A54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其他符合性分析</w:t>
            </w:r>
          </w:p>
        </w:tc>
        <w:tc>
          <w:tcPr>
            <w:tcW w:w="8303" w:type="dxa"/>
            <w:vAlign w:val="center"/>
          </w:tcPr>
          <w:p w14:paraId="4F01E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一、产业政策符合性分析</w:t>
            </w:r>
          </w:p>
          <w:p w14:paraId="4E6A66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hAnsi="宋体"/>
                <w:color w:val="auto"/>
                <w:sz w:val="24"/>
                <w:lang w:eastAsia="zh-CN"/>
              </w:rPr>
            </w:pPr>
            <w:r>
              <w:rPr>
                <w:rFonts w:hint="default" w:ascii="Times New Roman" w:hAnsi="Times New Roman" w:eastAsia="宋体" w:cs="Times New Roman"/>
                <w:color w:val="auto"/>
                <w:kern w:val="0"/>
                <w:sz w:val="24"/>
                <w:szCs w:val="24"/>
                <w:highlight w:val="none"/>
                <w:lang w:val="en-US" w:eastAsia="zh-CN"/>
              </w:rPr>
              <w:t>本项目</w:t>
            </w:r>
            <w:r>
              <w:rPr>
                <w:rFonts w:hint="eastAsia" w:cs="Times New Roman"/>
                <w:color w:val="auto"/>
                <w:kern w:val="0"/>
                <w:sz w:val="24"/>
                <w:szCs w:val="24"/>
                <w:highlight w:val="none"/>
                <w:lang w:val="en-US" w:eastAsia="zh-CN"/>
              </w:rPr>
              <w:t>为年处理建筑垃圾项目，产品为机制砂和石子，</w:t>
            </w:r>
            <w:r>
              <w:rPr>
                <w:rFonts w:hint="default" w:ascii="Times New Roman" w:hAnsi="Times New Roman" w:eastAsia="宋体" w:cs="Times New Roman"/>
                <w:color w:val="auto"/>
                <w:kern w:val="0"/>
                <w:sz w:val="24"/>
                <w:szCs w:val="24"/>
                <w:highlight w:val="none"/>
                <w:lang w:val="en-US" w:eastAsia="zh-CN"/>
              </w:rPr>
              <w:t>所属行</w:t>
            </w:r>
            <w:r>
              <w:rPr>
                <w:rFonts w:hint="eastAsia" w:cs="Times New Roman"/>
                <w:color w:val="auto"/>
                <w:kern w:val="0"/>
                <w:sz w:val="24"/>
                <w:szCs w:val="24"/>
                <w:highlight w:val="none"/>
                <w:lang w:val="en-US" w:eastAsia="zh-CN"/>
              </w:rPr>
              <w:t>业为</w:t>
            </w:r>
            <w:r>
              <w:rPr>
                <w:rFonts w:hint="default" w:ascii="Times New Roman" w:hAnsi="Times New Roman" w:eastAsia="宋体" w:cs="Times New Roman"/>
                <w:color w:val="auto"/>
                <w:kern w:val="0"/>
                <w:sz w:val="24"/>
                <w:szCs w:val="24"/>
                <w:highlight w:val="none"/>
                <w:lang w:val="en-US" w:eastAsia="zh-CN"/>
              </w:rPr>
              <w:t>C30</w:t>
            </w:r>
            <w:r>
              <w:rPr>
                <w:rFonts w:hint="eastAsia" w:cs="Times New Roman"/>
                <w:color w:val="auto"/>
                <w:kern w:val="0"/>
                <w:sz w:val="24"/>
                <w:szCs w:val="24"/>
                <w:highlight w:val="none"/>
                <w:lang w:val="en-US" w:eastAsia="zh-CN"/>
              </w:rPr>
              <w:t>39</w:t>
            </w:r>
            <w:r>
              <w:rPr>
                <w:rFonts w:hint="default" w:ascii="Times New Roman" w:hAnsi="Times New Roman" w:eastAsia="宋体" w:cs="Times New Roman"/>
                <w:color w:val="auto"/>
                <w:kern w:val="0"/>
                <w:sz w:val="24"/>
                <w:szCs w:val="24"/>
                <w:highlight w:val="none"/>
                <w:lang w:val="en-US" w:eastAsia="zh-CN"/>
              </w:rPr>
              <w:t xml:space="preserve"> </w:t>
            </w:r>
            <w:r>
              <w:rPr>
                <w:rFonts w:hint="eastAsia" w:cs="Times New Roman"/>
                <w:color w:val="auto"/>
                <w:sz w:val="24"/>
                <w:szCs w:val="24"/>
                <w:highlight w:val="none"/>
                <w:lang w:val="en-US" w:eastAsia="zh-CN"/>
              </w:rPr>
              <w:t>其他建筑材料制造</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eastAsia="zh-CN"/>
              </w:rPr>
              <w:t>根据《产业结构调整指导目录（</w:t>
            </w:r>
            <w:r>
              <w:rPr>
                <w:rFonts w:hint="eastAsia" w:ascii="Times New Roman" w:hAnsi="Times New Roman" w:eastAsia="宋体" w:cs="Times New Roman"/>
                <w:color w:val="auto"/>
                <w:kern w:val="0"/>
                <w:sz w:val="24"/>
                <w:szCs w:val="24"/>
                <w:highlight w:val="none"/>
                <w:lang w:val="en-US" w:eastAsia="zh-CN"/>
              </w:rPr>
              <w:t>2024</w:t>
            </w:r>
            <w:r>
              <w:rPr>
                <w:rFonts w:hint="default" w:ascii="Times New Roman" w:hAnsi="Times New Roman" w:eastAsia="宋体" w:cs="Times New Roman"/>
                <w:color w:val="auto"/>
                <w:kern w:val="0"/>
                <w:sz w:val="24"/>
                <w:szCs w:val="24"/>
                <w:highlight w:val="none"/>
                <w:lang w:eastAsia="zh-CN"/>
              </w:rPr>
              <w:t>年本）》中规定，</w:t>
            </w:r>
            <w:r>
              <w:rPr>
                <w:rFonts w:hint="default" w:ascii="Times New Roman" w:hAnsi="Times New Roman" w:eastAsia="宋体" w:cs="Times New Roman"/>
                <w:color w:val="auto"/>
                <w:kern w:val="0"/>
                <w:sz w:val="24"/>
                <w:szCs w:val="24"/>
                <w:highlight w:val="none"/>
                <w:lang w:val="en-US" w:eastAsia="zh-CN"/>
              </w:rPr>
              <w:t>本项目属于</w:t>
            </w:r>
            <w:r>
              <w:rPr>
                <w:rFonts w:hint="eastAsia" w:cs="Times New Roman"/>
                <w:color w:val="auto"/>
                <w:kern w:val="0"/>
                <w:sz w:val="24"/>
                <w:szCs w:val="24"/>
                <w:highlight w:val="none"/>
                <w:lang w:val="en-US" w:eastAsia="zh-CN"/>
              </w:rPr>
              <w:t>鼓励类中</w:t>
            </w:r>
            <w:r>
              <w:rPr>
                <w:rFonts w:hint="default" w:hAnsi="宋体"/>
                <w:color w:val="auto"/>
                <w:sz w:val="24"/>
              </w:rPr>
              <w:t>“</w:t>
            </w:r>
            <w:r>
              <w:rPr>
                <w:rFonts w:hint="eastAsia" w:hAnsi="宋体"/>
                <w:color w:val="auto"/>
                <w:sz w:val="24"/>
              </w:rPr>
              <w:t>十二、建材-9、利用矿山尾矿、建筑废弃物、工业废弃物、城市污泥、江河湖（渠）海淤泥等大宗废弃物无害化生产制备砂石骨料、结构混凝土用高强陶粒、功能陶粒、墙体材料等建材及其工艺技术装备开发</w:t>
            </w:r>
            <w:r>
              <w:rPr>
                <w:rFonts w:hint="default" w:hAnsi="宋体"/>
                <w:color w:val="auto"/>
                <w:sz w:val="24"/>
              </w:rPr>
              <w:t>”项目，不属于《产业结构调整指导目录</w:t>
            </w:r>
            <w:r>
              <w:rPr>
                <w:rFonts w:hint="eastAsia" w:hAnsi="宋体"/>
                <w:color w:val="auto"/>
                <w:sz w:val="24"/>
              </w:rPr>
              <w:t>（2024年本</w:t>
            </w:r>
            <w:r>
              <w:rPr>
                <w:rFonts w:hint="default" w:hAnsi="宋体"/>
                <w:color w:val="auto"/>
                <w:sz w:val="24"/>
              </w:rPr>
              <w:t>）》中限制类和淘汰类规定的项目</w:t>
            </w:r>
            <w:r>
              <w:rPr>
                <w:rFonts w:hint="eastAsia" w:hAnsi="宋体"/>
                <w:color w:val="auto"/>
                <w:sz w:val="24"/>
                <w:lang w:eastAsia="zh-CN"/>
              </w:rPr>
              <w:t>。</w:t>
            </w:r>
          </w:p>
          <w:p w14:paraId="5FF66F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202</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年</w:t>
            </w: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月</w:t>
            </w:r>
            <w:r>
              <w:rPr>
                <w:rFonts w:hint="eastAsia" w:cs="Times New Roman"/>
                <w:color w:val="auto"/>
                <w:kern w:val="0"/>
                <w:sz w:val="24"/>
                <w:szCs w:val="24"/>
                <w:highlight w:val="none"/>
                <w:lang w:val="en-US" w:eastAsia="zh-CN"/>
              </w:rPr>
              <w:t>16</w:t>
            </w:r>
            <w:r>
              <w:rPr>
                <w:rFonts w:hint="default" w:ascii="Times New Roman" w:hAnsi="Times New Roman" w:eastAsia="宋体" w:cs="Times New Roman"/>
                <w:color w:val="auto"/>
                <w:kern w:val="0"/>
                <w:sz w:val="24"/>
                <w:szCs w:val="24"/>
                <w:highlight w:val="none"/>
                <w:lang w:val="en-US" w:eastAsia="zh-CN"/>
              </w:rPr>
              <w:t>日</w:t>
            </w:r>
            <w:r>
              <w:rPr>
                <w:rFonts w:hint="eastAsia" w:cs="Times New Roman"/>
                <w:color w:val="auto"/>
                <w:kern w:val="0"/>
                <w:sz w:val="24"/>
                <w:szCs w:val="24"/>
                <w:highlight w:val="none"/>
                <w:lang w:val="en-US" w:eastAsia="zh-CN"/>
              </w:rPr>
              <w:t>，</w:t>
            </w:r>
            <w:r>
              <w:rPr>
                <w:rFonts w:hint="eastAsia" w:cs="Times New Roman"/>
                <w:color w:val="auto"/>
                <w:sz w:val="24"/>
                <w:szCs w:val="24"/>
                <w:highlight w:val="none"/>
                <w:lang w:val="en-US" w:eastAsia="zh-CN"/>
              </w:rPr>
              <w:t>长治市屯留区行政审批服务局</w:t>
            </w:r>
            <w:r>
              <w:rPr>
                <w:rFonts w:hint="eastAsia" w:cs="Times New Roman"/>
                <w:color w:val="auto"/>
                <w:kern w:val="0"/>
                <w:sz w:val="24"/>
                <w:szCs w:val="24"/>
                <w:highlight w:val="none"/>
                <w:lang w:val="en-US" w:eastAsia="zh-CN"/>
              </w:rPr>
              <w:t>对本项目进行了</w:t>
            </w:r>
            <w:r>
              <w:rPr>
                <w:rFonts w:hint="default" w:ascii="Times New Roman" w:hAnsi="Times New Roman" w:eastAsia="宋体" w:cs="Times New Roman"/>
                <w:color w:val="auto"/>
                <w:kern w:val="0"/>
                <w:sz w:val="24"/>
                <w:szCs w:val="24"/>
                <w:highlight w:val="none"/>
                <w:lang w:val="en-US" w:eastAsia="zh-CN"/>
              </w:rPr>
              <w:t>备案，项目代码为2603-140405-89-05-669802</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见附件2</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w:t>
            </w:r>
          </w:p>
          <w:p w14:paraId="398CB1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因此</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本项目</w:t>
            </w:r>
            <w:r>
              <w:rPr>
                <w:rFonts w:hint="eastAsia" w:cs="Times New Roman"/>
                <w:color w:val="auto"/>
                <w:kern w:val="0"/>
                <w:sz w:val="24"/>
                <w:szCs w:val="24"/>
                <w:highlight w:val="none"/>
                <w:lang w:val="en-US" w:eastAsia="zh-CN"/>
              </w:rPr>
              <w:t>建设</w:t>
            </w:r>
            <w:r>
              <w:rPr>
                <w:rFonts w:hint="default" w:ascii="Times New Roman" w:hAnsi="Times New Roman" w:eastAsia="宋体" w:cs="Times New Roman"/>
                <w:color w:val="auto"/>
                <w:kern w:val="0"/>
                <w:sz w:val="24"/>
                <w:szCs w:val="24"/>
                <w:highlight w:val="none"/>
                <w:lang w:val="en-US" w:eastAsia="zh-CN"/>
              </w:rPr>
              <w:t>符合国家和地方产业政策的要求</w:t>
            </w:r>
            <w:r>
              <w:rPr>
                <w:rFonts w:hint="default" w:ascii="Times New Roman" w:hAnsi="Times New Roman" w:eastAsia="宋体" w:cs="Times New Roman"/>
                <w:color w:val="auto"/>
                <w:kern w:val="0"/>
                <w:sz w:val="24"/>
                <w:szCs w:val="24"/>
                <w:highlight w:val="none"/>
                <w:lang w:eastAsia="zh-CN"/>
              </w:rPr>
              <w:t>。</w:t>
            </w:r>
          </w:p>
          <w:p w14:paraId="21ACB9B8">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cs="Times New Roman"/>
                <w:b/>
                <w:bCs/>
                <w:color w:val="auto"/>
                <w:kern w:val="2"/>
                <w:lang w:val="en-US"/>
              </w:rPr>
            </w:pPr>
            <w:r>
              <w:rPr>
                <w:rFonts w:hint="eastAsia"/>
                <w:b/>
                <w:bCs/>
                <w:color w:val="auto"/>
                <w:lang w:val="en-US" w:eastAsia="zh-CN"/>
              </w:rPr>
              <w:t>二、“</w:t>
            </w:r>
            <w:r>
              <w:rPr>
                <w:rFonts w:hint="eastAsia" w:ascii="Times New Roman" w:hAnsi="Times New Roman" w:eastAsia="宋体" w:cs="Times New Roman"/>
                <w:b/>
                <w:bCs/>
                <w:color w:val="auto"/>
                <w:kern w:val="2"/>
                <w:sz w:val="24"/>
                <w:szCs w:val="24"/>
                <w:lang w:val="en-US" w:eastAsia="zh-CN" w:bidi="ar"/>
              </w:rPr>
              <w:t>三线一单</w:t>
            </w:r>
            <w:r>
              <w:rPr>
                <w:rFonts w:hint="eastAsia"/>
                <w:b/>
                <w:bCs/>
                <w:color w:val="auto"/>
                <w:lang w:val="en-US" w:eastAsia="zh-CN"/>
              </w:rPr>
              <w:t>”</w:t>
            </w:r>
            <w:r>
              <w:rPr>
                <w:rFonts w:hint="eastAsia" w:ascii="Times New Roman" w:hAnsi="Times New Roman" w:eastAsia="宋体" w:cs="Times New Roman"/>
                <w:b/>
                <w:bCs/>
                <w:color w:val="auto"/>
                <w:kern w:val="2"/>
                <w:sz w:val="24"/>
                <w:szCs w:val="24"/>
                <w:lang w:val="en-US" w:eastAsia="zh-CN" w:bidi="ar"/>
              </w:rPr>
              <w:t>的控制要求符合性分析</w:t>
            </w:r>
          </w:p>
          <w:p w14:paraId="1B0C5F99">
            <w:pPr>
              <w:pStyle w:val="6"/>
              <w:keepNext/>
              <w:keepLines/>
              <w:pageBreakBefore w:val="0"/>
              <w:widowControl/>
              <w:numPr>
                <w:ilvl w:val="3"/>
                <w:numId w:val="0"/>
              </w:numPr>
              <w:suppressLineNumbers w:val="0"/>
              <w:kinsoku/>
              <w:wordWrap/>
              <w:overflowPunct/>
              <w:topLinePunct w:val="0"/>
              <w:autoSpaceDE/>
              <w:autoSpaceDN/>
              <w:bidi w:val="0"/>
              <w:adjustRightInd/>
              <w:snapToGrid/>
              <w:spacing w:before="0" w:beforeLines="0" w:beforeAutospacing="0" w:after="0" w:afterAutospacing="0" w:line="480" w:lineRule="exact"/>
              <w:ind w:left="0" w:leftChars="0" w:right="0" w:firstLine="482" w:firstLineChars="200"/>
              <w:textAlignment w:val="auto"/>
              <w:rPr>
                <w:rFonts w:hint="eastAsia" w:ascii="宋体" w:hAnsi="宋体" w:eastAsia="宋体" w:cs="宋体"/>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1</w:t>
            </w:r>
            <w:r>
              <w:rPr>
                <w:rFonts w:hint="eastAsia" w:eastAsia="宋体" w:cs="Times New Roman"/>
                <w:b/>
                <w:bCs w:val="0"/>
                <w:color w:val="auto"/>
                <w:sz w:val="24"/>
                <w:szCs w:val="24"/>
                <w:lang w:val="en-US" w:eastAsia="zh-CN"/>
              </w:rPr>
              <w:t>.</w:t>
            </w:r>
            <w:r>
              <w:rPr>
                <w:rFonts w:hint="eastAsia" w:ascii="宋体" w:hAnsi="宋体" w:eastAsia="宋体" w:cs="宋体"/>
                <w:b/>
                <w:bCs w:val="0"/>
                <w:color w:val="auto"/>
                <w:sz w:val="24"/>
                <w:szCs w:val="24"/>
                <w:lang w:val="en-US" w:eastAsia="zh-CN"/>
              </w:rPr>
              <w:t>生态保护红线符合性分析</w:t>
            </w:r>
          </w:p>
          <w:p w14:paraId="516426D8">
            <w:pPr>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eastAsia" w:ascii="Times New Roman" w:hAnsi="Times New Roman" w:eastAsia="宋体" w:cs="宋体"/>
                <w:b w:val="0"/>
                <w:bCs/>
                <w:color w:val="auto"/>
                <w:kern w:val="2"/>
                <w:sz w:val="24"/>
                <w:szCs w:val="24"/>
                <w:lang w:val="en-US" w:eastAsia="zh-CN" w:bidi="ar"/>
              </w:rPr>
            </w:pPr>
            <w:r>
              <w:rPr>
                <w:rFonts w:hint="default" w:hAnsi="宋体"/>
                <w:b w:val="0"/>
                <w:bCs/>
                <w:color w:val="auto"/>
                <w:kern w:val="0"/>
                <w:sz w:val="24"/>
              </w:rPr>
              <w:t>本</w:t>
            </w:r>
            <w:r>
              <w:rPr>
                <w:rFonts w:hint="eastAsia" w:hAnsi="宋体"/>
                <w:b w:val="0"/>
                <w:bCs/>
                <w:color w:val="auto"/>
                <w:kern w:val="0"/>
                <w:sz w:val="24"/>
              </w:rPr>
              <w:t>项目</w:t>
            </w:r>
            <w:r>
              <w:rPr>
                <w:rFonts w:hint="eastAsia"/>
                <w:b w:val="0"/>
                <w:bCs/>
                <w:color w:val="auto"/>
                <w:sz w:val="24"/>
              </w:rPr>
              <w:t>位于</w:t>
            </w:r>
            <w:r>
              <w:rPr>
                <w:rFonts w:hint="eastAsia" w:cs="Times New Roman"/>
                <w:color w:val="auto"/>
                <w:sz w:val="24"/>
                <w:szCs w:val="24"/>
                <w:highlight w:val="none"/>
                <w:lang w:val="en-US" w:eastAsia="zh-CN"/>
              </w:rPr>
              <w:t>长治市屯留区李高乡西酪余村北</w:t>
            </w:r>
            <w:r>
              <w:rPr>
                <w:rFonts w:hint="eastAsia"/>
                <w:b w:val="0"/>
                <w:bCs/>
                <w:color w:val="auto"/>
                <w:sz w:val="24"/>
              </w:rPr>
              <w:t>，</w:t>
            </w:r>
            <w:r>
              <w:rPr>
                <w:rFonts w:hint="default" w:hAnsi="宋体"/>
                <w:b w:val="0"/>
                <w:bCs/>
                <w:color w:val="auto"/>
                <w:kern w:val="0"/>
                <w:sz w:val="24"/>
              </w:rPr>
              <w:t>评价区范围内无自然保护区、风景旅游区、文物保护区及珍稀动物保护区等敏感因素，项目建设符合生态保护红线的要求。</w:t>
            </w:r>
          </w:p>
          <w:p w14:paraId="458E0F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val="0"/>
                <w:color w:val="auto"/>
                <w:kern w:val="0"/>
                <w:sz w:val="24"/>
                <w:szCs w:val="24"/>
                <w:highlight w:val="none"/>
                <w:lang w:val="en-US" w:eastAsia="zh-CN"/>
              </w:rPr>
            </w:pPr>
            <w:r>
              <w:rPr>
                <w:rFonts w:hint="eastAsia" w:cs="Times New Roman"/>
                <w:b/>
                <w:bCs w:val="0"/>
                <w:color w:val="auto"/>
                <w:kern w:val="0"/>
                <w:sz w:val="24"/>
                <w:szCs w:val="24"/>
                <w:highlight w:val="none"/>
                <w:lang w:val="en-US" w:eastAsia="zh-CN"/>
              </w:rPr>
              <w:t>2.环境质量底线符合性分析</w:t>
            </w:r>
          </w:p>
          <w:p w14:paraId="04113D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color w:val="auto"/>
                <w:spacing w:val="4"/>
                <w:sz w:val="24"/>
                <w:szCs w:val="20"/>
                <w:highlight w:val="none"/>
              </w:rPr>
            </w:pPr>
            <w:r>
              <w:rPr>
                <w:rFonts w:hint="eastAsia" w:cs="Times New Roman"/>
                <w:color w:val="auto"/>
                <w:kern w:val="0"/>
                <w:sz w:val="24"/>
                <w:szCs w:val="24"/>
                <w:highlight w:val="none"/>
                <w:lang w:val="en-US" w:eastAsia="zh-CN"/>
              </w:rPr>
              <w:t>环境空气：</w:t>
            </w:r>
            <w:r>
              <w:rPr>
                <w:rFonts w:hint="default" w:ascii="Times New Roman" w:hAnsi="Times New Roman" w:eastAsia="宋体" w:cs="Times New Roman"/>
                <w:color w:val="auto"/>
                <w:kern w:val="0"/>
                <w:sz w:val="24"/>
                <w:szCs w:val="24"/>
                <w:highlight w:val="none"/>
                <w:lang w:eastAsia="zh-CN"/>
              </w:rPr>
              <w:t>本次评价</w:t>
            </w:r>
            <w:r>
              <w:rPr>
                <w:rFonts w:hint="eastAsia" w:ascii="Times New Roman" w:hAnsi="Times New Roman" w:eastAsia="宋体" w:cs="Times New Roman"/>
                <w:color w:val="auto"/>
                <w:kern w:val="0"/>
                <w:sz w:val="24"/>
                <w:szCs w:val="24"/>
                <w:highlight w:val="none"/>
                <w:lang w:val="en-US" w:eastAsia="zh-CN"/>
              </w:rPr>
              <w:t>引用</w:t>
            </w:r>
            <w:r>
              <w:rPr>
                <w:rFonts w:hint="eastAsia" w:ascii="Times New Roman" w:hAnsi="Times New Roman" w:eastAsia="宋体" w:cs="Times New Roman"/>
                <w:color w:val="auto"/>
                <w:kern w:val="0"/>
                <w:sz w:val="24"/>
                <w:szCs w:val="24"/>
                <w:highlight w:val="none"/>
                <w:lang w:eastAsia="zh-CN"/>
              </w:rPr>
              <w:t>了</w:t>
            </w:r>
            <w:r>
              <w:rPr>
                <w:rFonts w:hint="default" w:ascii="Times New Roman" w:hAnsi="Times New Roman" w:eastAsia="宋体" w:cs="Times New Roman"/>
                <w:color w:val="auto"/>
                <w:kern w:val="0"/>
                <w:sz w:val="24"/>
                <w:szCs w:val="24"/>
                <w:highlight w:val="none"/>
                <w:lang w:val="en-US" w:eastAsia="zh-CN"/>
              </w:rPr>
              <w:t>长治市</w:t>
            </w:r>
            <w:r>
              <w:rPr>
                <w:rFonts w:hint="eastAsia" w:cs="Times New Roman"/>
                <w:color w:val="auto"/>
                <w:kern w:val="0"/>
                <w:sz w:val="24"/>
                <w:szCs w:val="24"/>
                <w:highlight w:val="none"/>
                <w:lang w:val="en-US" w:eastAsia="zh-CN"/>
              </w:rPr>
              <w:t>屯留区</w:t>
            </w:r>
            <w:r>
              <w:rPr>
                <w:rFonts w:hint="default" w:ascii="Times New Roman" w:hAnsi="Times New Roman" w:eastAsia="宋体" w:cs="Times New Roman"/>
                <w:color w:val="auto"/>
                <w:kern w:val="0"/>
                <w:sz w:val="24"/>
                <w:szCs w:val="24"/>
                <w:highlight w:val="none"/>
                <w:lang w:val="en-US" w:eastAsia="zh-CN"/>
              </w:rPr>
              <w:t>202</w:t>
            </w: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年</w:t>
            </w:r>
            <w:r>
              <w:rPr>
                <w:rFonts w:hint="default" w:ascii="Times New Roman" w:hAnsi="Times New Roman" w:eastAsia="宋体" w:cs="Times New Roman"/>
                <w:color w:val="auto"/>
                <w:kern w:val="0"/>
                <w:sz w:val="24"/>
                <w:szCs w:val="24"/>
                <w:highlight w:val="none"/>
                <w:lang w:eastAsia="zh-CN"/>
              </w:rPr>
              <w:t>环境空气质量例行监测数据</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cs="Times New Roman"/>
                <w:color w:val="auto"/>
                <w:spacing w:val="4"/>
                <w:sz w:val="24"/>
                <w:highlight w:val="none"/>
                <w:lang w:val="en-US" w:eastAsia="zh-CN"/>
              </w:rPr>
              <w:t>数据显示202</w:t>
            </w:r>
            <w:r>
              <w:rPr>
                <w:rFonts w:hint="eastAsia" w:cs="Times New Roman"/>
                <w:color w:val="auto"/>
                <w:spacing w:val="4"/>
                <w:sz w:val="24"/>
                <w:highlight w:val="none"/>
                <w:lang w:val="en-US" w:eastAsia="zh-CN"/>
              </w:rPr>
              <w:t>5</w:t>
            </w:r>
            <w:r>
              <w:rPr>
                <w:rFonts w:hint="eastAsia" w:ascii="Times New Roman" w:hAnsi="Times New Roman" w:cs="Times New Roman"/>
                <w:color w:val="auto"/>
                <w:spacing w:val="4"/>
                <w:sz w:val="24"/>
                <w:highlight w:val="none"/>
                <w:lang w:val="en-US" w:eastAsia="zh-CN"/>
              </w:rPr>
              <w:t>年</w:t>
            </w:r>
            <w:r>
              <w:rPr>
                <w:rFonts w:hint="eastAsia" w:cs="Times New Roman"/>
                <w:color w:val="auto"/>
                <w:kern w:val="0"/>
                <w:sz w:val="24"/>
                <w:szCs w:val="24"/>
                <w:highlight w:val="none"/>
                <w:lang w:val="en-US" w:eastAsia="zh-CN"/>
              </w:rPr>
              <w:t>屯留区</w:t>
            </w:r>
            <w:r>
              <w:rPr>
                <w:rFonts w:hint="eastAsia" w:ascii="Times New Roman" w:hAnsi="Times New Roman" w:cs="Times New Roman"/>
                <w:color w:val="auto"/>
                <w:spacing w:val="4"/>
                <w:sz w:val="24"/>
                <w:highlight w:val="none"/>
                <w:lang w:val="en-US" w:eastAsia="zh-CN"/>
              </w:rPr>
              <w:t>环境空气质量中</w:t>
            </w:r>
            <w:r>
              <w:rPr>
                <w:rFonts w:hint="default" w:ascii="Times New Roman" w:hAnsi="Times New Roman" w:cs="Times New Roman"/>
                <w:color w:val="auto"/>
                <w:spacing w:val="4"/>
                <w:sz w:val="24"/>
                <w:highlight w:val="none"/>
                <w:lang w:val="en-US" w:eastAsia="zh-CN"/>
              </w:rPr>
              <w:t>SO</w:t>
            </w:r>
            <w:r>
              <w:rPr>
                <w:rFonts w:hint="default" w:ascii="Times New Roman" w:hAnsi="Times New Roman" w:cs="Times New Roman"/>
                <w:color w:val="auto"/>
                <w:spacing w:val="4"/>
                <w:sz w:val="24"/>
                <w:highlight w:val="none"/>
                <w:vertAlign w:val="subscript"/>
                <w:lang w:val="en-US" w:eastAsia="zh-CN"/>
              </w:rPr>
              <w:t>2</w:t>
            </w:r>
            <w:r>
              <w:rPr>
                <w:rFonts w:hint="eastAsia" w:ascii="Times New Roman" w:hAnsi="Times New Roman" w:cs="Times New Roman"/>
                <w:color w:val="auto"/>
                <w:spacing w:val="4"/>
                <w:sz w:val="24"/>
                <w:highlight w:val="none"/>
                <w:lang w:val="en-US" w:eastAsia="zh-CN"/>
              </w:rPr>
              <w:t>、</w:t>
            </w:r>
            <w:r>
              <w:rPr>
                <w:rFonts w:hint="default" w:ascii="Times New Roman" w:hAnsi="Times New Roman" w:cs="Times New Roman"/>
                <w:color w:val="auto"/>
                <w:spacing w:val="4"/>
                <w:sz w:val="24"/>
                <w:highlight w:val="none"/>
                <w:lang w:val="en-US" w:eastAsia="zh-CN"/>
              </w:rPr>
              <w:t>NO</w:t>
            </w:r>
            <w:r>
              <w:rPr>
                <w:rFonts w:hint="default" w:ascii="Times New Roman" w:hAnsi="Times New Roman" w:cs="Times New Roman"/>
                <w:color w:val="auto"/>
                <w:spacing w:val="4"/>
                <w:sz w:val="24"/>
                <w:highlight w:val="none"/>
                <w:vertAlign w:val="subscript"/>
                <w:lang w:val="en-US" w:eastAsia="zh-CN"/>
              </w:rPr>
              <w:t>2</w:t>
            </w:r>
            <w:r>
              <w:rPr>
                <w:rFonts w:hint="eastAsia" w:ascii="Times New Roman" w:hAnsi="Times New Roman" w:cs="Times New Roman"/>
                <w:color w:val="auto"/>
                <w:spacing w:val="4"/>
                <w:sz w:val="24"/>
                <w:highlight w:val="none"/>
                <w:lang w:val="en-US" w:eastAsia="zh-CN"/>
              </w:rPr>
              <w:t>、</w:t>
            </w:r>
            <w:r>
              <w:rPr>
                <w:rFonts w:hint="default" w:ascii="Times New Roman" w:hAnsi="Times New Roman" w:cs="Times New Roman"/>
                <w:color w:val="auto"/>
                <w:spacing w:val="4"/>
                <w:sz w:val="24"/>
                <w:highlight w:val="none"/>
                <w:lang w:val="en-US" w:eastAsia="zh-CN"/>
              </w:rPr>
              <w:t>PM</w:t>
            </w:r>
            <w:r>
              <w:rPr>
                <w:rFonts w:hint="default" w:ascii="Times New Roman" w:hAnsi="Times New Roman" w:cs="Times New Roman"/>
                <w:color w:val="auto"/>
                <w:spacing w:val="4"/>
                <w:sz w:val="24"/>
                <w:highlight w:val="none"/>
                <w:vertAlign w:val="subscript"/>
                <w:lang w:val="en-US" w:eastAsia="zh-CN"/>
              </w:rPr>
              <w:t>10</w:t>
            </w:r>
            <w:r>
              <w:rPr>
                <w:rFonts w:hint="eastAsia" w:ascii="Times New Roman" w:hAnsi="Times New Roman" w:cs="Times New Roman"/>
                <w:color w:val="auto"/>
                <w:spacing w:val="4"/>
                <w:sz w:val="24"/>
                <w:highlight w:val="none"/>
                <w:lang w:val="en-US" w:eastAsia="zh-CN"/>
              </w:rPr>
              <w:t>、</w:t>
            </w:r>
            <w:r>
              <w:rPr>
                <w:rFonts w:hint="default" w:ascii="Times New Roman" w:hAnsi="Times New Roman" w:cs="Times New Roman"/>
                <w:color w:val="auto"/>
                <w:spacing w:val="4"/>
                <w:sz w:val="24"/>
                <w:highlight w:val="none"/>
                <w:lang w:val="en-US" w:eastAsia="zh-CN"/>
              </w:rPr>
              <w:t>PM</w:t>
            </w:r>
            <w:r>
              <w:rPr>
                <w:rFonts w:hint="default" w:ascii="Times New Roman" w:hAnsi="Times New Roman" w:cs="Times New Roman"/>
                <w:color w:val="auto"/>
                <w:spacing w:val="4"/>
                <w:sz w:val="24"/>
                <w:highlight w:val="none"/>
                <w:vertAlign w:val="subscript"/>
                <w:lang w:val="en-US" w:eastAsia="zh-CN"/>
              </w:rPr>
              <w:t>2.5</w:t>
            </w:r>
            <w:r>
              <w:rPr>
                <w:rFonts w:hint="eastAsia" w:ascii="Times New Roman" w:hAnsi="Times New Roman" w:cs="Times New Roman"/>
                <w:color w:val="auto"/>
                <w:spacing w:val="4"/>
                <w:sz w:val="24"/>
                <w:highlight w:val="none"/>
                <w:lang w:val="en-US" w:eastAsia="zh-CN"/>
              </w:rPr>
              <w:t>、</w:t>
            </w:r>
            <w:r>
              <w:rPr>
                <w:rFonts w:hint="default" w:ascii="Times New Roman" w:hAnsi="Times New Roman" w:cs="Times New Roman"/>
                <w:color w:val="auto"/>
                <w:spacing w:val="4"/>
                <w:sz w:val="24"/>
                <w:highlight w:val="none"/>
                <w:lang w:val="en-US" w:eastAsia="zh-CN"/>
              </w:rPr>
              <w:t>CO</w:t>
            </w:r>
            <w:r>
              <w:rPr>
                <w:rFonts w:hint="eastAsia" w:ascii="Times New Roman" w:hAnsi="Times New Roman" w:cs="Times New Roman"/>
                <w:color w:val="auto"/>
                <w:spacing w:val="4"/>
                <w:sz w:val="24"/>
                <w:highlight w:val="none"/>
                <w:lang w:val="en-US" w:eastAsia="zh-CN"/>
              </w:rPr>
              <w:t>排放浓度均满足</w:t>
            </w:r>
            <w:r>
              <w:rPr>
                <w:rFonts w:hint="eastAsia" w:ascii="Times New Roman" w:hAnsi="Times New Roman" w:eastAsia="宋体" w:cs="Times New Roman"/>
                <w:b w:val="0"/>
                <w:bCs/>
                <w:color w:val="auto"/>
                <w:sz w:val="24"/>
                <w:szCs w:val="24"/>
                <w:highlight w:val="none"/>
                <w:lang w:val="en-US" w:eastAsia="zh-CN"/>
              </w:rPr>
              <w:t>《环境空气质量标准》（GB3095-2012）二级标准限值要求</w:t>
            </w:r>
            <w:r>
              <w:rPr>
                <w:rFonts w:hint="eastAsia" w:ascii="Times New Roman" w:hAnsi="Times New Roman" w:cs="Times New Roman"/>
                <w:color w:val="auto"/>
                <w:spacing w:val="4"/>
                <w:sz w:val="24"/>
                <w:highlight w:val="none"/>
                <w:lang w:val="en-US" w:eastAsia="zh-CN"/>
              </w:rPr>
              <w:t>，仅</w:t>
            </w:r>
            <w:r>
              <w:rPr>
                <w:rFonts w:hint="default" w:ascii="Times New Roman" w:hAnsi="Times New Roman" w:cs="Times New Roman"/>
                <w:color w:val="auto"/>
                <w:spacing w:val="4"/>
                <w:sz w:val="24"/>
                <w:highlight w:val="none"/>
                <w:lang w:val="en-US" w:eastAsia="zh-CN"/>
              </w:rPr>
              <w:t>O</w:t>
            </w:r>
            <w:r>
              <w:rPr>
                <w:rFonts w:hint="default" w:ascii="Times New Roman" w:hAnsi="Times New Roman" w:cs="Times New Roman"/>
                <w:color w:val="auto"/>
                <w:spacing w:val="4"/>
                <w:sz w:val="24"/>
                <w:highlight w:val="none"/>
                <w:vertAlign w:val="subscript"/>
                <w:lang w:val="en-US" w:eastAsia="zh-CN"/>
              </w:rPr>
              <w:t>3</w:t>
            </w:r>
            <w:r>
              <w:rPr>
                <w:rFonts w:hint="default" w:ascii="Times New Roman" w:hAnsi="Times New Roman" w:cs="Times New Roman"/>
                <w:color w:val="auto"/>
                <w:spacing w:val="4"/>
                <w:sz w:val="24"/>
                <w:highlight w:val="none"/>
                <w:lang w:val="en-US" w:eastAsia="zh-CN"/>
              </w:rPr>
              <w:t>超标，</w:t>
            </w:r>
            <w:r>
              <w:rPr>
                <w:rFonts w:hint="eastAsia" w:cs="Times New Roman"/>
                <w:color w:val="auto"/>
                <w:spacing w:val="4"/>
                <w:sz w:val="24"/>
                <w:highlight w:val="none"/>
                <w:lang w:val="en-US" w:eastAsia="zh-CN"/>
              </w:rPr>
              <w:t>屯留区</w:t>
            </w:r>
            <w:r>
              <w:rPr>
                <w:rFonts w:hint="default" w:ascii="Times New Roman" w:hAnsi="Times New Roman" w:cs="Times New Roman"/>
                <w:color w:val="auto"/>
                <w:spacing w:val="4"/>
                <w:sz w:val="24"/>
                <w:highlight w:val="none"/>
                <w:lang w:val="en-US" w:eastAsia="zh-CN"/>
              </w:rPr>
              <w:t>环境空气质量属于不达标区。</w:t>
            </w:r>
          </w:p>
          <w:p w14:paraId="125450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96" w:firstLineChars="200"/>
              <w:jc w:val="both"/>
              <w:textAlignment w:val="auto"/>
              <w:rPr>
                <w:rFonts w:hint="default" w:ascii="Times New Roman" w:hAnsi="Times New Roman" w:eastAsia="宋体" w:cs="Times New Roman"/>
                <w:color w:val="auto"/>
                <w:spacing w:val="4"/>
                <w:sz w:val="24"/>
                <w:highlight w:val="none"/>
                <w:lang w:val="en-US" w:eastAsia="zh-CN"/>
              </w:rPr>
            </w:pPr>
            <w:r>
              <w:rPr>
                <w:rFonts w:hint="eastAsia" w:ascii="Times New Roman" w:hAnsi="Times New Roman" w:eastAsia="宋体" w:cs="Times New Roman"/>
                <w:color w:val="auto"/>
                <w:spacing w:val="4"/>
                <w:sz w:val="24"/>
                <w:highlight w:val="none"/>
                <w:lang w:val="en-US" w:eastAsia="zh-CN"/>
              </w:rPr>
              <w:t>同时，</w:t>
            </w:r>
            <w:r>
              <w:rPr>
                <w:rFonts w:hint="default" w:ascii="Times New Roman" w:hAnsi="Times New Roman" w:eastAsia="宋体" w:cs="Times New Roman"/>
                <w:color w:val="auto"/>
                <w:spacing w:val="4"/>
                <w:sz w:val="24"/>
                <w:highlight w:val="none"/>
                <w:lang w:val="en-US" w:eastAsia="zh-CN"/>
              </w:rPr>
              <w:t>本次评价引用</w:t>
            </w:r>
            <w:r>
              <w:rPr>
                <w:rFonts w:hint="eastAsia" w:ascii="Times New Roman" w:hAnsi="Times New Roman" w:eastAsia="宋体" w:cs="Times New Roman"/>
                <w:color w:val="auto"/>
                <w:spacing w:val="4"/>
                <w:sz w:val="24"/>
                <w:highlight w:val="none"/>
                <w:lang w:val="en-US" w:eastAsia="zh-CN"/>
              </w:rPr>
              <w:t>了《古城煤矿新建储煤场项目环境</w:t>
            </w:r>
            <w:r>
              <w:rPr>
                <w:rFonts w:hint="eastAsia" w:cs="Times New Roman"/>
                <w:color w:val="auto"/>
                <w:spacing w:val="4"/>
                <w:sz w:val="24"/>
                <w:highlight w:val="none"/>
                <w:lang w:val="en-US" w:eastAsia="zh-CN"/>
              </w:rPr>
              <w:t>质量</w:t>
            </w:r>
            <w:r>
              <w:rPr>
                <w:rFonts w:hint="eastAsia" w:ascii="Times New Roman" w:hAnsi="Times New Roman" w:eastAsia="宋体" w:cs="Times New Roman"/>
                <w:color w:val="auto"/>
                <w:spacing w:val="4"/>
                <w:sz w:val="24"/>
                <w:highlight w:val="none"/>
                <w:lang w:val="en-US" w:eastAsia="zh-CN"/>
              </w:rPr>
              <w:t>现状监测</w:t>
            </w:r>
            <w:r>
              <w:rPr>
                <w:rFonts w:hint="eastAsia" w:cs="Times New Roman"/>
                <w:color w:val="auto"/>
                <w:spacing w:val="4"/>
                <w:sz w:val="24"/>
                <w:highlight w:val="none"/>
                <w:lang w:val="en-US" w:eastAsia="zh-CN"/>
              </w:rPr>
              <w:t>》（</w:t>
            </w:r>
            <w:r>
              <w:rPr>
                <w:rFonts w:hint="eastAsia" w:ascii="Times New Roman" w:hAnsi="Times New Roman" w:eastAsia="宋体" w:cs="Times New Roman"/>
                <w:color w:val="auto"/>
                <w:spacing w:val="4"/>
                <w:sz w:val="24"/>
                <w:highlight w:val="none"/>
                <w:lang w:val="en-US" w:eastAsia="zh-CN"/>
              </w:rPr>
              <w:t>报告编号为：</w:t>
            </w:r>
            <w:r>
              <w:rPr>
                <w:rFonts w:hint="eastAsia" w:cs="Times New Roman"/>
                <w:color w:val="auto"/>
                <w:spacing w:val="4"/>
                <w:sz w:val="24"/>
                <w:highlight w:val="none"/>
                <w:lang w:val="en-US" w:eastAsia="zh-CN"/>
              </w:rPr>
              <w:t>QT-H-202511117）</w:t>
            </w:r>
            <w:r>
              <w:rPr>
                <w:rFonts w:hint="default" w:ascii="Times New Roman" w:hAnsi="Times New Roman" w:eastAsia="宋体" w:cs="Times New Roman"/>
                <w:color w:val="auto"/>
                <w:spacing w:val="4"/>
                <w:sz w:val="24"/>
                <w:highlight w:val="none"/>
                <w:lang w:val="en-US" w:eastAsia="zh-CN"/>
              </w:rPr>
              <w:t>中</w:t>
            </w:r>
            <w:r>
              <w:rPr>
                <w:rFonts w:hint="eastAsia" w:cs="Times New Roman"/>
                <w:color w:val="auto"/>
                <w:spacing w:val="4"/>
                <w:sz w:val="24"/>
                <w:highlight w:val="none"/>
                <w:lang w:val="en-US" w:eastAsia="zh-CN"/>
              </w:rPr>
              <w:t>大气</w:t>
            </w:r>
            <w:r>
              <w:rPr>
                <w:rFonts w:hint="default" w:ascii="Times New Roman" w:hAnsi="Times New Roman" w:eastAsia="宋体" w:cs="Times New Roman"/>
                <w:color w:val="auto"/>
                <w:spacing w:val="4"/>
                <w:sz w:val="24"/>
                <w:highlight w:val="none"/>
                <w:lang w:val="en-US" w:eastAsia="zh-CN"/>
              </w:rPr>
              <w:t>环境质量监测数据，监测点位为</w:t>
            </w:r>
            <w:r>
              <w:rPr>
                <w:rFonts w:hint="eastAsia" w:cs="Times New Roman"/>
                <w:color w:val="auto"/>
                <w:spacing w:val="4"/>
                <w:sz w:val="24"/>
                <w:highlight w:val="none"/>
                <w:lang w:val="en-US" w:eastAsia="zh-CN"/>
              </w:rPr>
              <w:t>元宝心村</w:t>
            </w:r>
            <w:r>
              <w:rPr>
                <w:rFonts w:hint="default" w:ascii="Times New Roman" w:hAnsi="Times New Roman" w:eastAsia="宋体" w:cs="Times New Roman"/>
                <w:color w:val="auto"/>
                <w:spacing w:val="4"/>
                <w:sz w:val="24"/>
                <w:highlight w:val="none"/>
                <w:lang w:val="en-US" w:eastAsia="zh-CN"/>
              </w:rPr>
              <w:t>，</w:t>
            </w:r>
            <w:r>
              <w:rPr>
                <w:rFonts w:hint="eastAsia" w:cs="Times New Roman"/>
                <w:color w:val="auto"/>
                <w:spacing w:val="4"/>
                <w:sz w:val="24"/>
                <w:highlight w:val="none"/>
                <w:lang w:val="en-US" w:eastAsia="zh-CN"/>
              </w:rPr>
              <w:t>位于本项目西北侧约4.0km，</w:t>
            </w:r>
            <w:r>
              <w:rPr>
                <w:rFonts w:hint="default" w:ascii="Times New Roman" w:hAnsi="Times New Roman" w:eastAsia="宋体" w:cs="Times New Roman"/>
                <w:color w:val="auto"/>
                <w:spacing w:val="4"/>
                <w:sz w:val="24"/>
                <w:highlight w:val="none"/>
                <w:lang w:val="en-US" w:eastAsia="zh-CN"/>
              </w:rPr>
              <w:t>监测时间为202</w:t>
            </w:r>
            <w:r>
              <w:rPr>
                <w:rFonts w:hint="eastAsia" w:cs="Times New Roman"/>
                <w:color w:val="auto"/>
                <w:spacing w:val="4"/>
                <w:sz w:val="24"/>
                <w:highlight w:val="none"/>
                <w:lang w:val="en-US" w:eastAsia="zh-CN"/>
              </w:rPr>
              <w:t>5</w:t>
            </w:r>
            <w:r>
              <w:rPr>
                <w:rFonts w:hint="default" w:ascii="Times New Roman" w:hAnsi="Times New Roman" w:eastAsia="宋体" w:cs="Times New Roman"/>
                <w:color w:val="auto"/>
                <w:spacing w:val="4"/>
                <w:sz w:val="24"/>
                <w:highlight w:val="none"/>
                <w:lang w:val="en-US" w:eastAsia="zh-CN"/>
              </w:rPr>
              <w:t>年</w:t>
            </w:r>
            <w:r>
              <w:rPr>
                <w:rFonts w:hint="eastAsia" w:cs="Times New Roman"/>
                <w:color w:val="auto"/>
                <w:spacing w:val="4"/>
                <w:sz w:val="24"/>
                <w:highlight w:val="none"/>
                <w:lang w:val="en-US" w:eastAsia="zh-CN"/>
              </w:rPr>
              <w:t>11</w:t>
            </w:r>
            <w:r>
              <w:rPr>
                <w:rFonts w:hint="default" w:ascii="Times New Roman" w:hAnsi="Times New Roman" w:eastAsia="宋体" w:cs="Times New Roman"/>
                <w:color w:val="auto"/>
                <w:spacing w:val="4"/>
                <w:sz w:val="24"/>
                <w:highlight w:val="none"/>
                <w:lang w:val="en-US" w:eastAsia="zh-CN"/>
              </w:rPr>
              <w:t>月</w:t>
            </w:r>
            <w:r>
              <w:rPr>
                <w:rFonts w:hint="eastAsia" w:cs="Times New Roman"/>
                <w:color w:val="auto"/>
                <w:spacing w:val="4"/>
                <w:sz w:val="24"/>
                <w:highlight w:val="none"/>
                <w:lang w:val="en-US" w:eastAsia="zh-CN"/>
              </w:rPr>
              <w:t>15</w:t>
            </w:r>
            <w:r>
              <w:rPr>
                <w:rFonts w:hint="default" w:ascii="Times New Roman" w:hAnsi="Times New Roman" w:eastAsia="宋体" w:cs="Times New Roman"/>
                <w:color w:val="auto"/>
                <w:spacing w:val="4"/>
                <w:sz w:val="24"/>
                <w:highlight w:val="none"/>
                <w:lang w:val="en-US" w:eastAsia="zh-CN"/>
              </w:rPr>
              <w:t>日-</w:t>
            </w:r>
            <w:r>
              <w:rPr>
                <w:rFonts w:hint="eastAsia" w:cs="Times New Roman"/>
                <w:color w:val="auto"/>
                <w:spacing w:val="4"/>
                <w:sz w:val="24"/>
                <w:highlight w:val="none"/>
                <w:lang w:val="en-US" w:eastAsia="zh-CN"/>
              </w:rPr>
              <w:t>18</w:t>
            </w:r>
            <w:r>
              <w:rPr>
                <w:rFonts w:hint="default" w:ascii="Times New Roman" w:hAnsi="Times New Roman" w:eastAsia="宋体" w:cs="Times New Roman"/>
                <w:color w:val="auto"/>
                <w:spacing w:val="4"/>
                <w:sz w:val="24"/>
                <w:highlight w:val="none"/>
                <w:lang w:val="en-US" w:eastAsia="zh-CN"/>
              </w:rPr>
              <w:t>日</w:t>
            </w:r>
            <w:r>
              <w:rPr>
                <w:rFonts w:hint="eastAsia" w:ascii="Times New Roman" w:hAnsi="Times New Roman" w:eastAsia="宋体" w:cs="Times New Roman"/>
                <w:color w:val="auto"/>
                <w:spacing w:val="4"/>
                <w:sz w:val="24"/>
                <w:highlight w:val="none"/>
                <w:lang w:val="en-US" w:eastAsia="zh-CN"/>
              </w:rPr>
              <w:t>。</w:t>
            </w:r>
            <w:r>
              <w:rPr>
                <w:rFonts w:hint="default" w:ascii="Times New Roman" w:hAnsi="Times New Roman" w:eastAsia="宋体" w:cs="Times New Roman"/>
                <w:color w:val="auto"/>
                <w:spacing w:val="4"/>
                <w:sz w:val="24"/>
                <w:highlight w:val="none"/>
                <w:lang w:val="en-US" w:eastAsia="zh-CN"/>
              </w:rPr>
              <w:t>监测结果表明</w:t>
            </w:r>
            <w:r>
              <w:rPr>
                <w:rFonts w:hint="eastAsia" w:ascii="Times New Roman" w:hAnsi="Times New Roman" w:eastAsia="宋体" w:cs="Times New Roman"/>
                <w:color w:val="auto"/>
                <w:spacing w:val="4"/>
                <w:sz w:val="24"/>
                <w:highlight w:val="none"/>
                <w:lang w:val="en-US" w:eastAsia="zh-CN"/>
              </w:rPr>
              <w:t>，</w:t>
            </w:r>
            <w:r>
              <w:rPr>
                <w:rFonts w:hint="eastAsia" w:cs="Times New Roman"/>
                <w:color w:val="auto"/>
                <w:spacing w:val="4"/>
                <w:sz w:val="24"/>
                <w:highlight w:val="none"/>
                <w:lang w:val="en-US" w:eastAsia="zh-CN"/>
              </w:rPr>
              <w:t>元宝心村</w:t>
            </w:r>
            <w:r>
              <w:rPr>
                <w:rFonts w:hint="default" w:ascii="Times New Roman" w:hAnsi="Times New Roman" w:eastAsia="宋体" w:cs="Times New Roman"/>
                <w:color w:val="auto"/>
                <w:spacing w:val="4"/>
                <w:sz w:val="24"/>
                <w:highlight w:val="none"/>
                <w:lang w:val="en-US" w:eastAsia="zh-CN"/>
              </w:rPr>
              <w:t>环境空气质量现状TSP日均浓度均能满足《环境空气质量标准》（GB3095-20</w:t>
            </w:r>
            <w:r>
              <w:rPr>
                <w:rFonts w:hint="eastAsia" w:cs="Times New Roman"/>
                <w:color w:val="auto"/>
                <w:spacing w:val="4"/>
                <w:sz w:val="24"/>
                <w:highlight w:val="none"/>
                <w:lang w:val="en-US" w:eastAsia="zh-CN"/>
              </w:rPr>
              <w:t>26</w:t>
            </w:r>
            <w:r>
              <w:rPr>
                <w:rFonts w:hint="default" w:ascii="Times New Roman" w:hAnsi="Times New Roman" w:eastAsia="宋体" w:cs="Times New Roman"/>
                <w:color w:val="auto"/>
                <w:spacing w:val="4"/>
                <w:sz w:val="24"/>
                <w:highlight w:val="none"/>
                <w:lang w:val="en-US" w:eastAsia="zh-CN"/>
              </w:rPr>
              <w:t>）二级标准限值要求。</w:t>
            </w:r>
          </w:p>
          <w:p w14:paraId="6CAEB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default" w:ascii="Times New Roman" w:hAnsi="Times New Roman" w:eastAsia="宋体" w:cs="Times New Roman"/>
                <w:color w:val="auto"/>
                <w:spacing w:val="4"/>
                <w:sz w:val="24"/>
                <w:highlight w:val="none"/>
                <w:lang w:val="en-US" w:eastAsia="zh-CN"/>
              </w:rPr>
            </w:pPr>
            <w:r>
              <w:rPr>
                <w:rFonts w:hint="eastAsia" w:cs="Times New Roman"/>
                <w:color w:val="auto"/>
                <w:spacing w:val="4"/>
                <w:sz w:val="24"/>
                <w:szCs w:val="24"/>
                <w:highlight w:val="none"/>
                <w:lang w:val="en-US" w:eastAsia="zh-CN"/>
              </w:rPr>
              <w:t>声环境：</w:t>
            </w:r>
            <w:r>
              <w:rPr>
                <w:rFonts w:hint="eastAsia" w:ascii="Times New Roman" w:hAnsi="Times New Roman" w:eastAsia="宋体" w:cs="Times New Roman"/>
                <w:color w:val="auto"/>
                <w:kern w:val="2"/>
                <w:sz w:val="24"/>
                <w:szCs w:val="24"/>
                <w:highlight w:val="none"/>
                <w:lang w:val="en-US" w:eastAsia="zh-CN" w:bidi="ar"/>
              </w:rPr>
              <w:t>本项目厂界外</w:t>
            </w:r>
            <w:r>
              <w:rPr>
                <w:rFonts w:hint="default" w:ascii="Times New Roman" w:hAnsi="Times New Roman" w:eastAsia="宋体" w:cs="Times New Roman"/>
                <w:color w:val="auto"/>
                <w:kern w:val="2"/>
                <w:sz w:val="24"/>
                <w:szCs w:val="24"/>
                <w:highlight w:val="none"/>
                <w:lang w:val="en-US" w:eastAsia="zh-CN" w:bidi="ar"/>
              </w:rPr>
              <w:t>50m</w:t>
            </w:r>
            <w:r>
              <w:rPr>
                <w:rFonts w:hint="eastAsia" w:ascii="Times New Roman" w:hAnsi="Times New Roman" w:eastAsia="宋体" w:cs="Times New Roman"/>
                <w:color w:val="auto"/>
                <w:kern w:val="2"/>
                <w:sz w:val="24"/>
                <w:szCs w:val="24"/>
                <w:highlight w:val="none"/>
                <w:lang w:val="en-US" w:eastAsia="zh-CN" w:bidi="ar"/>
              </w:rPr>
              <w:t>范围内</w:t>
            </w:r>
            <w:r>
              <w:rPr>
                <w:rFonts w:hint="eastAsia" w:cs="Times New Roman"/>
                <w:color w:val="auto"/>
                <w:kern w:val="2"/>
                <w:sz w:val="24"/>
                <w:szCs w:val="24"/>
                <w:highlight w:val="none"/>
                <w:lang w:val="en-US" w:eastAsia="zh-CN" w:bidi="ar"/>
              </w:rPr>
              <w:t>无</w:t>
            </w:r>
            <w:r>
              <w:rPr>
                <w:rFonts w:hint="eastAsia" w:ascii="Times New Roman" w:hAnsi="Times New Roman" w:eastAsia="宋体" w:cs="Times New Roman"/>
                <w:color w:val="auto"/>
                <w:kern w:val="2"/>
                <w:sz w:val="24"/>
                <w:szCs w:val="24"/>
                <w:highlight w:val="none"/>
                <w:lang w:val="en-US" w:eastAsia="zh-CN" w:bidi="ar"/>
              </w:rPr>
              <w:t>声环境敏感点</w:t>
            </w:r>
            <w:r>
              <w:rPr>
                <w:rFonts w:hint="eastAsia" w:cs="Times New Roman"/>
                <w:color w:val="auto"/>
                <w:kern w:val="2"/>
                <w:sz w:val="24"/>
                <w:szCs w:val="24"/>
                <w:highlight w:val="none"/>
                <w:lang w:val="en-US" w:eastAsia="zh-CN" w:bidi="ar"/>
              </w:rPr>
              <w:t>。距离本项目最近的村庄为厂址西南侧362m处的西酪余村。</w:t>
            </w:r>
          </w:p>
          <w:p w14:paraId="43F5F24A">
            <w:pPr>
              <w:pStyle w:val="6"/>
              <w:keepNext/>
              <w:keepLines/>
              <w:pageBreakBefore w:val="0"/>
              <w:widowControl/>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96" w:firstLineChars="200"/>
              <w:textAlignment w:val="auto"/>
              <w:rPr>
                <w:rFonts w:hint="eastAsia" w:eastAsia="宋体" w:cs="Times New Roman"/>
                <w:color w:val="auto"/>
                <w:spacing w:val="4"/>
                <w:sz w:val="24"/>
                <w:szCs w:val="24"/>
                <w:highlight w:val="none"/>
                <w:lang w:val="en-US" w:eastAsia="zh-CN"/>
              </w:rPr>
            </w:pPr>
            <w:r>
              <w:rPr>
                <w:rFonts w:hint="eastAsia" w:eastAsia="宋体" w:cs="Times New Roman"/>
                <w:color w:val="auto"/>
                <w:spacing w:val="4"/>
                <w:sz w:val="24"/>
                <w:szCs w:val="24"/>
                <w:highlight w:val="none"/>
                <w:lang w:val="en-US" w:eastAsia="zh-CN"/>
              </w:rPr>
              <w:t>地表水：距离本项目最近地表水为北侧约4.0km的绛河。根据《山西省地表水水环境功能区划》（DB14/67-2019），绛河位于“屯绛水库-入南源”段，距本项目距离最近断面为司徒桥监测断面，该断面水环境功能为工农业用水保护，执行《地表水环境质量标准》（GB3838-2002）Ⅲ类标准。</w:t>
            </w:r>
          </w:p>
          <w:p w14:paraId="198A4DF5">
            <w:pPr>
              <w:pStyle w:val="6"/>
              <w:keepNext/>
              <w:keepLines/>
              <w:pageBreakBefore w:val="0"/>
              <w:widowControl/>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根据《202</w:t>
            </w:r>
            <w:r>
              <w:rPr>
                <w:rFonts w:hint="eastAsia" w:eastAsia="宋体" w:cs="Times New Roman"/>
                <w:b w:val="0"/>
                <w:bCs w:val="0"/>
                <w:color w:val="auto"/>
                <w:kern w:val="2"/>
                <w:sz w:val="24"/>
                <w:szCs w:val="24"/>
                <w:highlight w:val="none"/>
                <w:lang w:val="en-US" w:eastAsia="zh-CN" w:bidi="ar-SA"/>
              </w:rPr>
              <w:t>5</w:t>
            </w:r>
            <w:r>
              <w:rPr>
                <w:rFonts w:hint="eastAsia" w:ascii="Times New Roman" w:hAnsi="Times New Roman" w:eastAsia="宋体" w:cs="Times New Roman"/>
                <w:b w:val="0"/>
                <w:bCs w:val="0"/>
                <w:color w:val="auto"/>
                <w:kern w:val="2"/>
                <w:sz w:val="24"/>
                <w:szCs w:val="24"/>
                <w:highlight w:val="none"/>
                <w:lang w:val="en-US" w:eastAsia="zh-CN" w:bidi="ar-SA"/>
              </w:rPr>
              <w:t>年1-12月份及12月地表水断面水质状况表》可知</w:t>
            </w:r>
            <w:r>
              <w:rPr>
                <w:rFonts w:hint="default" w:ascii="Times New Roman" w:hAnsi="Times New Roman" w:eastAsia="宋体" w:cs="Times New Roman"/>
                <w:b w:val="0"/>
                <w:bCs w:val="0"/>
                <w:color w:val="auto"/>
                <w:kern w:val="2"/>
                <w:sz w:val="24"/>
                <w:szCs w:val="24"/>
                <w:highlight w:val="none"/>
                <w:lang w:val="en-US" w:eastAsia="zh-CN" w:bidi="ar-SA"/>
              </w:rPr>
              <w:t>，202</w:t>
            </w:r>
            <w:r>
              <w:rPr>
                <w:rFonts w:hint="eastAsia" w:eastAsia="宋体" w:cs="Times New Roman"/>
                <w:b w:val="0"/>
                <w:bCs w:val="0"/>
                <w:color w:val="auto"/>
                <w:kern w:val="2"/>
                <w:sz w:val="24"/>
                <w:szCs w:val="24"/>
                <w:highlight w:val="none"/>
                <w:lang w:val="en-US" w:eastAsia="zh-CN" w:bidi="ar-SA"/>
              </w:rPr>
              <w:t>5</w:t>
            </w:r>
            <w:r>
              <w:rPr>
                <w:rFonts w:hint="default" w:ascii="Times New Roman" w:hAnsi="Times New Roman" w:eastAsia="宋体" w:cs="Times New Roman"/>
                <w:b w:val="0"/>
                <w:bCs w:val="0"/>
                <w:color w:val="auto"/>
                <w:kern w:val="2"/>
                <w:sz w:val="24"/>
                <w:szCs w:val="24"/>
                <w:highlight w:val="none"/>
                <w:lang w:val="en-US" w:eastAsia="zh-CN" w:bidi="ar-SA"/>
              </w:rPr>
              <w:t>年司徒桥监测断面</w:t>
            </w:r>
            <w:r>
              <w:rPr>
                <w:rFonts w:hint="default" w:ascii="Times New Roman" w:hAnsi="Times New Roman" w:eastAsia="宋体" w:cs="Times New Roman"/>
                <w:b w:val="0"/>
                <w:bCs w:val="0"/>
                <w:color w:val="auto"/>
                <w:sz w:val="24"/>
                <w:szCs w:val="24"/>
                <w:highlight w:val="none"/>
                <w:lang w:val="en-US" w:eastAsia="zh-CN"/>
              </w:rPr>
              <w:t>1-12月水质类别为</w:t>
            </w:r>
            <w:r>
              <w:rPr>
                <w:rFonts w:hint="default" w:ascii="Times New Roman" w:hAnsi="Times New Roman" w:eastAsia="宋体" w:cs="Times New Roman"/>
                <w:b w:val="0"/>
                <w:bCs w:val="0"/>
                <w:color w:val="auto"/>
                <w:kern w:val="2"/>
                <w:sz w:val="24"/>
                <w:szCs w:val="24"/>
                <w:highlight w:val="none"/>
                <w:lang w:val="en-US" w:eastAsia="zh-CN" w:bidi="ar-SA"/>
              </w:rPr>
              <w:t>Ⅲ类，</w:t>
            </w:r>
            <w:r>
              <w:rPr>
                <w:rFonts w:hint="eastAsia" w:ascii="Times New Roman" w:hAnsi="Times New Roman" w:eastAsia="宋体" w:cs="Times New Roman"/>
                <w:b w:val="0"/>
                <w:bCs w:val="0"/>
                <w:color w:val="auto"/>
                <w:kern w:val="2"/>
                <w:sz w:val="24"/>
                <w:szCs w:val="24"/>
                <w:highlight w:val="none"/>
                <w:lang w:val="en-US" w:eastAsia="zh-CN" w:bidi="ar-SA"/>
              </w:rPr>
              <w:t>满足《地表水环境质量标准》（GB3838-2002）Ⅲ类标准要求。本项目运营期废水均能综合利用，无废水外排，不会对区域水环境造成不良影响。</w:t>
            </w:r>
          </w:p>
          <w:p w14:paraId="5F0826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宋体"/>
                <w:bCs/>
                <w:color w:val="auto"/>
                <w:kern w:val="2"/>
                <w:sz w:val="24"/>
                <w:szCs w:val="24"/>
                <w:lang w:val="en-US" w:eastAsia="zh-CN" w:bidi="ar"/>
              </w:rPr>
            </w:pPr>
            <w:r>
              <w:rPr>
                <w:rFonts w:hint="eastAsia"/>
                <w:color w:val="auto"/>
                <w:sz w:val="24"/>
                <w:szCs w:val="24"/>
                <w:highlight w:val="none"/>
              </w:rPr>
              <w:t>本项目投产并采取本报告规定的环保措施后，本项目对区域环境质量影响很小。因此本项目建设不会明显增加对区域环境的压力，符合区域环境质量控制的要求。</w:t>
            </w:r>
          </w:p>
          <w:p w14:paraId="019FB345">
            <w:pPr>
              <w:pStyle w:val="6"/>
              <w:keepNext/>
              <w:keepLines/>
              <w:pageBreakBefore w:val="0"/>
              <w:widowControl/>
              <w:numPr>
                <w:ilvl w:val="3"/>
                <w:numId w:val="0"/>
              </w:numPr>
              <w:suppressLineNumbers w:val="0"/>
              <w:kinsoku/>
              <w:wordWrap/>
              <w:overflowPunct/>
              <w:topLinePunct w:val="0"/>
              <w:autoSpaceDE/>
              <w:autoSpaceDN/>
              <w:bidi w:val="0"/>
              <w:adjustRightInd/>
              <w:snapToGrid/>
              <w:spacing w:before="0" w:beforeLines="0" w:beforeAutospacing="0" w:after="0" w:afterAutospacing="0" w:line="480" w:lineRule="exact"/>
              <w:ind w:left="0" w:leftChars="0" w:right="0" w:firstLine="482" w:firstLineChars="200"/>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3.资源利用上线符合性分析</w:t>
            </w:r>
          </w:p>
          <w:p w14:paraId="7726A0F1">
            <w:pPr>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本项目用地属于</w:t>
            </w:r>
            <w:r>
              <w:rPr>
                <w:rFonts w:hint="eastAsia" w:ascii="Times New Roman" w:hAnsi="Times New Roman" w:cs="宋体"/>
                <w:color w:val="auto"/>
                <w:kern w:val="2"/>
                <w:sz w:val="24"/>
                <w:szCs w:val="24"/>
                <w:lang w:val="en-US" w:eastAsia="zh-CN" w:bidi="ar"/>
              </w:rPr>
              <w:t>工业</w:t>
            </w:r>
            <w:r>
              <w:rPr>
                <w:rFonts w:hint="eastAsia" w:ascii="Times New Roman" w:hAnsi="Times New Roman" w:eastAsia="宋体" w:cs="宋体"/>
                <w:color w:val="auto"/>
                <w:kern w:val="2"/>
                <w:sz w:val="24"/>
                <w:szCs w:val="24"/>
                <w:lang w:val="en-US" w:eastAsia="zh-CN" w:bidi="ar"/>
              </w:rPr>
              <w:t>用地，不涉及基本农田。生产过程中不燃煤或其他化石燃料，消耗一定量的水</w:t>
            </w:r>
            <w:r>
              <w:rPr>
                <w:rFonts w:hint="eastAsia" w:ascii="Times New Roman" w:hAnsi="Times New Roman" w:eastAsia="宋体" w:cs="宋体"/>
                <w:color w:val="auto"/>
                <w:kern w:val="2"/>
                <w:sz w:val="24"/>
                <w:szCs w:val="24"/>
                <w:highlight w:val="none"/>
                <w:lang w:val="en-US" w:eastAsia="zh-CN" w:bidi="ar"/>
              </w:rPr>
              <w:t>能和电能。厂内各类废水循环使用，生活污水</w:t>
            </w:r>
            <w:r>
              <w:rPr>
                <w:rFonts w:hint="eastAsia" w:ascii="Times New Roman" w:hAnsi="Times New Roman" w:cs="宋体"/>
                <w:color w:val="auto"/>
                <w:kern w:val="2"/>
                <w:sz w:val="24"/>
                <w:szCs w:val="24"/>
                <w:highlight w:val="none"/>
                <w:lang w:val="en-US" w:eastAsia="zh-CN" w:bidi="ar"/>
              </w:rPr>
              <w:t>排入旱厕，不外排</w:t>
            </w:r>
            <w:r>
              <w:rPr>
                <w:rFonts w:hint="eastAsia" w:ascii="Times New Roman" w:hAnsi="Times New Roman" w:eastAsia="宋体" w:cs="宋体"/>
                <w:color w:val="auto"/>
                <w:kern w:val="2"/>
                <w:sz w:val="24"/>
                <w:szCs w:val="24"/>
                <w:highlight w:val="none"/>
                <w:lang w:val="en-US" w:eastAsia="zh-CN" w:bidi="ar"/>
              </w:rPr>
              <w:t>；</w:t>
            </w:r>
            <w:r>
              <w:rPr>
                <w:rFonts w:hint="eastAsia" w:ascii="Times New Roman" w:hAnsi="Times New Roman" w:eastAsia="宋体" w:cs="宋体"/>
                <w:color w:val="auto"/>
                <w:kern w:val="2"/>
                <w:sz w:val="24"/>
                <w:szCs w:val="24"/>
                <w:lang w:val="en-US" w:eastAsia="zh-CN" w:bidi="ar"/>
              </w:rPr>
              <w:t>根据用电设备相关参数设置合理容量的变压器，避免其长期处于空载或轻载状态而造成额外的电能损耗。因此本项目的建设不违背资源利用上线要求。</w:t>
            </w:r>
          </w:p>
          <w:p w14:paraId="77B6C8A1">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b/>
                <w:bCs w:val="0"/>
                <w:color w:val="auto"/>
                <w:kern w:val="0"/>
                <w:sz w:val="24"/>
              </w:rPr>
            </w:pPr>
            <w:r>
              <w:rPr>
                <w:rFonts w:hint="eastAsia" w:cs="宋体"/>
                <w:b/>
                <w:bCs w:val="0"/>
                <w:color w:val="auto"/>
                <w:kern w:val="2"/>
                <w:sz w:val="24"/>
                <w:szCs w:val="24"/>
                <w:lang w:val="en-US" w:eastAsia="zh-CN" w:bidi="ar"/>
              </w:rPr>
              <w:t>4.</w:t>
            </w:r>
            <w:r>
              <w:rPr>
                <w:rFonts w:hint="default" w:hAnsi="宋体"/>
                <w:b/>
                <w:bCs w:val="0"/>
                <w:color w:val="auto"/>
                <w:kern w:val="0"/>
                <w:sz w:val="24"/>
              </w:rPr>
              <w:t>环境准入负面清单</w:t>
            </w:r>
          </w:p>
          <w:p w14:paraId="10C9A4AF">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auto"/>
                <w:sz w:val="24"/>
              </w:rPr>
            </w:pPr>
            <w:r>
              <w:rPr>
                <w:rFonts w:hint="default" w:hAnsi="宋体"/>
                <w:color w:val="auto"/>
                <w:kern w:val="0"/>
                <w:sz w:val="24"/>
              </w:rPr>
              <w:t>本项目地区未设置环境准入负面清单。本项目属于《产业政策调整指导目录（</w:t>
            </w:r>
            <w:r>
              <w:rPr>
                <w:rFonts w:hint="eastAsia"/>
                <w:color w:val="auto"/>
                <w:sz w:val="24"/>
              </w:rPr>
              <w:t>2024年本</w:t>
            </w:r>
            <w:r>
              <w:rPr>
                <w:rFonts w:hint="default" w:hAnsi="宋体"/>
                <w:color w:val="auto"/>
                <w:kern w:val="0"/>
                <w:sz w:val="24"/>
              </w:rPr>
              <w:t>）》中</w:t>
            </w:r>
            <w:r>
              <w:rPr>
                <w:rFonts w:hint="eastAsia"/>
                <w:color w:val="auto"/>
                <w:sz w:val="24"/>
              </w:rPr>
              <w:t>鼓励类项目</w:t>
            </w:r>
            <w:r>
              <w:rPr>
                <w:rFonts w:hint="default" w:hAnsi="宋体"/>
                <w:color w:val="auto"/>
                <w:kern w:val="0"/>
                <w:sz w:val="24"/>
              </w:rPr>
              <w:t>，</w:t>
            </w:r>
            <w:r>
              <w:rPr>
                <w:rFonts w:hint="eastAsia" w:cs="Times New Roman"/>
                <w:color w:val="auto"/>
                <w:sz w:val="24"/>
                <w:szCs w:val="24"/>
                <w:highlight w:val="none"/>
                <w:lang w:val="en-US" w:eastAsia="zh-CN"/>
              </w:rPr>
              <w:t>长治市屯留区行政审批服务局</w:t>
            </w:r>
            <w:r>
              <w:rPr>
                <w:rFonts w:hint="eastAsia" w:cs="Times New Roman"/>
                <w:color w:val="auto"/>
                <w:kern w:val="0"/>
                <w:sz w:val="24"/>
                <w:szCs w:val="24"/>
                <w:highlight w:val="none"/>
                <w:lang w:val="en-US" w:eastAsia="zh-CN"/>
              </w:rPr>
              <w:t>对本项目进行了</w:t>
            </w:r>
            <w:r>
              <w:rPr>
                <w:rFonts w:hint="default" w:ascii="Times New Roman" w:hAnsi="Times New Roman" w:eastAsia="宋体" w:cs="Times New Roman"/>
                <w:color w:val="auto"/>
                <w:kern w:val="0"/>
                <w:sz w:val="24"/>
                <w:szCs w:val="24"/>
                <w:highlight w:val="none"/>
                <w:lang w:val="en-US" w:eastAsia="zh-CN"/>
              </w:rPr>
              <w:t>备案，</w:t>
            </w:r>
            <w:r>
              <w:rPr>
                <w:rFonts w:hint="default" w:hAnsi="宋体"/>
                <w:color w:val="auto"/>
                <w:kern w:val="0"/>
                <w:sz w:val="24"/>
              </w:rPr>
              <w:t>不违背环境准入负面清单的原则要求。</w:t>
            </w:r>
          </w:p>
          <w:p w14:paraId="5B287E67">
            <w:pPr>
              <w:keepNext w:val="0"/>
              <w:keepLines w:val="0"/>
              <w:widowControl w:val="0"/>
              <w:suppressLineNumbers w:val="0"/>
              <w:adjustRightInd w:val="0"/>
              <w:snapToGrid w:val="0"/>
              <w:spacing w:before="0" w:beforeAutospacing="0" w:after="0" w:afterAutospacing="0" w:line="480" w:lineRule="exact"/>
              <w:ind w:left="0" w:right="0" w:firstLine="482" w:firstLineChars="200"/>
              <w:jc w:val="both"/>
              <w:rPr>
                <w:rFonts w:hint="default" w:ascii="Times New Roman" w:hAnsi="Times New Roman" w:eastAsia="宋体" w:cs="宋体"/>
                <w:b/>
                <w:bCs w:val="0"/>
                <w:color w:val="auto"/>
                <w:kern w:val="2"/>
                <w:sz w:val="24"/>
                <w:szCs w:val="24"/>
                <w:lang w:val="en-US" w:eastAsia="zh-CN" w:bidi="ar"/>
              </w:rPr>
            </w:pPr>
            <w:r>
              <w:rPr>
                <w:rFonts w:hint="eastAsia" w:cs="宋体"/>
                <w:b/>
                <w:bCs w:val="0"/>
                <w:color w:val="auto"/>
                <w:kern w:val="2"/>
                <w:sz w:val="24"/>
                <w:szCs w:val="24"/>
                <w:lang w:val="en-US" w:eastAsia="zh-CN" w:bidi="ar"/>
              </w:rPr>
              <w:t>5.</w:t>
            </w:r>
            <w:r>
              <w:rPr>
                <w:rFonts w:hint="eastAsia" w:hAnsi="宋体"/>
                <w:b/>
                <w:bCs w:val="0"/>
                <w:color w:val="auto"/>
                <w:kern w:val="0"/>
                <w:sz w:val="24"/>
              </w:rPr>
              <w:t>与《</w:t>
            </w:r>
            <w:r>
              <w:rPr>
                <w:rFonts w:hint="eastAsia"/>
                <w:b/>
                <w:bCs w:val="0"/>
                <w:color w:val="auto"/>
                <w:kern w:val="0"/>
                <w:sz w:val="24"/>
              </w:rPr>
              <w:t>长治市“三线一单”生态环境分区管控实施方案</w:t>
            </w:r>
            <w:r>
              <w:rPr>
                <w:rFonts w:hint="eastAsia"/>
                <w:b/>
                <w:bCs w:val="0"/>
                <w:color w:val="auto"/>
                <w:sz w:val="24"/>
              </w:rPr>
              <w:t>》</w:t>
            </w:r>
            <w:r>
              <w:rPr>
                <w:rFonts w:hint="eastAsia" w:hAnsi="宋体"/>
                <w:b/>
                <w:bCs w:val="0"/>
                <w:color w:val="auto"/>
                <w:kern w:val="0"/>
                <w:sz w:val="24"/>
              </w:rPr>
              <w:t>符合性</w:t>
            </w:r>
          </w:p>
          <w:p w14:paraId="0C008A82">
            <w:pPr>
              <w:keepNext w:val="0"/>
              <w:keepLines w:val="0"/>
              <w:suppressLineNumbers w:val="0"/>
              <w:snapToGrid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val="en-US" w:eastAsia="zh-CN"/>
              </w:rPr>
              <w:t>本</w:t>
            </w:r>
            <w:r>
              <w:rPr>
                <w:rFonts w:hint="eastAsia"/>
                <w:bCs/>
                <w:color w:val="auto"/>
                <w:sz w:val="24"/>
              </w:rPr>
              <w:t>项目建设地点</w:t>
            </w:r>
            <w:r>
              <w:rPr>
                <w:rFonts w:hint="eastAsia"/>
                <w:bCs/>
                <w:color w:val="auto"/>
                <w:sz w:val="24"/>
                <w:lang w:val="en-US" w:eastAsia="zh-CN"/>
              </w:rPr>
              <w:t>为</w:t>
            </w:r>
            <w:r>
              <w:rPr>
                <w:rFonts w:hint="eastAsia" w:cs="Times New Roman"/>
                <w:color w:val="auto"/>
                <w:sz w:val="24"/>
                <w:szCs w:val="24"/>
                <w:highlight w:val="none"/>
                <w:lang w:val="en-US" w:eastAsia="zh-CN"/>
              </w:rPr>
              <w:t>长治市屯留区李高乡西酪余村北</w:t>
            </w:r>
            <w:r>
              <w:rPr>
                <w:rFonts w:hint="eastAsia"/>
                <w:bCs/>
                <w:color w:val="auto"/>
                <w:sz w:val="24"/>
                <w:lang w:val="en-US" w:eastAsia="zh-CN"/>
              </w:rPr>
              <w:t>，</w:t>
            </w:r>
            <w:r>
              <w:rPr>
                <w:rFonts w:hint="eastAsia"/>
                <w:bCs/>
                <w:color w:val="auto"/>
                <w:sz w:val="24"/>
              </w:rPr>
              <w:t>根据《长治市生态环境分区管控动态更新成果公告》（2024年12月23日发布），长治市生态环境管控单元</w:t>
            </w:r>
            <w:r>
              <w:rPr>
                <w:rFonts w:hint="default"/>
                <w:bCs/>
                <w:color w:val="auto"/>
                <w:sz w:val="24"/>
              </w:rPr>
              <w:t>分为优先保护单元、重点管控单元和一般管控单元三类</w:t>
            </w:r>
            <w:r>
              <w:rPr>
                <w:rFonts w:hint="eastAsia"/>
                <w:bCs/>
                <w:color w:val="auto"/>
                <w:sz w:val="24"/>
              </w:rPr>
              <w:t>。</w:t>
            </w:r>
          </w:p>
          <w:p w14:paraId="408C3E25">
            <w:pPr>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default"/>
                <w:color w:val="auto"/>
                <w:sz w:val="24"/>
                <w:lang w:val="en-US" w:eastAsia="zh-CN"/>
              </w:rPr>
            </w:pPr>
            <w:r>
              <w:rPr>
                <w:rFonts w:hint="eastAsia"/>
                <w:color w:val="auto"/>
                <w:kern w:val="0"/>
                <w:sz w:val="24"/>
              </w:rPr>
              <w:t>经在“山西省“三线一单”数据管理及应用平台”进行查询，</w:t>
            </w:r>
            <w:r>
              <w:rPr>
                <w:rFonts w:hint="eastAsia"/>
                <w:bCs/>
                <w:color w:val="auto"/>
                <w:sz w:val="24"/>
              </w:rPr>
              <w:t>本项目所在地位</w:t>
            </w:r>
            <w:r>
              <w:rPr>
                <w:rFonts w:hint="default"/>
                <w:bCs/>
                <w:color w:val="auto"/>
                <w:sz w:val="24"/>
              </w:rPr>
              <w:t>于一般</w:t>
            </w:r>
            <w:r>
              <w:rPr>
                <w:rFonts w:hint="eastAsia"/>
                <w:bCs/>
                <w:color w:val="auto"/>
                <w:sz w:val="24"/>
              </w:rPr>
              <w:t>管控单元，查询结</w:t>
            </w:r>
            <w:r>
              <w:rPr>
                <w:rFonts w:hint="eastAsia"/>
                <w:bCs/>
                <w:color w:val="auto"/>
                <w:sz w:val="24"/>
                <w:highlight w:val="none"/>
              </w:rPr>
              <w:t>果见附件</w:t>
            </w:r>
            <w:r>
              <w:rPr>
                <w:rFonts w:hint="eastAsia"/>
                <w:bCs/>
                <w:color w:val="auto"/>
                <w:sz w:val="24"/>
                <w:highlight w:val="none"/>
                <w:lang w:val="en-US" w:eastAsia="zh-CN"/>
              </w:rPr>
              <w:t>6</w:t>
            </w:r>
            <w:r>
              <w:rPr>
                <w:rFonts w:hint="default"/>
                <w:bCs/>
                <w:color w:val="auto"/>
                <w:sz w:val="24"/>
                <w:highlight w:val="none"/>
              </w:rPr>
              <w:t>。</w:t>
            </w:r>
          </w:p>
        </w:tc>
      </w:tr>
    </w:tbl>
    <w:p w14:paraId="7C8FB8DB">
      <w:pPr>
        <w:rPr>
          <w:color w:val="auto"/>
          <w:highlight w:val="none"/>
        </w:rPr>
        <w:sectPr>
          <w:headerReference r:id="rId4" w:type="default"/>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3006"/>
      </w:tblGrid>
      <w:tr w14:paraId="078BD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6" w:hRule="atLeast"/>
          <w:jc w:val="center"/>
        </w:trPr>
        <w:tc>
          <w:tcPr>
            <w:tcW w:w="235" w:type="pct"/>
            <w:vAlign w:val="center"/>
          </w:tcPr>
          <w:p w14:paraId="4DE718B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其他符合性分析</w:t>
            </w:r>
          </w:p>
        </w:tc>
        <w:tc>
          <w:tcPr>
            <w:tcW w:w="4764" w:type="pct"/>
            <w:vAlign w:val="center"/>
          </w:tcPr>
          <w:p w14:paraId="3240B602">
            <w:pPr>
              <w:keepNext w:val="0"/>
              <w:keepLines/>
              <w:suppressLineNumbers w:val="0"/>
              <w:spacing w:before="0" w:beforeAutospacing="0" w:after="0" w:afterAutospacing="0" w:line="480" w:lineRule="exact"/>
              <w:ind w:left="0" w:right="0"/>
              <w:jc w:val="center"/>
              <w:rPr>
                <w:rFonts w:hint="default"/>
                <w:b/>
                <w:color w:val="auto"/>
                <w:szCs w:val="21"/>
              </w:rPr>
            </w:pPr>
            <w:r>
              <w:rPr>
                <w:rFonts w:hint="eastAsia"/>
                <w:b/>
                <w:color w:val="auto"/>
                <w:szCs w:val="21"/>
              </w:rPr>
              <w:t>表1-1  本项目管控单元位置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8"/>
              <w:gridCol w:w="4561"/>
              <w:gridCol w:w="1975"/>
              <w:gridCol w:w="2941"/>
            </w:tblGrid>
            <w:tr w14:paraId="64B4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1" w:type="pct"/>
                  <w:tcBorders>
                    <w:tl2br w:val="nil"/>
                    <w:tr2bl w:val="nil"/>
                  </w:tcBorders>
                  <w:noWrap w:val="0"/>
                  <w:vAlign w:val="center"/>
                </w:tcPr>
                <w:p w14:paraId="62815431">
                  <w:pPr>
                    <w:pStyle w:val="20"/>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eastAsia" w:ascii="Times New Roman" w:hAnsi="Times New Roman"/>
                      <w:b/>
                      <w:bCs/>
                      <w:color w:val="auto"/>
                      <w:sz w:val="21"/>
                      <w:szCs w:val="21"/>
                    </w:rPr>
                    <w:t>管控单元编码</w:t>
                  </w:r>
                </w:p>
              </w:tc>
              <w:tc>
                <w:tcPr>
                  <w:tcW w:w="1785" w:type="pct"/>
                  <w:tcBorders>
                    <w:tl2br w:val="nil"/>
                    <w:tr2bl w:val="nil"/>
                  </w:tcBorders>
                  <w:noWrap w:val="0"/>
                  <w:vAlign w:val="center"/>
                </w:tcPr>
                <w:p w14:paraId="78BC5474">
                  <w:pPr>
                    <w:pStyle w:val="20"/>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环境管控单元名称</w:t>
                  </w:r>
                </w:p>
              </w:tc>
              <w:tc>
                <w:tcPr>
                  <w:tcW w:w="773" w:type="pct"/>
                  <w:tcBorders>
                    <w:tl2br w:val="nil"/>
                    <w:tr2bl w:val="nil"/>
                  </w:tcBorders>
                  <w:noWrap w:val="0"/>
                  <w:vAlign w:val="center"/>
                </w:tcPr>
                <w:p w14:paraId="66E58834">
                  <w:pPr>
                    <w:pStyle w:val="20"/>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行政区划</w:t>
                  </w:r>
                </w:p>
              </w:tc>
              <w:tc>
                <w:tcPr>
                  <w:tcW w:w="1149" w:type="pct"/>
                  <w:tcBorders>
                    <w:tl2br w:val="nil"/>
                    <w:tr2bl w:val="nil"/>
                  </w:tcBorders>
                  <w:noWrap w:val="0"/>
                  <w:vAlign w:val="center"/>
                </w:tcPr>
                <w:p w14:paraId="5290DC5F">
                  <w:pPr>
                    <w:pStyle w:val="20"/>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管控单元分类</w:t>
                  </w:r>
                </w:p>
              </w:tc>
            </w:tr>
            <w:tr w14:paraId="6111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1" w:type="pct"/>
                  <w:tcBorders>
                    <w:tl2br w:val="nil"/>
                    <w:tr2bl w:val="nil"/>
                  </w:tcBorders>
                  <w:noWrap w:val="0"/>
                  <w:vAlign w:val="center"/>
                </w:tcPr>
                <w:p w14:paraId="3D0A0BD4">
                  <w:pPr>
                    <w:pStyle w:val="20"/>
                    <w:keepNext w:val="0"/>
                    <w:keepLines w:val="0"/>
                    <w:suppressLineNumbers w:val="0"/>
                    <w:ind w:left="0" w:right="0"/>
                    <w:jc w:val="center"/>
                    <w:rPr>
                      <w:rFonts w:hint="default" w:ascii="Times New Roman" w:hAnsi="Times New Roman"/>
                      <w:color w:val="auto"/>
                      <w:sz w:val="21"/>
                      <w:szCs w:val="21"/>
                    </w:rPr>
                  </w:pPr>
                  <w:r>
                    <w:rPr>
                      <w:rFonts w:hint="default" w:ascii="Times New Roman" w:hAnsi="Times New Roman"/>
                      <w:color w:val="auto"/>
                      <w:sz w:val="21"/>
                      <w:szCs w:val="21"/>
                      <w:lang w:val="en-US" w:eastAsia="zh-CN"/>
                    </w:rPr>
                    <w:t>ZH14040530001</w:t>
                  </w:r>
                </w:p>
              </w:tc>
              <w:tc>
                <w:tcPr>
                  <w:tcW w:w="1785" w:type="pct"/>
                  <w:tcBorders>
                    <w:tl2br w:val="nil"/>
                    <w:tr2bl w:val="nil"/>
                  </w:tcBorders>
                  <w:noWrap w:val="0"/>
                  <w:vAlign w:val="center"/>
                </w:tcPr>
                <w:p w14:paraId="68E35190">
                  <w:pPr>
                    <w:pStyle w:val="20"/>
                    <w:keepNext w:val="0"/>
                    <w:keepLines w:val="0"/>
                    <w:suppressLineNumbers w:val="0"/>
                    <w:ind w:left="0" w:right="0"/>
                    <w:jc w:val="center"/>
                    <w:rPr>
                      <w:rFonts w:hint="default" w:ascii="Times New Roman" w:hAnsi="Times New Roman"/>
                      <w:color w:val="auto"/>
                      <w:sz w:val="21"/>
                      <w:szCs w:val="21"/>
                    </w:rPr>
                  </w:pPr>
                  <w:r>
                    <w:rPr>
                      <w:rFonts w:hint="default" w:ascii="Times New Roman" w:hAnsi="Times New Roman"/>
                      <w:color w:val="auto"/>
                      <w:sz w:val="21"/>
                      <w:szCs w:val="21"/>
                      <w:lang w:val="en-US" w:eastAsia="zh-CN"/>
                    </w:rPr>
                    <w:t>长治市屯留区一般管控单元</w:t>
                  </w:r>
                </w:p>
              </w:tc>
              <w:tc>
                <w:tcPr>
                  <w:tcW w:w="773" w:type="pct"/>
                  <w:tcBorders>
                    <w:tl2br w:val="nil"/>
                    <w:tr2bl w:val="nil"/>
                  </w:tcBorders>
                  <w:noWrap w:val="0"/>
                  <w:vAlign w:val="center"/>
                </w:tcPr>
                <w:p w14:paraId="09F31EBF">
                  <w:pPr>
                    <w:pStyle w:val="20"/>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olor w:val="auto"/>
                      <w:sz w:val="21"/>
                      <w:szCs w:val="21"/>
                    </w:rPr>
                    <w:t>屯留区</w:t>
                  </w:r>
                </w:p>
              </w:tc>
              <w:tc>
                <w:tcPr>
                  <w:tcW w:w="1149" w:type="pct"/>
                  <w:tcBorders>
                    <w:tl2br w:val="nil"/>
                    <w:tr2bl w:val="nil"/>
                  </w:tcBorders>
                  <w:noWrap w:val="0"/>
                  <w:vAlign w:val="center"/>
                </w:tcPr>
                <w:p w14:paraId="732579A9">
                  <w:pPr>
                    <w:pStyle w:val="20"/>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lang w:val="en-US" w:eastAsia="zh-CN"/>
                    </w:rPr>
                    <w:t>一般</w:t>
                  </w:r>
                  <w:r>
                    <w:rPr>
                      <w:rFonts w:hint="eastAsia" w:ascii="Times New Roman" w:hAnsi="Times New Roman"/>
                      <w:color w:val="auto"/>
                      <w:sz w:val="21"/>
                      <w:szCs w:val="21"/>
                    </w:rPr>
                    <w:t>管控单元</w:t>
                  </w:r>
                </w:p>
              </w:tc>
            </w:tr>
            <w:tr w14:paraId="3F74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1F31F4EF">
                  <w:pPr>
                    <w:pStyle w:val="20"/>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drawing>
                      <wp:inline distT="0" distB="0" distL="114300" distR="114300">
                        <wp:extent cx="3170555" cy="2231390"/>
                        <wp:effectExtent l="0" t="0" r="10795" b="16510"/>
                        <wp:docPr id="350" name="图片 350" descr="新-分析结果d5b1b3d7-7426-40d3-bb17-f48002757c8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新-分析结果d5b1b3d7-7426-40d3-bb17-f48002757c86_02"/>
                                <pic:cNvPicPr>
                                  <a:picLocks noChangeAspect="1"/>
                                </pic:cNvPicPr>
                              </pic:nvPicPr>
                              <pic:blipFill>
                                <a:blip r:embed="rId11"/>
                                <a:srcRect l="9280" t="43477" r="10691" b="16695"/>
                                <a:stretch>
                                  <a:fillRect/>
                                </a:stretch>
                              </pic:blipFill>
                              <pic:spPr>
                                <a:xfrm>
                                  <a:off x="0" y="0"/>
                                  <a:ext cx="3170555" cy="2231390"/>
                                </a:xfrm>
                                <a:prstGeom prst="rect">
                                  <a:avLst/>
                                </a:prstGeom>
                              </pic:spPr>
                            </pic:pic>
                          </a:graphicData>
                        </a:graphic>
                      </wp:inline>
                    </w:drawing>
                  </w:r>
                </w:p>
              </w:tc>
            </w:tr>
          </w:tbl>
          <w:p w14:paraId="7B89E1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eastAsia" w:ascii="Times New Roman" w:hAnsi="Times New Roman" w:eastAsia="宋体" w:cs="宋体"/>
                <w:bCs/>
                <w:color w:val="auto"/>
                <w:kern w:val="2"/>
                <w:sz w:val="24"/>
                <w:szCs w:val="24"/>
                <w:lang w:val="en-US" w:eastAsia="zh-CN" w:bidi="ar"/>
              </w:rPr>
            </w:pPr>
            <w:r>
              <w:rPr>
                <w:rFonts w:hint="eastAsia"/>
                <w:b/>
                <w:color w:val="auto"/>
                <w:szCs w:val="21"/>
              </w:rPr>
              <w:t>表1-</w:t>
            </w:r>
            <w:r>
              <w:rPr>
                <w:rFonts w:hint="eastAsia"/>
                <w:b/>
                <w:color w:val="auto"/>
                <w:szCs w:val="21"/>
                <w:lang w:val="en-US" w:eastAsia="zh-CN"/>
              </w:rPr>
              <w:t xml:space="preserve">2  </w:t>
            </w:r>
            <w:r>
              <w:rPr>
                <w:rFonts w:hint="default"/>
                <w:b/>
                <w:color w:val="auto"/>
                <w:sz w:val="21"/>
                <w:szCs w:val="21"/>
                <w:highlight w:val="none"/>
                <w:lang w:val="en-US" w:eastAsia="zh-CN"/>
              </w:rPr>
              <w:t>长治市生态环境准入总体要求</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9303"/>
              <w:gridCol w:w="1501"/>
              <w:gridCol w:w="887"/>
            </w:tblGrid>
            <w:tr w14:paraId="6C3E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70837A0">
                  <w:pPr>
                    <w:pStyle w:val="25"/>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auto"/>
                      <w:kern w:val="2"/>
                      <w:sz w:val="21"/>
                      <w:szCs w:val="21"/>
                      <w:vertAlign w:val="baseline"/>
                      <w:lang w:val="en-US" w:eastAsia="zh-CN" w:bidi="ar"/>
                    </w:rPr>
                  </w:pPr>
                  <w:r>
                    <w:rPr>
                      <w:rFonts w:hint="default" w:ascii="Times New Roman" w:hAnsi="Times New Roman" w:eastAsia="宋体" w:cs="Times New Roman"/>
                      <w:b/>
                      <w:bCs/>
                      <w:color w:val="auto"/>
                      <w:sz w:val="21"/>
                      <w:szCs w:val="21"/>
                      <w:highlight w:val="none"/>
                    </w:rPr>
                    <w:t>管控类别</w:t>
                  </w:r>
                </w:p>
              </w:tc>
              <w:tc>
                <w:tcPr>
                  <w:tcW w:w="3639" w:type="pct"/>
                  <w:vAlign w:val="center"/>
                </w:tcPr>
                <w:p w14:paraId="4435881A">
                  <w:pPr>
                    <w:pStyle w:val="25"/>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
                      <w:bCs/>
                      <w:color w:val="auto"/>
                      <w:sz w:val="21"/>
                      <w:szCs w:val="21"/>
                      <w:highlight w:val="none"/>
                    </w:rPr>
                    <w:t>管控要求</w:t>
                  </w:r>
                </w:p>
              </w:tc>
              <w:tc>
                <w:tcPr>
                  <w:tcW w:w="587" w:type="pct"/>
                  <w:vAlign w:val="center"/>
                </w:tcPr>
                <w:p w14:paraId="19346BF9">
                  <w:pPr>
                    <w:pStyle w:val="25"/>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auto"/>
                      <w:kern w:val="2"/>
                      <w:sz w:val="21"/>
                      <w:szCs w:val="21"/>
                      <w:vertAlign w:val="baseline"/>
                      <w:lang w:val="en-US" w:eastAsia="zh-CN" w:bidi="ar"/>
                    </w:rPr>
                  </w:pPr>
                  <w:r>
                    <w:rPr>
                      <w:rFonts w:hint="default" w:ascii="Times New Roman" w:hAnsi="Times New Roman" w:eastAsia="宋体" w:cs="Times New Roman"/>
                      <w:b/>
                      <w:bCs/>
                      <w:color w:val="auto"/>
                      <w:sz w:val="21"/>
                      <w:szCs w:val="21"/>
                      <w:highlight w:val="none"/>
                    </w:rPr>
                    <w:t>项目情况</w:t>
                  </w:r>
                </w:p>
              </w:tc>
              <w:tc>
                <w:tcPr>
                  <w:tcW w:w="347" w:type="pct"/>
                  <w:vAlign w:val="center"/>
                </w:tcPr>
                <w:p w14:paraId="479DEB24">
                  <w:pPr>
                    <w:pStyle w:val="25"/>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宋体"/>
                      <w:bCs/>
                      <w:color w:val="auto"/>
                      <w:kern w:val="2"/>
                      <w:sz w:val="21"/>
                      <w:szCs w:val="21"/>
                      <w:vertAlign w:val="baseline"/>
                      <w:lang w:val="en-US" w:eastAsia="zh-CN" w:bidi="ar"/>
                    </w:rPr>
                  </w:pPr>
                  <w:r>
                    <w:rPr>
                      <w:rFonts w:hint="default" w:ascii="Times New Roman" w:hAnsi="Times New Roman" w:eastAsia="宋体" w:cs="Times New Roman"/>
                      <w:b/>
                      <w:bCs/>
                      <w:color w:val="auto"/>
                      <w:sz w:val="21"/>
                      <w:szCs w:val="21"/>
                      <w:highlight w:val="none"/>
                    </w:rPr>
                    <w:t>符合性</w:t>
                  </w:r>
                </w:p>
              </w:tc>
            </w:tr>
            <w:tr w14:paraId="18B7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B970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auto"/>
                      <w:kern w:val="2"/>
                      <w:sz w:val="21"/>
                      <w:szCs w:val="21"/>
                      <w:vertAlign w:val="baseline"/>
                      <w:lang w:val="en-US" w:eastAsia="zh-CN" w:bidi="ar"/>
                    </w:rPr>
                  </w:pPr>
                  <w:r>
                    <w:rPr>
                      <w:rFonts w:hint="default"/>
                      <w:color w:val="auto"/>
                      <w:sz w:val="21"/>
                      <w:szCs w:val="21"/>
                    </w:rPr>
                    <w:t>空间布局约束</w:t>
                  </w:r>
                </w:p>
              </w:tc>
              <w:tc>
                <w:tcPr>
                  <w:tcW w:w="3639" w:type="pct"/>
                  <w:vAlign w:val="center"/>
                </w:tcPr>
                <w:p w14:paraId="69EF6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强化河(湖)岸生态缓冲带保护与修复。在重点河流和重点湖库两岸以及划定的河湖库管理范围线之外30-50米建设生态缓冲带，宜林地段结合堤岸防护营造防护林带，平川水系、山区河滨带优先选择本地生水生植物、低杆植物，恢复湖库生态功能，实现水域、陆域生境联通，保护生物多样性。</w:t>
                  </w:r>
                </w:p>
                <w:p w14:paraId="16291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2.除属于2021年分类处置清单范围内完善手续的“两高”项目外，太原及周边“1+30” 大气污染联防联控重点区域不再审批新建焦化和传统烧结、高炉、转炉长流程钢铁项目(产能置换项目除外)。</w:t>
                  </w:r>
                </w:p>
                <w:p w14:paraId="5F2F9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3.在永久基本农田集中区域，严禁规划新建可能造成土壤污染的建设项目。</w:t>
                  </w:r>
                </w:p>
                <w:p w14:paraId="1CF98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4.依法依规开展化工园区认定，分批公布省级合格化工园区名单，引导化工生产企业向化工园区转移，推动产业优化整合，形成规模效应。推动入园入区煤化工企业发展循环经济和低碳经济建立绿色、低碳、循环发展的产业体系。坚持煤焦化一体、煤化电热一体和多联产发展方向，构建企业首尾相连、互为供需和生产装置互联互通的产业链，提高资源综合利用水平，减少物流运输能源消耗。鼓励化工园区管理部门按照生产加工体系匹配、产业联系紧密、原料物料互供、污染物统一治理、安全设施配套、资源利用高效、管理科学规范的标准，加强基础设施建设和配套项目招商，打造煤化工产业绿色低碳安全发展示范区。</w:t>
                  </w:r>
                </w:p>
                <w:p w14:paraId="07033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5.构建城市化地区、农产品主产区、重点生态功能区分类指导的减污降碳政策。衔接国土空间规划分区和用途管制要求，将碳达峰碳中和要求纳入“三线一单”分区管控体系，落实到环境管控单元。强化环境质量改善目标对能源和产业布局的引导约束作用，深入推进结构调整和布局优化，引导重污染项目向资源禀赋好、环境承载力强的地区转移。加大污染严重地区结构调整和布局优化力度，加快推动重点行业落后和过剩产能退出，2023年底前全面关停退出炭化室高度4.3米焦炉以及达不到超低排放要求的其他焦炉，逐步淘汰1200立方米以下高炉100吨以下转炉、步进式烧结机、球团坚炉以及半封闭式硅锰合金、镍铁、高碳铬铁、高碳锰铁电炉。依法加快城市(含县城)建成区钢铁、焦化、水泥、化工等重污染企业搬迁改造或关闭退出，对城市(含县城)建成区重污染企业实施更为严格的差异化管控措施。</w:t>
                  </w:r>
                </w:p>
                <w:p w14:paraId="6BEFA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6.统筹调配全省危险废物集中处置设施资源，支持区域协作处置，鼓励危险废物产生量小的市依托相邻地区联合建设配套焚烧，填埋处置工艺的集中处置设施。各市应在全面调查评估危险废物产生及处置需求的基础上，按照“自我消纳为主、区域协同为辅”和“立足现状、适度超前”的原则，建设满足实际需要的危险废物集中处置设施，作为危险废物处置基础保障和突发事件应急处置保障。</w:t>
                  </w:r>
                </w:p>
                <w:p w14:paraId="58086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7.危险废物利用、处置设施选址必须符合城市总体发展规划、生态环境保护规划、国土空间规划和“三线一单”管控要求，并综合考虑服务范围、公共基础设施、公众意见等因素，以及区域工程地质和水文地质条件。避让生态保护红线范围。禁止在城市建成区、自然保护区、风景名胜区、饮用水水源保护区、泉域重点保护区等法律法规明令禁止和限制的区城，黄河干流及主要支流沿岸和汾河、桑干河、滹沱河、漳河、沁河、涑水河、大清河等河流谷地禁止和限制的范围，晋阳湖、漳泽湖、云竹湖、盐湖、伍姓湖等湖泊生态保护与修复范围，“黄河，长城、太行”旅游区建设危险废物利用、处置设施。鼓励危险废物集中处置设施入园入区建设，但不得选址于临近城市建成区的工业园区、开发区或工业集聚区。在满足环境防护距离的基础上，应尽量远离居民区、学校、医院、行政办公和科研机构等敏感目标，不得在各市下设区范围内新建危险废物集中处置设施，现有集中处置设施要加快搬迁或退出。危险废物填埋场选址还应充分考虑对周围地下水环境、居住人群身体健康，日常生活和生产活动的长期影响以及所在地区社会经济长远发展可能带来的土地需求和功能调整等因素。</w:t>
                  </w:r>
                </w:p>
                <w:p w14:paraId="1E1681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8.强化“三区三线”管控。深入实施主体功能区战略，基于省域不同地区的资源环境承载力，实施差异化的国土空间开发保护，统筹优化农业、生态、城镇等功能空间布局，严格落实耕地和永久基本农田、生态保护红线、城镇开发边界“三条控制线”，确保红线面积不减少、功能不降低、性质不改变。健全国土空间开发保护制度，建立和实施常态化国土动态监测评估预警和监管机制。实施生态环境分区管控，落实“三线一单”生态环境分区管控制度，对优先、重点、一般三类管控单元实施分区分类管理，筑牢生态优先、绿色发展的底线，构建新发展格局。强化“三线一单”生态环境分区管控成果在当地重大经济政策制定、规划编制、园区管理、执法监管等方面的应用，推动“三线一单”生态环境分区管控落地实施取得实效。</w:t>
                  </w:r>
                </w:p>
                <w:p w14:paraId="1FBE6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9.构建国土空间开发保护新格局。综合考虑人口分布、经济布局、国土利用、资源环境承载、生态环境保护等因素，科学布局生产空间、生活空间、生态空间，合理确定城市规模和空间结构，优化国土空间总体格局。统筹推进山西中部城市群生态共建环境共治，优化空间结构，构筑生态安全屏障。保护人居环境等敏感区，严控重污染行业产能规模，推进产业布局与生态空间协调发展，保障生活空间安全。严格耕地用途管制，强化农产品产地环境保护，加强农业面源、畜禽养殖污染治理和农村环境整治，保障农产品安全。强化生态功能区生态保护和修复，把保护生态环境、提供生态产品作为重点，禁止或限制大规模高强度的工业化城市化开发，制定完善生态保护修复政策，推进一批生态保护修复项目。合理支持重点生态功能区县城建设，支持生态功能区人口逐步有序向城市化地区转移，提高生态服务功能。</w:t>
                  </w:r>
                </w:p>
                <w:p w14:paraId="37CCB6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10.坚决遏制“两高”项目盲目发展。严格按照国家、省“两高”项目处置要求，分类处置，动态监管，加快推进现有“两高”项目清理整顿，坚决控制“两高”项目体量，坚决叫停不符合要求的“两高”项目，推动在建和拟建“两高”项目能效、环保水平达国际国内先进水平，为转型发展项目腾出环境容量。严格“两高”项目准入，市区规划区范围内不再新增“两高”项目。</w:t>
                  </w:r>
                </w:p>
                <w:p w14:paraId="55B0F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11.强化生态空间管控。严格落实永久基本农田、生态保护红线、城镇开发边界“三条控制线”和“三线一单”生态环境分区管控要求。按照资源环境承载能力，合理确定城市规模和空间结构，统筹安排城市建设、产业发展、生态涵养、基础设施和公共服务。在产业布局、结构调整、资源开发、城镇建设、重大项目选址时，应加强与国土空间规划和“三线一单”协调性分析，在规划编制、政策制定、执法监管等过程中，应将其作为重要依据，从严把好生态环境准入关，确保环境不超载、底线不突破。</w:t>
                  </w:r>
                </w:p>
                <w:p w14:paraId="1F3F0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12.市、县（区）人民政府应当按照主体功能区规划和环境保护要求，制定规划，统筹安排，逐步对高污染工业企业实施关停搬迁。</w:t>
                  </w:r>
                </w:p>
                <w:p w14:paraId="6B415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13.禁止在人口集中地区和其他依法需要特殊保护的区域内焚烧沥青、油毡、橡胶、塑料、皮革、垃圾以及其他产生有毒有害烟尘和恶臭气体的物质。</w:t>
                  </w:r>
                </w:p>
                <w:p w14:paraId="3BFC9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14.禁止在居民住宅楼、未配套设立专用烟道的商住综合楼以及商住综合楼内与居住层相邻的商业楼层内新建、改建、扩建产生油烟、异味、废气的餐饮服务项目。任何单位和个人不得在当地人民政府禁止的区域内露天烧烤食品或者为露天烧烤食品提供场地。</w:t>
                  </w:r>
                </w:p>
                <w:p w14:paraId="634E02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15.市人民政府应当根据大气环境质量改善要求，将城市建成区划定为禁煤区，并逐渐扩展。县（区）人民政府可以根据实际情况划定禁煤区范围。禁煤区的划定应当考虑当地居民的生活需要。禁煤区内除煤电、集中供热和原料用煤企业外，禁止储存、销售和燃用煤炭及其制品。</w:t>
                  </w:r>
                </w:p>
                <w:p w14:paraId="5C238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16.在漳泽湖保护区内新建、改建、扩建工程，应当符合国土空间规划、漳泽湖生态保护与修复规划、水资源保护、海绵城市建设等有关规定，并依法办理环境影响评价等行政许可手续；建设项目的选址、布局、高度、体量、造型和色彩等应当与周围景观和环境相协调。在漳泽湖保护区内新建、改建、扩建工程，不得影响水工程安全和运行管理，不得损害河流、湖泊及湿地的生态环境；造成生态破坏的，建设单位应当依法承担生态恢复治理责任。</w:t>
                  </w:r>
                </w:p>
                <w:p w14:paraId="28914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17.漳泽湖的开发利用应当以不影响湖区功能和不超过生态环境承载力为前提，开发利用项目应当以生态、文化、旅游、康养、休闲为主。</w:t>
                  </w:r>
                </w:p>
                <w:p w14:paraId="7A4C4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18.防控企业污染。严格控制在优先保护类耕地集中区域新建、扩建有色金属矿采选、有色金属冶炼、化工、焦化、电镀、制革、农药、铅蓄电池等重点行业企业和危险废物处置填埋场所。</w:t>
                  </w:r>
                </w:p>
                <w:p w14:paraId="69361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19.位于优先保护类耕地集中区域内的现有重点行业企业要采用新技术、新工艺，淘汰落后产能。</w:t>
                  </w:r>
                </w:p>
                <w:p w14:paraId="4B1D5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20.加强对严格管控类耕地的用途管理。行政区域内存在严格管控类耕地的县（市、区），要依法划定特定农产品禁止生产区域，严禁种植食用农产品。</w:t>
                  </w:r>
                </w:p>
              </w:tc>
              <w:tc>
                <w:tcPr>
                  <w:tcW w:w="587" w:type="pct"/>
                  <w:vAlign w:val="center"/>
                </w:tcPr>
                <w:p w14:paraId="5A5BB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ascii="Times New Roman" w:hAnsi="Times New Roman" w:eastAsia="宋体" w:cs="宋体"/>
                      <w:bCs/>
                      <w:color w:val="auto"/>
                      <w:kern w:val="2"/>
                      <w:sz w:val="21"/>
                      <w:szCs w:val="21"/>
                      <w:vertAlign w:val="baseline"/>
                      <w:lang w:val="en-US" w:eastAsia="zh-CN" w:bidi="ar"/>
                    </w:rPr>
                    <w:t>1.不涉及</w:t>
                  </w:r>
                </w:p>
                <w:p w14:paraId="6E215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ascii="Times New Roman" w:hAnsi="Times New Roman" w:eastAsia="宋体" w:cs="宋体"/>
                      <w:bCs/>
                      <w:color w:val="auto"/>
                      <w:kern w:val="2"/>
                      <w:sz w:val="21"/>
                      <w:szCs w:val="21"/>
                      <w:vertAlign w:val="baseline"/>
                      <w:lang w:val="en-US" w:eastAsia="zh-CN" w:bidi="ar"/>
                    </w:rPr>
                    <w:t>2.不属于</w:t>
                  </w:r>
                </w:p>
                <w:p w14:paraId="4A607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ascii="Times New Roman" w:hAnsi="Times New Roman" w:eastAsia="宋体" w:cs="宋体"/>
                      <w:bCs/>
                      <w:color w:val="auto"/>
                      <w:kern w:val="2"/>
                      <w:sz w:val="21"/>
                      <w:szCs w:val="21"/>
                      <w:vertAlign w:val="baseline"/>
                      <w:lang w:val="en-US" w:eastAsia="zh-CN" w:bidi="ar"/>
                    </w:rPr>
                    <w:t>3.不属于</w:t>
                  </w:r>
                </w:p>
                <w:p w14:paraId="0B45F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ascii="Times New Roman" w:hAnsi="Times New Roman" w:eastAsia="宋体" w:cs="宋体"/>
                      <w:bCs/>
                      <w:color w:val="auto"/>
                      <w:kern w:val="2"/>
                      <w:sz w:val="21"/>
                      <w:szCs w:val="21"/>
                      <w:vertAlign w:val="baseline"/>
                      <w:lang w:val="en-US" w:eastAsia="zh-CN" w:bidi="ar"/>
                    </w:rPr>
                    <w:t>4.不涉及</w:t>
                  </w:r>
                </w:p>
                <w:p w14:paraId="43D11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ascii="Times New Roman" w:hAnsi="Times New Roman" w:eastAsia="宋体" w:cs="宋体"/>
                      <w:bCs/>
                      <w:color w:val="auto"/>
                      <w:kern w:val="2"/>
                      <w:sz w:val="21"/>
                      <w:szCs w:val="21"/>
                      <w:vertAlign w:val="baseline"/>
                      <w:lang w:val="en-US" w:eastAsia="zh-CN" w:bidi="ar"/>
                    </w:rPr>
                    <w:t>5.不涉及</w:t>
                  </w:r>
                </w:p>
                <w:p w14:paraId="1CFCE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ascii="Times New Roman" w:hAnsi="Times New Roman" w:eastAsia="宋体" w:cs="宋体"/>
                      <w:bCs/>
                      <w:color w:val="auto"/>
                      <w:kern w:val="2"/>
                      <w:sz w:val="21"/>
                      <w:szCs w:val="21"/>
                      <w:vertAlign w:val="baseline"/>
                      <w:lang w:val="en-US" w:eastAsia="zh-CN" w:bidi="ar"/>
                    </w:rPr>
                    <w:t>6.不属于</w:t>
                  </w:r>
                </w:p>
                <w:p w14:paraId="77E7B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ascii="Times New Roman" w:hAnsi="Times New Roman" w:eastAsia="宋体" w:cs="宋体"/>
                      <w:bCs/>
                      <w:color w:val="auto"/>
                      <w:kern w:val="2"/>
                      <w:sz w:val="21"/>
                      <w:szCs w:val="21"/>
                      <w:vertAlign w:val="baseline"/>
                      <w:lang w:val="en-US" w:eastAsia="zh-CN" w:bidi="ar"/>
                    </w:rPr>
                    <w:t>7.不属于</w:t>
                  </w:r>
                </w:p>
                <w:p w14:paraId="68280049">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8.</w:t>
                  </w:r>
                  <w:r>
                    <w:rPr>
                      <w:rFonts w:hint="eastAsia" w:ascii="Times New Roman" w:hAnsi="Times New Roman" w:eastAsia="宋体" w:cs="Times New Roman"/>
                      <w:bCs/>
                      <w:color w:val="auto"/>
                      <w:kern w:val="2"/>
                      <w:sz w:val="21"/>
                      <w:szCs w:val="21"/>
                      <w:vertAlign w:val="baseline"/>
                      <w:lang w:val="en-US" w:eastAsia="zh-CN" w:bidi="ar"/>
                    </w:rPr>
                    <w:t>本项目</w:t>
                  </w:r>
                  <w:r>
                    <w:rPr>
                      <w:rFonts w:hint="default" w:ascii="Times New Roman" w:hAnsi="Times New Roman" w:eastAsia="宋体" w:cs="Times New Roman"/>
                      <w:color w:val="auto"/>
                      <w:kern w:val="0"/>
                      <w:sz w:val="21"/>
                      <w:szCs w:val="21"/>
                      <w:lang w:val="en-US" w:eastAsia="zh-CN" w:bidi="ar"/>
                    </w:rPr>
                    <w:t>位于</w:t>
                  </w:r>
                  <w:r>
                    <w:rPr>
                      <w:rFonts w:hint="eastAsia" w:ascii="Times New Roman" w:hAnsi="Times New Roman" w:eastAsia="宋体" w:cs="Times New Roman"/>
                      <w:color w:val="auto"/>
                      <w:kern w:val="0"/>
                      <w:sz w:val="21"/>
                      <w:szCs w:val="21"/>
                      <w:lang w:val="en-US" w:eastAsia="zh-CN" w:bidi="ar"/>
                    </w:rPr>
                    <w:t>一般</w:t>
                  </w:r>
                  <w:r>
                    <w:rPr>
                      <w:rFonts w:hint="default" w:ascii="Times New Roman" w:hAnsi="Times New Roman" w:eastAsia="宋体" w:cs="Times New Roman"/>
                      <w:color w:val="auto"/>
                      <w:kern w:val="0"/>
                      <w:sz w:val="21"/>
                      <w:szCs w:val="21"/>
                      <w:lang w:val="en-US" w:eastAsia="zh-CN" w:bidi="ar"/>
                    </w:rPr>
                    <w:t>管控单元，</w:t>
                  </w:r>
                  <w:r>
                    <w:rPr>
                      <w:rFonts w:hint="eastAsia" w:ascii="Times New Roman" w:hAnsi="Times New Roman" w:eastAsia="宋体" w:cs="Times New Roman"/>
                      <w:color w:val="auto"/>
                      <w:kern w:val="0"/>
                      <w:sz w:val="21"/>
                      <w:szCs w:val="21"/>
                      <w:lang w:val="en-US" w:eastAsia="zh-CN" w:bidi="ar"/>
                    </w:rPr>
                    <w:t>占地类型为工业用地，不涉及</w:t>
                  </w:r>
                  <w:r>
                    <w:rPr>
                      <w:rFonts w:hint="default" w:ascii="Times New Roman" w:hAnsi="Times New Roman" w:eastAsia="宋体" w:cs="Times New Roman"/>
                      <w:bCs/>
                      <w:color w:val="auto"/>
                      <w:kern w:val="2"/>
                      <w:sz w:val="21"/>
                      <w:szCs w:val="21"/>
                      <w:vertAlign w:val="baseline"/>
                      <w:lang w:val="en-US" w:eastAsia="zh-CN" w:bidi="ar"/>
                    </w:rPr>
                    <w:t>耕地和永久基本农田、生态保护红线</w:t>
                  </w:r>
                  <w:r>
                    <w:rPr>
                      <w:rFonts w:hint="eastAsia" w:ascii="Times New Roman" w:hAnsi="Times New Roman" w:eastAsia="宋体" w:cs="Times New Roman"/>
                      <w:bCs/>
                      <w:color w:val="auto"/>
                      <w:kern w:val="2"/>
                      <w:sz w:val="21"/>
                      <w:szCs w:val="21"/>
                      <w:vertAlign w:val="baseline"/>
                      <w:lang w:val="en-US" w:eastAsia="zh-CN" w:bidi="ar"/>
                    </w:rPr>
                    <w:t>、</w:t>
                  </w:r>
                  <w:r>
                    <w:rPr>
                      <w:rFonts w:hint="default" w:ascii="Times New Roman" w:hAnsi="Times New Roman" w:eastAsia="宋体" w:cs="Times New Roman"/>
                      <w:bCs/>
                      <w:color w:val="auto"/>
                      <w:kern w:val="2"/>
                      <w:sz w:val="21"/>
                      <w:szCs w:val="21"/>
                      <w:vertAlign w:val="baseline"/>
                      <w:lang w:val="en-US" w:eastAsia="zh-CN" w:bidi="ar"/>
                    </w:rPr>
                    <w:t>城镇开发边界</w:t>
                  </w:r>
                </w:p>
                <w:p w14:paraId="654514D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9.本项目占地为工业用地，项目属于其他建筑材料制造</w:t>
                  </w:r>
                </w:p>
                <w:p w14:paraId="2A74032C">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bCs/>
                      <w:color w:val="auto"/>
                      <w:kern w:val="2"/>
                      <w:sz w:val="21"/>
                      <w:szCs w:val="21"/>
                      <w:vertAlign w:val="baseline"/>
                      <w:lang w:val="en-US" w:eastAsia="zh-CN" w:bidi="ar"/>
                    </w:rPr>
                    <w:t>不属于</w:t>
                  </w:r>
                </w:p>
                <w:p w14:paraId="353A66E1">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11.</w:t>
                  </w:r>
                  <w:r>
                    <w:rPr>
                      <w:rFonts w:hint="default" w:ascii="Times New Roman" w:hAnsi="Times New Roman" w:eastAsia="宋体" w:cs="Times New Roman"/>
                      <w:color w:val="auto"/>
                      <w:kern w:val="0"/>
                      <w:sz w:val="21"/>
                      <w:szCs w:val="21"/>
                      <w:lang w:val="en-US" w:eastAsia="zh-CN" w:bidi="ar"/>
                    </w:rPr>
                    <w:t>本项目占地为工业用地，项目属于其他建筑材料制造</w:t>
                  </w:r>
                </w:p>
                <w:p w14:paraId="456F9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12.不属于</w:t>
                  </w:r>
                </w:p>
                <w:p w14:paraId="04F09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13.不涉及</w:t>
                  </w:r>
                </w:p>
                <w:p w14:paraId="3D9B1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14.不属于</w:t>
                  </w:r>
                </w:p>
                <w:p w14:paraId="34D0F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15.不涉及</w:t>
                  </w:r>
                </w:p>
                <w:p w14:paraId="39E3A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16.不涉及</w:t>
                  </w:r>
                </w:p>
                <w:p w14:paraId="3B776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17.不涉及</w:t>
                  </w:r>
                </w:p>
                <w:p w14:paraId="3B742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18.不涉及</w:t>
                  </w:r>
                </w:p>
                <w:p w14:paraId="69CE1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19.不属于</w:t>
                  </w:r>
                </w:p>
                <w:p w14:paraId="7F77B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宋体"/>
                      <w:bCs/>
                      <w:color w:val="auto"/>
                      <w:kern w:val="2"/>
                      <w:sz w:val="21"/>
                      <w:szCs w:val="21"/>
                      <w:vertAlign w:val="baseline"/>
                      <w:lang w:val="en-US" w:eastAsia="zh-CN" w:bidi="ar"/>
                    </w:rPr>
                  </w:pPr>
                  <w:r>
                    <w:rPr>
                      <w:rFonts w:hint="default" w:ascii="Times New Roman" w:hAnsi="Times New Roman" w:eastAsia="宋体" w:cs="Times New Roman"/>
                      <w:bCs/>
                      <w:color w:val="auto"/>
                      <w:kern w:val="2"/>
                      <w:sz w:val="21"/>
                      <w:szCs w:val="21"/>
                      <w:vertAlign w:val="baseline"/>
                      <w:lang w:val="en-US" w:eastAsia="zh-CN" w:bidi="ar"/>
                    </w:rPr>
                    <w:t>20不涉及</w:t>
                  </w:r>
                </w:p>
              </w:tc>
              <w:tc>
                <w:tcPr>
                  <w:tcW w:w="347" w:type="pct"/>
                  <w:vAlign w:val="center"/>
                </w:tcPr>
                <w:p w14:paraId="292D0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符合</w:t>
                  </w:r>
                </w:p>
              </w:tc>
            </w:tr>
            <w:tr w14:paraId="1CCA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C88D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污染物排放管控</w:t>
                  </w:r>
                </w:p>
              </w:tc>
              <w:tc>
                <w:tcPr>
                  <w:tcW w:w="3639" w:type="pct"/>
                  <w:vAlign w:val="center"/>
                </w:tcPr>
                <w:p w14:paraId="5A64587C">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环境质量目标：</w:t>
                  </w:r>
                </w:p>
                <w:p w14:paraId="79B3405C">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1.2023年地表水国考断面达到或优于Ⅲ类比例达到76.6%，劣V类水质断面全部消除。饮用水水源水质达到或优于Ⅲ类比例达到国家年度目标。2023年底前</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潞州区、上党区、屯留区、潞城区建成区黑臭水体全面消除。</w:t>
                  </w:r>
                </w:p>
                <w:p w14:paraId="4A5E5129">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2.全省地下水环境质量总体保持稳定，地下水国考区域点位V类比例不高于6.67%，地下水国考饮用水源点位达到或优于Ⅲ类比例不低于76.9%，地下水国考污染风险监控点位V类比例不高于17.6%。</w:t>
                  </w:r>
                </w:p>
                <w:p w14:paraId="6A0DE790">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3.到2025年，全省县级及以上集中式饮用水水源水质达到或优于Ⅲ类水体的比例达到92%。</w:t>
                  </w:r>
                </w:p>
                <w:p w14:paraId="37ED12CA">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污染物控制：</w:t>
                  </w:r>
                </w:p>
                <w:p w14:paraId="533E3CF2">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4.强化工业废水深度治理。汾河流域新建工业企业生产废水不得排入城镇生活污水处理厂，已纳入城镇生活污水处理厂处理的工业废水应当逐步退出。其他地区已纳入城镇生活污水处理厂处理的工业废水，经评估认定为污染物不能被污水处理厂有效处理,或可能影响城镇生活污水处理厂出水稳定达标的，依法限期退出，退出前向城镇生活污水处理厂排放的工业废水水质需达到行业特别排放限值。加强焦化、化工类工业企业雨污分流管网建设,推动实现厂区初期雨水收集处理不外排、化工园区废水循环利用零排放、蒸发后杂盐合理处置</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杜绝产生二次污染。</w:t>
                  </w:r>
                </w:p>
                <w:p w14:paraId="3540BF42">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5.畜禽养殖场、养殖小区应当按照规定对污水、畜禽粪便和尸体等进行收集、贮存、清运和无害化处理；未达到规模养殖的畜禽养殖单位和个人应当采取与其养殖规模相适应的大气污染防治措施，防止排放恶臭气体。</w:t>
                  </w:r>
                </w:p>
                <w:p w14:paraId="60D2E941">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6.排放油烟的餐饮服务业经营者应当安装油烟净化设施并保持正常使用，或者采取其他油烟净化措施，使油烟达标排放，并防止对附近居民的正常生活环境造成污染。</w:t>
                  </w:r>
                </w:p>
                <w:p w14:paraId="3E893A8F">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7.有组织排放控制指标。在基准氧含量10%的条件下，水泥窑及窑尾余热利用系统烟气颗粒物、二氧化硫、氮氧化物排放浓度分别不高于10、35、50mg/m</w:t>
                  </w:r>
                  <w:r>
                    <w:rPr>
                      <w:rFonts w:hint="default" w:ascii="Times New Roman" w:hAnsi="Times New Roman" w:cs="Times New Roman"/>
                      <w:bCs/>
                      <w:color w:val="auto"/>
                      <w:sz w:val="21"/>
                      <w:szCs w:val="21"/>
                      <w:vertAlign w:val="superscript"/>
                      <w:lang w:bidi="ar"/>
                    </w:rPr>
                    <w:t>3</w:t>
                  </w:r>
                  <w:r>
                    <w:rPr>
                      <w:rFonts w:hint="default" w:ascii="Times New Roman" w:hAnsi="Times New Roman" w:cs="Times New Roman"/>
                      <w:bCs/>
                      <w:color w:val="auto"/>
                      <w:sz w:val="21"/>
                      <w:szCs w:val="21"/>
                      <w:lang w:bidi="ar"/>
                    </w:rPr>
                    <w:t>，氨逃逸浓度不高于5mg/m</w:t>
                  </w:r>
                  <w:r>
                    <w:rPr>
                      <w:rFonts w:hint="default" w:ascii="Times New Roman" w:hAnsi="Times New Roman" w:cs="Times New Roman"/>
                      <w:bCs/>
                      <w:color w:val="auto"/>
                      <w:sz w:val="21"/>
                      <w:szCs w:val="21"/>
                      <w:vertAlign w:val="superscript"/>
                      <w:lang w:bidi="ar"/>
                    </w:rPr>
                    <w:t>3</w:t>
                  </w:r>
                  <w:r>
                    <w:rPr>
                      <w:rFonts w:hint="default" w:ascii="Times New Roman" w:hAnsi="Times New Roman" w:cs="Times New Roman"/>
                      <w:bCs/>
                      <w:color w:val="auto"/>
                      <w:sz w:val="21"/>
                      <w:szCs w:val="21"/>
                      <w:lang w:bidi="ar"/>
                    </w:rPr>
                    <w:t>。采用独立热源烘干的企业应采用余热或清洁能源，颗粒物、二氧化硫、氮氧化物排放浓度分别不高于10、35、50mg/m</w:t>
                  </w:r>
                  <w:r>
                    <w:rPr>
                      <w:rFonts w:hint="default" w:ascii="Times New Roman" w:hAnsi="Times New Roman" w:cs="Times New Roman"/>
                      <w:bCs/>
                      <w:color w:val="auto"/>
                      <w:sz w:val="21"/>
                      <w:szCs w:val="21"/>
                      <w:vertAlign w:val="superscript"/>
                      <w:lang w:bidi="ar"/>
                    </w:rPr>
                    <w:t>3</w:t>
                  </w:r>
                  <w:r>
                    <w:rPr>
                      <w:rFonts w:hint="default" w:ascii="Times New Roman" w:hAnsi="Times New Roman" w:cs="Times New Roman"/>
                      <w:bCs/>
                      <w:color w:val="auto"/>
                      <w:sz w:val="21"/>
                      <w:szCs w:val="21"/>
                      <w:lang w:bidi="ar"/>
                    </w:rPr>
                    <w:t>。其他产尘环节颗粒物浓度不高于10mg/m</w:t>
                  </w:r>
                  <w:r>
                    <w:rPr>
                      <w:rFonts w:hint="default" w:ascii="Times New Roman" w:hAnsi="Times New Roman" w:cs="Times New Roman"/>
                      <w:bCs/>
                      <w:color w:val="auto"/>
                      <w:sz w:val="21"/>
                      <w:szCs w:val="21"/>
                      <w:vertAlign w:val="superscript"/>
                      <w:lang w:bidi="ar"/>
                    </w:rPr>
                    <w:t>3</w:t>
                  </w:r>
                  <w:r>
                    <w:rPr>
                      <w:rFonts w:hint="default" w:ascii="Times New Roman" w:hAnsi="Times New Roman" w:cs="Times New Roman"/>
                      <w:bCs/>
                      <w:color w:val="auto"/>
                      <w:sz w:val="21"/>
                      <w:szCs w:val="21"/>
                      <w:lang w:bidi="ar"/>
                    </w:rPr>
                    <w:t>。</w:t>
                  </w:r>
                </w:p>
                <w:p w14:paraId="235DE207">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8.无组织排放控制措施。全面加强物料储存、输送、协同处置及生产工艺过程无组织排放控制，以及厂区及周边环境综合整治。在保障生产安全的前提下，采取密闭、封闭等措施，有效提高废气收集率，产尘点及车间不得有可见烟粉尘外逸协同处置垃圾或固体废物相关区域不得有明显恶臭异味。广区无裸露地面，除绿化带外均应硬化，无散状物料露天堆放，厂区及周边道路无积尘。生产设施、管道通廊、料棚及生产车间外部定期清理，做到物见本色。</w:t>
                  </w:r>
                </w:p>
                <w:p w14:paraId="462FD5AC">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9.强化工业企业排水监管。严格排水许可管理，对纳入城镇污水处理厂处理的工业废水应进行风险评估，经评估认定为污染物不能被污水处理厂有效处理，或可能影响污水处理厂出水稳定达标的纳管企业的废水依法限期退出污水管网，退出前向城镇污水处理厂排放的工业废水水质需达到行业特别排放限值或《污水综合排放标准》（DB14</w:t>
                  </w:r>
                  <w:r>
                    <w:rPr>
                      <w:rFonts w:hint="default" w:ascii="Times New Roman" w:hAnsi="Times New Roman" w:cs="Times New Roman"/>
                      <w:bCs/>
                      <w:color w:val="auto"/>
                      <w:sz w:val="21"/>
                      <w:szCs w:val="21"/>
                      <w:lang w:val="en-US" w:eastAsia="zh-CN" w:bidi="ar"/>
                    </w:rPr>
                    <w:t>/</w:t>
                  </w:r>
                  <w:r>
                    <w:rPr>
                      <w:rFonts w:hint="default" w:ascii="Times New Roman" w:hAnsi="Times New Roman" w:cs="Times New Roman"/>
                      <w:bCs/>
                      <w:color w:val="auto"/>
                      <w:sz w:val="21"/>
                      <w:szCs w:val="21"/>
                      <w:lang w:bidi="ar"/>
                    </w:rPr>
                    <w:t>1928－2019）要求。</w:t>
                  </w:r>
                </w:p>
                <w:p w14:paraId="1CB1D221">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10.加快推进焦化、水泥行业超低排放改造。按照省定时限，完成沁县华安焦化、沁源县沁新焦化和明源焦化3家焦化企业和潞州区红旗水泥和科保水泥、上党区陶清河水泥和三元王庄华泰、壶关县红旗水泥、屯留区瑞昌水泥6家水泥粉磨站超低排放改造工程建设。已完成超低排放改造的企业要加快实施监测评估。鼓励焦化、水泥企业提前完成超低排放改造。启动焦化行业干法熄焦工艺升级改造，把全干法熄焦作为焦化行业的准入条件，全市所有“上大关小”新建焦炉要全部配套建设常用、备用干熄焦装置；现有5.5米及以上焦炉配套建设常用干熄焦装置，具备条件的要配套建设备用干熄焦装置；列入淘汰计划的4.3米焦炉，不再实施干熄焦改造；在资金和政策上对干熄焦改造项目给予重点支持，对未按期完成干熄焦改造的焦化企业实施更为严格的差异化错峰生产、重污染天气应急减排措施。</w:t>
                  </w:r>
                </w:p>
                <w:p w14:paraId="354236EE">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11.严格控制涉重金属企业污染物排放。依法依规将符合条件的排放镉等有毒有害大气、水污染物的企业纳入重点排污单位名录。严格落实《涉镉等重金属排放企业颗粒物自动监控设施建设工作方案》，按要求完成建设任务并与生态环境部门联网。鼓励涉重金属企业实施清洁生产改造，进一步减少污染物排放。</w:t>
                  </w:r>
                </w:p>
                <w:p w14:paraId="6AFF96E5">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12.全面实施重点行业超低排放和深度治理。全面完成水泥行业超低排放改造,加快推进钢铁、焦化行业超超低排放改造,开展有组织、无组织及清洁运输等环节全过程、高标准、系统化整治</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并建设完善无组织排放监控系统,推动现有焦化企业将现有备用湿熄焦改造为备用干熄焦,实现全干熄。加强工业炉窑深度治理,严格控制物料储存、输送及生产工艺过程无组织排放。加强煤炭等粉粒物料堆场扬尘控制。重点涉气排放企业取消烟气旁路</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因安全生产无法取消的</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安装在线监管系统。以能源、钢铁、焦化、建材、有色、化工、工业涂装、包装印刷等行业为重点</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实施强制性清洁生产审核。加强挥发性有机物全过程综合治理。大力推动低(无)挥发性有机物原辅料生产和替代</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积极引导企业生产和使用低(无)挥发性有机物的产品</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有效减少挥发性有机物产生。深入推进炼焦、化工、表面涂装、印刷、储油库、加油站、汽修和餐饮油烟挥发性有机物综合整治。推进工业园区和企业集群建设涉挥发性有机物“绿岛”项目,统筹规划建设集中涂装中心、活性炭集中处理中心、溶剂回收中心等。</w:t>
                  </w:r>
                </w:p>
                <w:p w14:paraId="69BC36D0">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13.排污单位应当建立大气环境保护责任制度，明确相关责任及责任人，并按照有关规定设置大气污染物排放口及其标志。重点排污单位应当安装、使用大气污染物排放自动监测设备，与生态环境主管部门的监控设备联网，保证监测设备正常运行。重点排污单位应当如实向社会公开其主要污染物的名称、排放方式、排放浓度和总量、超标排放情况，以及防治污染设施的建设和运行情况，接受社会监督。禁止侵占、损毁或者擅自移动、改变大气环境质量监测设施和大气污染物排放自动监测设备。</w:t>
                  </w:r>
                </w:p>
                <w:p w14:paraId="3D613CF4">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14.钢铁、石油、有色金属、电力、焦化、建材、化工等企业生产过程中排放粉尘、硫化物和氮氧化物的，应当采用清洁生产工艺，配套建设除尘、脱硫、脱硝等装置，或者采取技术改造等其他控制大气污染物排放的措施。</w:t>
                  </w:r>
                </w:p>
                <w:p w14:paraId="5AC6C6F2">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15.产生含挥发性有机物废气的生产和服务活动，应当在密闭空间或者设备中进行，并按照规定安装、使用污染防治设施；无法密闭的，应当采取措施减少废气排放。工业涂装企业应当使用低挥发性有机物含量的涂料，并建立台账，记录生产原料、辅料的使用量、废弃量、去向以及挥发性有机物含量。台账保存期限不得少于三年。</w:t>
                  </w:r>
                </w:p>
                <w:p w14:paraId="4EF5D191">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16.排污单位和其他生产经营者，应当保持大气污染物防治设施的正常使用。工业企业大气污染物防治设施因检修暂停使用的，应当提前五个工作日书面报告当地人民政府生态环境主管部门;因突发故障不能正常使用的，应当采取措施确保排放达标，不能达标的，应当停产，并在二十四小时内向当地人民政府生态环境主管部门书面报告。工业企业大气污染物防治设施修复前，不得恢复生产。</w:t>
                  </w:r>
                </w:p>
                <w:p w14:paraId="594BF7F0">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17.非道路移动机械所有人或者使用人应当遵守下列规定：</w:t>
                  </w:r>
                </w:p>
                <w:p w14:paraId="382F057E">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一）非道路移动机械的所有人应当在新增非道路移动机械的三十日内向所在地县（区）人民政府生态环境主管部门报送非道路移动机械的名称、类别、数量、污染物排放等数据和资料，农用非道路移动机械的名称、类别、数量、污染物排放等数据和资料由所有人所在地人民政府农机管理主管部门每季度末向县（区）人民政府生态环境主管部门集中申报；</w:t>
                  </w:r>
                </w:p>
                <w:p w14:paraId="6F89DA20">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二）对超标排放且经维修或者采用排放控制技术后仍不达标的机械，应当停止使用工业企业、施工单位、货运企业、城市环境卫生管理单位等拥有非道路移动机械的单位和个人，不得使用非道路移动机械从事道路运输业务。</w:t>
                  </w:r>
                </w:p>
                <w:p w14:paraId="76925994">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18.储油储气库、加油加气站及油罐车、气罐车应当安装油气回收设施并保持正常运行，按照国家有关规定向市、县（区）人民政府生态环境主管部门报送油气排放检测报告。</w:t>
                  </w:r>
                </w:p>
                <w:p w14:paraId="2AC6444C">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19.严格入河排污口整治。各县区政府负责具体整治工作，要按照“依法取缔一批、清理合并一批、规范整治一批”要求，遵循“问题导向、分类处置、属地负责、部门联动”的原则，强化截污治污，根据入河排污口清单和实际情况，逐一明确整治措施，设置整治期限，制定年度入河排污口整治方案，实行整治销号制度。通过对入河排污口进行取缔、合并、规范，最终形成需要保留的入河排污口清单。</w:t>
                  </w:r>
                </w:p>
                <w:p w14:paraId="7E82C4D0">
                  <w:pPr>
                    <w:pStyle w:val="9"/>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20.依法取缔一批。对违反法律法规规定，在饮用水水源保护区、泉域重点保护区、自然保护地、生态保护红线、永久基本农田及其他需要特殊保护区域内设置的入河排污口，由县区政府依法采取责令拆除、责令关闭等措施坚决取缔。对历史遗留问题要妥善处理，合理制定整治措施，避免“一刀切”。</w:t>
                  </w:r>
                </w:p>
                <w:p w14:paraId="15C80533">
                  <w:pPr>
                    <w:pStyle w:val="25"/>
                    <w:keepNext w:val="0"/>
                    <w:keepLines w:val="0"/>
                    <w:numPr>
                      <w:ilvl w:val="0"/>
                      <w:numId w:val="0"/>
                    </w:numPr>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cs="Times New Roman"/>
                      <w:bCs/>
                      <w:color w:val="auto"/>
                      <w:sz w:val="21"/>
                      <w:szCs w:val="21"/>
                      <w:lang w:bidi="ar"/>
                    </w:rPr>
                    <w:t>21.清理合并一批。城镇污水收集管网覆盖范围内的生活污水散排口应由属地住建部门予以清理合并，生活污水全部收集进入污水处理厂处理。住建部门牵头开展城镇雨洪排口旱天污水直排的溯源治理，加大雨污分流改造和管网错混接改造力度。对工矿企业雨洪排口、城镇污水处理厂进水管网溢流口实行精准管理，加装在线视频监控系统，实施实时监控。建设出水口闸阀，实行汛期打开、非汛期关闭，并向属地生态环境部门备案。园区或开发区内企业现有入河排污口限期清理合并为一个排污口和一个雨洪排口，各工业企业废水治理达到行业排放标准后由园区或开发区污水集中处理设施统一处理。园区或开发区外的工矿企业，原则上一个企业只保留两个入河排污口（一个工矿企业排污口和一个雨洪排口），对于厂区较大或有多个厂区的，应尽可能清理合并，清理合并后仍确有必要保留其他工矿企业入河排污口的，应按照审核权限，全部完成入河排污口设置审核。农村生活污水散排口要先结合实际对污水进行收集处理，再对散排口分类整治。对于城镇周边的农村生活污水，鼓励纳入城镇污水处理系统；对于村庄人口少、污水日产生量小于500立方米的村庄，鼓励采用罐车收集转运；对于村庄人口较为集聚、污水日产生量大于500立方米的村庄，建设农村生活污水集中处理设施及配套管网，统一设置一个入河排污口。对于集中分布、连片聚集的中小型水产养殖散排口，鼓励统一收集处理养殖尾水，统一设置一个入河排污口。</w:t>
                  </w:r>
                </w:p>
              </w:tc>
              <w:tc>
                <w:tcPr>
                  <w:tcW w:w="587" w:type="pct"/>
                  <w:vAlign w:val="center"/>
                </w:tcPr>
                <w:p w14:paraId="3C5E5EF1">
                  <w:pPr>
                    <w:keepNext w:val="0"/>
                    <w:keepLines w:val="0"/>
                    <w:suppressLineNumbers w:val="0"/>
                    <w:spacing w:before="0" w:beforeAutospacing="0" w:after="0" w:afterAutospacing="0"/>
                    <w:ind w:left="0" w:right="0"/>
                    <w:jc w:val="both"/>
                    <w:rPr>
                      <w:rFonts w:hint="eastAsia"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1.不涉及</w:t>
                  </w:r>
                </w:p>
                <w:p w14:paraId="37EF056A">
                  <w:pPr>
                    <w:pStyle w:val="16"/>
                    <w:keepNext w:val="0"/>
                    <w:keepLines w:val="0"/>
                    <w:suppressLineNumbers w:val="0"/>
                    <w:spacing w:before="0" w:beforeAutospacing="0" w:after="0" w:afterAutospacing="0"/>
                    <w:ind w:left="0" w:right="0"/>
                    <w:jc w:val="both"/>
                    <w:rPr>
                      <w:rFonts w:hint="eastAsia"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2.不涉及</w:t>
                  </w:r>
                </w:p>
                <w:p w14:paraId="7B7D125A">
                  <w:pPr>
                    <w:keepNext w:val="0"/>
                    <w:keepLines w:val="0"/>
                    <w:suppressLineNumbers w:val="0"/>
                    <w:spacing w:before="0" w:beforeAutospacing="0" w:after="0" w:afterAutospacing="0"/>
                    <w:ind w:left="0" w:right="0"/>
                    <w:jc w:val="both"/>
                    <w:rPr>
                      <w:rFonts w:hint="eastAsia"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3.不涉及</w:t>
                  </w:r>
                </w:p>
                <w:p w14:paraId="6EE412B8">
                  <w:pPr>
                    <w:pStyle w:val="16"/>
                    <w:keepNext w:val="0"/>
                    <w:keepLines w:val="0"/>
                    <w:suppressLineNumbers w:val="0"/>
                    <w:spacing w:before="0" w:beforeAutospacing="0" w:after="0" w:afterAutospacing="0"/>
                    <w:ind w:left="0" w:right="0"/>
                    <w:jc w:val="both"/>
                    <w:rPr>
                      <w:rFonts w:hint="eastAsia"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4.不涉及</w:t>
                  </w:r>
                </w:p>
                <w:p w14:paraId="4DF801E6">
                  <w:pPr>
                    <w:keepNext w:val="0"/>
                    <w:keepLines w:val="0"/>
                    <w:suppressLineNumbers w:val="0"/>
                    <w:spacing w:before="0" w:beforeAutospacing="0" w:after="0" w:afterAutospacing="0"/>
                    <w:ind w:left="0" w:right="0"/>
                    <w:jc w:val="both"/>
                    <w:rPr>
                      <w:rFonts w:hint="eastAsia"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5.不属于</w:t>
                  </w:r>
                </w:p>
                <w:p w14:paraId="6EAE0B45">
                  <w:pPr>
                    <w:pStyle w:val="16"/>
                    <w:keepNext w:val="0"/>
                    <w:keepLines w:val="0"/>
                    <w:suppressLineNumbers w:val="0"/>
                    <w:spacing w:before="0" w:beforeAutospacing="0" w:after="0" w:afterAutospacing="0"/>
                    <w:ind w:left="0" w:right="0"/>
                    <w:jc w:val="both"/>
                    <w:rPr>
                      <w:rFonts w:hint="eastAsia"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6.不属于</w:t>
                  </w:r>
                </w:p>
                <w:p w14:paraId="235DAEAD">
                  <w:pPr>
                    <w:keepNext w:val="0"/>
                    <w:keepLines w:val="0"/>
                    <w:suppressLineNumbers w:val="0"/>
                    <w:spacing w:before="0" w:beforeAutospacing="0" w:after="0" w:afterAutospacing="0"/>
                    <w:ind w:left="0" w:right="0"/>
                    <w:jc w:val="both"/>
                    <w:rPr>
                      <w:rFonts w:hint="default"/>
                      <w:bCs/>
                      <w:color w:val="auto"/>
                      <w:sz w:val="21"/>
                      <w:szCs w:val="21"/>
                      <w:vertAlign w:val="superscript"/>
                      <w:lang w:bidi="ar"/>
                    </w:rPr>
                  </w:pPr>
                  <w:r>
                    <w:rPr>
                      <w:rFonts w:hint="eastAsia" w:cs="宋体"/>
                      <w:bCs/>
                      <w:color w:val="auto"/>
                      <w:kern w:val="2"/>
                      <w:sz w:val="21"/>
                      <w:szCs w:val="21"/>
                      <w:vertAlign w:val="baseline"/>
                      <w:lang w:val="en-US" w:eastAsia="zh-CN" w:bidi="ar"/>
                    </w:rPr>
                    <w:t>7.有组织颗粒物排放浓度≤10</w:t>
                  </w:r>
                  <w:r>
                    <w:rPr>
                      <w:rFonts w:hint="default"/>
                      <w:bCs/>
                      <w:color w:val="auto"/>
                      <w:sz w:val="21"/>
                      <w:szCs w:val="21"/>
                      <w:lang w:bidi="ar"/>
                    </w:rPr>
                    <w:t>mg/m</w:t>
                  </w:r>
                  <w:r>
                    <w:rPr>
                      <w:rFonts w:hint="default"/>
                      <w:bCs/>
                      <w:color w:val="auto"/>
                      <w:sz w:val="21"/>
                      <w:szCs w:val="21"/>
                      <w:vertAlign w:val="superscript"/>
                      <w:lang w:bidi="ar"/>
                    </w:rPr>
                    <w:t>3</w:t>
                  </w:r>
                </w:p>
                <w:p w14:paraId="672FB2BB">
                  <w:pPr>
                    <w:keepNext w:val="0"/>
                    <w:keepLines w:val="0"/>
                    <w:widowControl/>
                    <w:suppressLineNumbers w:val="0"/>
                    <w:spacing w:before="0" w:beforeAutospacing="0" w:after="0" w:afterAutospacing="0"/>
                    <w:ind w:left="0" w:right="0"/>
                    <w:jc w:val="both"/>
                    <w:rPr>
                      <w:rFonts w:hint="default"/>
                      <w:color w:val="auto"/>
                      <w:sz w:val="21"/>
                      <w:szCs w:val="21"/>
                    </w:rPr>
                  </w:pPr>
                  <w:r>
                    <w:rPr>
                      <w:rFonts w:hint="eastAsia"/>
                      <w:bCs/>
                      <w:color w:val="auto"/>
                      <w:sz w:val="21"/>
                      <w:szCs w:val="21"/>
                      <w:vertAlign w:val="baseline"/>
                      <w:lang w:val="en-US" w:eastAsia="zh-CN" w:bidi="ar"/>
                    </w:rPr>
                    <w:t>8.</w:t>
                  </w:r>
                  <w:r>
                    <w:rPr>
                      <w:rFonts w:hint="eastAsia" w:ascii="宋体" w:hAnsi="宋体" w:eastAsia="宋体" w:cs="宋体"/>
                      <w:color w:val="auto"/>
                      <w:kern w:val="0"/>
                      <w:sz w:val="21"/>
                      <w:szCs w:val="21"/>
                      <w:lang w:val="en-US" w:eastAsia="zh-CN" w:bidi="ar"/>
                    </w:rPr>
                    <w:t>生产设备全部于生产车间内，物料储存于全封闭车间内，物料输送进行全封闭皮带运输，厂区地面全部硬化，生产设施及生产车间外部定期进行清理</w:t>
                  </w:r>
                </w:p>
                <w:p w14:paraId="62FBFF84">
                  <w:pPr>
                    <w:pStyle w:val="16"/>
                    <w:keepNext w:val="0"/>
                    <w:keepLines w:val="0"/>
                    <w:suppressLineNumbers w:val="0"/>
                    <w:spacing w:before="0" w:beforeAutospacing="0" w:after="0" w:afterAutospacing="0"/>
                    <w:ind w:left="0" w:right="0"/>
                    <w:jc w:val="both"/>
                    <w:rPr>
                      <w:rFonts w:hint="eastAsia"/>
                      <w:color w:val="auto"/>
                      <w:sz w:val="21"/>
                      <w:szCs w:val="21"/>
                      <w:lang w:val="en-US" w:eastAsia="zh-CN"/>
                    </w:rPr>
                  </w:pPr>
                  <w:r>
                    <w:rPr>
                      <w:rFonts w:hint="eastAsia"/>
                      <w:color w:val="auto"/>
                      <w:sz w:val="21"/>
                      <w:szCs w:val="21"/>
                      <w:lang w:val="en-US" w:eastAsia="zh-CN"/>
                    </w:rPr>
                    <w:t>9.不涉及</w:t>
                  </w:r>
                </w:p>
                <w:p w14:paraId="36757ACE">
                  <w:pPr>
                    <w:keepNext w:val="0"/>
                    <w:keepLines w:val="0"/>
                    <w:suppressLineNumbers w:val="0"/>
                    <w:spacing w:before="0" w:beforeAutospacing="0" w:after="0" w:afterAutospacing="0"/>
                    <w:ind w:left="0" w:right="0"/>
                    <w:jc w:val="both"/>
                    <w:rPr>
                      <w:rFonts w:hint="eastAsia"/>
                      <w:color w:val="auto"/>
                      <w:sz w:val="21"/>
                      <w:szCs w:val="21"/>
                      <w:lang w:val="en-US" w:eastAsia="zh-CN"/>
                    </w:rPr>
                  </w:pPr>
                  <w:r>
                    <w:rPr>
                      <w:rFonts w:hint="eastAsia"/>
                      <w:color w:val="auto"/>
                      <w:sz w:val="21"/>
                      <w:szCs w:val="21"/>
                      <w:lang w:val="en-US" w:eastAsia="zh-CN"/>
                    </w:rPr>
                    <w:t>10.不属于</w:t>
                  </w:r>
                </w:p>
                <w:p w14:paraId="60A6EF16">
                  <w:pPr>
                    <w:pStyle w:val="16"/>
                    <w:keepNext w:val="0"/>
                    <w:keepLines w:val="0"/>
                    <w:suppressLineNumbers w:val="0"/>
                    <w:spacing w:before="0" w:beforeAutospacing="0" w:after="0" w:afterAutospacing="0"/>
                    <w:ind w:left="0" w:right="0"/>
                    <w:jc w:val="both"/>
                    <w:rPr>
                      <w:rFonts w:hint="eastAsia"/>
                      <w:color w:val="auto"/>
                      <w:sz w:val="21"/>
                      <w:szCs w:val="21"/>
                      <w:lang w:val="en-US" w:eastAsia="zh-CN"/>
                    </w:rPr>
                  </w:pPr>
                  <w:r>
                    <w:rPr>
                      <w:rFonts w:hint="eastAsia"/>
                      <w:color w:val="auto"/>
                      <w:sz w:val="21"/>
                      <w:szCs w:val="21"/>
                      <w:lang w:val="en-US" w:eastAsia="zh-CN"/>
                    </w:rPr>
                    <w:t>11.不涉及</w:t>
                  </w:r>
                </w:p>
                <w:p w14:paraId="0EADAB45">
                  <w:pPr>
                    <w:keepNext w:val="0"/>
                    <w:keepLines w:val="0"/>
                    <w:suppressLineNumbers w:val="0"/>
                    <w:spacing w:before="0" w:beforeAutospacing="0" w:after="0" w:afterAutospacing="0"/>
                    <w:ind w:left="0" w:right="0"/>
                    <w:jc w:val="both"/>
                    <w:rPr>
                      <w:rFonts w:hint="eastAsia"/>
                      <w:color w:val="auto"/>
                      <w:sz w:val="21"/>
                      <w:szCs w:val="21"/>
                      <w:lang w:val="en-US" w:eastAsia="zh-CN"/>
                    </w:rPr>
                  </w:pPr>
                  <w:r>
                    <w:rPr>
                      <w:rFonts w:hint="eastAsia"/>
                      <w:color w:val="auto"/>
                      <w:sz w:val="21"/>
                      <w:szCs w:val="21"/>
                      <w:lang w:val="en-US" w:eastAsia="zh-CN"/>
                    </w:rPr>
                    <w:t>12.不涉及</w:t>
                  </w:r>
                </w:p>
                <w:p w14:paraId="5CEA5BF6">
                  <w:pPr>
                    <w:pStyle w:val="16"/>
                    <w:keepNext w:val="0"/>
                    <w:keepLines w:val="0"/>
                    <w:suppressLineNumbers w:val="0"/>
                    <w:spacing w:before="0" w:beforeAutospacing="0" w:after="0" w:afterAutospacing="0"/>
                    <w:ind w:left="0" w:right="0"/>
                    <w:jc w:val="both"/>
                    <w:rPr>
                      <w:rFonts w:hint="eastAsia"/>
                      <w:color w:val="auto"/>
                      <w:sz w:val="21"/>
                      <w:szCs w:val="21"/>
                      <w:lang w:val="en-US" w:eastAsia="zh-CN"/>
                    </w:rPr>
                  </w:pPr>
                  <w:r>
                    <w:rPr>
                      <w:rFonts w:hint="eastAsia"/>
                      <w:color w:val="auto"/>
                      <w:sz w:val="21"/>
                      <w:szCs w:val="21"/>
                      <w:lang w:val="en-US" w:eastAsia="zh-CN"/>
                    </w:rPr>
                    <w:t>13.严格按照规定建立大气环境保护责任制度，明确相关责任及责任人，设置大气污染物排放口及其标志</w:t>
                  </w:r>
                </w:p>
                <w:p w14:paraId="613986CD">
                  <w:pPr>
                    <w:keepNext w:val="0"/>
                    <w:keepLines w:val="0"/>
                    <w:suppressLineNumbers w:val="0"/>
                    <w:spacing w:before="0" w:beforeAutospacing="0" w:after="0" w:afterAutospacing="0"/>
                    <w:ind w:left="0" w:right="0"/>
                    <w:jc w:val="both"/>
                    <w:rPr>
                      <w:rFonts w:hint="eastAsia"/>
                      <w:color w:val="auto"/>
                      <w:sz w:val="21"/>
                      <w:szCs w:val="21"/>
                      <w:lang w:val="en-US" w:eastAsia="zh-CN"/>
                    </w:rPr>
                  </w:pPr>
                  <w:r>
                    <w:rPr>
                      <w:rFonts w:hint="eastAsia"/>
                      <w:color w:val="auto"/>
                      <w:sz w:val="21"/>
                      <w:szCs w:val="21"/>
                      <w:lang w:val="en-US" w:eastAsia="zh-CN"/>
                    </w:rPr>
                    <w:t>14.不涉及</w:t>
                  </w:r>
                </w:p>
                <w:p w14:paraId="7E524E37">
                  <w:pPr>
                    <w:pStyle w:val="16"/>
                    <w:keepNext w:val="0"/>
                    <w:keepLines w:val="0"/>
                    <w:suppressLineNumbers w:val="0"/>
                    <w:spacing w:before="0" w:beforeAutospacing="0" w:after="0" w:afterAutospacing="0"/>
                    <w:ind w:left="0" w:right="0"/>
                    <w:jc w:val="both"/>
                    <w:rPr>
                      <w:rFonts w:hint="eastAsia"/>
                      <w:color w:val="auto"/>
                      <w:sz w:val="21"/>
                      <w:szCs w:val="21"/>
                      <w:lang w:val="en-US" w:eastAsia="zh-CN"/>
                    </w:rPr>
                  </w:pPr>
                  <w:r>
                    <w:rPr>
                      <w:rFonts w:hint="eastAsia"/>
                      <w:color w:val="auto"/>
                      <w:sz w:val="21"/>
                      <w:szCs w:val="21"/>
                      <w:lang w:val="en-US" w:eastAsia="zh-CN"/>
                    </w:rPr>
                    <w:t>15.不涉及</w:t>
                  </w:r>
                </w:p>
                <w:p w14:paraId="1A3CCA4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lang w:val="en-US" w:eastAsia="zh-CN" w:bidi="ar"/>
                    </w:rPr>
                  </w:pPr>
                  <w:r>
                    <w:rPr>
                      <w:rFonts w:hint="eastAsia"/>
                      <w:color w:val="auto"/>
                      <w:sz w:val="21"/>
                      <w:szCs w:val="21"/>
                      <w:lang w:val="en-US" w:eastAsia="zh-CN"/>
                    </w:rPr>
                    <w:t>16.</w:t>
                  </w:r>
                  <w:r>
                    <w:rPr>
                      <w:rFonts w:hint="eastAsia" w:ascii="宋体" w:hAnsi="宋体" w:eastAsia="宋体" w:cs="宋体"/>
                      <w:color w:val="auto"/>
                      <w:kern w:val="0"/>
                      <w:sz w:val="21"/>
                      <w:szCs w:val="21"/>
                      <w:lang w:val="en-US" w:eastAsia="zh-CN" w:bidi="ar"/>
                    </w:rPr>
                    <w:t>要求企业加强大气污染物防治设施的维护管理</w:t>
                  </w:r>
                </w:p>
                <w:p w14:paraId="63B8DB85">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17.</w:t>
                  </w:r>
                  <w:r>
                    <w:rPr>
                      <w:rFonts w:hint="eastAsia" w:ascii="宋体" w:hAnsi="宋体" w:eastAsia="宋体" w:cs="宋体"/>
                      <w:color w:val="auto"/>
                      <w:kern w:val="0"/>
                      <w:sz w:val="21"/>
                      <w:szCs w:val="21"/>
                      <w:lang w:val="en-US" w:eastAsia="zh-CN" w:bidi="ar"/>
                    </w:rPr>
                    <w:t>严格执行相关规定</w:t>
                  </w:r>
                </w:p>
                <w:p w14:paraId="368BCBC4">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18</w:t>
                  </w:r>
                  <w:r>
                    <w:rPr>
                      <w:rFonts w:hint="eastAsia"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不涉及</w:t>
                  </w:r>
                </w:p>
                <w:p w14:paraId="70950151">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19.</w:t>
                  </w:r>
                  <w:r>
                    <w:rPr>
                      <w:rFonts w:hint="eastAsia" w:ascii="宋体" w:hAnsi="宋体" w:eastAsia="宋体" w:cs="宋体"/>
                      <w:color w:val="auto"/>
                      <w:kern w:val="0"/>
                      <w:sz w:val="21"/>
                      <w:szCs w:val="21"/>
                      <w:lang w:val="en-US" w:eastAsia="zh-CN" w:bidi="ar"/>
                    </w:rPr>
                    <w:t>不涉及</w:t>
                  </w:r>
                </w:p>
                <w:p w14:paraId="783142A3">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20.</w:t>
                  </w:r>
                  <w:r>
                    <w:rPr>
                      <w:rFonts w:hint="eastAsia" w:ascii="宋体" w:hAnsi="宋体" w:eastAsia="宋体" w:cs="宋体"/>
                      <w:color w:val="auto"/>
                      <w:kern w:val="0"/>
                      <w:sz w:val="21"/>
                      <w:szCs w:val="21"/>
                      <w:lang w:val="en-US" w:eastAsia="zh-CN" w:bidi="ar"/>
                    </w:rPr>
                    <w:t>不涉及</w:t>
                  </w:r>
                </w:p>
                <w:p w14:paraId="229D2C07">
                  <w:pPr>
                    <w:keepNext w:val="0"/>
                    <w:keepLines w:val="0"/>
                    <w:widowControl/>
                    <w:suppressLineNumbers w:val="0"/>
                    <w:spacing w:before="0" w:beforeAutospacing="0" w:after="0" w:afterAutospacing="0"/>
                    <w:ind w:left="0" w:right="0"/>
                    <w:jc w:val="both"/>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21.</w:t>
                  </w:r>
                  <w:r>
                    <w:rPr>
                      <w:rFonts w:hint="eastAsia" w:ascii="宋体" w:hAnsi="宋体" w:eastAsia="宋体" w:cs="宋体"/>
                      <w:color w:val="auto"/>
                      <w:kern w:val="0"/>
                      <w:sz w:val="21"/>
                      <w:szCs w:val="21"/>
                      <w:lang w:val="en-US" w:eastAsia="zh-CN" w:bidi="ar"/>
                    </w:rPr>
                    <w:t>不设置入河排污口</w:t>
                  </w:r>
                </w:p>
              </w:tc>
              <w:tc>
                <w:tcPr>
                  <w:tcW w:w="347" w:type="pct"/>
                  <w:vAlign w:val="center"/>
                </w:tcPr>
                <w:p w14:paraId="3CF14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符合</w:t>
                  </w:r>
                </w:p>
              </w:tc>
            </w:tr>
            <w:tr w14:paraId="2F48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9135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环境风险防控</w:t>
                  </w:r>
                </w:p>
              </w:tc>
              <w:tc>
                <w:tcPr>
                  <w:tcW w:w="3639" w:type="pct"/>
                  <w:vAlign w:val="center"/>
                </w:tcPr>
                <w:p w14:paraId="09DBFC86">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1.加强河流水系整治。充分发挥“河长制”作用，持续开展河湖“清四乱”，组织实施妨碍河道行洪突出问题排查整治，全面清理河道内垃圾等废弃物。严禁在河道内开展清洗机械车辆、油桶等可能污染水体的作业，禁止在湖库内使用加油船，严控石油类物质漏洒，严禁在河道内放牧、倾倒畜禽粪污、生活垃圾、工业固废等。</w:t>
                  </w:r>
                </w:p>
                <w:p w14:paraId="383DAC9B">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2.强化入河排污口管控。实施入河排污口设置审核管理，强化入河排污口规范化管理。推动水环境精细化管控项目建设，全面提升入河排污口管理水平。深化入河排污口“查、测、溯、治”，实施“一口一策”，坚持分类治理，明确每个排污口整治措施和责任主体，按月组织入河排污口水质监测，对超标排放的排污口溯源整治，限期达标。</w:t>
                  </w:r>
                </w:p>
                <w:p w14:paraId="798FB70A">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3.积极推进重污染企业退城搬迁。持续推进市区及县城建成区内及周边钢铁、焦化、水泥、化工等重污染企业搬迁改造或关停退出，进一步优化产业布局。对市区规划区内的重污染企业，实施更为严格的差异化错峰生产、重污染天气应急减排措施。</w:t>
                  </w:r>
                </w:p>
                <w:p w14:paraId="6F608C6D">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4.严格保护优先保护类耕地。加强农药等农业投入品质量监管，严厉打击向农田施用重金属不达标肥料等农业投入品的行为。在永久基本农田集中区域，严禁规划新建可能造成土壤污染的建设项目。依法将符合条件的优先保护类耕地划为永久基本农田，实行严格保护，确保其面积不减少、土壤环境质量不下降。对优先保护类耕地面积减少或土壤环境质量下降的县、区，进行预警提醒并依法采取环评限批等限制性措施。</w:t>
                  </w:r>
                </w:p>
                <w:p w14:paraId="7FD16606">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5.巩固受污染耕地安全利用成效。制定全市受污染耕地安全利用年度计划。有安全利用类耕地的县、区，要结合当地主要作物品种和种植习惯，有针对性的制定并实施受污染耕地安全利用方案，落实品种替代、水肥调控、生理阻隔、土壤调理等安全利用技术措施，分区分类建立完善安全利用技术库和农作物种植推荐清单，巩固提高受污染耕地安全利用成效。</w:t>
                  </w:r>
                </w:p>
                <w:p w14:paraId="7DFA71B9">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6.加强严格管控类耕地风险管控。鼓励对严格管控类耕地按规定采取种植结构调整、轮作休耕等风险管控措施。加强粮食收储和流通环节监管，杜绝重金属超标粮食进入口粮市场。</w:t>
                  </w:r>
                </w:p>
                <w:p w14:paraId="6082F3A9">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7.严格污染地块准入管理。从严管控农药、焦化、化工等行业中的重度污染地块规划用途，严禁规划学校、住宅等，鼓励用于拓展生态空间。从事土地开发利用活动，要因地制宜采取有效措施，确保建设用地符合土壤环境质量要求。对列入建设用地土壤污染风险管控和修复名录的地块，自然资源部门严禁作为“一住两公”用地，严禁办理土地收回、收购、土地供应以及改变土地用途等手续。用途拟变更为“一住两公”用地的所有地块，要严格落实土壤污染状况调查评估及治理修复制度，认真执行《长治市建设用地土壤环境联动监督管理实施细则（试行）》。依法开展土壤污染状况调查或风险评估而未开展或尚未完成的地块，以及未达到土壤污染风险评估报告确定的风险管控、修复目标的地块，不得开工建设与风险管控、修复无关的项目。探索“环境修复＋开发建设”模式。</w:t>
                  </w:r>
                </w:p>
                <w:p w14:paraId="200C00BC">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8.严格重点流域、区域产业空间布局。严禁浊漳南源、北源、干流等河流谷地，太行山旅游板块，以及人居环境敏感的区域布局重污染项目。严禁在漳泽湖生态保护与修复区域、城市(县城)规划区布局钢铁(不含短流程炼钢)、铸造(不含高端铸件)、水泥、有色等高污染项目，以及危险化学品贮存、处理处置等高风险项目，支持城市(县城)建成区及周边重污染企业搬迁改造，大力推进企业建设节能环保水平高的先进产能项目。发挥主要污染物总量约束引导作用，对环境质量超标地区严格落实主要污染物总量“倍量削减”要求。优先支持焦化、钢铁等重点产业向资源禀赋好、环境承载力强、大气扩散条件优、铁路运输便利的城镇下风向工业园区转移。</w:t>
                  </w:r>
                </w:p>
                <w:p w14:paraId="5A63E991">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9.加强重点流域农业面源污染治理，积极推进流域内畜禽养殖粪污资源化利用；加强农业化肥农药施用管控，源头化肥农药减量增效，过程建设生态拦截沟，末端结合采煤沉陷区建设净化湿地，有效控制农业面源污染。</w:t>
                  </w:r>
                </w:p>
                <w:p w14:paraId="4C86A83D">
                  <w:pPr>
                    <w:pStyle w:val="25"/>
                    <w:keepNext w:val="0"/>
                    <w:keepLines w:val="0"/>
                    <w:numPr>
                      <w:ilvl w:val="0"/>
                      <w:numId w:val="0"/>
                    </w:numPr>
                    <w:suppressLineNumbers w:val="0"/>
                    <w:snapToGrid w:val="0"/>
                    <w:spacing w:before="0" w:beforeAutospacing="0" w:after="0" w:afterAutospacing="0"/>
                    <w:ind w:left="0" w:leftChars="0" w:right="0" w:firstLine="0" w:firstLineChars="0"/>
                    <w:jc w:val="both"/>
                    <w:rPr>
                      <w:rFonts w:hint="default" w:ascii="Times New Roman" w:hAnsi="Times New Roman" w:eastAsia="宋体" w:cs="Times New Roman"/>
                      <w:bCs/>
                      <w:color w:val="auto"/>
                      <w:kern w:val="2"/>
                      <w:sz w:val="21"/>
                      <w:szCs w:val="21"/>
                      <w:vertAlign w:val="baseline"/>
                      <w:lang w:val="en-US" w:eastAsia="zh-CN" w:bidi="ar"/>
                    </w:rPr>
                  </w:pPr>
                  <w:r>
                    <w:rPr>
                      <w:rFonts w:hint="default" w:ascii="Times New Roman" w:hAnsi="Times New Roman" w:cs="Times New Roman"/>
                      <w:bCs/>
                      <w:color w:val="auto"/>
                      <w:sz w:val="21"/>
                      <w:szCs w:val="21"/>
                      <w:lang w:bidi="ar"/>
                    </w:rPr>
                    <w:t>10.完善地下水污染源监测体系,到2023年底</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化学品生产企业、危险废物处置场、垃圾填埋场等地下水重点污染源地下水环境监测井规范监测比例不低于70%。强化地下水污染风险防控,全面推进地下水污染调查、监测、评估、风险防控和修复等。建立生态环境、自然资源、水利等部门信息共享机制,推进地下水型饮用水水源保护区、地下水重点污染源、水文地质分区、地下水监测水位水质等地下水环境“一张图”管理。</w:t>
                  </w:r>
                </w:p>
              </w:tc>
              <w:tc>
                <w:tcPr>
                  <w:tcW w:w="587" w:type="pct"/>
                  <w:vAlign w:val="center"/>
                </w:tcPr>
                <w:p w14:paraId="1B8A676B">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不涉及</w:t>
                  </w:r>
                </w:p>
                <w:p w14:paraId="06EB407B">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不涉及</w:t>
                  </w:r>
                </w:p>
                <w:p w14:paraId="77A85A18">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不属于</w:t>
                  </w:r>
                </w:p>
                <w:p w14:paraId="36DF6C66">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不属于</w:t>
                  </w:r>
                </w:p>
                <w:p w14:paraId="1BF75F00">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不涉及</w:t>
                  </w:r>
                </w:p>
                <w:p w14:paraId="76C73BDB">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不涉及</w:t>
                  </w:r>
                </w:p>
                <w:p w14:paraId="2722D294">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7.</w:t>
                  </w:r>
                  <w:r>
                    <w:rPr>
                      <w:rFonts w:hint="eastAsia" w:ascii="宋体" w:hAnsi="宋体" w:eastAsia="宋体" w:cs="宋体"/>
                      <w:color w:val="auto"/>
                      <w:kern w:val="0"/>
                      <w:sz w:val="21"/>
                      <w:szCs w:val="21"/>
                      <w:lang w:val="en-US" w:eastAsia="zh-CN" w:bidi="ar"/>
                    </w:rPr>
                    <w:t>不属于</w:t>
                  </w:r>
                </w:p>
                <w:p w14:paraId="5088E212">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8.</w:t>
                  </w:r>
                  <w:r>
                    <w:rPr>
                      <w:rFonts w:hint="eastAsia" w:ascii="宋体" w:hAnsi="宋体" w:eastAsia="宋体" w:cs="宋体"/>
                      <w:color w:val="auto"/>
                      <w:kern w:val="0"/>
                      <w:sz w:val="21"/>
                      <w:szCs w:val="21"/>
                      <w:lang w:val="en-US" w:eastAsia="zh-CN" w:bidi="ar"/>
                    </w:rPr>
                    <w:t>不属于</w:t>
                  </w:r>
                </w:p>
                <w:p w14:paraId="14D4CE75">
                  <w:pPr>
                    <w:keepNext w:val="0"/>
                    <w:keepLines w:val="0"/>
                    <w:widowControl/>
                    <w:suppressLineNumbers w:val="0"/>
                    <w:spacing w:before="0" w:beforeAutospacing="0" w:after="0" w:afterAutospacing="0"/>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9.</w:t>
                  </w:r>
                  <w:r>
                    <w:rPr>
                      <w:rFonts w:hint="eastAsia" w:ascii="宋体" w:hAnsi="宋体" w:eastAsia="宋体" w:cs="宋体"/>
                      <w:color w:val="auto"/>
                      <w:kern w:val="0"/>
                      <w:sz w:val="21"/>
                      <w:szCs w:val="21"/>
                      <w:lang w:val="en-US" w:eastAsia="zh-CN" w:bidi="ar"/>
                    </w:rPr>
                    <w:t>不涉及</w:t>
                  </w:r>
                </w:p>
                <w:p w14:paraId="4725032E">
                  <w:pPr>
                    <w:keepNext w:val="0"/>
                    <w:keepLines w:val="0"/>
                    <w:widowControl/>
                    <w:suppressLineNumbers w:val="0"/>
                    <w:spacing w:before="0" w:beforeAutospacing="0" w:after="0" w:afterAutospacing="0"/>
                    <w:ind w:left="0" w:right="0"/>
                    <w:jc w:val="both"/>
                    <w:rPr>
                      <w:rFonts w:hint="eastAsia" w:ascii="Times New Roman" w:hAnsi="Times New Roman" w:eastAsia="宋体" w:cs="宋体"/>
                      <w:bCs/>
                      <w:color w:val="auto"/>
                      <w:kern w:val="2"/>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10.</w:t>
                  </w:r>
                  <w:r>
                    <w:rPr>
                      <w:rFonts w:hint="eastAsia" w:ascii="宋体" w:hAnsi="宋体" w:eastAsia="宋体" w:cs="宋体"/>
                      <w:color w:val="auto"/>
                      <w:kern w:val="0"/>
                      <w:sz w:val="21"/>
                      <w:szCs w:val="21"/>
                      <w:lang w:val="en-US" w:eastAsia="zh-CN" w:bidi="ar"/>
                    </w:rPr>
                    <w:t>不涉及</w:t>
                  </w:r>
                </w:p>
              </w:tc>
              <w:tc>
                <w:tcPr>
                  <w:tcW w:w="347" w:type="pct"/>
                  <w:vAlign w:val="center"/>
                </w:tcPr>
                <w:p w14:paraId="4DFCF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符合</w:t>
                  </w:r>
                </w:p>
              </w:tc>
            </w:tr>
            <w:tr w14:paraId="694F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424" w:type="pct"/>
                  <w:vAlign w:val="center"/>
                </w:tcPr>
                <w:p w14:paraId="59D6F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highlight w:val="none"/>
                    </w:rPr>
                    <w:t>资源利用效率</w:t>
                  </w:r>
                </w:p>
              </w:tc>
              <w:tc>
                <w:tcPr>
                  <w:tcW w:w="3639" w:type="pct"/>
                  <w:vAlign w:val="center"/>
                </w:tcPr>
                <w:p w14:paraId="7EF26237">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1.保障河流生态流量。以浊漳河为重点，制定生态流量保障实施方案，将生态用水纳入水资源日常运行调度规程，落实《浊漳河生态调水方案》，保障河流生态流量。建立应对水污染事故应急补水机制。</w:t>
                  </w:r>
                </w:p>
                <w:p w14:paraId="6DF3BDFB">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2.推动再生水循环利用。提升城市再生水利用水平，完善再生水利用设施，拓宽再生水利用渠道。加快推进再生水利用工程，城市再生水优先用于工业生产、城市绿化、市政杂用和河湖景观用水，2023年城镇污水处理再生水利用率达到25</w:t>
                  </w:r>
                  <w:r>
                    <w:rPr>
                      <w:rFonts w:hint="eastAsia"/>
                      <w:bCs/>
                      <w:color w:val="auto"/>
                      <w:sz w:val="21"/>
                      <w:szCs w:val="21"/>
                      <w:lang w:val="en-US" w:eastAsia="zh-CN" w:bidi="ar"/>
                    </w:rPr>
                    <w:t>%</w:t>
                  </w:r>
                  <w:r>
                    <w:rPr>
                      <w:rFonts w:hint="default"/>
                      <w:bCs/>
                      <w:color w:val="auto"/>
                      <w:sz w:val="21"/>
                      <w:szCs w:val="21"/>
                      <w:lang w:bidi="ar"/>
                    </w:rPr>
                    <w:t>以上。</w:t>
                  </w:r>
                </w:p>
                <w:p w14:paraId="3399E956">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3.提升饮用水水源保护水平。深化县级及以上集中式饮用水水源保护区规范化建设，2023年底前完成县级地表水型集中式饮用水水源保护区规范化建设。</w:t>
                  </w:r>
                </w:p>
                <w:p w14:paraId="55C8197B">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4.推进海绵化城市建设。综合运用“渗、滞、蓄、净、用、排”等措施，充分发挥建筑、道路、绿地、水系等生态系统对雨水的吸纳、蓄渗和缓释作用，开展初期雨水收集处理，有效控制雨水径流，实现自然积存、自然渗透、自然净化。完成雨污分流改造，2023年完成164km 城镇排水管网雨污分流改造任务。</w:t>
                  </w:r>
                </w:p>
                <w:p w14:paraId="35EA815E">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5.严格控制煤炭消费总量。严格落实耗煤项目煤炭减量替代措施，未落实减量替代的耗煤项目不予审批、核准、备案。大力发展新能源和清洁能源，不断提升非化石能源消费比重。严格控制燃煤机组新增装机规模，鼓励通过关停规模小、煤耗高、服役时间长、排放强度大的煤电机组，等容量替代建设支撑性煤电项目。支持自备燃煤（矸石）机组实施清洁能源替代，鼓励自备电厂转为公用电厂。</w:t>
                  </w:r>
                </w:p>
                <w:p w14:paraId="5FD0ACA3">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6.推进传统产业绿色化改造。坚持高端化、智能化、绿色化发展方向，通过延链补链强链，进一步推动产业链耦合、循环式发展。严把高耗能、高排放项目准入关口，严格落实污染物排放削减要求，对不符合规定的项目坚决停批停建，坚决打破“两高”项目路径依赖。大力推动智能绿色安全开采和清洁高效深度利用，因地制宜推广充填开采、煤与瓦斯共采、井下洗选等绿色开采技术，鼓励原煤全部入选(洗)。鼓励高炉-转炉长流程钢铁企业转型为电炉短流程企业，推动落实《长治市钢铁产业布局意见》，推广清洁生产，加快以节能降耗为核心的技术改造，全面实现超低排放，吨钢综合能耗降至全国行业平均数值以下。开展煤电机组节能改造、供热改造和灵活性改造。加快推动4.3米焦炉淘汰，支持焦化行业通过压减产能、淘汰整合提质升级，推进焦炉煤气、煤焦油、粗苯高端利用，化产品精深加工高端发展，污染排放总量大幅下降。以试点示范为抓手，开展绿色园区、绿色工厂创建，培育绿色设计产品，打造绿色供应链，持续推进绿色制造体系建设。</w:t>
                  </w:r>
                </w:p>
                <w:p w14:paraId="6CEAA2B7">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7.到2025年，全市万元地区生产总值用水量下降15%，灌溉利用系数达到0.58以上。</w:t>
                  </w:r>
                </w:p>
                <w:p w14:paraId="1445AF4C">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8.到2025年再生水利用率达到50%以上。</w:t>
                  </w:r>
                </w:p>
                <w:p w14:paraId="148DCD53">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9.到2025年，农村生活污水治理率达到25%。</w:t>
                  </w:r>
                </w:p>
                <w:p w14:paraId="61C7EAF8">
                  <w:pPr>
                    <w:keepNext w:val="0"/>
                    <w:keepLines w:val="0"/>
                    <w:suppressLineNumbers w:val="0"/>
                    <w:spacing w:before="0" w:beforeAutospacing="0" w:after="0" w:afterAutospacing="0"/>
                    <w:ind w:left="0" w:right="0"/>
                    <w:rPr>
                      <w:rFonts w:hint="default"/>
                      <w:bCs/>
                      <w:color w:val="auto"/>
                      <w:sz w:val="21"/>
                      <w:szCs w:val="21"/>
                      <w:lang w:bidi="ar"/>
                    </w:rPr>
                  </w:pPr>
                  <w:r>
                    <w:rPr>
                      <w:rFonts w:hint="default"/>
                      <w:bCs/>
                      <w:color w:val="auto"/>
                      <w:sz w:val="21"/>
                      <w:szCs w:val="21"/>
                      <w:lang w:bidi="ar"/>
                    </w:rPr>
                    <w:t>10.到2025年，畜禽粪污综合利用率达到90%以上，规模养殖场粪污处理设施装备配套率达到100%。</w:t>
                  </w:r>
                </w:p>
                <w:p w14:paraId="68C13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color w:val="auto"/>
                      <w:sz w:val="21"/>
                      <w:szCs w:val="21"/>
                      <w:highlight w:val="none"/>
                    </w:rPr>
                  </w:pPr>
                  <w:r>
                    <w:rPr>
                      <w:rFonts w:hint="default"/>
                      <w:bCs/>
                      <w:color w:val="auto"/>
                      <w:sz w:val="21"/>
                      <w:szCs w:val="21"/>
                      <w:lang w:bidi="ar"/>
                    </w:rPr>
                    <w:t>11.健全双控指标体系，强化水资源承载能力刚性约束。严格实行区域用水总量和强度控制。</w:t>
                  </w:r>
                </w:p>
              </w:tc>
              <w:tc>
                <w:tcPr>
                  <w:tcW w:w="587" w:type="pct"/>
                  <w:vAlign w:val="center"/>
                </w:tcPr>
                <w:p w14:paraId="0D66D469">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不涉及</w:t>
                  </w:r>
                </w:p>
                <w:p w14:paraId="0E10C840">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不涉及</w:t>
                  </w:r>
                </w:p>
                <w:p w14:paraId="696AC27C">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不涉及</w:t>
                  </w:r>
                </w:p>
                <w:p w14:paraId="23063E3B">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不涉及</w:t>
                  </w:r>
                </w:p>
                <w:p w14:paraId="377F09E9">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不涉及</w:t>
                  </w:r>
                </w:p>
                <w:p w14:paraId="4D5B164D">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不属于</w:t>
                  </w:r>
                </w:p>
                <w:p w14:paraId="628C9671">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7.</w:t>
                  </w:r>
                  <w:r>
                    <w:rPr>
                      <w:rFonts w:hint="eastAsia" w:ascii="宋体" w:hAnsi="宋体" w:eastAsia="宋体" w:cs="宋体"/>
                      <w:color w:val="auto"/>
                      <w:kern w:val="0"/>
                      <w:sz w:val="21"/>
                      <w:szCs w:val="21"/>
                      <w:lang w:val="en-US" w:eastAsia="zh-CN" w:bidi="ar"/>
                    </w:rPr>
                    <w:t>不涉及</w:t>
                  </w:r>
                </w:p>
                <w:p w14:paraId="7BB74AB7">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8.</w:t>
                  </w:r>
                  <w:r>
                    <w:rPr>
                      <w:rFonts w:hint="eastAsia" w:ascii="宋体" w:hAnsi="宋体" w:eastAsia="宋体" w:cs="宋体"/>
                      <w:color w:val="auto"/>
                      <w:kern w:val="0"/>
                      <w:sz w:val="21"/>
                      <w:szCs w:val="21"/>
                      <w:lang w:val="en-US" w:eastAsia="zh-CN" w:bidi="ar"/>
                    </w:rPr>
                    <w:t>不涉及</w:t>
                  </w:r>
                </w:p>
                <w:p w14:paraId="70637587">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9.</w:t>
                  </w:r>
                  <w:r>
                    <w:rPr>
                      <w:rFonts w:hint="eastAsia" w:ascii="宋体" w:hAnsi="宋体" w:eastAsia="宋体" w:cs="宋体"/>
                      <w:color w:val="auto"/>
                      <w:kern w:val="0"/>
                      <w:sz w:val="21"/>
                      <w:szCs w:val="21"/>
                      <w:lang w:val="en-US" w:eastAsia="zh-CN" w:bidi="ar"/>
                    </w:rPr>
                    <w:t>不涉及</w:t>
                  </w:r>
                </w:p>
                <w:p w14:paraId="1515EF14">
                  <w:pPr>
                    <w:keepNext w:val="0"/>
                    <w:keepLines w:val="0"/>
                    <w:widowControl/>
                    <w:suppressLineNumbers w:val="0"/>
                    <w:spacing w:before="0" w:beforeAutospacing="0" w:after="0" w:afterAutospacing="0"/>
                    <w:ind w:left="0" w:right="0"/>
                    <w:jc w:val="left"/>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10.</w:t>
                  </w:r>
                  <w:r>
                    <w:rPr>
                      <w:rFonts w:hint="eastAsia" w:ascii="宋体" w:hAnsi="宋体" w:eastAsia="宋体" w:cs="宋体"/>
                      <w:color w:val="auto"/>
                      <w:kern w:val="0"/>
                      <w:sz w:val="21"/>
                      <w:szCs w:val="21"/>
                      <w:lang w:val="en-US" w:eastAsia="zh-CN" w:bidi="ar"/>
                    </w:rPr>
                    <w:t>不涉及</w:t>
                  </w:r>
                </w:p>
                <w:p w14:paraId="0581F169">
                  <w:pPr>
                    <w:keepNext w:val="0"/>
                    <w:keepLines w:val="0"/>
                    <w:widowControl/>
                    <w:suppressLineNumbers w:val="0"/>
                    <w:spacing w:before="0" w:beforeAutospacing="0" w:after="0" w:afterAutospacing="0"/>
                    <w:ind w:left="0" w:right="0"/>
                    <w:jc w:val="left"/>
                    <w:rPr>
                      <w:rFonts w:hint="default" w:ascii="Times New Roman" w:hAnsi="Times New Roman" w:eastAsia="宋体" w:cs="宋体"/>
                      <w:bCs/>
                      <w:color w:val="auto"/>
                      <w:kern w:val="2"/>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11.</w:t>
                  </w:r>
                  <w:r>
                    <w:rPr>
                      <w:rFonts w:hint="eastAsia" w:ascii="宋体" w:hAnsi="宋体" w:eastAsia="宋体" w:cs="宋体"/>
                      <w:color w:val="auto"/>
                      <w:kern w:val="0"/>
                      <w:sz w:val="21"/>
                      <w:szCs w:val="21"/>
                      <w:lang w:val="en-US" w:eastAsia="zh-CN" w:bidi="ar"/>
                    </w:rPr>
                    <w:t>不涉及</w:t>
                  </w:r>
                </w:p>
              </w:tc>
              <w:tc>
                <w:tcPr>
                  <w:tcW w:w="347" w:type="pct"/>
                  <w:vAlign w:val="center"/>
                </w:tcPr>
                <w:p w14:paraId="7B690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bCs/>
                      <w:color w:val="auto"/>
                      <w:kern w:val="2"/>
                      <w:sz w:val="21"/>
                      <w:szCs w:val="21"/>
                      <w:vertAlign w:val="baseline"/>
                      <w:lang w:val="en-US" w:eastAsia="zh-CN" w:bidi="ar"/>
                    </w:rPr>
                  </w:pPr>
                  <w:r>
                    <w:rPr>
                      <w:rFonts w:hint="eastAsia" w:cs="宋体"/>
                      <w:bCs/>
                      <w:color w:val="auto"/>
                      <w:kern w:val="2"/>
                      <w:sz w:val="21"/>
                      <w:szCs w:val="21"/>
                      <w:vertAlign w:val="baseline"/>
                      <w:lang w:val="en-US" w:eastAsia="zh-CN" w:bidi="ar"/>
                    </w:rPr>
                    <w:t>符合</w:t>
                  </w:r>
                </w:p>
              </w:tc>
            </w:tr>
          </w:tbl>
          <w:p w14:paraId="2A34B404">
            <w:pPr>
              <w:pStyle w:val="16"/>
              <w:keepNext w:val="0"/>
              <w:keepLines w:val="0"/>
              <w:suppressLineNumbers w:val="0"/>
              <w:spacing w:before="0" w:beforeAutospacing="0" w:after="0" w:afterAutospacing="0"/>
              <w:ind w:left="0" w:right="0"/>
              <w:rPr>
                <w:rFonts w:hint="default"/>
                <w:color w:val="auto"/>
                <w:lang w:val="en-US" w:eastAsia="zh-CN"/>
              </w:rPr>
            </w:pPr>
          </w:p>
        </w:tc>
      </w:tr>
    </w:tbl>
    <w:p w14:paraId="0D703683">
      <w:pPr>
        <w:rPr>
          <w:color w:val="auto"/>
          <w:highlight w:val="none"/>
        </w:rPr>
        <w:sectPr>
          <w:footerReference r:id="rId6"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8"/>
        <w:tblW w:w="89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303"/>
      </w:tblGrid>
      <w:tr w14:paraId="18161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79" w:type="dxa"/>
            <w:vAlign w:val="center"/>
          </w:tcPr>
          <w:p w14:paraId="60BD39A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其他符合性分析</w:t>
            </w:r>
          </w:p>
        </w:tc>
        <w:tc>
          <w:tcPr>
            <w:tcW w:w="8303" w:type="dxa"/>
            <w:vAlign w:val="center"/>
          </w:tcPr>
          <w:p w14:paraId="664363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504"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Cs/>
                <w:color w:val="auto"/>
                <w:spacing w:val="6"/>
                <w:kern w:val="2"/>
                <w:sz w:val="24"/>
                <w:highlight w:val="none"/>
              </w:rPr>
              <w:t>综上所述，</w:t>
            </w:r>
            <w:r>
              <w:rPr>
                <w:rFonts w:hint="eastAsia" w:ascii="Times New Roman" w:hAnsi="Times New Roman" w:eastAsia="宋体" w:cs="Times New Roman"/>
                <w:color w:val="auto"/>
                <w:sz w:val="24"/>
                <w:szCs w:val="24"/>
                <w:lang w:val="en-US" w:eastAsia="zh-CN" w:bidi="ar"/>
              </w:rPr>
              <w:t>本项目建设不违背《长治市人民政府关于实施</w:t>
            </w:r>
            <w:r>
              <w:rPr>
                <w:rFonts w:hint="default" w:ascii="Times New Roman" w:hAnsi="Times New Roman" w:eastAsia="宋体" w:cs="Times New Roman"/>
                <w:color w:val="auto"/>
                <w:sz w:val="24"/>
                <w:szCs w:val="24"/>
                <w:lang w:val="en-US" w:eastAsia="zh-CN" w:bidi="ar"/>
              </w:rPr>
              <w:t>“</w:t>
            </w:r>
            <w:r>
              <w:rPr>
                <w:rFonts w:hint="eastAsia" w:ascii="Times New Roman" w:hAnsi="Times New Roman" w:eastAsia="宋体" w:cs="Times New Roman"/>
                <w:color w:val="auto"/>
                <w:sz w:val="24"/>
                <w:szCs w:val="24"/>
                <w:lang w:val="en-US" w:eastAsia="zh-CN" w:bidi="ar"/>
              </w:rPr>
              <w:t>三线一单</w:t>
            </w:r>
            <w:r>
              <w:rPr>
                <w:rFonts w:hint="default" w:ascii="Times New Roman" w:hAnsi="Times New Roman" w:eastAsia="宋体" w:cs="Times New Roman"/>
                <w:color w:val="auto"/>
                <w:sz w:val="24"/>
                <w:szCs w:val="24"/>
                <w:lang w:val="en-US" w:eastAsia="zh-CN" w:bidi="ar"/>
              </w:rPr>
              <w:t>”</w:t>
            </w:r>
            <w:r>
              <w:rPr>
                <w:rFonts w:hint="eastAsia" w:ascii="Times New Roman" w:hAnsi="Times New Roman" w:eastAsia="宋体" w:cs="Times New Roman"/>
                <w:color w:val="auto"/>
                <w:sz w:val="24"/>
                <w:szCs w:val="24"/>
                <w:lang w:val="en-US" w:eastAsia="zh-CN" w:bidi="ar"/>
              </w:rPr>
              <w:t>生态环境分区管控的实施意见》中环境准入相关要求，符合长治市</w:t>
            </w:r>
            <w:r>
              <w:rPr>
                <w:rFonts w:hint="default" w:ascii="Times New Roman" w:hAnsi="Times New Roman" w:eastAsia="宋体" w:cs="Times New Roman"/>
                <w:color w:val="auto"/>
                <w:sz w:val="24"/>
                <w:szCs w:val="24"/>
                <w:lang w:val="en-US" w:eastAsia="zh-CN" w:bidi="ar"/>
              </w:rPr>
              <w:t>“</w:t>
            </w:r>
            <w:r>
              <w:rPr>
                <w:rFonts w:hint="eastAsia" w:ascii="Times New Roman" w:hAnsi="Times New Roman" w:eastAsia="宋体" w:cs="Times New Roman"/>
                <w:color w:val="auto"/>
                <w:sz w:val="24"/>
                <w:szCs w:val="24"/>
                <w:lang w:val="en-US" w:eastAsia="zh-CN" w:bidi="ar"/>
              </w:rPr>
              <w:t>三线一单</w:t>
            </w:r>
            <w:r>
              <w:rPr>
                <w:rFonts w:hint="default" w:ascii="Times New Roman" w:hAnsi="Times New Roman" w:eastAsia="宋体" w:cs="Times New Roman"/>
                <w:color w:val="auto"/>
                <w:sz w:val="24"/>
                <w:szCs w:val="24"/>
                <w:lang w:val="en-US" w:eastAsia="zh-CN" w:bidi="ar"/>
              </w:rPr>
              <w:t>”</w:t>
            </w:r>
            <w:r>
              <w:rPr>
                <w:rFonts w:hint="eastAsia" w:ascii="Times New Roman" w:hAnsi="Times New Roman" w:eastAsia="宋体" w:cs="Times New Roman"/>
                <w:color w:val="auto"/>
                <w:sz w:val="24"/>
                <w:szCs w:val="24"/>
                <w:lang w:val="en-US" w:eastAsia="zh-CN" w:bidi="ar"/>
              </w:rPr>
              <w:t>的管控原则</w:t>
            </w:r>
            <w:r>
              <w:rPr>
                <w:rFonts w:hint="default" w:ascii="Times New Roman" w:hAnsi="Times New Roman" w:eastAsia="宋体" w:cs="Times New Roman"/>
                <w:bCs/>
                <w:color w:val="auto"/>
                <w:spacing w:val="6"/>
                <w:kern w:val="2"/>
                <w:sz w:val="24"/>
                <w:highlight w:val="none"/>
              </w:rPr>
              <w:t>。</w:t>
            </w:r>
          </w:p>
          <w:p w14:paraId="3C50F3A7">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cs="Times New Roman"/>
                <w:b/>
                <w:bCs w:val="0"/>
                <w:color w:val="auto"/>
                <w:kern w:val="2"/>
                <w:lang w:val="en-US"/>
              </w:rPr>
            </w:pPr>
            <w:r>
              <w:rPr>
                <w:rFonts w:hint="eastAsia" w:ascii="Times New Roman" w:hAnsi="Times New Roman" w:eastAsia="宋体" w:cs="Times New Roman"/>
                <w:b/>
                <w:bCs w:val="0"/>
                <w:color w:val="auto"/>
                <w:kern w:val="2"/>
                <w:sz w:val="24"/>
                <w:szCs w:val="24"/>
                <w:lang w:val="en-US" w:eastAsia="zh-CN" w:bidi="ar"/>
              </w:rPr>
              <w:t>三、与相关生态环境保护法律法规政策、生态环境保护规划的符合性分析</w:t>
            </w:r>
          </w:p>
          <w:p w14:paraId="01584D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1.</w:t>
            </w:r>
            <w:r>
              <w:rPr>
                <w:rFonts w:hint="eastAsia" w:ascii="Times New Roman" w:hAnsi="Times New Roman" w:eastAsia="宋体" w:cs="Times New Roman"/>
                <w:b/>
                <w:bCs/>
                <w:color w:val="auto"/>
                <w:kern w:val="2"/>
                <w:sz w:val="24"/>
                <w:szCs w:val="24"/>
                <w:lang w:val="en-US" w:eastAsia="zh-CN" w:bidi="ar"/>
              </w:rPr>
              <w:t>与区域水源地保护区符合性分析</w:t>
            </w:r>
          </w:p>
          <w:p w14:paraId="2004507D">
            <w:pPr>
              <w:pStyle w:val="6"/>
              <w:keepNext/>
              <w:keepLines/>
              <w:pageBreakBefore w:val="0"/>
              <w:widowControl/>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（1）</w:t>
            </w:r>
            <w:bookmarkStart w:id="4" w:name="_Hlk82075314"/>
            <w:r>
              <w:rPr>
                <w:rFonts w:hint="default" w:ascii="Times New Roman" w:hAnsi="Times New Roman" w:eastAsia="宋体" w:cs="Times New Roman"/>
                <w:b w:val="0"/>
                <w:bCs/>
                <w:color w:val="auto"/>
                <w:kern w:val="2"/>
                <w:sz w:val="24"/>
                <w:szCs w:val="24"/>
                <w:lang w:val="en-US" w:eastAsia="zh-CN" w:bidi="ar"/>
              </w:rPr>
              <w:t>县城集中饮用水源地</w:t>
            </w:r>
            <w:bookmarkEnd w:id="4"/>
          </w:p>
          <w:p w14:paraId="635A255B">
            <w:pPr>
              <w:keepNext w:val="0"/>
              <w:keepLines w:val="0"/>
              <w:widowControl w:val="0"/>
              <w:suppressLineNumbers w:val="0"/>
              <w:spacing w:before="0" w:beforeAutospacing="0" w:after="0" w:afterAutospacing="0" w:line="480" w:lineRule="exact"/>
              <w:ind w:left="0" w:right="0" w:firstLine="480" w:firstLineChars="200"/>
              <w:jc w:val="both"/>
              <w:rPr>
                <w:rFonts w:hint="default"/>
                <w:color w:val="auto"/>
                <w:sz w:val="24"/>
                <w:szCs w:val="21"/>
                <w:lang w:val="en-US"/>
              </w:rPr>
            </w:pPr>
            <w:r>
              <w:rPr>
                <w:rFonts w:hint="eastAsia" w:ascii="Times New Roman" w:hAnsi="Times New Roman" w:eastAsia="宋体" w:cs="宋体"/>
                <w:color w:val="auto"/>
                <w:kern w:val="2"/>
                <w:sz w:val="24"/>
                <w:szCs w:val="21"/>
                <w:lang w:val="en-US" w:eastAsia="zh-CN" w:bidi="ar"/>
              </w:rPr>
              <w:t>根据《屯留县城水源地保护区划分技术报告》，屯留区有席店和屯降两处水源地保护区。席店水源地保护区范围为东自郭村西一线，西自刘家坪西南一线，北起刘家坪南一线，南到罗庄席店东一线，由以上圈点的面积为</w:t>
            </w:r>
            <w:r>
              <w:rPr>
                <w:rFonts w:hint="default" w:ascii="Times New Roman" w:hAnsi="Times New Roman" w:eastAsia="宋体" w:cs="Times New Roman"/>
                <w:color w:val="auto"/>
                <w:kern w:val="2"/>
                <w:sz w:val="24"/>
                <w:szCs w:val="21"/>
                <w:lang w:val="en-US" w:eastAsia="zh-CN" w:bidi="ar"/>
              </w:rPr>
              <w:t>1.85km</w:t>
            </w:r>
            <w:r>
              <w:rPr>
                <w:rFonts w:hint="default" w:ascii="Times New Roman" w:hAnsi="Times New Roman" w:eastAsia="宋体" w:cs="Times New Roman"/>
                <w:color w:val="auto"/>
                <w:kern w:val="2"/>
                <w:sz w:val="24"/>
                <w:szCs w:val="21"/>
                <w:vertAlign w:val="superscript"/>
                <w:lang w:val="en-US" w:eastAsia="zh-CN" w:bidi="ar"/>
              </w:rPr>
              <w:t>2</w:t>
            </w:r>
            <w:r>
              <w:rPr>
                <w:rFonts w:hint="eastAsia" w:ascii="Times New Roman" w:hAnsi="Times New Roman" w:eastAsia="宋体" w:cs="宋体"/>
                <w:color w:val="auto"/>
                <w:kern w:val="2"/>
                <w:sz w:val="24"/>
                <w:szCs w:val="21"/>
                <w:lang w:val="en-US" w:eastAsia="zh-CN" w:bidi="ar"/>
              </w:rPr>
              <w:t>。屯降水库水源地保护区范围为屯降水库水面及水库上游</w:t>
            </w:r>
            <w:r>
              <w:rPr>
                <w:rFonts w:hint="default" w:ascii="Times New Roman" w:hAnsi="Times New Roman" w:eastAsia="宋体" w:cs="Times New Roman"/>
                <w:color w:val="auto"/>
                <w:kern w:val="2"/>
                <w:sz w:val="24"/>
                <w:szCs w:val="21"/>
                <w:lang w:val="en-US" w:eastAsia="zh-CN" w:bidi="ar"/>
              </w:rPr>
              <w:t>1000m</w:t>
            </w:r>
            <w:r>
              <w:rPr>
                <w:rFonts w:hint="eastAsia" w:ascii="Times New Roman" w:hAnsi="Times New Roman" w:eastAsia="宋体" w:cs="宋体"/>
                <w:color w:val="auto"/>
                <w:kern w:val="2"/>
                <w:sz w:val="24"/>
                <w:szCs w:val="21"/>
                <w:lang w:val="en-US" w:eastAsia="zh-CN" w:bidi="ar"/>
              </w:rPr>
              <w:t>的水面和陆面。厂址位置距离席店和屯降两处水源地保护区分别为</w:t>
            </w:r>
            <w:r>
              <w:rPr>
                <w:rFonts w:hint="eastAsia" w:cs="Times New Roman"/>
                <w:color w:val="auto"/>
                <w:kern w:val="2"/>
                <w:sz w:val="24"/>
                <w:szCs w:val="21"/>
                <w:highlight w:val="none"/>
                <w:lang w:val="en-US" w:eastAsia="zh-CN" w:bidi="ar"/>
              </w:rPr>
              <w:t>11.2</w:t>
            </w:r>
            <w:r>
              <w:rPr>
                <w:rFonts w:hint="default" w:ascii="Times New Roman" w:hAnsi="Times New Roman" w:eastAsia="宋体" w:cs="Times New Roman"/>
                <w:color w:val="auto"/>
                <w:kern w:val="2"/>
                <w:sz w:val="24"/>
                <w:szCs w:val="21"/>
                <w:highlight w:val="none"/>
                <w:lang w:val="en-US" w:eastAsia="zh-CN" w:bidi="ar"/>
              </w:rPr>
              <w:t>km</w:t>
            </w:r>
            <w:r>
              <w:rPr>
                <w:rFonts w:hint="eastAsia" w:ascii="Times New Roman" w:hAnsi="Times New Roman" w:eastAsia="宋体" w:cs="宋体"/>
                <w:color w:val="auto"/>
                <w:kern w:val="2"/>
                <w:sz w:val="24"/>
                <w:szCs w:val="21"/>
                <w:highlight w:val="none"/>
                <w:lang w:val="en-US" w:eastAsia="zh-CN" w:bidi="ar"/>
              </w:rPr>
              <w:t>和</w:t>
            </w:r>
            <w:r>
              <w:rPr>
                <w:rFonts w:hint="eastAsia" w:ascii="Times New Roman" w:hAnsi="Times New Roman" w:eastAsia="宋体" w:cs="Times New Roman"/>
                <w:color w:val="auto"/>
                <w:kern w:val="2"/>
                <w:sz w:val="24"/>
                <w:szCs w:val="21"/>
                <w:highlight w:val="none"/>
                <w:lang w:val="en-US" w:eastAsia="zh-CN" w:bidi="ar"/>
              </w:rPr>
              <w:t>23.2</w:t>
            </w:r>
            <w:r>
              <w:rPr>
                <w:rFonts w:hint="default" w:ascii="Times New Roman" w:hAnsi="Times New Roman" w:eastAsia="宋体" w:cs="Times New Roman"/>
                <w:color w:val="auto"/>
                <w:kern w:val="2"/>
                <w:sz w:val="24"/>
                <w:szCs w:val="21"/>
                <w:highlight w:val="none"/>
                <w:lang w:val="en-US" w:eastAsia="zh-CN" w:bidi="ar"/>
              </w:rPr>
              <w:t>km</w:t>
            </w:r>
            <w:r>
              <w:rPr>
                <w:rFonts w:hint="eastAsia" w:ascii="Times New Roman" w:hAnsi="Times New Roman" w:eastAsia="宋体" w:cs="宋体"/>
                <w:color w:val="auto"/>
                <w:kern w:val="2"/>
                <w:sz w:val="24"/>
                <w:szCs w:val="21"/>
                <w:highlight w:val="none"/>
                <w:lang w:val="en-US" w:eastAsia="zh-CN" w:bidi="ar"/>
              </w:rPr>
              <w:t>，</w:t>
            </w:r>
            <w:r>
              <w:rPr>
                <w:rFonts w:hint="eastAsia" w:ascii="Times New Roman" w:hAnsi="Times New Roman" w:eastAsia="宋体" w:cs="宋体"/>
                <w:color w:val="auto"/>
                <w:kern w:val="2"/>
                <w:sz w:val="24"/>
                <w:szCs w:val="21"/>
                <w:lang w:val="en-US" w:eastAsia="zh-CN" w:bidi="ar"/>
              </w:rPr>
              <w:t>不会对水源地造成影响。本项目与屯留区县城水源地保护区相对位置关系图见附图</w:t>
            </w:r>
            <w:r>
              <w:rPr>
                <w:rFonts w:hint="eastAsia" w:cs="Times New Roman"/>
                <w:color w:val="auto"/>
                <w:kern w:val="2"/>
                <w:sz w:val="24"/>
                <w:szCs w:val="21"/>
                <w:lang w:val="en-US" w:eastAsia="zh-CN" w:bidi="ar"/>
              </w:rPr>
              <w:t>5</w:t>
            </w:r>
            <w:r>
              <w:rPr>
                <w:rFonts w:hint="eastAsia" w:ascii="Times New Roman" w:hAnsi="Times New Roman" w:eastAsia="宋体" w:cs="宋体"/>
                <w:color w:val="auto"/>
                <w:kern w:val="2"/>
                <w:sz w:val="24"/>
                <w:szCs w:val="21"/>
                <w:lang w:val="en-US" w:eastAsia="zh-CN" w:bidi="ar"/>
              </w:rPr>
              <w:t>。</w:t>
            </w:r>
          </w:p>
          <w:p w14:paraId="59BB3EC0">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w:t>
            </w:r>
            <w:r>
              <w:rPr>
                <w:rFonts w:hint="eastAsia"/>
                <w:color w:val="auto"/>
                <w:sz w:val="24"/>
                <w:szCs w:val="21"/>
              </w:rPr>
              <w:t>2</w:t>
            </w:r>
            <w:r>
              <w:rPr>
                <w:rFonts w:hint="default"/>
                <w:color w:val="auto"/>
                <w:sz w:val="24"/>
                <w:szCs w:val="21"/>
              </w:rPr>
              <w:t>）</w:t>
            </w:r>
            <w:r>
              <w:rPr>
                <w:rFonts w:hint="eastAsia"/>
                <w:color w:val="auto"/>
                <w:sz w:val="24"/>
                <w:szCs w:val="21"/>
              </w:rPr>
              <w:t>乡镇</w:t>
            </w:r>
            <w:r>
              <w:rPr>
                <w:rFonts w:hint="default"/>
                <w:color w:val="auto"/>
                <w:sz w:val="24"/>
                <w:szCs w:val="21"/>
              </w:rPr>
              <w:t>集中饮用水源地</w:t>
            </w:r>
          </w:p>
          <w:p w14:paraId="410C8B05">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屯留</w:t>
            </w:r>
            <w:r>
              <w:rPr>
                <w:rFonts w:hint="eastAsia"/>
                <w:color w:val="auto"/>
                <w:sz w:val="24"/>
                <w:szCs w:val="21"/>
              </w:rPr>
              <w:t>区</w:t>
            </w:r>
            <w:r>
              <w:rPr>
                <w:rFonts w:hint="default"/>
                <w:color w:val="auto"/>
                <w:sz w:val="24"/>
                <w:szCs w:val="21"/>
              </w:rPr>
              <w:t>共有10个乡镇集中饮用水水源地，其中有8个乡镇集中供水水源地，2个开发区集中供水水源地，均为地下水型水源地，开采地下水类型包括岩溶裂隙水、砂岩裂隙水、第四系孔隙水，承压水和潜水。</w:t>
            </w:r>
          </w:p>
          <w:p w14:paraId="42C21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屯留县各乡镇集中供水水源地位置及一级保护区范围</w:t>
            </w:r>
          </w:p>
          <w:tbl>
            <w:tblPr>
              <w:tblStyle w:val="28"/>
              <w:tblW w:w="4996"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0"/>
              <w:gridCol w:w="1386"/>
              <w:gridCol w:w="1315"/>
              <w:gridCol w:w="1345"/>
              <w:gridCol w:w="1405"/>
            </w:tblGrid>
            <w:tr w14:paraId="1086D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vMerge w:val="restart"/>
                  <w:tcBorders>
                    <w:tl2br w:val="nil"/>
                    <w:tr2bl w:val="nil"/>
                  </w:tcBorders>
                  <w:noWrap w:val="0"/>
                  <w:vAlign w:val="center"/>
                </w:tcPr>
                <w:p w14:paraId="201BB74B">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r>
                    <w:rPr>
                      <w:rFonts w:hint="default" w:ascii="Times New Roman" w:hAnsi="宋体"/>
                      <w:b/>
                      <w:bCs w:val="0"/>
                      <w:color w:val="auto"/>
                      <w:szCs w:val="21"/>
                    </w:rPr>
                    <w:t>水源地名称</w:t>
                  </w:r>
                </w:p>
              </w:tc>
              <w:tc>
                <w:tcPr>
                  <w:tcW w:w="858" w:type="pct"/>
                  <w:vMerge w:val="restart"/>
                  <w:tcBorders>
                    <w:tl2br w:val="nil"/>
                    <w:tr2bl w:val="nil"/>
                  </w:tcBorders>
                  <w:noWrap w:val="0"/>
                  <w:vAlign w:val="center"/>
                </w:tcPr>
                <w:p w14:paraId="14960B4F">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r>
                    <w:rPr>
                      <w:rFonts w:hint="default" w:ascii="Times New Roman" w:hAnsi="宋体"/>
                      <w:b/>
                      <w:bCs w:val="0"/>
                      <w:color w:val="auto"/>
                      <w:szCs w:val="21"/>
                    </w:rPr>
                    <w:t>经度</w:t>
                  </w:r>
                </w:p>
              </w:tc>
              <w:tc>
                <w:tcPr>
                  <w:tcW w:w="815" w:type="pct"/>
                  <w:vMerge w:val="restart"/>
                  <w:tcBorders>
                    <w:tl2br w:val="nil"/>
                    <w:tr2bl w:val="nil"/>
                  </w:tcBorders>
                  <w:noWrap w:val="0"/>
                  <w:vAlign w:val="center"/>
                </w:tcPr>
                <w:p w14:paraId="32E99CCC">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r>
                    <w:rPr>
                      <w:rFonts w:hint="default" w:ascii="Times New Roman" w:hAnsi="宋体"/>
                      <w:b/>
                      <w:bCs w:val="0"/>
                      <w:color w:val="auto"/>
                      <w:szCs w:val="21"/>
                    </w:rPr>
                    <w:t>纬度</w:t>
                  </w:r>
                </w:p>
              </w:tc>
              <w:tc>
                <w:tcPr>
                  <w:tcW w:w="1703" w:type="pct"/>
                  <w:gridSpan w:val="2"/>
                  <w:tcBorders>
                    <w:tl2br w:val="nil"/>
                    <w:tr2bl w:val="nil"/>
                  </w:tcBorders>
                  <w:noWrap w:val="0"/>
                  <w:vAlign w:val="center"/>
                </w:tcPr>
                <w:p w14:paraId="359631AF">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r>
                    <w:rPr>
                      <w:rFonts w:hint="default" w:ascii="Times New Roman" w:hAnsi="宋体"/>
                      <w:b/>
                      <w:bCs w:val="0"/>
                      <w:color w:val="auto"/>
                      <w:szCs w:val="21"/>
                    </w:rPr>
                    <w:t>一级保护区</w:t>
                  </w:r>
                </w:p>
              </w:tc>
            </w:tr>
            <w:tr w14:paraId="0198E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vMerge w:val="continue"/>
                  <w:tcBorders>
                    <w:tl2br w:val="nil"/>
                    <w:tr2bl w:val="nil"/>
                  </w:tcBorders>
                  <w:noWrap w:val="0"/>
                  <w:vAlign w:val="center"/>
                </w:tcPr>
                <w:p w14:paraId="43B5ED5D">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p>
              </w:tc>
              <w:tc>
                <w:tcPr>
                  <w:tcW w:w="858" w:type="pct"/>
                  <w:vMerge w:val="continue"/>
                  <w:tcBorders>
                    <w:tl2br w:val="nil"/>
                    <w:tr2bl w:val="nil"/>
                  </w:tcBorders>
                  <w:noWrap w:val="0"/>
                  <w:vAlign w:val="center"/>
                </w:tcPr>
                <w:p w14:paraId="492D682D">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p>
              </w:tc>
              <w:tc>
                <w:tcPr>
                  <w:tcW w:w="815" w:type="pct"/>
                  <w:vMerge w:val="continue"/>
                  <w:tcBorders>
                    <w:tl2br w:val="nil"/>
                    <w:tr2bl w:val="nil"/>
                  </w:tcBorders>
                  <w:noWrap w:val="0"/>
                  <w:vAlign w:val="center"/>
                </w:tcPr>
                <w:p w14:paraId="1AF7D3B9">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p>
              </w:tc>
              <w:tc>
                <w:tcPr>
                  <w:tcW w:w="833" w:type="pct"/>
                  <w:tcBorders>
                    <w:tl2br w:val="nil"/>
                    <w:tr2bl w:val="nil"/>
                  </w:tcBorders>
                  <w:noWrap w:val="0"/>
                  <w:vAlign w:val="center"/>
                </w:tcPr>
                <w:p w14:paraId="62777D10">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r>
                    <w:rPr>
                      <w:rFonts w:hint="default" w:ascii="Times New Roman" w:hAnsi="宋体"/>
                      <w:b/>
                      <w:bCs w:val="0"/>
                      <w:color w:val="auto"/>
                      <w:szCs w:val="21"/>
                    </w:rPr>
                    <w:t>半径（</w:t>
                  </w:r>
                  <w:r>
                    <w:rPr>
                      <w:rFonts w:hint="default" w:ascii="Times New Roman"/>
                      <w:b/>
                      <w:bCs w:val="0"/>
                      <w:color w:val="auto"/>
                      <w:szCs w:val="21"/>
                    </w:rPr>
                    <w:t>m</w:t>
                  </w:r>
                  <w:r>
                    <w:rPr>
                      <w:rFonts w:hint="default" w:ascii="Times New Roman" w:hAnsi="宋体"/>
                      <w:b/>
                      <w:bCs w:val="0"/>
                      <w:color w:val="auto"/>
                      <w:szCs w:val="21"/>
                    </w:rPr>
                    <w:t>）</w:t>
                  </w:r>
                </w:p>
              </w:tc>
              <w:tc>
                <w:tcPr>
                  <w:tcW w:w="870" w:type="pct"/>
                  <w:tcBorders>
                    <w:tl2br w:val="nil"/>
                    <w:tr2bl w:val="nil"/>
                  </w:tcBorders>
                  <w:noWrap w:val="0"/>
                  <w:vAlign w:val="center"/>
                </w:tcPr>
                <w:p w14:paraId="540B2088">
                  <w:pPr>
                    <w:pStyle w:val="95"/>
                    <w:keepNext w:val="0"/>
                    <w:keepLines w:val="0"/>
                    <w:suppressLineNumbers w:val="0"/>
                    <w:spacing w:before="0" w:beforeAutospacing="0" w:after="0" w:afterAutospacing="0" w:line="240" w:lineRule="auto"/>
                    <w:ind w:left="0" w:right="0"/>
                    <w:rPr>
                      <w:rFonts w:hint="default" w:ascii="Times New Roman"/>
                      <w:b/>
                      <w:bCs w:val="0"/>
                      <w:color w:val="auto"/>
                      <w:szCs w:val="21"/>
                    </w:rPr>
                  </w:pPr>
                  <w:r>
                    <w:rPr>
                      <w:rFonts w:hint="default" w:ascii="Times New Roman" w:hAnsi="宋体"/>
                      <w:b/>
                      <w:bCs w:val="0"/>
                      <w:color w:val="auto"/>
                      <w:szCs w:val="21"/>
                    </w:rPr>
                    <w:t>面积（</w:t>
                  </w:r>
                  <w:r>
                    <w:rPr>
                      <w:rFonts w:hint="default" w:ascii="Times New Roman"/>
                      <w:b/>
                      <w:bCs w:val="0"/>
                      <w:color w:val="auto"/>
                      <w:szCs w:val="21"/>
                    </w:rPr>
                    <w:t>hm</w:t>
                  </w:r>
                  <w:r>
                    <w:rPr>
                      <w:rFonts w:hint="default" w:ascii="Times New Roman"/>
                      <w:b/>
                      <w:bCs w:val="0"/>
                      <w:color w:val="auto"/>
                      <w:szCs w:val="21"/>
                      <w:vertAlign w:val="superscript"/>
                    </w:rPr>
                    <w:t>2</w:t>
                  </w:r>
                  <w:r>
                    <w:rPr>
                      <w:rFonts w:hint="default" w:ascii="Times New Roman" w:hAnsi="宋体"/>
                      <w:b/>
                      <w:bCs w:val="0"/>
                      <w:color w:val="auto"/>
                      <w:szCs w:val="21"/>
                    </w:rPr>
                    <w:t>）</w:t>
                  </w:r>
                </w:p>
              </w:tc>
            </w:tr>
            <w:tr w14:paraId="5BF4E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7BCA8311">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上村镇集中供水水源</w:t>
                  </w:r>
                </w:p>
              </w:tc>
              <w:tc>
                <w:tcPr>
                  <w:tcW w:w="858" w:type="pct"/>
                  <w:tcBorders>
                    <w:tl2br w:val="nil"/>
                    <w:tr2bl w:val="nil"/>
                  </w:tcBorders>
                  <w:noWrap w:val="0"/>
                  <w:vAlign w:val="center"/>
                </w:tcPr>
                <w:p w14:paraId="0ABC8208">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112°59′38″</w:t>
                  </w:r>
                </w:p>
              </w:tc>
              <w:tc>
                <w:tcPr>
                  <w:tcW w:w="815" w:type="pct"/>
                  <w:tcBorders>
                    <w:tl2br w:val="nil"/>
                    <w:tr2bl w:val="nil"/>
                  </w:tcBorders>
                  <w:noWrap w:val="0"/>
                  <w:vAlign w:val="center"/>
                </w:tcPr>
                <w:p w14:paraId="030BA47E">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36°19′20″</w:t>
                  </w:r>
                </w:p>
              </w:tc>
              <w:tc>
                <w:tcPr>
                  <w:tcW w:w="833" w:type="pct"/>
                  <w:tcBorders>
                    <w:tl2br w:val="nil"/>
                    <w:tr2bl w:val="nil"/>
                  </w:tcBorders>
                  <w:noWrap w:val="0"/>
                  <w:vAlign w:val="center"/>
                </w:tcPr>
                <w:p w14:paraId="08D89DFC">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73</w:t>
                  </w:r>
                </w:p>
              </w:tc>
              <w:tc>
                <w:tcPr>
                  <w:tcW w:w="870" w:type="pct"/>
                  <w:tcBorders>
                    <w:tl2br w:val="nil"/>
                    <w:tr2bl w:val="nil"/>
                  </w:tcBorders>
                  <w:noWrap w:val="0"/>
                  <w:vAlign w:val="center"/>
                </w:tcPr>
                <w:p w14:paraId="7E24AD5A">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0.0167</w:t>
                  </w:r>
                </w:p>
              </w:tc>
            </w:tr>
            <w:tr w14:paraId="07E2A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1D2C82C9">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渔泽镇集中供水水源</w:t>
                  </w:r>
                </w:p>
              </w:tc>
              <w:tc>
                <w:tcPr>
                  <w:tcW w:w="858" w:type="pct"/>
                  <w:tcBorders>
                    <w:tl2br w:val="nil"/>
                    <w:tr2bl w:val="nil"/>
                  </w:tcBorders>
                  <w:noWrap w:val="0"/>
                  <w:vAlign w:val="center"/>
                </w:tcPr>
                <w:p w14:paraId="4415300E">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112°58′48″</w:t>
                  </w:r>
                </w:p>
              </w:tc>
              <w:tc>
                <w:tcPr>
                  <w:tcW w:w="815" w:type="pct"/>
                  <w:tcBorders>
                    <w:tl2br w:val="nil"/>
                    <w:tr2bl w:val="nil"/>
                  </w:tcBorders>
                  <w:noWrap w:val="0"/>
                  <w:vAlign w:val="center"/>
                </w:tcPr>
                <w:p w14:paraId="18F97F35">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36°21′35″</w:t>
                  </w:r>
                </w:p>
              </w:tc>
              <w:tc>
                <w:tcPr>
                  <w:tcW w:w="833" w:type="pct"/>
                  <w:tcBorders>
                    <w:tl2br w:val="nil"/>
                    <w:tr2bl w:val="nil"/>
                  </w:tcBorders>
                  <w:noWrap w:val="0"/>
                  <w:vAlign w:val="center"/>
                </w:tcPr>
                <w:p w14:paraId="6C849F82">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47</w:t>
                  </w:r>
                </w:p>
              </w:tc>
              <w:tc>
                <w:tcPr>
                  <w:tcW w:w="870" w:type="pct"/>
                  <w:tcBorders>
                    <w:tl2br w:val="nil"/>
                    <w:tr2bl w:val="nil"/>
                  </w:tcBorders>
                  <w:noWrap w:val="0"/>
                  <w:vAlign w:val="center"/>
                </w:tcPr>
                <w:p w14:paraId="6F2B600A">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0.0069</w:t>
                  </w:r>
                </w:p>
              </w:tc>
            </w:tr>
            <w:tr w14:paraId="7A697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5A047393">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余吾镇集中供水水源</w:t>
                  </w:r>
                </w:p>
              </w:tc>
              <w:tc>
                <w:tcPr>
                  <w:tcW w:w="858" w:type="pct"/>
                  <w:tcBorders>
                    <w:tl2br w:val="nil"/>
                    <w:tr2bl w:val="nil"/>
                  </w:tcBorders>
                  <w:noWrap w:val="0"/>
                  <w:vAlign w:val="center"/>
                </w:tcPr>
                <w:p w14:paraId="6A3028E6">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112°49′56″</w:t>
                  </w:r>
                </w:p>
              </w:tc>
              <w:tc>
                <w:tcPr>
                  <w:tcW w:w="815" w:type="pct"/>
                  <w:tcBorders>
                    <w:tl2br w:val="nil"/>
                    <w:tr2bl w:val="nil"/>
                  </w:tcBorders>
                  <w:noWrap w:val="0"/>
                  <w:vAlign w:val="center"/>
                </w:tcPr>
                <w:p w14:paraId="3A3A9DE5">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36°23′13″</w:t>
                  </w:r>
                </w:p>
              </w:tc>
              <w:tc>
                <w:tcPr>
                  <w:tcW w:w="833" w:type="pct"/>
                  <w:tcBorders>
                    <w:tl2br w:val="nil"/>
                    <w:tr2bl w:val="nil"/>
                  </w:tcBorders>
                  <w:noWrap w:val="0"/>
                  <w:vAlign w:val="center"/>
                </w:tcPr>
                <w:p w14:paraId="23A36B18">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59</w:t>
                  </w:r>
                </w:p>
              </w:tc>
              <w:tc>
                <w:tcPr>
                  <w:tcW w:w="870" w:type="pct"/>
                  <w:tcBorders>
                    <w:tl2br w:val="nil"/>
                    <w:tr2bl w:val="nil"/>
                  </w:tcBorders>
                  <w:noWrap w:val="0"/>
                  <w:vAlign w:val="center"/>
                </w:tcPr>
                <w:p w14:paraId="2FD004DF">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0.0109</w:t>
                  </w:r>
                </w:p>
              </w:tc>
            </w:tr>
            <w:tr w14:paraId="27373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2DE62699">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吾元镇集中供水水源</w:t>
                  </w:r>
                </w:p>
              </w:tc>
              <w:tc>
                <w:tcPr>
                  <w:tcW w:w="858" w:type="pct"/>
                  <w:tcBorders>
                    <w:tl2br w:val="nil"/>
                    <w:tr2bl w:val="nil"/>
                  </w:tcBorders>
                  <w:noWrap w:val="0"/>
                  <w:vAlign w:val="center"/>
                </w:tcPr>
                <w:p w14:paraId="310CF168">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112°41′35″</w:t>
                  </w:r>
                </w:p>
              </w:tc>
              <w:tc>
                <w:tcPr>
                  <w:tcW w:w="815" w:type="pct"/>
                  <w:tcBorders>
                    <w:tl2br w:val="nil"/>
                    <w:tr2bl w:val="nil"/>
                  </w:tcBorders>
                  <w:noWrap w:val="0"/>
                  <w:vAlign w:val="center"/>
                </w:tcPr>
                <w:p w14:paraId="33EA55AD">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36°25′41″</w:t>
                  </w:r>
                </w:p>
              </w:tc>
              <w:tc>
                <w:tcPr>
                  <w:tcW w:w="833" w:type="pct"/>
                  <w:tcBorders>
                    <w:tl2br w:val="nil"/>
                    <w:tr2bl w:val="nil"/>
                  </w:tcBorders>
                  <w:noWrap w:val="0"/>
                  <w:vAlign w:val="center"/>
                </w:tcPr>
                <w:p w14:paraId="55F76E70">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89</w:t>
                  </w:r>
                </w:p>
              </w:tc>
              <w:tc>
                <w:tcPr>
                  <w:tcW w:w="870" w:type="pct"/>
                  <w:tcBorders>
                    <w:tl2br w:val="nil"/>
                    <w:tr2bl w:val="nil"/>
                  </w:tcBorders>
                  <w:noWrap w:val="0"/>
                  <w:vAlign w:val="center"/>
                </w:tcPr>
                <w:p w14:paraId="105EB2F4">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0.0219</w:t>
                  </w:r>
                </w:p>
              </w:tc>
            </w:tr>
            <w:tr w14:paraId="69864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469F40ED">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张店镇集中供水水源</w:t>
                  </w:r>
                </w:p>
              </w:tc>
              <w:tc>
                <w:tcPr>
                  <w:tcW w:w="858" w:type="pct"/>
                  <w:tcBorders>
                    <w:tl2br w:val="nil"/>
                    <w:tr2bl w:val="nil"/>
                  </w:tcBorders>
                  <w:noWrap w:val="0"/>
                  <w:vAlign w:val="center"/>
                </w:tcPr>
                <w:p w14:paraId="4B720308">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112°35′56″</w:t>
                  </w:r>
                </w:p>
              </w:tc>
              <w:tc>
                <w:tcPr>
                  <w:tcW w:w="815" w:type="pct"/>
                  <w:tcBorders>
                    <w:tl2br w:val="nil"/>
                    <w:tr2bl w:val="nil"/>
                  </w:tcBorders>
                  <w:noWrap w:val="0"/>
                  <w:vAlign w:val="center"/>
                </w:tcPr>
                <w:p w14:paraId="32B51FE7">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36°21′03″</w:t>
                  </w:r>
                </w:p>
              </w:tc>
              <w:tc>
                <w:tcPr>
                  <w:tcW w:w="833" w:type="pct"/>
                  <w:tcBorders>
                    <w:tl2br w:val="nil"/>
                    <w:tr2bl w:val="nil"/>
                  </w:tcBorders>
                  <w:noWrap w:val="0"/>
                  <w:vAlign w:val="center"/>
                </w:tcPr>
                <w:p w14:paraId="0690EDD7">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65</w:t>
                  </w:r>
                </w:p>
              </w:tc>
              <w:tc>
                <w:tcPr>
                  <w:tcW w:w="870" w:type="pct"/>
                  <w:tcBorders>
                    <w:tl2br w:val="nil"/>
                    <w:tr2bl w:val="nil"/>
                  </w:tcBorders>
                  <w:noWrap w:val="0"/>
                  <w:vAlign w:val="center"/>
                </w:tcPr>
                <w:p w14:paraId="067FE68B">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0.0133</w:t>
                  </w:r>
                </w:p>
              </w:tc>
            </w:tr>
            <w:tr w14:paraId="2FE4E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055FCE56">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丰宜镇集中供水水源</w:t>
                  </w:r>
                </w:p>
              </w:tc>
              <w:tc>
                <w:tcPr>
                  <w:tcW w:w="858" w:type="pct"/>
                  <w:tcBorders>
                    <w:tl2br w:val="nil"/>
                    <w:tr2bl w:val="nil"/>
                  </w:tcBorders>
                  <w:noWrap w:val="0"/>
                  <w:vAlign w:val="center"/>
                </w:tcPr>
                <w:p w14:paraId="597B53A5">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112°43′39″</w:t>
                  </w:r>
                </w:p>
              </w:tc>
              <w:tc>
                <w:tcPr>
                  <w:tcW w:w="815" w:type="pct"/>
                  <w:tcBorders>
                    <w:tl2br w:val="nil"/>
                    <w:tr2bl w:val="nil"/>
                  </w:tcBorders>
                  <w:noWrap w:val="0"/>
                  <w:vAlign w:val="center"/>
                </w:tcPr>
                <w:p w14:paraId="00B08CA5">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36°14′16″</w:t>
                  </w:r>
                </w:p>
              </w:tc>
              <w:tc>
                <w:tcPr>
                  <w:tcW w:w="833" w:type="pct"/>
                  <w:tcBorders>
                    <w:tl2br w:val="nil"/>
                    <w:tr2bl w:val="nil"/>
                  </w:tcBorders>
                  <w:noWrap w:val="0"/>
                  <w:vAlign w:val="center"/>
                </w:tcPr>
                <w:p w14:paraId="6C7EE7F7">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89</w:t>
                  </w:r>
                </w:p>
              </w:tc>
              <w:tc>
                <w:tcPr>
                  <w:tcW w:w="870" w:type="pct"/>
                  <w:tcBorders>
                    <w:tl2br w:val="nil"/>
                    <w:tr2bl w:val="nil"/>
                  </w:tcBorders>
                  <w:noWrap w:val="0"/>
                  <w:vAlign w:val="center"/>
                </w:tcPr>
                <w:p w14:paraId="53C85BC3">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0.0249</w:t>
                  </w:r>
                </w:p>
              </w:tc>
            </w:tr>
            <w:tr w14:paraId="1F9CA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406836DA">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李高乡集中供水水源</w:t>
                  </w:r>
                </w:p>
              </w:tc>
              <w:tc>
                <w:tcPr>
                  <w:tcW w:w="858" w:type="pct"/>
                  <w:tcBorders>
                    <w:tl2br w:val="nil"/>
                    <w:tr2bl w:val="nil"/>
                  </w:tcBorders>
                  <w:noWrap w:val="0"/>
                  <w:vAlign w:val="center"/>
                </w:tcPr>
                <w:p w14:paraId="1BDAAD9C">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112°56′18″</w:t>
                  </w:r>
                </w:p>
              </w:tc>
              <w:tc>
                <w:tcPr>
                  <w:tcW w:w="815" w:type="pct"/>
                  <w:tcBorders>
                    <w:tl2br w:val="nil"/>
                    <w:tr2bl w:val="nil"/>
                  </w:tcBorders>
                  <w:noWrap w:val="0"/>
                  <w:vAlign w:val="center"/>
                </w:tcPr>
                <w:p w14:paraId="4F0AEC33">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36°15′22″</w:t>
                  </w:r>
                </w:p>
              </w:tc>
              <w:tc>
                <w:tcPr>
                  <w:tcW w:w="833" w:type="pct"/>
                  <w:tcBorders>
                    <w:tl2br w:val="nil"/>
                    <w:tr2bl w:val="nil"/>
                  </w:tcBorders>
                  <w:noWrap w:val="0"/>
                  <w:vAlign w:val="center"/>
                </w:tcPr>
                <w:p w14:paraId="64BAAD15">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81</w:t>
                  </w:r>
                </w:p>
              </w:tc>
              <w:tc>
                <w:tcPr>
                  <w:tcW w:w="870" w:type="pct"/>
                  <w:tcBorders>
                    <w:tl2br w:val="nil"/>
                    <w:tr2bl w:val="nil"/>
                  </w:tcBorders>
                  <w:noWrap w:val="0"/>
                  <w:vAlign w:val="center"/>
                </w:tcPr>
                <w:p w14:paraId="5D49B075">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0.0206</w:t>
                  </w:r>
                </w:p>
              </w:tc>
            </w:tr>
            <w:tr w14:paraId="7DA3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0AB3B7BE">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河神庙乡集中供水水源</w:t>
                  </w:r>
                </w:p>
              </w:tc>
              <w:tc>
                <w:tcPr>
                  <w:tcW w:w="858" w:type="pct"/>
                  <w:tcBorders>
                    <w:tl2br w:val="nil"/>
                    <w:tr2bl w:val="nil"/>
                  </w:tcBorders>
                  <w:noWrap w:val="0"/>
                  <w:vAlign w:val="center"/>
                </w:tcPr>
                <w:p w14:paraId="742E992A">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112°43′20″</w:t>
                  </w:r>
                </w:p>
              </w:tc>
              <w:tc>
                <w:tcPr>
                  <w:tcW w:w="815" w:type="pct"/>
                  <w:tcBorders>
                    <w:tl2br w:val="nil"/>
                    <w:tr2bl w:val="nil"/>
                  </w:tcBorders>
                  <w:noWrap w:val="0"/>
                  <w:vAlign w:val="center"/>
                </w:tcPr>
                <w:p w14:paraId="2D8C128D">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36°18′26″</w:t>
                  </w:r>
                </w:p>
              </w:tc>
              <w:tc>
                <w:tcPr>
                  <w:tcW w:w="833" w:type="pct"/>
                  <w:tcBorders>
                    <w:tl2br w:val="nil"/>
                    <w:tr2bl w:val="nil"/>
                  </w:tcBorders>
                  <w:noWrap w:val="0"/>
                  <w:vAlign w:val="center"/>
                </w:tcPr>
                <w:p w14:paraId="201BD6E8">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39</w:t>
                  </w:r>
                </w:p>
              </w:tc>
              <w:tc>
                <w:tcPr>
                  <w:tcW w:w="870" w:type="pct"/>
                  <w:tcBorders>
                    <w:tl2br w:val="nil"/>
                    <w:tr2bl w:val="nil"/>
                  </w:tcBorders>
                  <w:noWrap w:val="0"/>
                  <w:vAlign w:val="center"/>
                </w:tcPr>
                <w:p w14:paraId="2199E10A">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0.048</w:t>
                  </w:r>
                </w:p>
              </w:tc>
            </w:tr>
            <w:tr w14:paraId="045CA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4F548960">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西流寨开发区集中供水水源</w:t>
                  </w:r>
                </w:p>
              </w:tc>
              <w:tc>
                <w:tcPr>
                  <w:tcW w:w="858" w:type="pct"/>
                  <w:tcBorders>
                    <w:tl2br w:val="nil"/>
                    <w:tr2bl w:val="nil"/>
                  </w:tcBorders>
                  <w:noWrap w:val="0"/>
                  <w:vAlign w:val="center"/>
                </w:tcPr>
                <w:p w14:paraId="6084844A">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112°38′47″</w:t>
                  </w:r>
                </w:p>
              </w:tc>
              <w:tc>
                <w:tcPr>
                  <w:tcW w:w="815" w:type="pct"/>
                  <w:tcBorders>
                    <w:tl2br w:val="nil"/>
                    <w:tr2bl w:val="nil"/>
                  </w:tcBorders>
                  <w:noWrap w:val="0"/>
                  <w:vAlign w:val="center"/>
                </w:tcPr>
                <w:p w14:paraId="0093FD1D">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36°13′39″</w:t>
                  </w:r>
                </w:p>
              </w:tc>
              <w:tc>
                <w:tcPr>
                  <w:tcW w:w="833" w:type="pct"/>
                  <w:tcBorders>
                    <w:tl2br w:val="nil"/>
                    <w:tr2bl w:val="nil"/>
                  </w:tcBorders>
                  <w:noWrap w:val="0"/>
                  <w:vAlign w:val="center"/>
                </w:tcPr>
                <w:p w14:paraId="54B297F7">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43</w:t>
                  </w:r>
                </w:p>
              </w:tc>
              <w:tc>
                <w:tcPr>
                  <w:tcW w:w="870" w:type="pct"/>
                  <w:tcBorders>
                    <w:tl2br w:val="nil"/>
                    <w:tr2bl w:val="nil"/>
                  </w:tcBorders>
                  <w:noWrap w:val="0"/>
                  <w:vAlign w:val="center"/>
                </w:tcPr>
                <w:p w14:paraId="6C9DA3C6">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0.0058</w:t>
                  </w:r>
                </w:p>
              </w:tc>
            </w:tr>
            <w:tr w14:paraId="657F3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22" w:type="pct"/>
                  <w:tcBorders>
                    <w:tl2br w:val="nil"/>
                    <w:tr2bl w:val="nil"/>
                  </w:tcBorders>
                  <w:noWrap w:val="0"/>
                  <w:vAlign w:val="center"/>
                </w:tcPr>
                <w:p w14:paraId="377F7864">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hAnsi="宋体"/>
                      <w:color w:val="auto"/>
                      <w:szCs w:val="21"/>
                    </w:rPr>
                    <w:t>上莲开发区集中供水水源</w:t>
                  </w:r>
                </w:p>
              </w:tc>
              <w:tc>
                <w:tcPr>
                  <w:tcW w:w="858" w:type="pct"/>
                  <w:tcBorders>
                    <w:tl2br w:val="nil"/>
                    <w:tr2bl w:val="nil"/>
                  </w:tcBorders>
                  <w:noWrap w:val="0"/>
                  <w:vAlign w:val="center"/>
                </w:tcPr>
                <w:p w14:paraId="05725CDB">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112°50′22″</w:t>
                  </w:r>
                </w:p>
              </w:tc>
              <w:tc>
                <w:tcPr>
                  <w:tcW w:w="815" w:type="pct"/>
                  <w:tcBorders>
                    <w:tl2br w:val="nil"/>
                    <w:tr2bl w:val="nil"/>
                  </w:tcBorders>
                  <w:noWrap w:val="0"/>
                  <w:vAlign w:val="center"/>
                </w:tcPr>
                <w:p w14:paraId="3450F741">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36°25′56″</w:t>
                  </w:r>
                </w:p>
              </w:tc>
              <w:tc>
                <w:tcPr>
                  <w:tcW w:w="833" w:type="pct"/>
                  <w:tcBorders>
                    <w:tl2br w:val="nil"/>
                    <w:tr2bl w:val="nil"/>
                  </w:tcBorders>
                  <w:noWrap w:val="0"/>
                  <w:vAlign w:val="center"/>
                </w:tcPr>
                <w:p w14:paraId="38CA4097">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40</w:t>
                  </w:r>
                </w:p>
              </w:tc>
              <w:tc>
                <w:tcPr>
                  <w:tcW w:w="870" w:type="pct"/>
                  <w:tcBorders>
                    <w:tl2br w:val="nil"/>
                    <w:tr2bl w:val="nil"/>
                  </w:tcBorders>
                  <w:noWrap w:val="0"/>
                  <w:vAlign w:val="center"/>
                </w:tcPr>
                <w:p w14:paraId="3D9F5D2A">
                  <w:pPr>
                    <w:pStyle w:val="95"/>
                    <w:keepNext w:val="0"/>
                    <w:keepLines w:val="0"/>
                    <w:suppressLineNumbers w:val="0"/>
                    <w:spacing w:before="0" w:beforeAutospacing="0" w:after="0" w:afterAutospacing="0" w:line="240" w:lineRule="auto"/>
                    <w:ind w:left="0" w:right="0"/>
                    <w:rPr>
                      <w:rFonts w:hint="default" w:ascii="Times New Roman"/>
                      <w:color w:val="auto"/>
                      <w:szCs w:val="21"/>
                    </w:rPr>
                  </w:pPr>
                  <w:r>
                    <w:rPr>
                      <w:rFonts w:hint="default" w:ascii="Times New Roman"/>
                      <w:color w:val="auto"/>
                      <w:szCs w:val="21"/>
                    </w:rPr>
                    <w:t>0.0050</w:t>
                  </w:r>
                </w:p>
              </w:tc>
            </w:tr>
          </w:tbl>
          <w:p w14:paraId="60B004CC">
            <w:pPr>
              <w:keepNext w:val="0"/>
              <w:keepLines w:val="0"/>
              <w:suppressLineNumbers w:val="0"/>
              <w:spacing w:before="0" w:beforeAutospacing="0" w:after="0" w:afterAutospacing="0" w:line="480" w:lineRule="exact"/>
              <w:ind w:left="0" w:right="0" w:firstLine="480" w:firstLineChars="200"/>
              <w:rPr>
                <w:rFonts w:hint="eastAsia"/>
                <w:color w:val="auto"/>
                <w:sz w:val="24"/>
                <w:szCs w:val="21"/>
              </w:rPr>
            </w:pPr>
            <w:r>
              <w:rPr>
                <w:rFonts w:hint="default"/>
                <w:color w:val="auto"/>
                <w:sz w:val="24"/>
                <w:szCs w:val="21"/>
              </w:rPr>
              <w:t>本项目厂址距离屯留</w:t>
            </w:r>
            <w:r>
              <w:rPr>
                <w:rFonts w:hint="eastAsia"/>
                <w:color w:val="auto"/>
                <w:sz w:val="24"/>
                <w:szCs w:val="21"/>
              </w:rPr>
              <w:t>区</w:t>
            </w:r>
            <w:r>
              <w:rPr>
                <w:rFonts w:hint="default"/>
                <w:color w:val="auto"/>
                <w:sz w:val="24"/>
                <w:szCs w:val="21"/>
              </w:rPr>
              <w:t>各乡镇集中供水水源地最近的为</w:t>
            </w:r>
            <w:r>
              <w:rPr>
                <w:rFonts w:hint="eastAsia"/>
                <w:color w:val="auto"/>
                <w:sz w:val="24"/>
                <w:szCs w:val="21"/>
                <w:lang w:val="en-US" w:eastAsia="zh-CN"/>
              </w:rPr>
              <w:t>李高乡</w:t>
            </w:r>
            <w:r>
              <w:rPr>
                <w:rFonts w:hint="eastAsia"/>
                <w:color w:val="auto"/>
                <w:sz w:val="24"/>
                <w:szCs w:val="21"/>
              </w:rPr>
              <w:t>集中供水水源</w:t>
            </w:r>
            <w:r>
              <w:rPr>
                <w:rFonts w:hint="default"/>
                <w:color w:val="auto"/>
                <w:sz w:val="24"/>
                <w:szCs w:val="21"/>
              </w:rPr>
              <w:t>，距离其一级保护区边界为</w:t>
            </w:r>
            <w:r>
              <w:rPr>
                <w:rFonts w:hint="eastAsia"/>
                <w:color w:val="auto"/>
                <w:sz w:val="24"/>
                <w:szCs w:val="21"/>
                <w:lang w:val="en-US" w:eastAsia="zh-CN"/>
              </w:rPr>
              <w:t>1.6</w:t>
            </w:r>
            <w:r>
              <w:rPr>
                <w:rFonts w:hint="default"/>
                <w:color w:val="auto"/>
                <w:sz w:val="24"/>
                <w:szCs w:val="21"/>
              </w:rPr>
              <w:t>km。</w:t>
            </w:r>
            <w:r>
              <w:rPr>
                <w:rFonts w:hint="eastAsia"/>
                <w:color w:val="auto"/>
                <w:sz w:val="24"/>
                <w:szCs w:val="21"/>
              </w:rPr>
              <w:t>本项目与</w:t>
            </w:r>
            <w:bookmarkStart w:id="5" w:name="_Hlk120198576"/>
            <w:r>
              <w:rPr>
                <w:rFonts w:hint="eastAsia"/>
                <w:color w:val="auto"/>
                <w:sz w:val="24"/>
                <w:szCs w:val="21"/>
                <w:lang w:val="en-US" w:eastAsia="zh-CN"/>
              </w:rPr>
              <w:t>李高乡</w:t>
            </w:r>
            <w:r>
              <w:rPr>
                <w:rFonts w:hint="eastAsia"/>
                <w:color w:val="auto"/>
                <w:sz w:val="24"/>
                <w:szCs w:val="21"/>
              </w:rPr>
              <w:t>集中供水水源保护区</w:t>
            </w:r>
            <w:bookmarkEnd w:id="5"/>
            <w:r>
              <w:rPr>
                <w:rFonts w:hint="eastAsia"/>
                <w:color w:val="auto"/>
                <w:sz w:val="24"/>
                <w:szCs w:val="21"/>
              </w:rPr>
              <w:t>相对位置关系图见附图</w:t>
            </w:r>
            <w:r>
              <w:rPr>
                <w:rFonts w:hint="eastAsia"/>
                <w:color w:val="auto"/>
                <w:sz w:val="24"/>
                <w:szCs w:val="21"/>
                <w:lang w:val="en-US" w:eastAsia="zh-CN"/>
              </w:rPr>
              <w:t>6</w:t>
            </w:r>
            <w:r>
              <w:rPr>
                <w:rFonts w:hint="eastAsia"/>
                <w:color w:val="auto"/>
                <w:sz w:val="24"/>
                <w:szCs w:val="21"/>
              </w:rPr>
              <w:t>。</w:t>
            </w:r>
          </w:p>
          <w:p w14:paraId="0ECA2508">
            <w:pPr>
              <w:pStyle w:val="25"/>
              <w:keepNext w:val="0"/>
              <w:keepLines w:val="0"/>
              <w:suppressLineNumbers w:val="0"/>
              <w:spacing w:before="0" w:beforeAutospacing="0" w:after="0" w:afterAutospacing="0" w:line="480" w:lineRule="exact"/>
              <w:ind w:left="0" w:right="0" w:firstLine="482" w:firstLineChars="200"/>
              <w:rPr>
                <w:rFonts w:hint="default" w:ascii="Times New Roman" w:hAnsi="Times New Roman"/>
                <w:b/>
                <w:bCs w:val="0"/>
                <w:color w:val="auto"/>
              </w:rPr>
            </w:pPr>
            <w:r>
              <w:rPr>
                <w:rFonts w:hint="default" w:ascii="Times New Roman" w:hAnsi="Times New Roman"/>
                <w:b/>
                <w:bCs w:val="0"/>
                <w:color w:val="auto"/>
              </w:rPr>
              <w:t>2</w:t>
            </w:r>
            <w:r>
              <w:rPr>
                <w:rFonts w:hint="eastAsia" w:ascii="Times New Roman" w:hAnsi="Times New Roman"/>
                <w:b/>
                <w:bCs w:val="0"/>
                <w:color w:val="auto"/>
                <w:lang w:eastAsia="zh-CN"/>
              </w:rPr>
              <w:t>.</w:t>
            </w:r>
            <w:r>
              <w:rPr>
                <w:rFonts w:hint="default" w:ascii="Times New Roman" w:hAnsi="Times New Roman"/>
                <w:b/>
                <w:bCs w:val="0"/>
                <w:color w:val="auto"/>
              </w:rPr>
              <w:t>与</w:t>
            </w:r>
            <w:r>
              <w:rPr>
                <w:rFonts w:hint="eastAsia" w:ascii="Times New Roman" w:hAnsi="Times New Roman"/>
                <w:b/>
                <w:bCs w:val="0"/>
                <w:color w:val="auto"/>
              </w:rPr>
              <w:t>辛安</w:t>
            </w:r>
            <w:r>
              <w:rPr>
                <w:rFonts w:hint="default" w:ascii="Times New Roman" w:hAnsi="Times New Roman"/>
                <w:b/>
                <w:bCs w:val="0"/>
                <w:color w:val="auto"/>
              </w:rPr>
              <w:t>泉域符合性分析</w:t>
            </w:r>
          </w:p>
          <w:p w14:paraId="787A0323">
            <w:pPr>
              <w:keepNext w:val="0"/>
              <w:keepLines w:val="0"/>
              <w:suppressLineNumbers w:val="0"/>
              <w:spacing w:before="0" w:beforeAutospacing="0" w:after="0" w:afterAutospacing="0" w:line="480" w:lineRule="exact"/>
              <w:ind w:left="0" w:right="0" w:firstLine="480" w:firstLineChars="200"/>
              <w:rPr>
                <w:rFonts w:hint="eastAsia"/>
                <w:color w:val="auto"/>
                <w:sz w:val="24"/>
                <w:szCs w:val="21"/>
              </w:rPr>
            </w:pPr>
            <w:r>
              <w:rPr>
                <w:rFonts w:hint="eastAsia"/>
                <w:color w:val="auto"/>
                <w:sz w:val="24"/>
                <w:szCs w:val="21"/>
              </w:rPr>
              <w:t>（1）泉域概况</w:t>
            </w:r>
          </w:p>
          <w:p w14:paraId="33E09318">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辛安泉出露于潞城市西流村至平顺县北耽车长16km的浊漳河河谷中，可见泉点170余个。辛安村以上较大泉组有林滩泉、西流泉、苇泉、南流泉，称王曲泉群，出露高程615-643m，出露地层为奥套系中统；辛安村以下有实会泉、年流泉等，多出露于寒武系中统，称实会泉群，标高600-615m。多年平均流量11.9m</w:t>
            </w:r>
            <w:r>
              <w:rPr>
                <w:rFonts w:hint="default"/>
                <w:color w:val="auto"/>
                <w:sz w:val="24"/>
                <w:szCs w:val="21"/>
                <w:vertAlign w:val="superscript"/>
              </w:rPr>
              <w:t>3</w:t>
            </w:r>
            <w:r>
              <w:rPr>
                <w:rFonts w:hint="default"/>
                <w:color w:val="auto"/>
                <w:sz w:val="24"/>
                <w:szCs w:val="21"/>
              </w:rPr>
              <w:t>/s</w:t>
            </w:r>
            <w:r>
              <w:rPr>
                <w:rFonts w:hint="eastAsia"/>
                <w:color w:val="auto"/>
                <w:sz w:val="24"/>
                <w:szCs w:val="21"/>
                <w:lang w:eastAsia="zh-CN"/>
              </w:rPr>
              <w:t>（</w:t>
            </w:r>
            <w:r>
              <w:rPr>
                <w:rFonts w:hint="default"/>
                <w:color w:val="auto"/>
                <w:sz w:val="24"/>
                <w:szCs w:val="21"/>
              </w:rPr>
              <w:t>1959-1984年</w:t>
            </w:r>
            <w:r>
              <w:rPr>
                <w:rFonts w:hint="eastAsia"/>
                <w:color w:val="auto"/>
                <w:sz w:val="24"/>
                <w:szCs w:val="21"/>
                <w:lang w:eastAsia="zh-CN"/>
              </w:rPr>
              <w:t>）</w:t>
            </w:r>
            <w:r>
              <w:rPr>
                <w:rFonts w:hint="default"/>
                <w:color w:val="auto"/>
                <w:sz w:val="24"/>
                <w:szCs w:val="21"/>
              </w:rPr>
              <w:t>。</w:t>
            </w:r>
          </w:p>
          <w:p w14:paraId="37B2C2AC">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w:t>
            </w:r>
            <w:r>
              <w:rPr>
                <w:rFonts w:hint="eastAsia"/>
                <w:color w:val="auto"/>
                <w:sz w:val="24"/>
                <w:szCs w:val="21"/>
              </w:rPr>
              <w:t>2</w:t>
            </w:r>
            <w:r>
              <w:rPr>
                <w:rFonts w:hint="default"/>
                <w:color w:val="auto"/>
                <w:sz w:val="24"/>
                <w:szCs w:val="21"/>
              </w:rPr>
              <w:t>）辛安泉域范围</w:t>
            </w:r>
          </w:p>
          <w:p w14:paraId="5DBFC42F">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北部及西部边界：泉域北部、西部在构造上处于沁水向斜核部，地表出露二叠、三叠系地层，寒武、奥陶系地层埋深千米以上，岩溶水呈封闭的滞流状态，因此以浊漳河与汾河及沁河的地表分水岭为泉域边界。自北向南有榆社县人头山-辉教北-子金山-分南南。西部沁县与沁源县行政边界，自北向南基本为自分南南-屯留县八泉-长子县良坪西。</w:t>
            </w:r>
          </w:p>
          <w:p w14:paraId="4F7F285F">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南部边界：为浊漳河和沁河与丹河的地表分水岭，自西向东基本为长治市与晋城市的行政边界，由老庄沟-色头镇南-金泉山-陵川西马安。</w:t>
            </w:r>
          </w:p>
          <w:p w14:paraId="24613418">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东部边界：东北段以清漳河与浊漳河地表分水岭及和神烟地下分水岭与娘子关泉域为界。为晋中地区和顺县、左权县与榆社县、长治市武乡县的行政边界。</w:t>
            </w:r>
          </w:p>
          <w:p w14:paraId="16CC11DD">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泉域边界范围内总面积为13500m</w:t>
            </w:r>
            <w:r>
              <w:rPr>
                <w:rFonts w:hint="default"/>
                <w:color w:val="auto"/>
                <w:sz w:val="24"/>
                <w:szCs w:val="21"/>
                <w:vertAlign w:val="superscript"/>
              </w:rPr>
              <w:t>2</w:t>
            </w:r>
            <w:r>
              <w:rPr>
                <w:rFonts w:hint="default"/>
                <w:color w:val="auto"/>
                <w:sz w:val="24"/>
                <w:szCs w:val="21"/>
              </w:rPr>
              <w:t>，其中碳酸盐岩裸露面积2600km</w:t>
            </w:r>
            <w:r>
              <w:rPr>
                <w:rFonts w:hint="default"/>
                <w:color w:val="auto"/>
                <w:sz w:val="24"/>
                <w:szCs w:val="21"/>
                <w:vertAlign w:val="superscript"/>
              </w:rPr>
              <w:t>2</w:t>
            </w:r>
            <w:r>
              <w:rPr>
                <w:rFonts w:hint="default"/>
                <w:color w:val="auto"/>
                <w:sz w:val="24"/>
                <w:szCs w:val="21"/>
              </w:rPr>
              <w:t>，碎屑岩面积为6830km</w:t>
            </w:r>
            <w:r>
              <w:rPr>
                <w:rFonts w:hint="default"/>
                <w:color w:val="auto"/>
                <w:sz w:val="24"/>
                <w:szCs w:val="21"/>
                <w:vertAlign w:val="superscript"/>
              </w:rPr>
              <w:t>2</w:t>
            </w:r>
            <w:r>
              <w:rPr>
                <w:rFonts w:hint="default"/>
                <w:color w:val="auto"/>
                <w:sz w:val="24"/>
                <w:szCs w:val="21"/>
              </w:rPr>
              <w:t>，松散岩面积为4070km</w:t>
            </w:r>
            <w:r>
              <w:rPr>
                <w:rFonts w:hint="default"/>
                <w:color w:val="auto"/>
                <w:sz w:val="24"/>
                <w:szCs w:val="21"/>
                <w:vertAlign w:val="superscript"/>
              </w:rPr>
              <w:t>2</w:t>
            </w:r>
            <w:r>
              <w:rPr>
                <w:rFonts w:hint="default"/>
                <w:color w:val="auto"/>
                <w:sz w:val="24"/>
                <w:szCs w:val="21"/>
              </w:rPr>
              <w:t>。</w:t>
            </w:r>
          </w:p>
          <w:p w14:paraId="2EA80F4F">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w:t>
            </w:r>
            <w:r>
              <w:rPr>
                <w:rFonts w:hint="eastAsia"/>
                <w:color w:val="auto"/>
                <w:sz w:val="24"/>
                <w:szCs w:val="21"/>
              </w:rPr>
              <w:t>3</w:t>
            </w:r>
            <w:r>
              <w:rPr>
                <w:rFonts w:hint="default"/>
                <w:color w:val="auto"/>
                <w:sz w:val="24"/>
                <w:szCs w:val="21"/>
              </w:rPr>
              <w:t>）泉域重点保护区范围</w:t>
            </w:r>
          </w:p>
          <w:p w14:paraId="3660EDED">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根据山西省人民政府晋政函[1998]137号“关于山西省泉域边界范围及重点保护区划定的批复”，划定的辛安泉域重点保护区范围：</w:t>
            </w:r>
          </w:p>
          <w:p w14:paraId="438924EB">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1）泉水集中出露带和文王山地拿渗漏段，其中泉水集中出露带以浊漳河为轴线，北起黎城县南赵店桥，顺浊漳河谷向下游、至平顺县北耽车，包括河谷两岸地带；西起山西化肥厂排污管道，两侧宽200m，至辛安桥下河道，面积48km</w:t>
            </w:r>
            <w:r>
              <w:rPr>
                <w:rFonts w:hint="default"/>
                <w:color w:val="auto"/>
                <w:sz w:val="24"/>
                <w:szCs w:val="21"/>
                <w:vertAlign w:val="superscript"/>
              </w:rPr>
              <w:t>2</w:t>
            </w:r>
            <w:r>
              <w:rPr>
                <w:rFonts w:hint="default"/>
                <w:color w:val="auto"/>
                <w:sz w:val="24"/>
                <w:szCs w:val="21"/>
              </w:rPr>
              <w:t>。</w:t>
            </w:r>
          </w:p>
          <w:p w14:paraId="40616BEB">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2）文王山地垒渗漏段自黄碾南铁路桥上游500m起，顺浊漳河南源主河道，左右两侧各500m，向下游至与浊漳河西源汇流处，面积18km</w:t>
            </w:r>
            <w:r>
              <w:rPr>
                <w:rFonts w:hint="default"/>
                <w:color w:val="auto"/>
                <w:sz w:val="24"/>
                <w:szCs w:val="21"/>
                <w:vertAlign w:val="superscript"/>
              </w:rPr>
              <w:t>2</w:t>
            </w:r>
            <w:r>
              <w:rPr>
                <w:rFonts w:hint="default"/>
                <w:color w:val="auto"/>
                <w:sz w:val="24"/>
                <w:szCs w:val="21"/>
              </w:rPr>
              <w:t>。</w:t>
            </w:r>
          </w:p>
          <w:p w14:paraId="266DE975">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两处合计面积为66km</w:t>
            </w:r>
            <w:r>
              <w:rPr>
                <w:rFonts w:hint="default"/>
                <w:color w:val="auto"/>
                <w:sz w:val="24"/>
                <w:szCs w:val="21"/>
                <w:vertAlign w:val="superscript"/>
              </w:rPr>
              <w:t>2</w:t>
            </w:r>
            <w:r>
              <w:rPr>
                <w:rFonts w:hint="default"/>
                <w:color w:val="auto"/>
                <w:sz w:val="24"/>
                <w:szCs w:val="21"/>
              </w:rPr>
              <w:t>。</w:t>
            </w:r>
          </w:p>
          <w:p w14:paraId="373C0ED0">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同时，根据《山西省长治市辛安泉饮用水水源地保护条例》，建立辛安泉饮用水水源地保护区制度。辛安泉饮用水水源地保护区划分为一级保护区、二级保护区，并在保护区外围设立准保护区，实行分级保护与管理。</w:t>
            </w:r>
          </w:p>
          <w:p w14:paraId="17846BF9">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辛安泉饮用水水源地一级保护区范围为现有水源井组周边区域，涉及潞城市辛安泉镇西流北村</w:t>
            </w:r>
            <w:r>
              <w:rPr>
                <w:rFonts w:hint="eastAsia"/>
                <w:color w:val="auto"/>
                <w:sz w:val="24"/>
                <w:szCs w:val="21"/>
                <w:lang w:eastAsia="zh-CN"/>
              </w:rPr>
              <w:t>（</w:t>
            </w:r>
            <w:r>
              <w:rPr>
                <w:rFonts w:hint="default"/>
                <w:color w:val="auto"/>
                <w:sz w:val="24"/>
                <w:szCs w:val="21"/>
              </w:rPr>
              <w:t>西北村</w:t>
            </w:r>
            <w:r>
              <w:rPr>
                <w:rFonts w:hint="eastAsia"/>
                <w:color w:val="auto"/>
                <w:sz w:val="24"/>
                <w:szCs w:val="21"/>
                <w:lang w:eastAsia="zh-CN"/>
              </w:rPr>
              <w:t>）</w:t>
            </w:r>
            <w:r>
              <w:rPr>
                <w:rFonts w:hint="default"/>
                <w:color w:val="auto"/>
                <w:sz w:val="24"/>
                <w:szCs w:val="21"/>
              </w:rPr>
              <w:t>、西流南村</w:t>
            </w:r>
            <w:r>
              <w:rPr>
                <w:rFonts w:hint="eastAsia"/>
                <w:color w:val="auto"/>
                <w:sz w:val="24"/>
                <w:szCs w:val="21"/>
                <w:lang w:eastAsia="zh-CN"/>
              </w:rPr>
              <w:t>（</w:t>
            </w:r>
            <w:r>
              <w:rPr>
                <w:rFonts w:hint="default"/>
                <w:color w:val="auto"/>
                <w:sz w:val="24"/>
                <w:szCs w:val="21"/>
              </w:rPr>
              <w:t>西南村</w:t>
            </w:r>
            <w:r>
              <w:rPr>
                <w:rFonts w:hint="eastAsia"/>
                <w:color w:val="auto"/>
                <w:sz w:val="24"/>
                <w:szCs w:val="21"/>
                <w:lang w:eastAsia="zh-CN"/>
              </w:rPr>
              <w:t>）</w:t>
            </w:r>
            <w:r>
              <w:rPr>
                <w:rFonts w:hint="default"/>
                <w:color w:val="auto"/>
                <w:sz w:val="24"/>
                <w:szCs w:val="21"/>
              </w:rPr>
              <w:t>，黎城县程家山乡北流村，面积3.73平方公里。</w:t>
            </w:r>
          </w:p>
          <w:p w14:paraId="5E0F72EF">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辛安泉饮用水水源地二级保护区范围为东至黎城县隆旺村东-北流村东-南堡村东一线，南至平顺县王曲村北，西至潞城市西流南村</w:t>
            </w:r>
            <w:r>
              <w:rPr>
                <w:rFonts w:hint="eastAsia"/>
                <w:color w:val="auto"/>
                <w:sz w:val="24"/>
                <w:szCs w:val="21"/>
                <w:lang w:eastAsia="zh-CN"/>
              </w:rPr>
              <w:t>（</w:t>
            </w:r>
            <w:r>
              <w:rPr>
                <w:rFonts w:hint="default"/>
                <w:color w:val="auto"/>
                <w:sz w:val="24"/>
                <w:szCs w:val="21"/>
              </w:rPr>
              <w:t>西南村</w:t>
            </w:r>
            <w:r>
              <w:rPr>
                <w:rFonts w:hint="eastAsia"/>
                <w:color w:val="auto"/>
                <w:sz w:val="24"/>
                <w:szCs w:val="21"/>
                <w:lang w:eastAsia="zh-CN"/>
              </w:rPr>
              <w:t>）</w:t>
            </w:r>
            <w:r>
              <w:rPr>
                <w:rFonts w:hint="default"/>
                <w:color w:val="auto"/>
                <w:sz w:val="24"/>
                <w:szCs w:val="21"/>
              </w:rPr>
              <w:t>西1.3公里-涧口村西一线，北至潞城市续村南-黎城县东窑上村北一线，面积24.9平方公里。</w:t>
            </w:r>
          </w:p>
          <w:p w14:paraId="4E5CB501">
            <w:pPr>
              <w:keepNext w:val="0"/>
              <w:keepLines w:val="0"/>
              <w:suppressLineNumbers w:val="0"/>
              <w:spacing w:before="0" w:beforeAutospacing="0" w:after="0" w:afterAutospacing="0" w:line="480" w:lineRule="exact"/>
              <w:ind w:left="0" w:right="0" w:firstLine="480" w:firstLineChars="200"/>
              <w:rPr>
                <w:rFonts w:hint="default"/>
                <w:color w:val="auto"/>
                <w:sz w:val="24"/>
                <w:szCs w:val="21"/>
              </w:rPr>
            </w:pPr>
            <w:r>
              <w:rPr>
                <w:rFonts w:hint="default"/>
                <w:color w:val="auto"/>
                <w:sz w:val="24"/>
                <w:szCs w:val="21"/>
              </w:rPr>
              <w:t>辛安泉饮用水水源地准保护区范围为水源地上游辛安泉域灰岩裸露补给区，涉及城区、郊区、长治县、潞城市、壶关县、平顺县、黎城县、武乡县、襄垣县，面积约1260平方公里。</w:t>
            </w:r>
          </w:p>
          <w:p w14:paraId="0575C593">
            <w:pPr>
              <w:pStyle w:val="25"/>
              <w:keepNext w:val="0"/>
              <w:keepLines w:val="0"/>
              <w:suppressLineNumbers w:val="0"/>
              <w:spacing w:before="0" w:beforeAutospacing="0" w:after="0" w:afterAutospacing="0" w:line="480" w:lineRule="exact"/>
              <w:ind w:left="0" w:right="0" w:firstLine="480" w:firstLineChars="200"/>
              <w:jc w:val="both"/>
              <w:rPr>
                <w:rFonts w:hint="default" w:ascii="Times New Roman" w:hAnsi="Times New Roman"/>
                <w:color w:val="auto"/>
              </w:rPr>
            </w:pPr>
            <w:r>
              <w:rPr>
                <w:rFonts w:hint="default" w:ascii="Times New Roman" w:hAnsi="Times New Roman"/>
                <w:color w:val="auto"/>
                <w:kern w:val="2"/>
              </w:rPr>
              <w:t>本项目拟选厂址处于辛安泉域内，但不在泉域的重点保护范围之内，</w:t>
            </w:r>
            <w:r>
              <w:rPr>
                <w:rFonts w:hint="default" w:ascii="Times New Roman" w:hAnsi="Times New Roman"/>
                <w:color w:val="auto"/>
                <w:kern w:val="2"/>
                <w:highlight w:val="none"/>
              </w:rPr>
              <w:t>距离重点泉域保护区边界约</w:t>
            </w:r>
            <w:r>
              <w:rPr>
                <w:rFonts w:hint="eastAsia"/>
                <w:color w:val="auto"/>
                <w:kern w:val="2"/>
                <w:highlight w:val="none"/>
                <w:lang w:val="en-US" w:eastAsia="zh-CN"/>
              </w:rPr>
              <w:t>19</w:t>
            </w:r>
            <w:r>
              <w:rPr>
                <w:rFonts w:hint="default" w:ascii="Times New Roman" w:hAnsi="Times New Roman"/>
                <w:color w:val="auto"/>
                <w:kern w:val="2"/>
                <w:highlight w:val="none"/>
              </w:rPr>
              <w:t>km，</w:t>
            </w:r>
            <w:r>
              <w:rPr>
                <w:rFonts w:hint="default" w:ascii="Times New Roman" w:hAnsi="Times New Roman"/>
                <w:color w:val="auto"/>
                <w:kern w:val="2"/>
              </w:rPr>
              <w:t>且不在</w:t>
            </w:r>
            <w:r>
              <w:rPr>
                <w:rFonts w:hint="default"/>
                <w:color w:val="auto"/>
                <w:szCs w:val="21"/>
              </w:rPr>
              <w:t>辛安泉饮用水水源地</w:t>
            </w:r>
            <w:r>
              <w:rPr>
                <w:rFonts w:hint="default" w:ascii="Times New Roman" w:hAnsi="Times New Roman"/>
                <w:color w:val="auto"/>
                <w:kern w:val="2"/>
              </w:rPr>
              <w:t>一级、二级、准保护区内。相对位置关系详见</w:t>
            </w:r>
            <w:r>
              <w:rPr>
                <w:rFonts w:hint="eastAsia" w:ascii="Times New Roman" w:hAnsi="Times New Roman"/>
                <w:color w:val="auto"/>
                <w:kern w:val="2"/>
              </w:rPr>
              <w:t>附图</w:t>
            </w:r>
            <w:r>
              <w:rPr>
                <w:rFonts w:hint="eastAsia"/>
                <w:color w:val="auto"/>
                <w:kern w:val="2"/>
                <w:lang w:val="en-US" w:eastAsia="zh-CN"/>
              </w:rPr>
              <w:t>7</w:t>
            </w:r>
            <w:r>
              <w:rPr>
                <w:rFonts w:hint="default" w:ascii="Times New Roman" w:hAnsi="Times New Roman"/>
                <w:color w:val="auto"/>
              </w:rPr>
              <w:t>。</w:t>
            </w:r>
          </w:p>
          <w:p w14:paraId="2922EF2B">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b/>
                <w:bCs/>
                <w:color w:val="auto"/>
                <w:sz w:val="24"/>
              </w:rPr>
            </w:pPr>
            <w:r>
              <w:rPr>
                <w:rFonts w:hint="default"/>
                <w:b/>
                <w:bCs/>
                <w:color w:val="auto"/>
                <w:sz w:val="24"/>
              </w:rPr>
              <w:t>3</w:t>
            </w:r>
            <w:r>
              <w:rPr>
                <w:rFonts w:hint="eastAsia"/>
                <w:b/>
                <w:bCs/>
                <w:color w:val="auto"/>
                <w:sz w:val="24"/>
                <w:lang w:eastAsia="zh-CN"/>
              </w:rPr>
              <w:t>.</w:t>
            </w:r>
            <w:r>
              <w:rPr>
                <w:rFonts w:hint="default"/>
                <w:b/>
                <w:bCs/>
                <w:color w:val="auto"/>
                <w:sz w:val="24"/>
              </w:rPr>
              <w:t>与《屯留区国土空间总体规划</w:t>
            </w:r>
            <w:r>
              <w:rPr>
                <w:rFonts w:hint="eastAsia"/>
                <w:b/>
                <w:bCs/>
                <w:color w:val="auto"/>
                <w:sz w:val="24"/>
              </w:rPr>
              <w:t>（2021-2035年）</w:t>
            </w:r>
            <w:r>
              <w:rPr>
                <w:rFonts w:hint="default"/>
                <w:b/>
                <w:bCs/>
                <w:color w:val="auto"/>
                <w:sz w:val="24"/>
              </w:rPr>
              <w:t>》符合性分析</w:t>
            </w:r>
          </w:p>
          <w:p w14:paraId="45943992">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（1）规划范围</w:t>
            </w:r>
          </w:p>
          <w:p w14:paraId="2B37DC64">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规划范围为屯留区行政辖区内全部国土空间，包括全区和中心城区两个层次。</w:t>
            </w:r>
          </w:p>
          <w:p w14:paraId="5F2B55CD">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（2）规划期限</w:t>
            </w:r>
          </w:p>
          <w:p w14:paraId="020AEA98">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规划期限为2021-2035年，基准年为2020年，近期目标为2025年，远期目标为2035年，远景展望至2050年。</w:t>
            </w:r>
          </w:p>
          <w:p w14:paraId="4DB93931">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（3）功能定位</w:t>
            </w:r>
          </w:p>
          <w:p w14:paraId="5BE3F427">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规划屯留区功能定位为：有机循环农业示范区、以煤基新材。</w:t>
            </w:r>
          </w:p>
          <w:p w14:paraId="7A4C9E3C">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料为主导的资源型城市转型升级示范区、以康体休闲为特色的现代化太行山水名城，合力保障长治市建设全国资源型城市转型升级示范区、现代化太行山水名城。</w:t>
            </w:r>
          </w:p>
          <w:p w14:paraId="13877DA7">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（4）三区三线划定</w:t>
            </w:r>
          </w:p>
          <w:p w14:paraId="1A137A45">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1）耕地与永久基本农田</w:t>
            </w:r>
          </w:p>
          <w:p w14:paraId="68F3FB74">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全区划定不低于513.00平方千米（76.95万亩）的耕地和不低于444.27平方千米（66.64万亩）的永久基本农田。</w:t>
            </w:r>
          </w:p>
          <w:p w14:paraId="0ED98B11">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落实最严格的耕地保护制度，对永久基本农田实行特殊保护，坚决防止永久基本农田“非农化”，积极开展永久基本农田储备区划定并严格管理。</w:t>
            </w:r>
          </w:p>
          <w:p w14:paraId="3FCA270A">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2）生态保护红线</w:t>
            </w:r>
          </w:p>
          <w:p w14:paraId="361DF17A">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全区划定生态保护红线总面积不少于20.64平方千米，占全区国土面积的1.73%，全部为整合优化后的自然保护地。</w:t>
            </w:r>
          </w:p>
          <w:p w14:paraId="27668616">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稳固太行山区生态安全屏障，增强水源涵养、水土保持和生物多样性等生态系统服务功能，加强生物多样性保护优先区域和珍稀濒危野生动植物集中分布地保护，注重保护重要生态空间，严格控制人为活动尤其是开发建设活动对生态系统的破坏。</w:t>
            </w:r>
          </w:p>
          <w:p w14:paraId="73CBD2B1">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3）城镇开发边界</w:t>
            </w:r>
          </w:p>
          <w:p w14:paraId="5E7E7D02">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全区城镇开发边界控制在24.75平方千米（3.71万亩），占全区总面积的2.08%。</w:t>
            </w:r>
          </w:p>
          <w:p w14:paraId="16A0B4DB">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auto"/>
                <w:sz w:val="24"/>
              </w:rPr>
            </w:pPr>
            <w:r>
              <w:rPr>
                <w:rFonts w:hint="eastAsia"/>
                <w:color w:val="auto"/>
                <w:sz w:val="24"/>
              </w:rPr>
              <w:t>集中建设区重点保障生产、生活、生态和安全空间需求。在城镇开发边界内实施战略留白，为长远发展谋划预留战略空间。</w:t>
            </w:r>
          </w:p>
          <w:p w14:paraId="757B936D">
            <w:pPr>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default"/>
                <w:color w:val="auto"/>
                <w:sz w:val="24"/>
              </w:rPr>
            </w:pPr>
            <w:r>
              <w:rPr>
                <w:rFonts w:hint="eastAsia"/>
                <w:color w:val="auto"/>
                <w:sz w:val="24"/>
              </w:rPr>
              <w:t>本项目位于长治市屯留区李高乡西酪余村北</w:t>
            </w:r>
            <w:r>
              <w:rPr>
                <w:rFonts w:hint="eastAsia"/>
                <w:color w:val="auto"/>
                <w:sz w:val="24"/>
                <w:lang w:eastAsia="zh-CN"/>
              </w:rPr>
              <w:t>，</w:t>
            </w:r>
            <w:r>
              <w:rPr>
                <w:rFonts w:hint="eastAsia"/>
                <w:color w:val="auto"/>
                <w:sz w:val="24"/>
                <w:lang w:val="en-US" w:eastAsia="zh-CN"/>
              </w:rPr>
              <w:t>占地类型为工业用地，</w:t>
            </w:r>
            <w:r>
              <w:rPr>
                <w:rFonts w:hint="eastAsia"/>
                <w:color w:val="auto"/>
                <w:sz w:val="24"/>
              </w:rPr>
              <w:t>不占用永久基本农田，不在生态保护红线范围内，不在城镇开发边界。本项目与屯留区国土空间控制线规划图相对位置关系图见附图</w:t>
            </w:r>
            <w:r>
              <w:rPr>
                <w:rFonts w:hint="eastAsia" w:ascii="Times New Roman" w:hAnsi="Times New Roman" w:cs="Times New Roman"/>
                <w:color w:val="auto"/>
                <w:sz w:val="24"/>
                <w:lang w:val="en-US" w:eastAsia="zh-CN"/>
              </w:rPr>
              <w:t>9</w:t>
            </w:r>
            <w:r>
              <w:rPr>
                <w:rFonts w:hint="default"/>
                <w:color w:val="auto"/>
                <w:sz w:val="24"/>
              </w:rPr>
              <w:t>。</w:t>
            </w:r>
          </w:p>
          <w:p w14:paraId="134C7F7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textAlignment w:val="auto"/>
              <w:rPr>
                <w:rFonts w:hint="default"/>
                <w:b/>
                <w:bCs/>
                <w:color w:val="auto"/>
                <w:sz w:val="24"/>
                <w:lang w:val="en-US" w:eastAsia="zh-CN"/>
              </w:rPr>
            </w:pPr>
            <w:r>
              <w:rPr>
                <w:rFonts w:hint="eastAsia"/>
                <w:b/>
                <w:bCs/>
                <w:color w:val="auto"/>
                <w:sz w:val="24"/>
                <w:lang w:val="en-US" w:eastAsia="zh-CN"/>
              </w:rPr>
              <w:t>4.</w:t>
            </w:r>
            <w:r>
              <w:rPr>
                <w:rFonts w:hint="eastAsia" w:ascii="Times New Roman" w:cs="Times New Roman"/>
                <w:b/>
                <w:bCs/>
                <w:color w:val="auto"/>
                <w:sz w:val="24"/>
                <w:szCs w:val="24"/>
                <w:highlight w:val="none"/>
                <w:lang w:val="en-US" w:eastAsia="zh-CN"/>
              </w:rPr>
              <w:t>与长治市生态环境局关于贯彻落实《长治市大气和水污染物排放管控要求》的通知（长环函〔2023〕106号）符合性分析</w:t>
            </w:r>
          </w:p>
          <w:p w14:paraId="330FF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项目与长环函〔2023〕106号符合性分析</w:t>
            </w:r>
          </w:p>
          <w:tbl>
            <w:tblPr>
              <w:tblStyle w:val="29"/>
              <w:tblW w:w="8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381"/>
              <w:gridCol w:w="3034"/>
              <w:gridCol w:w="930"/>
            </w:tblGrid>
            <w:tr w14:paraId="53B2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7ACC9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序号</w:t>
                  </w:r>
                </w:p>
              </w:tc>
              <w:tc>
                <w:tcPr>
                  <w:tcW w:w="2107" w:type="pct"/>
                  <w:tcBorders>
                    <w:tl2br w:val="nil"/>
                    <w:tr2bl w:val="nil"/>
                  </w:tcBorders>
                  <w:noWrap w:val="0"/>
                  <w:vAlign w:val="center"/>
                </w:tcPr>
                <w:p w14:paraId="2723D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文件中砖瓦石材行业</w:t>
                  </w:r>
                  <w:r>
                    <w:rPr>
                      <w:rFonts w:hint="default" w:ascii="Times New Roman" w:hAnsi="Times New Roman" w:cs="Times New Roman"/>
                      <w:b/>
                      <w:bCs/>
                      <w:color w:val="auto"/>
                      <w:sz w:val="21"/>
                      <w:szCs w:val="21"/>
                      <w:highlight w:val="none"/>
                      <w:shd w:val="clear" w:color="auto" w:fill="auto"/>
                      <w:vertAlign w:val="baseline"/>
                      <w:lang w:val="en-US" w:eastAsia="zh-CN"/>
                    </w:rPr>
                    <w:t>要求</w:t>
                  </w:r>
                </w:p>
              </w:tc>
              <w:tc>
                <w:tcPr>
                  <w:tcW w:w="1891" w:type="pct"/>
                  <w:tcBorders>
                    <w:tl2br w:val="nil"/>
                    <w:tr2bl w:val="nil"/>
                  </w:tcBorders>
                  <w:noWrap w:val="0"/>
                  <w:vAlign w:val="center"/>
                </w:tcPr>
                <w:p w14:paraId="55B4A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项目</w:t>
                  </w:r>
                  <w:r>
                    <w:rPr>
                      <w:rFonts w:hint="eastAsia" w:ascii="Times New Roman" w:hAnsi="Times New Roman" w:cs="Times New Roman"/>
                      <w:b/>
                      <w:bCs/>
                      <w:color w:val="auto"/>
                      <w:sz w:val="21"/>
                      <w:szCs w:val="21"/>
                      <w:highlight w:val="none"/>
                      <w:shd w:val="clear" w:color="auto" w:fill="auto"/>
                      <w:vertAlign w:val="baseline"/>
                      <w:lang w:val="en-US" w:eastAsia="zh-CN"/>
                    </w:rPr>
                    <w:t>参照执行</w:t>
                  </w:r>
                  <w:r>
                    <w:rPr>
                      <w:rFonts w:hint="default" w:ascii="Times New Roman" w:hAnsi="Times New Roman" w:cs="Times New Roman"/>
                      <w:b/>
                      <w:bCs/>
                      <w:color w:val="auto"/>
                      <w:sz w:val="21"/>
                      <w:szCs w:val="21"/>
                      <w:highlight w:val="none"/>
                      <w:shd w:val="clear" w:color="auto" w:fill="auto"/>
                      <w:vertAlign w:val="baseline"/>
                      <w:lang w:val="en-US" w:eastAsia="zh-CN"/>
                    </w:rPr>
                    <w:t>情况</w:t>
                  </w:r>
                </w:p>
              </w:tc>
              <w:tc>
                <w:tcPr>
                  <w:tcW w:w="579" w:type="pct"/>
                  <w:tcBorders>
                    <w:tl2br w:val="nil"/>
                    <w:tr2bl w:val="nil"/>
                  </w:tcBorders>
                  <w:noWrap w:val="0"/>
                  <w:vAlign w:val="center"/>
                </w:tcPr>
                <w:p w14:paraId="28B7E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符合性</w:t>
                  </w:r>
                </w:p>
              </w:tc>
            </w:tr>
            <w:tr w14:paraId="1B71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3AED9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1</w:t>
                  </w:r>
                </w:p>
              </w:tc>
              <w:tc>
                <w:tcPr>
                  <w:tcW w:w="2107" w:type="pct"/>
                  <w:tcBorders>
                    <w:tl2br w:val="nil"/>
                    <w:tr2bl w:val="nil"/>
                  </w:tcBorders>
                  <w:noWrap w:val="0"/>
                  <w:vAlign w:val="center"/>
                </w:tcPr>
                <w:p w14:paraId="29EF5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储存：</w:t>
                  </w:r>
                </w:p>
                <w:p w14:paraId="3BC2E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块状物料全部密闭或封闭储存。并对物料采取覆盖、喷淋（雾）等抑尘措施。料场出口要设置车轮清洗和车身清洁设施，或采取其他有效控制措施</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891" w:type="pct"/>
                  <w:tcBorders>
                    <w:tl2br w:val="nil"/>
                    <w:tr2bl w:val="nil"/>
                  </w:tcBorders>
                  <w:noWrap w:val="0"/>
                  <w:vAlign w:val="center"/>
                </w:tcPr>
                <w:p w14:paraId="1F506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olor w:val="auto"/>
                      <w:sz w:val="21"/>
                      <w:szCs w:val="21"/>
                      <w:highlight w:val="none"/>
                      <w:lang w:val="en-US" w:eastAsia="zh-CN"/>
                    </w:rPr>
                    <w:t>本项目原料主要为块状建筑垃圾。设置于全封闭原料堆放区存储，库顶设置喷雾洒水</w:t>
                  </w:r>
                  <w:r>
                    <w:rPr>
                      <w:rFonts w:hint="default" w:ascii="Times New Roman" w:hAnsi="Times New Roman" w:eastAsia="宋体" w:cs="Times New Roman"/>
                      <w:color w:val="auto"/>
                      <w:sz w:val="21"/>
                      <w:szCs w:val="21"/>
                      <w:highlight w:val="none"/>
                      <w:shd w:val="clear" w:color="auto" w:fill="auto"/>
                      <w:vertAlign w:val="baseline"/>
                      <w:lang w:val="en-US" w:eastAsia="zh-CN"/>
                    </w:rPr>
                    <w:t>等抑尘措施</w:t>
                  </w:r>
                  <w:r>
                    <w:rPr>
                      <w:rFonts w:hint="eastAsia"/>
                      <w:color w:val="auto"/>
                      <w:sz w:val="21"/>
                      <w:szCs w:val="21"/>
                      <w:highlight w:val="none"/>
                      <w:lang w:val="en-US" w:eastAsia="zh-CN"/>
                    </w:rPr>
                    <w:t>，出入厂区设置洗车平台。</w:t>
                  </w:r>
                </w:p>
              </w:tc>
              <w:tc>
                <w:tcPr>
                  <w:tcW w:w="579" w:type="pct"/>
                  <w:tcBorders>
                    <w:tl2br w:val="nil"/>
                    <w:tr2bl w:val="nil"/>
                  </w:tcBorders>
                  <w:noWrap w:val="0"/>
                  <w:vAlign w:val="center"/>
                </w:tcPr>
                <w:p w14:paraId="4C00D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4687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6168A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2</w:t>
                  </w:r>
                </w:p>
              </w:tc>
              <w:tc>
                <w:tcPr>
                  <w:tcW w:w="2107" w:type="pct"/>
                  <w:tcBorders>
                    <w:tl2br w:val="nil"/>
                    <w:tr2bl w:val="nil"/>
                  </w:tcBorders>
                  <w:noWrap w:val="0"/>
                  <w:vAlign w:val="center"/>
                </w:tcPr>
                <w:p w14:paraId="7DA21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装卸：</w:t>
                  </w:r>
                </w:p>
                <w:p w14:paraId="46D77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1.</w:t>
                  </w:r>
                  <w:r>
                    <w:rPr>
                      <w:rFonts w:hint="default" w:ascii="Times New Roman" w:hAnsi="Times New Roman" w:eastAsia="宋体" w:cs="Times New Roman"/>
                      <w:color w:val="auto"/>
                      <w:sz w:val="21"/>
                      <w:szCs w:val="21"/>
                      <w:highlight w:val="none"/>
                      <w:shd w:val="clear" w:color="auto" w:fill="auto"/>
                      <w:vertAlign w:val="baseline"/>
                      <w:lang w:val="en-US" w:eastAsia="zh-CN"/>
                    </w:rPr>
                    <w:t>装卸车时要采取加湿抑尘或喷淋等有效抑尘措施。</w:t>
                  </w:r>
                </w:p>
                <w:p w14:paraId="48930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2.物料输送落料点要配备集气罩或喷雾等抑尘措施。料场出口设置车轮和车身清洗设施。</w:t>
                  </w:r>
                </w:p>
              </w:tc>
              <w:tc>
                <w:tcPr>
                  <w:tcW w:w="1891" w:type="pct"/>
                  <w:tcBorders>
                    <w:tl2br w:val="nil"/>
                    <w:tr2bl w:val="nil"/>
                  </w:tcBorders>
                  <w:noWrap w:val="0"/>
                  <w:vAlign w:val="center"/>
                </w:tcPr>
                <w:p w14:paraId="7AC48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装卸车时设置移动雾炮喷淋设施。落料通过封闭皮带输送机转载，</w:t>
                  </w:r>
                  <w:r>
                    <w:rPr>
                      <w:rFonts w:hint="eastAsia"/>
                      <w:color w:val="auto"/>
                      <w:sz w:val="21"/>
                      <w:szCs w:val="21"/>
                      <w:highlight w:val="none"/>
                      <w:lang w:val="en-US" w:eastAsia="zh-CN"/>
                    </w:rPr>
                    <w:t>出入口厂区设置洗车平台。</w:t>
                  </w:r>
                </w:p>
              </w:tc>
              <w:tc>
                <w:tcPr>
                  <w:tcW w:w="579" w:type="pct"/>
                  <w:tcBorders>
                    <w:tl2br w:val="nil"/>
                    <w:tr2bl w:val="nil"/>
                  </w:tcBorders>
                  <w:noWrap w:val="0"/>
                  <w:vAlign w:val="center"/>
                </w:tcPr>
                <w:p w14:paraId="4507A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2296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0C772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3</w:t>
                  </w:r>
                </w:p>
              </w:tc>
              <w:tc>
                <w:tcPr>
                  <w:tcW w:w="2107" w:type="pct"/>
                  <w:tcBorders>
                    <w:tl2br w:val="nil"/>
                    <w:tr2bl w:val="nil"/>
                  </w:tcBorders>
                  <w:noWrap w:val="0"/>
                  <w:vAlign w:val="center"/>
                </w:tcPr>
                <w:p w14:paraId="052DCC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转运：</w:t>
                  </w:r>
                </w:p>
                <w:p w14:paraId="0669E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1.</w:t>
                  </w:r>
                  <w:r>
                    <w:rPr>
                      <w:rFonts w:hint="default" w:ascii="Times New Roman" w:hAnsi="Times New Roman" w:eastAsia="宋体" w:cs="Times New Roman"/>
                      <w:color w:val="auto"/>
                      <w:sz w:val="21"/>
                      <w:szCs w:val="21"/>
                      <w:highlight w:val="none"/>
                      <w:shd w:val="clear" w:color="auto" w:fill="auto"/>
                      <w:vertAlign w:val="baseline"/>
                      <w:lang w:val="en-US" w:eastAsia="zh-CN"/>
                    </w:rPr>
                    <w:t>粉状物料全部密闭或封闭</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储存，采用密闭皮带、封闭通廊或密闭车厢等方式输送，并配备除尘设施，或采取喷淋（雾）等抑尘措施。</w:t>
                  </w:r>
                </w:p>
                <w:p w14:paraId="0657B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2.厂区道路要硬化。道路采取清扫、洒水等措施，保持清洁</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891" w:type="pct"/>
                  <w:tcBorders>
                    <w:tl2br w:val="nil"/>
                    <w:tr2bl w:val="nil"/>
                  </w:tcBorders>
                  <w:noWrap w:val="0"/>
                  <w:vAlign w:val="center"/>
                </w:tcPr>
                <w:p w14:paraId="54BCE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成品</w:t>
                  </w:r>
                  <w:r>
                    <w:rPr>
                      <w:rFonts w:hint="eastAsia" w:cs="Times New Roman"/>
                      <w:color w:val="auto"/>
                      <w:sz w:val="21"/>
                      <w:szCs w:val="21"/>
                      <w:highlight w:val="none"/>
                      <w:shd w:val="clear" w:color="auto" w:fill="auto"/>
                      <w:vertAlign w:val="baseline"/>
                      <w:lang w:val="en-US" w:eastAsia="zh-CN"/>
                    </w:rPr>
                    <w:t>石子、机制砂</w:t>
                  </w:r>
                  <w:r>
                    <w:rPr>
                      <w:rFonts w:hint="eastAsia" w:ascii="Times New Roman" w:hAnsi="Times New Roman" w:cs="Times New Roman"/>
                      <w:color w:val="auto"/>
                      <w:sz w:val="21"/>
                      <w:szCs w:val="21"/>
                      <w:highlight w:val="none"/>
                      <w:shd w:val="clear" w:color="auto" w:fill="auto"/>
                      <w:vertAlign w:val="baseline"/>
                      <w:lang w:val="en-US" w:eastAsia="zh-CN"/>
                    </w:rPr>
                    <w:t>存储于全封闭成品</w:t>
                  </w:r>
                  <w:r>
                    <w:rPr>
                      <w:rFonts w:hint="eastAsia" w:cs="Times New Roman"/>
                      <w:color w:val="auto"/>
                      <w:sz w:val="21"/>
                      <w:szCs w:val="21"/>
                      <w:highlight w:val="none"/>
                      <w:shd w:val="clear" w:color="auto" w:fill="auto"/>
                      <w:vertAlign w:val="baseline"/>
                      <w:lang w:val="en-US" w:eastAsia="zh-CN"/>
                    </w:rPr>
                    <w:t>库内分区暂存</w:t>
                  </w:r>
                  <w:r>
                    <w:rPr>
                      <w:rFonts w:hint="eastAsia" w:ascii="Times New Roman" w:hAnsi="Times New Roman"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物料采用</w:t>
                  </w:r>
                  <w:r>
                    <w:rPr>
                      <w:rFonts w:hint="eastAsia" w:ascii="Times New Roman" w:hAnsi="Times New Roman" w:cs="Times New Roman"/>
                      <w:color w:val="auto"/>
                      <w:sz w:val="21"/>
                      <w:szCs w:val="21"/>
                      <w:highlight w:val="none"/>
                      <w:shd w:val="clear" w:color="auto" w:fill="auto"/>
                      <w:vertAlign w:val="baseline"/>
                      <w:lang w:val="en-US" w:eastAsia="zh-CN"/>
                    </w:rPr>
                    <w:t>全封闭皮带输送</w:t>
                  </w:r>
                  <w:r>
                    <w:rPr>
                      <w:rFonts w:hint="eastAsia"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厂区道路</w:t>
                  </w:r>
                  <w:r>
                    <w:rPr>
                      <w:rFonts w:hint="eastAsia" w:ascii="Times New Roman" w:hAnsi="Times New Roman" w:eastAsia="宋体" w:cs="Times New Roman"/>
                      <w:color w:val="auto"/>
                      <w:sz w:val="21"/>
                      <w:szCs w:val="21"/>
                      <w:highlight w:val="none"/>
                      <w:shd w:val="clear" w:color="auto" w:fill="auto"/>
                      <w:vertAlign w:val="baseline"/>
                      <w:lang w:val="en-US" w:eastAsia="zh-CN"/>
                    </w:rPr>
                    <w:t>全部</w:t>
                  </w:r>
                  <w:r>
                    <w:rPr>
                      <w:rFonts w:hint="default" w:ascii="Times New Roman" w:hAnsi="Times New Roman" w:eastAsia="宋体" w:cs="Times New Roman"/>
                      <w:color w:val="auto"/>
                      <w:sz w:val="21"/>
                      <w:szCs w:val="21"/>
                      <w:highlight w:val="none"/>
                      <w:shd w:val="clear" w:color="auto" w:fill="auto"/>
                      <w:vertAlign w:val="baseline"/>
                      <w:lang w:val="en-US" w:eastAsia="zh-CN"/>
                    </w:rPr>
                    <w:t>硬化</w:t>
                  </w:r>
                  <w:r>
                    <w:rPr>
                      <w:rFonts w:hint="eastAsia" w:ascii="Times New Roman" w:hAnsi="Times New Roman" w:eastAsia="宋体" w:cs="Times New Roman"/>
                      <w:color w:val="auto"/>
                      <w:sz w:val="21"/>
                      <w:szCs w:val="21"/>
                      <w:highlight w:val="none"/>
                      <w:shd w:val="clear" w:color="auto" w:fill="auto"/>
                      <w:vertAlign w:val="baseline"/>
                      <w:lang w:val="en-US" w:eastAsia="zh-CN"/>
                    </w:rPr>
                    <w:t>，定期洒水抑尘</w:t>
                  </w:r>
                  <w:r>
                    <w:rPr>
                      <w:rFonts w:hint="eastAsia" w:cs="Times New Roman"/>
                      <w:color w:val="auto"/>
                      <w:sz w:val="21"/>
                      <w:szCs w:val="21"/>
                      <w:highlight w:val="none"/>
                      <w:shd w:val="clear" w:color="auto" w:fill="auto"/>
                      <w:vertAlign w:val="baseline"/>
                      <w:lang w:val="en-US" w:eastAsia="zh-CN"/>
                    </w:rPr>
                    <w:t>。</w:t>
                  </w:r>
                </w:p>
              </w:tc>
              <w:tc>
                <w:tcPr>
                  <w:tcW w:w="579" w:type="pct"/>
                  <w:tcBorders>
                    <w:tl2br w:val="nil"/>
                    <w:tr2bl w:val="nil"/>
                  </w:tcBorders>
                  <w:noWrap w:val="0"/>
                  <w:vAlign w:val="center"/>
                </w:tcPr>
                <w:p w14:paraId="42FD0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0CBA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00969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4</w:t>
                  </w:r>
                </w:p>
              </w:tc>
              <w:tc>
                <w:tcPr>
                  <w:tcW w:w="2107" w:type="pct"/>
                  <w:tcBorders>
                    <w:tl2br w:val="nil"/>
                    <w:tr2bl w:val="nil"/>
                  </w:tcBorders>
                  <w:noWrap w:val="0"/>
                  <w:vAlign w:val="center"/>
                </w:tcPr>
                <w:p w14:paraId="1D20C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工艺过程</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p w14:paraId="1D236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1.生产工艺产尘点要采取密闭、封闭或设置集气罩等措施。</w:t>
                  </w:r>
                </w:p>
                <w:p w14:paraId="7DD50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2.产尘点及及车间不得有可见烟（粉）尘外逸。料棚配备喷雾抑尘设施，料棚出入口安装自动门。</w:t>
                  </w:r>
                </w:p>
              </w:tc>
              <w:tc>
                <w:tcPr>
                  <w:tcW w:w="1891" w:type="pct"/>
                  <w:tcBorders>
                    <w:tl2br w:val="nil"/>
                    <w:tr2bl w:val="nil"/>
                  </w:tcBorders>
                  <w:noWrap w:val="0"/>
                  <w:vAlign w:val="center"/>
                </w:tcPr>
                <w:p w14:paraId="3AA05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给料机上方安装1个</w:t>
                  </w:r>
                  <w:r>
                    <w:rPr>
                      <w:rFonts w:hint="eastAsia" w:cs="Times New Roman"/>
                      <w:color w:val="auto"/>
                      <w:spacing w:val="0"/>
                      <w:kern w:val="2"/>
                      <w:sz w:val="21"/>
                      <w:szCs w:val="21"/>
                      <w:highlight w:val="none"/>
                      <w:vertAlign w:val="baseline"/>
                      <w:lang w:val="en-US" w:eastAsia="zh-CN" w:bidi="ar-SA"/>
                    </w:rPr>
                    <w:t>柜式</w:t>
                  </w:r>
                  <w:r>
                    <w:rPr>
                      <w:rFonts w:hint="default" w:ascii="Times New Roman" w:hAnsi="Times New Roman" w:eastAsia="宋体" w:cs="Times New Roman"/>
                      <w:color w:val="auto"/>
                      <w:spacing w:val="0"/>
                      <w:kern w:val="2"/>
                      <w:sz w:val="21"/>
                      <w:szCs w:val="21"/>
                      <w:highlight w:val="none"/>
                      <w:vertAlign w:val="baseline"/>
                      <w:lang w:val="en-US" w:eastAsia="zh-CN" w:bidi="ar-SA"/>
                    </w:rPr>
                    <w:t>集气罩，</w:t>
                  </w:r>
                  <w:r>
                    <w:rPr>
                      <w:rFonts w:hint="eastAsia" w:ascii="Times New Roman" w:hAnsi="Times New Roman" w:eastAsia="宋体" w:cs="Times New Roman"/>
                      <w:color w:val="auto"/>
                      <w:spacing w:val="0"/>
                      <w:kern w:val="2"/>
                      <w:sz w:val="21"/>
                      <w:szCs w:val="21"/>
                      <w:highlight w:val="none"/>
                      <w:vertAlign w:val="baseline"/>
                      <w:lang w:val="en-US" w:eastAsia="zh-CN" w:bidi="ar-SA"/>
                    </w:rPr>
                    <w:t>箱</w:t>
                  </w:r>
                  <w:r>
                    <w:rPr>
                      <w:rFonts w:hint="default" w:ascii="Times New Roman" w:hAnsi="Times New Roman" w:eastAsia="宋体" w:cs="Times New Roman"/>
                      <w:color w:val="auto"/>
                      <w:spacing w:val="0"/>
                      <w:kern w:val="2"/>
                      <w:sz w:val="21"/>
                      <w:szCs w:val="21"/>
                      <w:highlight w:val="none"/>
                      <w:vertAlign w:val="baseline"/>
                      <w:lang w:val="en-US" w:eastAsia="zh-CN" w:bidi="ar-SA"/>
                    </w:rPr>
                    <w:t>式破碎机为全封闭式，上方设置集气管道，废气收集后共同引入1台布袋除尘器（TA001）处理后，由1根15m高排气筒（DA001）排放</w:t>
                  </w:r>
                  <w:r>
                    <w:rPr>
                      <w:rFonts w:hint="eastAsia" w:ascii="Times New Roman" w:hAnsi="Times New Roman" w:eastAsia="宋体" w:cs="Times New Roman"/>
                      <w:color w:val="auto"/>
                      <w:spacing w:val="0"/>
                      <w:kern w:val="2"/>
                      <w:sz w:val="21"/>
                      <w:szCs w:val="21"/>
                      <w:highlight w:val="none"/>
                      <w:vertAlign w:val="baseline"/>
                      <w:lang w:val="en-US" w:eastAsia="zh-CN" w:bidi="ar-SA"/>
                    </w:rPr>
                    <w:t>。</w:t>
                  </w:r>
                  <w:r>
                    <w:rPr>
                      <w:rFonts w:hint="eastAsia" w:cs="Times New Roman"/>
                      <w:color w:val="auto"/>
                      <w:kern w:val="2"/>
                      <w:sz w:val="21"/>
                      <w:szCs w:val="21"/>
                      <w:highlight w:val="none"/>
                      <w:lang w:val="en-US" w:eastAsia="zh-CN" w:bidi="ar-SA"/>
                    </w:rPr>
                    <w:t>锤式</w:t>
                  </w:r>
                  <w:r>
                    <w:rPr>
                      <w:rFonts w:hint="default" w:ascii="Times New Roman" w:hAnsi="Times New Roman" w:eastAsia="宋体" w:cs="Times New Roman"/>
                      <w:color w:val="auto"/>
                      <w:kern w:val="2"/>
                      <w:sz w:val="21"/>
                      <w:szCs w:val="21"/>
                      <w:highlight w:val="none"/>
                      <w:lang w:val="en-US" w:eastAsia="zh-CN" w:bidi="ar-SA"/>
                    </w:rPr>
                    <w:t>制砂机</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振动筛</w:t>
                  </w:r>
                  <w:r>
                    <w:rPr>
                      <w:rFonts w:hint="eastAsia" w:cs="Times New Roman"/>
                      <w:color w:val="auto"/>
                      <w:kern w:val="2"/>
                      <w:sz w:val="21"/>
                      <w:szCs w:val="21"/>
                      <w:highlight w:val="none"/>
                      <w:lang w:val="en-US" w:eastAsia="zh-CN" w:bidi="ar-SA"/>
                    </w:rPr>
                    <w:t>均</w:t>
                  </w:r>
                  <w:r>
                    <w:rPr>
                      <w:rFonts w:hint="default" w:ascii="Times New Roman" w:hAnsi="Times New Roman" w:eastAsia="宋体" w:cs="Times New Roman"/>
                      <w:color w:val="auto"/>
                      <w:kern w:val="2"/>
                      <w:sz w:val="21"/>
                      <w:szCs w:val="21"/>
                      <w:highlight w:val="none"/>
                      <w:lang w:val="en-US" w:eastAsia="zh-CN" w:bidi="ar-SA"/>
                    </w:rPr>
                    <w:t>为全封闭式，上方设置集气管道，废气收集后共同引入1台布袋除尘器（TA002）处理后，由1根15m高排气筒（DA002）排放</w:t>
                  </w:r>
                  <w:r>
                    <w:rPr>
                      <w:rFonts w:hint="eastAsia" w:cs="Times New Roman"/>
                      <w:color w:val="auto"/>
                      <w:sz w:val="21"/>
                      <w:szCs w:val="21"/>
                      <w:highlight w:val="none"/>
                      <w:shd w:val="clear" w:color="auto" w:fill="auto"/>
                      <w:vertAlign w:val="baseline"/>
                      <w:lang w:val="en-US" w:eastAsia="zh-CN"/>
                    </w:rPr>
                    <w:t>。</w:t>
                  </w:r>
                  <w:r>
                    <w:rPr>
                      <w:rFonts w:hint="eastAsia" w:ascii="Times New Roman" w:hAnsi="Times New Roman" w:cs="Times New Roman"/>
                      <w:color w:val="auto"/>
                      <w:sz w:val="21"/>
                      <w:szCs w:val="21"/>
                      <w:highlight w:val="none"/>
                      <w:shd w:val="clear" w:color="auto" w:fill="auto"/>
                      <w:vertAlign w:val="baseline"/>
                      <w:lang w:val="en-US" w:eastAsia="zh-CN"/>
                    </w:rPr>
                    <w:t>原料</w:t>
                  </w:r>
                  <w:r>
                    <w:rPr>
                      <w:rFonts w:hint="eastAsia" w:cs="Times New Roman"/>
                      <w:color w:val="auto"/>
                      <w:sz w:val="21"/>
                      <w:szCs w:val="21"/>
                      <w:highlight w:val="none"/>
                      <w:shd w:val="clear" w:color="auto" w:fill="auto"/>
                      <w:vertAlign w:val="baseline"/>
                      <w:lang w:val="en-US" w:eastAsia="zh-CN"/>
                    </w:rPr>
                    <w:t>堆放区</w:t>
                  </w:r>
                  <w:r>
                    <w:rPr>
                      <w:rFonts w:hint="eastAsia" w:ascii="Times New Roman" w:hAnsi="Times New Roman" w:cs="Times New Roman"/>
                      <w:color w:val="auto"/>
                      <w:sz w:val="21"/>
                      <w:szCs w:val="21"/>
                      <w:highlight w:val="none"/>
                      <w:shd w:val="clear" w:color="auto" w:fill="auto"/>
                      <w:vertAlign w:val="baseline"/>
                      <w:lang w:val="en-US" w:eastAsia="zh-CN"/>
                    </w:rPr>
                    <w:t>和成品</w:t>
                  </w:r>
                  <w:r>
                    <w:rPr>
                      <w:rFonts w:hint="eastAsia" w:cs="Times New Roman"/>
                      <w:color w:val="auto"/>
                      <w:sz w:val="21"/>
                      <w:szCs w:val="21"/>
                      <w:highlight w:val="none"/>
                      <w:shd w:val="clear" w:color="auto" w:fill="auto"/>
                      <w:vertAlign w:val="baseline"/>
                      <w:lang w:val="en-US" w:eastAsia="zh-CN"/>
                    </w:rPr>
                    <w:t>库</w:t>
                  </w:r>
                  <w:r>
                    <w:rPr>
                      <w:rFonts w:hint="eastAsia" w:ascii="Times New Roman" w:hAnsi="Times New Roman" w:cs="Times New Roman"/>
                      <w:color w:val="auto"/>
                      <w:sz w:val="21"/>
                      <w:szCs w:val="21"/>
                      <w:highlight w:val="none"/>
                      <w:shd w:val="clear" w:color="auto" w:fill="auto"/>
                      <w:vertAlign w:val="baseline"/>
                      <w:lang w:val="en-US" w:eastAsia="zh-CN"/>
                    </w:rPr>
                    <w:t>库顶</w:t>
                  </w:r>
                  <w:r>
                    <w:rPr>
                      <w:rFonts w:hint="eastAsia" w:ascii="Times New Roman" w:hAnsi="Times New Roman" w:eastAsia="宋体" w:cs="Times New Roman"/>
                      <w:color w:val="auto"/>
                      <w:sz w:val="21"/>
                      <w:szCs w:val="21"/>
                      <w:highlight w:val="none"/>
                      <w:shd w:val="clear" w:color="auto" w:fill="auto"/>
                      <w:vertAlign w:val="baseline"/>
                      <w:lang w:val="en-US" w:eastAsia="zh-CN"/>
                    </w:rPr>
                    <w:t>配备喷雾抑尘设施，库房出入口安装自动</w:t>
                  </w:r>
                  <w:r>
                    <w:rPr>
                      <w:rFonts w:hint="eastAsia" w:cs="Times New Roman"/>
                      <w:color w:val="auto"/>
                      <w:sz w:val="21"/>
                      <w:szCs w:val="21"/>
                      <w:highlight w:val="none"/>
                      <w:shd w:val="clear" w:color="auto" w:fill="auto"/>
                      <w:vertAlign w:val="baseline"/>
                      <w:lang w:val="en-US" w:eastAsia="zh-CN"/>
                    </w:rPr>
                    <w:t>密闭</w:t>
                  </w:r>
                  <w:r>
                    <w:rPr>
                      <w:rFonts w:hint="eastAsia" w:ascii="Times New Roman" w:hAnsi="Times New Roman" w:eastAsia="宋体" w:cs="Times New Roman"/>
                      <w:color w:val="auto"/>
                      <w:sz w:val="21"/>
                      <w:szCs w:val="21"/>
                      <w:highlight w:val="none"/>
                      <w:shd w:val="clear" w:color="auto" w:fill="auto"/>
                      <w:vertAlign w:val="baseline"/>
                      <w:lang w:val="en-US" w:eastAsia="zh-CN"/>
                    </w:rPr>
                    <w:t>门</w:t>
                  </w:r>
                  <w:r>
                    <w:rPr>
                      <w:rFonts w:hint="eastAsia" w:cs="Times New Roman"/>
                      <w:color w:val="auto"/>
                      <w:sz w:val="21"/>
                      <w:szCs w:val="21"/>
                      <w:highlight w:val="none"/>
                      <w:shd w:val="clear" w:color="auto" w:fill="auto"/>
                      <w:vertAlign w:val="baseline"/>
                      <w:lang w:val="en-US" w:eastAsia="zh-CN"/>
                    </w:rPr>
                    <w:t>。</w:t>
                  </w:r>
                </w:p>
              </w:tc>
              <w:tc>
                <w:tcPr>
                  <w:tcW w:w="579" w:type="pct"/>
                  <w:tcBorders>
                    <w:tl2br w:val="nil"/>
                    <w:tr2bl w:val="nil"/>
                  </w:tcBorders>
                  <w:noWrap w:val="0"/>
                  <w:vAlign w:val="center"/>
                </w:tcPr>
                <w:p w14:paraId="456D7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2882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4CDF9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5</w:t>
                  </w:r>
                </w:p>
              </w:tc>
              <w:tc>
                <w:tcPr>
                  <w:tcW w:w="2107" w:type="pct"/>
                  <w:tcBorders>
                    <w:tl2br w:val="nil"/>
                    <w:tr2bl w:val="nil"/>
                  </w:tcBorders>
                  <w:noWrap w:val="0"/>
                  <w:vAlign w:val="center"/>
                </w:tcPr>
                <w:p w14:paraId="723FB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道路运输</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p w14:paraId="4E90B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1.块状物料及产品运输必须苫盖，采取密闭运输，严禁沿路抛洒逸散。</w:t>
                  </w:r>
                </w:p>
                <w:p w14:paraId="17FDF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2.鼓励现有企业建设全封闭的厂内车辆运输通道，连通原料储仓和产品储库，力争实现车辆从进厂到出厂全封闭行驶。</w:t>
                  </w:r>
                </w:p>
                <w:p w14:paraId="55B87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3.厂区内道路及厂区至主干公路的道路必须硬化，要铺设沥青路面，道路两侧设置绿化带，采用吸尘车或洒水车进行喷洒抑尘、道路洗扫，厂区、道路两侧及路面不得有明显积尘。</w:t>
                  </w:r>
                </w:p>
                <w:p w14:paraId="6E9FD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4.要将进出厂道路与交通干线连接点上下各 2km 范围内的道路纳入卫生责任区，建立清洗制度，每日开展道路清洗工作，根据洗扫范围购置1-2辆新能源喷雾降尘车和2-3辆新能源洗扫吸尘车。</w:t>
                  </w:r>
                </w:p>
              </w:tc>
              <w:tc>
                <w:tcPr>
                  <w:tcW w:w="1891" w:type="pct"/>
                  <w:tcBorders>
                    <w:tl2br w:val="nil"/>
                    <w:tr2bl w:val="nil"/>
                  </w:tcBorders>
                  <w:noWrap w:val="0"/>
                  <w:vAlign w:val="center"/>
                </w:tcPr>
                <w:p w14:paraId="157EE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块状物料及产品运输采用</w:t>
                  </w:r>
                  <w:r>
                    <w:rPr>
                      <w:rFonts w:hint="eastAsia" w:cs="Times New Roman"/>
                      <w:color w:val="auto"/>
                      <w:sz w:val="21"/>
                      <w:szCs w:val="21"/>
                      <w:highlight w:val="none"/>
                      <w:shd w:val="clear" w:color="auto" w:fill="auto"/>
                      <w:vertAlign w:val="baseline"/>
                      <w:lang w:val="en-US" w:eastAsia="zh-CN"/>
                    </w:rPr>
                    <w:t>厢式车</w:t>
                  </w:r>
                  <w:r>
                    <w:rPr>
                      <w:rFonts w:hint="eastAsia" w:ascii="Times New Roman" w:hAnsi="Times New Roman" w:eastAsia="宋体" w:cs="Times New Roman"/>
                      <w:color w:val="auto"/>
                      <w:sz w:val="21"/>
                      <w:szCs w:val="21"/>
                      <w:highlight w:val="none"/>
                      <w:shd w:val="clear" w:color="auto" w:fill="auto"/>
                      <w:vertAlign w:val="baseline"/>
                      <w:lang w:val="en-US" w:eastAsia="zh-CN"/>
                    </w:rPr>
                    <w:t>篷布遮盖，密闭运输，严禁沿路抛洒逸散，连通原料储仓和产品储库，实现了车辆从进厂到出厂全封闭行驶，厂区道路硬化，道路两侧设置绿化带，采用吸尘车或洒水车进行喷洒抑尘、道路洗扫；进出厂道路与交通干线连接点上下各2km范围内的道路为本单位卫生责任区，每日开展道路清洗工作，厂区配备新能源喷雾降尘设施以及新能源洗扫吸尘设施</w:t>
                  </w:r>
                  <w:r>
                    <w:rPr>
                      <w:rFonts w:hint="eastAsia" w:cs="Times New Roman"/>
                      <w:color w:val="auto"/>
                      <w:sz w:val="21"/>
                      <w:szCs w:val="21"/>
                      <w:highlight w:val="none"/>
                      <w:shd w:val="clear" w:color="auto" w:fill="auto"/>
                      <w:vertAlign w:val="baseline"/>
                      <w:lang w:val="en-US" w:eastAsia="zh-CN"/>
                    </w:rPr>
                    <w:t>。</w:t>
                  </w:r>
                </w:p>
              </w:tc>
              <w:tc>
                <w:tcPr>
                  <w:tcW w:w="579" w:type="pct"/>
                  <w:tcBorders>
                    <w:tl2br w:val="nil"/>
                    <w:tr2bl w:val="nil"/>
                  </w:tcBorders>
                  <w:noWrap w:val="0"/>
                  <w:vAlign w:val="center"/>
                </w:tcPr>
                <w:p w14:paraId="7CBEF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3B51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35AB7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6</w:t>
                  </w:r>
                </w:p>
              </w:tc>
              <w:tc>
                <w:tcPr>
                  <w:tcW w:w="2107" w:type="pct"/>
                  <w:tcBorders>
                    <w:tl2br w:val="nil"/>
                    <w:tr2bl w:val="nil"/>
                  </w:tcBorders>
                  <w:noWrap w:val="0"/>
                  <w:vAlign w:val="center"/>
                </w:tcPr>
                <w:p w14:paraId="20985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在厂区或物料棚出入口设置车辆冲洗平台，要淘汰现有的简易冲洗平台，设置具有保温、烘干等功能的现代化冲洗平台，冲洗平台的长度和高度要确保货运重卡车辆的车身和车轮全部冲洗到位，货运车辆进、出厂区必须进行轮胎和车身清洗，车辆冲洗时间要在100秒以上，有效将车轮及车身全部冲洗干净，确保车身整洁、车轮干净，不带泥带灰上路</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891" w:type="pct"/>
                  <w:tcBorders>
                    <w:tl2br w:val="nil"/>
                    <w:tr2bl w:val="nil"/>
                  </w:tcBorders>
                  <w:noWrap w:val="0"/>
                  <w:vAlign w:val="center"/>
                </w:tcPr>
                <w:p w14:paraId="10124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lang w:val="en-US" w:eastAsia="zh-CN"/>
                    </w:rPr>
                    <w:t>洗车平台</w:t>
                  </w:r>
                  <w:r>
                    <w:rPr>
                      <w:rFonts w:hint="default" w:ascii="Times New Roman" w:hAnsi="Times New Roman" w:eastAsia="宋体" w:cs="Times New Roman"/>
                      <w:color w:val="auto"/>
                      <w:sz w:val="21"/>
                      <w:szCs w:val="21"/>
                      <w:highlight w:val="none"/>
                    </w:rPr>
                    <w:t>位于厂区入口处，内设水泵，高压水枪等可覆盖全部车身的冲洗设备，对出厂车辆的车身及轮胎进行清洗；设置沉淀池</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冬季池体有保温措施</w:t>
                  </w:r>
                  <w:r>
                    <w:rPr>
                      <w:rFonts w:hint="eastAsia" w:cs="Times New Roman"/>
                      <w:color w:val="auto"/>
                      <w:sz w:val="21"/>
                      <w:szCs w:val="21"/>
                      <w:highlight w:val="none"/>
                      <w:lang w:val="en-US" w:eastAsia="zh-CN"/>
                    </w:rPr>
                    <w:t>。</w:t>
                  </w:r>
                </w:p>
              </w:tc>
              <w:tc>
                <w:tcPr>
                  <w:tcW w:w="579" w:type="pct"/>
                  <w:tcBorders>
                    <w:tl2br w:val="nil"/>
                    <w:tr2bl w:val="nil"/>
                  </w:tcBorders>
                  <w:noWrap w:val="0"/>
                  <w:vAlign w:val="center"/>
                </w:tcPr>
                <w:p w14:paraId="2585A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229B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14:paraId="2634A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7</w:t>
                  </w:r>
                </w:p>
              </w:tc>
              <w:tc>
                <w:tcPr>
                  <w:tcW w:w="2107" w:type="pct"/>
                  <w:tcBorders>
                    <w:tl2br w:val="nil"/>
                    <w:tr2bl w:val="nil"/>
                  </w:tcBorders>
                  <w:noWrap w:val="0"/>
                  <w:vAlign w:val="center"/>
                </w:tcPr>
                <w:p w14:paraId="36136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建设门禁系统和视频监控系统，监控运输车辆进出厂区情况。物料公路运输和厂内运输全部使用国六及以上排放标准的载货车辆或新能源车辆，逐步全部更换为新能源车辆；厂内非道路移动机械全部使用国四及以上排放标准或新能源车辆，逐步全部更换为新能源车辆</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891" w:type="pct"/>
                  <w:tcBorders>
                    <w:tl2br w:val="nil"/>
                    <w:tr2bl w:val="nil"/>
                  </w:tcBorders>
                  <w:noWrap w:val="0"/>
                  <w:vAlign w:val="center"/>
                </w:tcPr>
                <w:p w14:paraId="73722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原料</w:t>
                  </w:r>
                  <w:r>
                    <w:rPr>
                      <w:rFonts w:hint="eastAsia" w:cs="Times New Roman"/>
                      <w:color w:val="auto"/>
                      <w:sz w:val="21"/>
                      <w:szCs w:val="21"/>
                      <w:highlight w:val="none"/>
                      <w:shd w:val="clear" w:color="auto" w:fill="auto"/>
                      <w:vertAlign w:val="baseline"/>
                      <w:lang w:val="en-US" w:eastAsia="zh-CN"/>
                    </w:rPr>
                    <w:t>堆放区</w:t>
                  </w:r>
                  <w:r>
                    <w:rPr>
                      <w:rFonts w:hint="eastAsia" w:ascii="Times New Roman" w:hAnsi="Times New Roman"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成品库、</w:t>
                  </w:r>
                  <w:r>
                    <w:rPr>
                      <w:rFonts w:hint="eastAsia" w:ascii="Times New Roman" w:hAnsi="Times New Roman" w:cs="Times New Roman"/>
                      <w:color w:val="auto"/>
                      <w:sz w:val="21"/>
                      <w:szCs w:val="21"/>
                      <w:highlight w:val="none"/>
                      <w:shd w:val="clear" w:color="auto" w:fill="auto"/>
                      <w:vertAlign w:val="baseline"/>
                      <w:lang w:val="en-US" w:eastAsia="zh-CN"/>
                    </w:rPr>
                    <w:t>生产车间，厂区布设视频监控，设置门禁系统；运输车辆必须为国六排放标准或者新能源车辆</w:t>
                  </w:r>
                  <w:r>
                    <w:rPr>
                      <w:rFonts w:hint="eastAsia"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厂内非道路移动机械全部使用国四及以上排放标准或新能源车辆</w:t>
                  </w:r>
                  <w:r>
                    <w:rPr>
                      <w:rFonts w:hint="eastAsia" w:cs="Times New Roman"/>
                      <w:color w:val="auto"/>
                      <w:sz w:val="21"/>
                      <w:szCs w:val="21"/>
                      <w:highlight w:val="none"/>
                      <w:shd w:val="clear" w:color="auto" w:fill="auto"/>
                      <w:vertAlign w:val="baseline"/>
                      <w:lang w:val="en-US" w:eastAsia="zh-CN"/>
                    </w:rPr>
                    <w:t>。</w:t>
                  </w:r>
                </w:p>
              </w:tc>
              <w:tc>
                <w:tcPr>
                  <w:tcW w:w="579" w:type="pct"/>
                  <w:tcBorders>
                    <w:tl2br w:val="nil"/>
                    <w:tr2bl w:val="nil"/>
                  </w:tcBorders>
                  <w:noWrap w:val="0"/>
                  <w:vAlign w:val="center"/>
                </w:tcPr>
                <w:p w14:paraId="11403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bl>
          <w:p w14:paraId="7CB7523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b/>
                <w:bCs/>
                <w:color w:val="auto"/>
                <w:sz w:val="24"/>
                <w:lang w:val="en-US" w:eastAsia="zh-CN"/>
              </w:rPr>
            </w:pPr>
            <w:r>
              <w:rPr>
                <w:rFonts w:hint="eastAsia"/>
                <w:b/>
                <w:bCs/>
                <w:color w:val="auto"/>
                <w:sz w:val="24"/>
                <w:lang w:val="en-US" w:eastAsia="zh-CN"/>
              </w:rPr>
              <w:t>5.</w:t>
            </w:r>
            <w:r>
              <w:rPr>
                <w:rFonts w:hint="eastAsia" w:ascii="Times New Roman" w:cs="Times New Roman"/>
                <w:b/>
                <w:bCs/>
                <w:color w:val="auto"/>
                <w:sz w:val="24"/>
                <w:szCs w:val="24"/>
                <w:highlight w:val="none"/>
                <w:lang w:val="en-US" w:eastAsia="zh-CN"/>
              </w:rPr>
              <w:t>与工信部、城建部《建筑垃圾资源化利用行业规范条件》（2016年）符合性分析</w:t>
            </w:r>
          </w:p>
          <w:p w14:paraId="1DD14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b/>
                <w:bCs/>
                <w:color w:val="auto"/>
                <w:sz w:val="24"/>
                <w:lang w:val="en-US" w:eastAsia="zh-CN"/>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项目与《建筑垃圾资源化利用行业规范条件》符合性分析</w:t>
            </w:r>
          </w:p>
          <w:tbl>
            <w:tblPr>
              <w:tblStyle w:val="29"/>
              <w:tblW w:w="8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769"/>
              <w:gridCol w:w="2727"/>
              <w:gridCol w:w="900"/>
            </w:tblGrid>
            <w:tr w14:paraId="2B7D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065E6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序号</w:t>
                  </w:r>
                </w:p>
              </w:tc>
              <w:tc>
                <w:tcPr>
                  <w:tcW w:w="2339" w:type="pct"/>
                  <w:tcBorders>
                    <w:tl2br w:val="nil"/>
                    <w:tr2bl w:val="nil"/>
                  </w:tcBorders>
                  <w:noWrap w:val="0"/>
                  <w:vAlign w:val="center"/>
                </w:tcPr>
                <w:p w14:paraId="3C904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文件中行业</w:t>
                  </w:r>
                  <w:r>
                    <w:rPr>
                      <w:rFonts w:hint="default" w:ascii="Times New Roman" w:hAnsi="Times New Roman" w:cs="Times New Roman"/>
                      <w:b/>
                      <w:bCs/>
                      <w:color w:val="auto"/>
                      <w:sz w:val="21"/>
                      <w:szCs w:val="21"/>
                      <w:highlight w:val="none"/>
                      <w:shd w:val="clear" w:color="auto" w:fill="auto"/>
                      <w:vertAlign w:val="baseline"/>
                      <w:lang w:val="en-US" w:eastAsia="zh-CN"/>
                    </w:rPr>
                    <w:t>要求</w:t>
                  </w:r>
                </w:p>
              </w:tc>
              <w:tc>
                <w:tcPr>
                  <w:tcW w:w="1692" w:type="pct"/>
                  <w:tcBorders>
                    <w:tl2br w:val="nil"/>
                    <w:tr2bl w:val="nil"/>
                  </w:tcBorders>
                  <w:noWrap w:val="0"/>
                  <w:vAlign w:val="center"/>
                </w:tcPr>
                <w:p w14:paraId="2BA5C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项目情况</w:t>
                  </w:r>
                </w:p>
              </w:tc>
              <w:tc>
                <w:tcPr>
                  <w:tcW w:w="558" w:type="pct"/>
                  <w:tcBorders>
                    <w:tl2br w:val="nil"/>
                    <w:tr2bl w:val="nil"/>
                  </w:tcBorders>
                  <w:noWrap w:val="0"/>
                  <w:vAlign w:val="center"/>
                </w:tcPr>
                <w:p w14:paraId="1C256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符合性</w:t>
                  </w:r>
                </w:p>
              </w:tc>
            </w:tr>
            <w:tr w14:paraId="0162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4"/>
                  <w:tcBorders>
                    <w:tl2br w:val="nil"/>
                    <w:tr2bl w:val="nil"/>
                  </w:tcBorders>
                  <w:noWrap w:val="0"/>
                  <w:vAlign w:val="center"/>
                </w:tcPr>
                <w:p w14:paraId="7D6E8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val="0"/>
                      <w:bCs w:val="0"/>
                      <w:color w:val="auto"/>
                      <w:sz w:val="21"/>
                      <w:szCs w:val="21"/>
                      <w:highlight w:val="none"/>
                      <w:shd w:val="clear" w:color="auto" w:fill="auto"/>
                      <w:vertAlign w:val="baseline"/>
                      <w:lang w:val="en-US" w:eastAsia="zh-CN"/>
                    </w:rPr>
                    <w:t>一、生产企业的设立和布局</w:t>
                  </w:r>
                </w:p>
              </w:tc>
            </w:tr>
            <w:tr w14:paraId="65D3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29BD7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1</w:t>
                  </w:r>
                </w:p>
              </w:tc>
              <w:tc>
                <w:tcPr>
                  <w:tcW w:w="2339" w:type="pct"/>
                  <w:tcBorders>
                    <w:tl2br w:val="nil"/>
                    <w:tr2bl w:val="nil"/>
                  </w:tcBorders>
                  <w:noWrap w:val="0"/>
                  <w:vAlign w:val="center"/>
                </w:tcPr>
                <w:p w14:paraId="6D60C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各地建筑垃圾资源化利用企业的设立和布局应根据区域内建筑垃圾存量及增量预测情况、运输半径、应用条件等，统筹协调确定。建筑垃圾资源化利用要与城市总体规划、土地利用总体规划和循环经济规划及旧城改造、大型工业园区改造、城市新区建设等大型建设项目相结合。</w:t>
                  </w:r>
                </w:p>
              </w:tc>
              <w:tc>
                <w:tcPr>
                  <w:tcW w:w="1692" w:type="pct"/>
                  <w:tcBorders>
                    <w:tl2br w:val="nil"/>
                    <w:tr2bl w:val="nil"/>
                  </w:tcBorders>
                  <w:noWrap w:val="0"/>
                  <w:vAlign w:val="center"/>
                </w:tcPr>
                <w:p w14:paraId="1A5C5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olor w:val="auto"/>
                      <w:sz w:val="21"/>
                      <w:szCs w:val="21"/>
                      <w:highlight w:val="none"/>
                      <w:lang w:val="en-US" w:eastAsia="zh-CN"/>
                    </w:rPr>
                    <w:t>本项目</w:t>
                  </w:r>
                  <w:r>
                    <w:rPr>
                      <w:rFonts w:hint="eastAsia"/>
                      <w:color w:val="auto"/>
                      <w:sz w:val="21"/>
                      <w:szCs w:val="21"/>
                      <w:lang w:val="en-US" w:eastAsia="zh-CN"/>
                    </w:rPr>
                    <w:t>原料为屯留区城市建筑拆迁、道路改造等产生的建筑垃圾，建筑垃圾进厂前已经进行了分拣和预处理，经预处理后建筑废料的粒径为＜500mm，且剔除了废钢筋、废铁丝等金属。</w:t>
                  </w:r>
                </w:p>
              </w:tc>
              <w:tc>
                <w:tcPr>
                  <w:tcW w:w="558" w:type="pct"/>
                  <w:tcBorders>
                    <w:tl2br w:val="nil"/>
                    <w:tr2bl w:val="nil"/>
                  </w:tcBorders>
                  <w:noWrap w:val="0"/>
                  <w:vAlign w:val="center"/>
                </w:tcPr>
                <w:p w14:paraId="3424A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0368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4E315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2</w:t>
                  </w:r>
                </w:p>
              </w:tc>
              <w:tc>
                <w:tcPr>
                  <w:tcW w:w="2339" w:type="pct"/>
                  <w:tcBorders>
                    <w:tl2br w:val="nil"/>
                    <w:tr2bl w:val="nil"/>
                  </w:tcBorders>
                  <w:noWrap w:val="0"/>
                  <w:vAlign w:val="center"/>
                </w:tcPr>
                <w:p w14:paraId="48B26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建筑垃圾资源化利用企业选址必须符合国家法律法规、行业发展规划和产业政策，统筹资源、能源、环境、物流和市场等因素合理选址，有条件的地区要优先考虑利用现有垃圾消纳场。建筑垃圾资源化利用企业的固定生产场地宜接近建筑垃圾源头集中地，交通方便，可通行重载建筑垃圾运输车。在条件允许时，在拆迁现场进行现场作</w:t>
                  </w:r>
                  <w:r>
                    <w:rPr>
                      <w:rFonts w:hint="default" w:ascii="Times New Roman" w:hAnsi="Times New Roman" w:eastAsia="宋体" w:cs="Times New Roman"/>
                      <w:color w:val="auto"/>
                      <w:sz w:val="21"/>
                      <w:szCs w:val="21"/>
                      <w:highlight w:val="none"/>
                      <w:shd w:val="clear" w:color="auto" w:fill="auto"/>
                      <w:vertAlign w:val="baseline"/>
                      <w:lang w:val="en-US" w:eastAsia="zh-CN"/>
                    </w:rPr>
                    <w:t>。</w:t>
                  </w:r>
                </w:p>
              </w:tc>
              <w:tc>
                <w:tcPr>
                  <w:tcW w:w="1692" w:type="pct"/>
                  <w:tcBorders>
                    <w:tl2br w:val="nil"/>
                    <w:tr2bl w:val="nil"/>
                  </w:tcBorders>
                  <w:noWrap w:val="0"/>
                  <w:vAlign w:val="center"/>
                </w:tcPr>
                <w:p w14:paraId="0D26F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本项目选址</w:t>
                  </w:r>
                  <w:r>
                    <w:rPr>
                      <w:rFonts w:hint="eastAsia" w:ascii="Times New Roman" w:hAnsi="Times New Roman" w:cs="Times New Roman"/>
                      <w:color w:val="auto"/>
                      <w:sz w:val="21"/>
                      <w:szCs w:val="21"/>
                      <w:highlight w:val="none"/>
                      <w:shd w:val="clear" w:color="auto" w:fill="auto"/>
                      <w:vertAlign w:val="baseline"/>
                      <w:lang w:val="en-US" w:eastAsia="zh-CN"/>
                    </w:rPr>
                    <w:t>不在城市建成区</w:t>
                  </w:r>
                  <w:r>
                    <w:rPr>
                      <w:rFonts w:hint="eastAsia" w:cs="Times New Roman"/>
                      <w:color w:val="auto"/>
                      <w:sz w:val="21"/>
                      <w:szCs w:val="21"/>
                      <w:highlight w:val="none"/>
                      <w:shd w:val="clear" w:color="auto" w:fill="auto"/>
                      <w:vertAlign w:val="baseline"/>
                      <w:lang w:val="en-US" w:eastAsia="zh-CN"/>
                    </w:rPr>
                    <w:t>内</w:t>
                  </w:r>
                  <w:r>
                    <w:rPr>
                      <w:rFonts w:hint="eastAsia" w:ascii="Times New Roman" w:hAnsi="Times New Roman" w:cs="Times New Roman"/>
                      <w:color w:val="auto"/>
                      <w:sz w:val="21"/>
                      <w:szCs w:val="21"/>
                      <w:highlight w:val="none"/>
                      <w:shd w:val="clear" w:color="auto" w:fill="auto"/>
                      <w:vertAlign w:val="baseline"/>
                      <w:lang w:val="en-US" w:eastAsia="zh-CN"/>
                    </w:rPr>
                    <w:t>，符合国家法律法规、行业发展规划和产业政策</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1B985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5E8F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6362B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3</w:t>
                  </w:r>
                </w:p>
              </w:tc>
              <w:tc>
                <w:tcPr>
                  <w:tcW w:w="2339" w:type="pct"/>
                  <w:tcBorders>
                    <w:tl2br w:val="nil"/>
                    <w:tr2bl w:val="nil"/>
                  </w:tcBorders>
                  <w:noWrap w:val="0"/>
                  <w:vAlign w:val="center"/>
                </w:tcPr>
                <w:p w14:paraId="2B11A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鼓励建筑垃圾资源化利用企业进行拆迁、运输、处置和产品应用等产业链相关环节的整合，以资源化利用为主线，提高产业集中度，加速工业化发展。</w:t>
                  </w:r>
                </w:p>
              </w:tc>
              <w:tc>
                <w:tcPr>
                  <w:tcW w:w="1692" w:type="pct"/>
                  <w:tcBorders>
                    <w:tl2br w:val="nil"/>
                    <w:tr2bl w:val="nil"/>
                  </w:tcBorders>
                  <w:noWrap w:val="0"/>
                  <w:vAlign w:val="center"/>
                </w:tcPr>
                <w:p w14:paraId="6C48D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本项目</w:t>
                  </w:r>
                  <w:r>
                    <w:rPr>
                      <w:rFonts w:hint="eastAsia"/>
                      <w:color w:val="auto"/>
                      <w:sz w:val="21"/>
                      <w:szCs w:val="21"/>
                      <w:lang w:val="en-US" w:eastAsia="zh-CN"/>
                    </w:rPr>
                    <w:t>原料为屯留区城市建筑拆迁、道路改造等产生的块状建筑垃圾。</w:t>
                  </w:r>
                </w:p>
              </w:tc>
              <w:tc>
                <w:tcPr>
                  <w:tcW w:w="558" w:type="pct"/>
                  <w:tcBorders>
                    <w:tl2br w:val="nil"/>
                    <w:tr2bl w:val="nil"/>
                  </w:tcBorders>
                  <w:noWrap w:val="0"/>
                  <w:vAlign w:val="center"/>
                </w:tcPr>
                <w:p w14:paraId="53730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370D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4"/>
                  <w:tcBorders>
                    <w:tl2br w:val="nil"/>
                    <w:tr2bl w:val="nil"/>
                  </w:tcBorders>
                  <w:noWrap w:val="0"/>
                  <w:vAlign w:val="center"/>
                </w:tcPr>
                <w:p w14:paraId="4217F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二、生产规模和管理</w:t>
                  </w:r>
                </w:p>
              </w:tc>
            </w:tr>
            <w:tr w14:paraId="14F9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1461C1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1</w:t>
                  </w:r>
                </w:p>
              </w:tc>
              <w:tc>
                <w:tcPr>
                  <w:tcW w:w="2339" w:type="pct"/>
                  <w:tcBorders>
                    <w:tl2br w:val="nil"/>
                    <w:tr2bl w:val="nil"/>
                  </w:tcBorders>
                  <w:noWrap w:val="0"/>
                  <w:vAlign w:val="center"/>
                </w:tcPr>
                <w:p w14:paraId="584BDA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根据当地建筑垃圾条件及资源化利用方式等因素，综合确定建筑垃圾资源化利用项目的年处置能力，鼓励规模化发展。</w:t>
                  </w:r>
                </w:p>
                <w:p w14:paraId="69826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大型建筑垃圾资源化项目年处置生产能力不低于100万吨，中型不低于50万吨，小型不低于25万吨</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692" w:type="pct"/>
                  <w:tcBorders>
                    <w:tl2br w:val="nil"/>
                    <w:tr2bl w:val="nil"/>
                  </w:tcBorders>
                  <w:noWrap w:val="0"/>
                  <w:vAlign w:val="center"/>
                </w:tcPr>
                <w:p w14:paraId="57271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本项目设计规模为年处理30</w:t>
                  </w:r>
                  <w:r>
                    <w:rPr>
                      <w:rFonts w:hint="eastAsia" w:ascii="Times New Roman" w:hAnsi="Times New Roman" w:cs="Times New Roman"/>
                      <w:color w:val="auto"/>
                      <w:sz w:val="21"/>
                      <w:szCs w:val="21"/>
                      <w:highlight w:val="none"/>
                      <w:shd w:val="clear" w:color="auto" w:fill="auto"/>
                      <w:vertAlign w:val="baseline"/>
                      <w:lang w:val="en-US" w:eastAsia="zh-CN"/>
                    </w:rPr>
                    <w:t>万吨</w:t>
                  </w:r>
                  <w:r>
                    <w:rPr>
                      <w:rFonts w:hint="eastAsia" w:cs="Times New Roman"/>
                      <w:color w:val="auto"/>
                      <w:sz w:val="21"/>
                      <w:szCs w:val="21"/>
                      <w:highlight w:val="none"/>
                      <w:shd w:val="clear" w:color="auto" w:fill="auto"/>
                      <w:vertAlign w:val="baseline"/>
                      <w:lang w:val="en-US" w:eastAsia="zh-CN"/>
                    </w:rPr>
                    <w:t>建筑垃圾。</w:t>
                  </w:r>
                </w:p>
              </w:tc>
              <w:tc>
                <w:tcPr>
                  <w:tcW w:w="558" w:type="pct"/>
                  <w:tcBorders>
                    <w:tl2br w:val="nil"/>
                    <w:tr2bl w:val="nil"/>
                  </w:tcBorders>
                  <w:noWrap w:val="0"/>
                  <w:vAlign w:val="center"/>
                </w:tcPr>
                <w:p w14:paraId="3D429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7E0F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515EE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2</w:t>
                  </w:r>
                </w:p>
              </w:tc>
              <w:tc>
                <w:tcPr>
                  <w:tcW w:w="2339" w:type="pct"/>
                  <w:tcBorders>
                    <w:tl2br w:val="nil"/>
                    <w:tr2bl w:val="nil"/>
                  </w:tcBorders>
                  <w:noWrap w:val="0"/>
                  <w:vAlign w:val="center"/>
                </w:tcPr>
                <w:p w14:paraId="46859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各地应依据国家和地方的相关法律法规和产业政策，落实完善建筑垃圾资源化利用相关制度、标准和规范等。选择适宜生产主体，鼓励探索运行成熟、具有地区特色的经营模式</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692" w:type="pct"/>
                  <w:tcBorders>
                    <w:tl2br w:val="nil"/>
                    <w:tr2bl w:val="nil"/>
                  </w:tcBorders>
                  <w:noWrap w:val="0"/>
                  <w:vAlign w:val="center"/>
                </w:tcPr>
                <w:p w14:paraId="1F1C5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本项目建设符合国家和地方的相关法律法规和产业政策</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2A2DB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4CC6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4"/>
                  <w:tcBorders>
                    <w:tl2br w:val="nil"/>
                    <w:tr2bl w:val="nil"/>
                  </w:tcBorders>
                  <w:noWrap w:val="0"/>
                  <w:vAlign w:val="center"/>
                </w:tcPr>
                <w:p w14:paraId="763E2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三、资源综合利用及能源消耗</w:t>
                  </w:r>
                </w:p>
              </w:tc>
            </w:tr>
            <w:tr w14:paraId="22E5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5D298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1</w:t>
                  </w:r>
                </w:p>
              </w:tc>
              <w:tc>
                <w:tcPr>
                  <w:tcW w:w="2339" w:type="pct"/>
                  <w:tcBorders>
                    <w:tl2br w:val="nil"/>
                    <w:tr2bl w:val="nil"/>
                  </w:tcBorders>
                  <w:noWrap w:val="0"/>
                  <w:vAlign w:val="center"/>
                </w:tcPr>
                <w:p w14:paraId="30614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建筑垃圾资源化利用企业应全面接收当地产生的符合相关规范要求的建筑垃圾</w:t>
                  </w:r>
                  <w:r>
                    <w:rPr>
                      <w:rFonts w:hint="eastAsia"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有毒有害垃圾除外</w:t>
                  </w:r>
                  <w:r>
                    <w:rPr>
                      <w:rFonts w:hint="eastAsia" w:cs="Times New Roman"/>
                      <w:color w:val="auto"/>
                      <w:sz w:val="21"/>
                      <w:szCs w:val="21"/>
                      <w:highlight w:val="none"/>
                      <w:shd w:val="clear" w:color="auto" w:fill="auto"/>
                      <w:vertAlign w:val="baseline"/>
                      <w:lang w:val="en-US" w:eastAsia="zh-CN"/>
                    </w:rPr>
                    <w:t>）。</w:t>
                  </w:r>
                </w:p>
                <w:p w14:paraId="2BC0D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鼓励企业根据进场建筑垃圾的特点，选择合适的工艺装备，在全面资源化利用处理的前提下，生产混凝土和砂浆用骨料等再生产品</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692" w:type="pct"/>
                  <w:tcBorders>
                    <w:tl2br w:val="nil"/>
                    <w:tr2bl w:val="nil"/>
                  </w:tcBorders>
                  <w:noWrap w:val="0"/>
                  <w:vAlign w:val="center"/>
                </w:tcPr>
                <w:p w14:paraId="167E2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color w:val="auto"/>
                      <w:sz w:val="21"/>
                      <w:szCs w:val="21"/>
                      <w:lang w:val="en-US" w:eastAsia="zh-CN"/>
                    </w:rPr>
                    <w:t>原料为屯留区城市建筑拆迁、道路改造等产生的建筑垃圾</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不接受有毒有害垃圾，</w:t>
                  </w:r>
                  <w:r>
                    <w:rPr>
                      <w:rFonts w:hint="eastAsia"/>
                      <w:color w:val="auto"/>
                      <w:sz w:val="21"/>
                      <w:szCs w:val="21"/>
                      <w:lang w:val="en-US" w:eastAsia="zh-CN"/>
                    </w:rPr>
                    <w:t>建筑垃圾进厂前已经进行了分拣和预处理，经预处理后建筑废料的粒径为＜500mm，且剔除了废钢筋、废铁丝等金属，</w:t>
                  </w:r>
                  <w:r>
                    <w:rPr>
                      <w:rFonts w:hint="eastAsia" w:ascii="Times New Roman" w:hAnsi="Times New Roman" w:eastAsia="宋体" w:cs="Times New Roman"/>
                      <w:color w:val="auto"/>
                      <w:sz w:val="21"/>
                      <w:szCs w:val="21"/>
                      <w:highlight w:val="none"/>
                      <w:lang w:val="en-US" w:eastAsia="zh-CN"/>
                    </w:rPr>
                    <w:t>工艺装备先进，主要生产搅拌站使用的砂石骨料</w:t>
                  </w:r>
                  <w:r>
                    <w:rPr>
                      <w:rFonts w:hint="eastAsia" w:cs="Times New Roman"/>
                      <w:color w:val="auto"/>
                      <w:sz w:val="21"/>
                      <w:szCs w:val="21"/>
                      <w:highlight w:val="none"/>
                      <w:lang w:val="en-US" w:eastAsia="zh-CN"/>
                    </w:rPr>
                    <w:t>。</w:t>
                  </w:r>
                </w:p>
              </w:tc>
              <w:tc>
                <w:tcPr>
                  <w:tcW w:w="558" w:type="pct"/>
                  <w:tcBorders>
                    <w:tl2br w:val="nil"/>
                    <w:tr2bl w:val="nil"/>
                  </w:tcBorders>
                  <w:noWrap w:val="0"/>
                  <w:vAlign w:val="center"/>
                </w:tcPr>
                <w:p w14:paraId="43C5D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1FE1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6EF49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2</w:t>
                  </w:r>
                </w:p>
              </w:tc>
              <w:tc>
                <w:tcPr>
                  <w:tcW w:w="2339" w:type="pct"/>
                  <w:tcBorders>
                    <w:tl2br w:val="nil"/>
                    <w:tr2bl w:val="nil"/>
                  </w:tcBorders>
                  <w:noWrap w:val="0"/>
                  <w:vAlign w:val="center"/>
                </w:tcPr>
                <w:p w14:paraId="04B09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建筑垃圾资源化利用企业单位产品综合能耗应符合表1中能耗限额限定值的规定</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eastAsia" w:ascii="宋体" w:hAnsi="宋体" w:eastAsia="宋体" w:cs="宋体"/>
                      <w:color w:val="auto"/>
                      <w:sz w:val="21"/>
                      <w:szCs w:val="21"/>
                      <w:highlight w:val="none"/>
                      <w:shd w:val="clear" w:color="auto" w:fill="auto"/>
                      <w:vertAlign w:val="baseline"/>
                      <w:lang w:val="en-US" w:eastAsia="zh-CN"/>
                    </w:rPr>
                    <w:t>再生骨料粒径</w:t>
                  </w:r>
                  <w:r>
                    <w:rPr>
                      <w:rFonts w:hint="default" w:ascii="Times New Roman" w:hAnsi="Times New Roman" w:eastAsia="宋体" w:cs="Times New Roman"/>
                      <w:color w:val="auto"/>
                      <w:sz w:val="21"/>
                      <w:szCs w:val="21"/>
                      <w:highlight w:val="none"/>
                      <w:shd w:val="clear" w:color="auto" w:fill="auto"/>
                      <w:vertAlign w:val="baseline"/>
                      <w:lang w:val="en-US" w:eastAsia="zh-CN"/>
                    </w:rPr>
                    <w:t>0-80mm，</w:t>
                  </w:r>
                  <w:r>
                    <w:rPr>
                      <w:rFonts w:hint="eastAsia" w:ascii="宋体" w:hAnsi="宋体" w:eastAsia="宋体" w:cs="宋体"/>
                      <w:color w:val="auto"/>
                      <w:sz w:val="21"/>
                      <w:szCs w:val="21"/>
                      <w:highlight w:val="none"/>
                      <w:shd w:val="clear" w:color="auto" w:fill="auto"/>
                      <w:vertAlign w:val="baseline"/>
                      <w:lang w:val="en-US" w:eastAsia="zh-CN"/>
                    </w:rPr>
                    <w:t>标煤耗≤</w:t>
                  </w:r>
                  <w:r>
                    <w:rPr>
                      <w:rFonts w:hint="default" w:ascii="Times New Roman" w:hAnsi="Times New Roman" w:eastAsia="宋体" w:cs="Times New Roman"/>
                      <w:color w:val="auto"/>
                      <w:sz w:val="21"/>
                      <w:szCs w:val="21"/>
                      <w:highlight w:val="none"/>
                      <w:shd w:val="clear" w:color="auto" w:fill="auto"/>
                      <w:vertAlign w:val="baseline"/>
                      <w:lang w:val="en-US" w:eastAsia="zh-CN"/>
                    </w:rPr>
                    <w:t>5.0</w:t>
                  </w:r>
                  <w:r>
                    <w:rPr>
                      <w:rFonts w:hint="eastAsia" w:ascii="宋体" w:hAnsi="宋体" w:eastAsia="宋体" w:cs="宋体"/>
                      <w:color w:val="auto"/>
                      <w:sz w:val="21"/>
                      <w:szCs w:val="21"/>
                      <w:highlight w:val="none"/>
                      <w:shd w:val="clear" w:color="auto" w:fill="auto"/>
                      <w:vertAlign w:val="baseline"/>
                      <w:lang w:val="en-US" w:eastAsia="zh-CN"/>
                    </w:rPr>
                    <w:t>吨标煤/万吨</w:t>
                  </w:r>
                  <w:r>
                    <w:rPr>
                      <w:rFonts w:hint="default" w:ascii="Times New Roman" w:hAnsi="Times New Roman" w:eastAsia="宋体" w:cs="Times New Roman"/>
                      <w:color w:val="auto"/>
                      <w:sz w:val="21"/>
                      <w:szCs w:val="21"/>
                      <w:highlight w:val="none"/>
                      <w:shd w:val="clear" w:color="auto" w:fill="auto"/>
                      <w:vertAlign w:val="baseline"/>
                      <w:lang w:val="en-US" w:eastAsia="zh-CN"/>
                    </w:rPr>
                    <w:t>；0-37.5mm</w:t>
                  </w:r>
                  <w:r>
                    <w:rPr>
                      <w:rFonts w:hint="eastAsia" w:ascii="宋体" w:hAnsi="宋体" w:eastAsia="宋体" w:cs="宋体"/>
                      <w:color w:val="auto"/>
                      <w:sz w:val="21"/>
                      <w:szCs w:val="21"/>
                      <w:highlight w:val="none"/>
                      <w:shd w:val="clear" w:color="auto" w:fill="auto"/>
                      <w:vertAlign w:val="baseline"/>
                      <w:lang w:val="en-US" w:eastAsia="zh-CN"/>
                    </w:rPr>
                    <w:t>，标煤耗≤</w:t>
                  </w:r>
                  <w:r>
                    <w:rPr>
                      <w:rFonts w:hint="default" w:ascii="Times New Roman" w:hAnsi="Times New Roman" w:eastAsia="宋体" w:cs="Times New Roman"/>
                      <w:color w:val="auto"/>
                      <w:sz w:val="21"/>
                      <w:szCs w:val="21"/>
                      <w:highlight w:val="none"/>
                      <w:shd w:val="clear" w:color="auto" w:fill="auto"/>
                      <w:vertAlign w:val="baseline"/>
                      <w:lang w:val="en-US" w:eastAsia="zh-CN"/>
                    </w:rPr>
                    <w:t>9.0</w:t>
                  </w:r>
                  <w:r>
                    <w:rPr>
                      <w:rFonts w:hint="eastAsia" w:ascii="宋体" w:hAnsi="宋体" w:eastAsia="宋体" w:cs="宋体"/>
                      <w:color w:val="auto"/>
                      <w:sz w:val="21"/>
                      <w:szCs w:val="21"/>
                      <w:highlight w:val="none"/>
                      <w:shd w:val="clear" w:color="auto" w:fill="auto"/>
                      <w:vertAlign w:val="baseline"/>
                      <w:lang w:val="en-US" w:eastAsia="zh-CN"/>
                    </w:rPr>
                    <w:t>吨标煤/万吨；</w:t>
                  </w:r>
                  <w:r>
                    <w:rPr>
                      <w:rFonts w:hint="default" w:ascii="Times New Roman" w:hAnsi="Times New Roman" w:eastAsia="宋体" w:cs="Times New Roman"/>
                      <w:color w:val="auto"/>
                      <w:sz w:val="21"/>
                      <w:szCs w:val="21"/>
                      <w:highlight w:val="none"/>
                      <w:shd w:val="clear" w:color="auto" w:fill="auto"/>
                      <w:vertAlign w:val="baseline"/>
                      <w:lang w:val="en-US" w:eastAsia="zh-CN"/>
                    </w:rPr>
                    <w:t>0-5mm、5-10mm、5-20mm</w:t>
                  </w:r>
                  <w:r>
                    <w:rPr>
                      <w:rFonts w:hint="eastAsia" w:ascii="宋体" w:hAnsi="宋体" w:eastAsia="宋体" w:cs="宋体"/>
                      <w:color w:val="auto"/>
                      <w:sz w:val="21"/>
                      <w:szCs w:val="21"/>
                      <w:highlight w:val="none"/>
                      <w:shd w:val="clear" w:color="auto" w:fill="auto"/>
                      <w:vertAlign w:val="baseline"/>
                      <w:lang w:val="en-US" w:eastAsia="zh-CN"/>
                    </w:rPr>
                    <w:t>标煤耗≤</w:t>
                  </w:r>
                  <w:r>
                    <w:rPr>
                      <w:rFonts w:hint="default" w:ascii="Times New Roman" w:hAnsi="Times New Roman" w:eastAsia="宋体" w:cs="Times New Roman"/>
                      <w:color w:val="auto"/>
                      <w:sz w:val="21"/>
                      <w:szCs w:val="21"/>
                      <w:highlight w:val="none"/>
                      <w:shd w:val="clear" w:color="auto" w:fill="auto"/>
                      <w:vertAlign w:val="baseline"/>
                      <w:lang w:val="en-US" w:eastAsia="zh-CN"/>
                    </w:rPr>
                    <w:t>12.0</w:t>
                  </w:r>
                  <w:r>
                    <w:rPr>
                      <w:rFonts w:hint="eastAsia" w:ascii="宋体" w:hAnsi="宋体" w:eastAsia="宋体" w:cs="宋体"/>
                      <w:color w:val="auto"/>
                      <w:sz w:val="21"/>
                      <w:szCs w:val="21"/>
                      <w:highlight w:val="none"/>
                      <w:shd w:val="clear" w:color="auto" w:fill="auto"/>
                      <w:vertAlign w:val="baseline"/>
                      <w:lang w:val="en-US" w:eastAsia="zh-CN"/>
                    </w:rPr>
                    <w:t>吨标煤/万吨。</w:t>
                  </w:r>
                </w:p>
              </w:tc>
              <w:tc>
                <w:tcPr>
                  <w:tcW w:w="1692" w:type="pct"/>
                  <w:tcBorders>
                    <w:tl2br w:val="nil"/>
                    <w:tr2bl w:val="nil"/>
                  </w:tcBorders>
                  <w:noWrap w:val="0"/>
                  <w:vAlign w:val="center"/>
                </w:tcPr>
                <w:p w14:paraId="6A3E4C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项目产品主要为</w:t>
                  </w:r>
                  <w:r>
                    <w:rPr>
                      <w:rFonts w:hint="eastAsia" w:cs="Times New Roman"/>
                      <w:color w:val="auto"/>
                      <w:sz w:val="21"/>
                      <w:szCs w:val="21"/>
                      <w:highlight w:val="none"/>
                      <w:shd w:val="clear" w:color="auto" w:fill="auto"/>
                      <w:vertAlign w:val="baseline"/>
                      <w:lang w:val="en-US" w:eastAsia="zh-CN"/>
                    </w:rPr>
                    <w:t>0-4.75</w:t>
                  </w:r>
                  <w:r>
                    <w:rPr>
                      <w:rFonts w:hint="eastAsia" w:ascii="Times New Roman" w:hAnsi="Times New Roman" w:cs="Times New Roman"/>
                      <w:color w:val="auto"/>
                      <w:sz w:val="21"/>
                      <w:szCs w:val="21"/>
                      <w:highlight w:val="none"/>
                      <w:shd w:val="clear" w:color="auto" w:fill="auto"/>
                      <w:vertAlign w:val="baseline"/>
                      <w:lang w:val="en-US" w:eastAsia="zh-CN"/>
                    </w:rPr>
                    <w:t>mm</w:t>
                  </w:r>
                  <w:r>
                    <w:rPr>
                      <w:rFonts w:hint="eastAsia" w:cs="Times New Roman"/>
                      <w:color w:val="auto"/>
                      <w:sz w:val="21"/>
                      <w:szCs w:val="21"/>
                      <w:highlight w:val="none"/>
                      <w:shd w:val="clear" w:color="auto" w:fill="auto"/>
                      <w:vertAlign w:val="baseline"/>
                      <w:lang w:val="en-US" w:eastAsia="zh-CN"/>
                    </w:rPr>
                    <w:t>机制砂</w:t>
                  </w:r>
                  <w:r>
                    <w:rPr>
                      <w:rFonts w:hint="eastAsia" w:ascii="Times New Roman" w:hAnsi="Times New Roman"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10-15mm、15-20mm石子</w:t>
                  </w:r>
                  <w:r>
                    <w:rPr>
                      <w:rFonts w:hint="eastAsia" w:ascii="Times New Roman" w:hAnsi="Times New Roman" w:cs="Times New Roman"/>
                      <w:color w:val="auto"/>
                      <w:sz w:val="21"/>
                      <w:szCs w:val="21"/>
                      <w:highlight w:val="none"/>
                      <w:shd w:val="clear" w:color="auto" w:fill="auto"/>
                      <w:vertAlign w:val="baseline"/>
                      <w:lang w:val="en-US" w:eastAsia="zh-CN"/>
                    </w:rPr>
                    <w:t>，标煤耗小于</w:t>
                  </w:r>
                  <w:r>
                    <w:rPr>
                      <w:rFonts w:hint="eastAsia" w:cs="Times New Roman"/>
                      <w:color w:val="auto"/>
                      <w:sz w:val="21"/>
                      <w:szCs w:val="21"/>
                      <w:highlight w:val="none"/>
                      <w:shd w:val="clear" w:color="auto" w:fill="auto"/>
                      <w:vertAlign w:val="baseline"/>
                      <w:lang w:val="en-US" w:eastAsia="zh-CN"/>
                    </w:rPr>
                    <w:t>12</w:t>
                  </w:r>
                  <w:r>
                    <w:rPr>
                      <w:rFonts w:hint="eastAsia" w:ascii="Times New Roman" w:hAnsi="Times New Roman" w:cs="Times New Roman"/>
                      <w:color w:val="auto"/>
                      <w:sz w:val="21"/>
                      <w:szCs w:val="21"/>
                      <w:highlight w:val="none"/>
                      <w:shd w:val="clear" w:color="auto" w:fill="auto"/>
                      <w:vertAlign w:val="baseline"/>
                      <w:lang w:val="en-US" w:eastAsia="zh-CN"/>
                    </w:rPr>
                    <w:t>吨标煤/万吨</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3060F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2BF6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4"/>
                  <w:tcBorders>
                    <w:tl2br w:val="nil"/>
                    <w:tr2bl w:val="nil"/>
                  </w:tcBorders>
                  <w:noWrap w:val="0"/>
                  <w:vAlign w:val="center"/>
                </w:tcPr>
                <w:p w14:paraId="4910F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四、工艺与装备</w:t>
                  </w:r>
                </w:p>
              </w:tc>
            </w:tr>
            <w:tr w14:paraId="2CD4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4A055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1</w:t>
                  </w:r>
                </w:p>
              </w:tc>
              <w:tc>
                <w:tcPr>
                  <w:tcW w:w="2339" w:type="pct"/>
                  <w:tcBorders>
                    <w:tl2br w:val="nil"/>
                    <w:tr2bl w:val="nil"/>
                  </w:tcBorders>
                  <w:noWrap w:val="0"/>
                  <w:vAlign w:val="center"/>
                </w:tcPr>
                <w:p w14:paraId="7D30A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根据当地建筑垃圾特点、分布及生产条件，确定采用固定式或移动式生产方式。结合进厂建筑垃圾原料情况和再生产品类型，选用适宜的破碎、分选、筛分等工艺及设备。</w:t>
                  </w:r>
                </w:p>
              </w:tc>
              <w:tc>
                <w:tcPr>
                  <w:tcW w:w="1692" w:type="pct"/>
                  <w:tcBorders>
                    <w:tl2br w:val="nil"/>
                    <w:tr2bl w:val="nil"/>
                  </w:tcBorders>
                  <w:noWrap w:val="0"/>
                  <w:vAlign w:val="center"/>
                </w:tcPr>
                <w:p w14:paraId="16EE5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本项目采用固定式生产方式，接收固定粒径的原料进行破碎、</w:t>
                  </w:r>
                  <w:r>
                    <w:rPr>
                      <w:rFonts w:hint="eastAsia" w:cs="Times New Roman"/>
                      <w:color w:val="auto"/>
                      <w:sz w:val="21"/>
                      <w:szCs w:val="21"/>
                      <w:highlight w:val="none"/>
                      <w:shd w:val="clear" w:color="auto" w:fill="auto"/>
                      <w:vertAlign w:val="baseline"/>
                      <w:lang w:val="en-US" w:eastAsia="zh-CN"/>
                    </w:rPr>
                    <w:t>制砂、</w:t>
                  </w:r>
                  <w:r>
                    <w:rPr>
                      <w:rFonts w:hint="eastAsia" w:ascii="Times New Roman" w:hAnsi="Times New Roman" w:cs="Times New Roman"/>
                      <w:color w:val="auto"/>
                      <w:sz w:val="21"/>
                      <w:szCs w:val="21"/>
                      <w:highlight w:val="none"/>
                      <w:shd w:val="clear" w:color="auto" w:fill="auto"/>
                      <w:vertAlign w:val="baseline"/>
                      <w:lang w:val="en-US" w:eastAsia="zh-CN"/>
                    </w:rPr>
                    <w:t>筛分，工艺采取适宜</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087DD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4023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3BE32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2</w:t>
                  </w:r>
                </w:p>
              </w:tc>
              <w:tc>
                <w:tcPr>
                  <w:tcW w:w="2339" w:type="pct"/>
                  <w:tcBorders>
                    <w:tl2br w:val="nil"/>
                    <w:tr2bl w:val="nil"/>
                  </w:tcBorders>
                  <w:noWrap w:val="0"/>
                  <w:vAlign w:val="center"/>
                </w:tcPr>
                <w:p w14:paraId="16C73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根据不同生产条件，采用适用的除尘、降噪和废水处理工艺及设备。固定式生产方式宜建设封闭生产厂房或封闭式生产单元。</w:t>
                  </w:r>
                </w:p>
              </w:tc>
              <w:tc>
                <w:tcPr>
                  <w:tcW w:w="1692" w:type="pct"/>
                  <w:tcBorders>
                    <w:tl2br w:val="nil"/>
                    <w:tr2bl w:val="nil"/>
                  </w:tcBorders>
                  <w:noWrap w:val="0"/>
                  <w:vAlign w:val="center"/>
                </w:tcPr>
                <w:p w14:paraId="5770C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项目生产工艺为干式工艺。不涉及洗砂废水，除尘工艺采用布袋除尘器，生产车间采用</w:t>
                  </w:r>
                  <w:r>
                    <w:rPr>
                      <w:rFonts w:hint="eastAsia" w:cs="Times New Roman"/>
                      <w:color w:val="auto"/>
                      <w:sz w:val="21"/>
                      <w:szCs w:val="21"/>
                      <w:highlight w:val="none"/>
                      <w:shd w:val="clear" w:color="auto" w:fill="auto"/>
                      <w:vertAlign w:val="baseline"/>
                      <w:lang w:val="en-US" w:eastAsia="zh-CN"/>
                    </w:rPr>
                    <w:t>全</w:t>
                  </w:r>
                  <w:r>
                    <w:rPr>
                      <w:rFonts w:hint="eastAsia" w:ascii="Times New Roman" w:hAnsi="Times New Roman" w:cs="Times New Roman"/>
                      <w:color w:val="auto"/>
                      <w:sz w:val="21"/>
                      <w:szCs w:val="21"/>
                      <w:highlight w:val="none"/>
                      <w:shd w:val="clear" w:color="auto" w:fill="auto"/>
                      <w:vertAlign w:val="baseline"/>
                      <w:lang w:val="en-US" w:eastAsia="zh-CN"/>
                    </w:rPr>
                    <w:t>封闭</w:t>
                  </w:r>
                  <w:r>
                    <w:rPr>
                      <w:rFonts w:hint="eastAsia" w:cs="Times New Roman"/>
                      <w:color w:val="auto"/>
                      <w:sz w:val="21"/>
                      <w:szCs w:val="21"/>
                      <w:highlight w:val="none"/>
                      <w:shd w:val="clear" w:color="auto" w:fill="auto"/>
                      <w:vertAlign w:val="baseline"/>
                      <w:lang w:val="en-US" w:eastAsia="zh-CN"/>
                    </w:rPr>
                    <w:t>厂房。</w:t>
                  </w:r>
                </w:p>
              </w:tc>
              <w:tc>
                <w:tcPr>
                  <w:tcW w:w="558" w:type="pct"/>
                  <w:tcBorders>
                    <w:tl2br w:val="nil"/>
                    <w:tr2bl w:val="nil"/>
                  </w:tcBorders>
                  <w:noWrap w:val="0"/>
                  <w:vAlign w:val="center"/>
                </w:tcPr>
                <w:p w14:paraId="4768A0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3090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2CB48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3</w:t>
                  </w:r>
                </w:p>
              </w:tc>
              <w:tc>
                <w:tcPr>
                  <w:tcW w:w="2339" w:type="pct"/>
                  <w:tcBorders>
                    <w:tl2br w:val="nil"/>
                    <w:tr2bl w:val="nil"/>
                  </w:tcBorders>
                  <w:noWrap w:val="0"/>
                  <w:vAlign w:val="center"/>
                </w:tcPr>
                <w:p w14:paraId="5B7F5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宜配备环境监测、视频监控、工艺运行在线监控系统。</w:t>
                  </w:r>
                </w:p>
              </w:tc>
              <w:tc>
                <w:tcPr>
                  <w:tcW w:w="1692" w:type="pct"/>
                  <w:tcBorders>
                    <w:tl2br w:val="nil"/>
                    <w:tr2bl w:val="nil"/>
                  </w:tcBorders>
                  <w:noWrap w:val="0"/>
                  <w:vAlign w:val="center"/>
                </w:tcPr>
                <w:p w14:paraId="133D3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厂区内外设置视频监控</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0592D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0DDB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4"/>
                  <w:tcBorders>
                    <w:tl2br w:val="nil"/>
                    <w:tr2bl w:val="nil"/>
                  </w:tcBorders>
                  <w:noWrap w:val="0"/>
                  <w:vAlign w:val="center"/>
                </w:tcPr>
                <w:p w14:paraId="7F31E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五、环境保护</w:t>
                  </w:r>
                </w:p>
              </w:tc>
            </w:tr>
            <w:tr w14:paraId="3F11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07E46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1</w:t>
                  </w:r>
                </w:p>
              </w:tc>
              <w:tc>
                <w:tcPr>
                  <w:tcW w:w="2339" w:type="pct"/>
                  <w:tcBorders>
                    <w:tl2br w:val="nil"/>
                    <w:tr2bl w:val="nil"/>
                  </w:tcBorders>
                  <w:noWrap w:val="0"/>
                  <w:vAlign w:val="center"/>
                </w:tcPr>
                <w:p w14:paraId="44411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要严格执行《中华人民共和国环境影响评价法》，依法向环境保护行政主管部门报批建筑垃圾资源化利用项目环境影响评价文件，建设与项目相配套的环境保护设施，并依法申请项目竣工环境保护验收。</w:t>
                  </w:r>
                </w:p>
              </w:tc>
              <w:tc>
                <w:tcPr>
                  <w:tcW w:w="1692" w:type="pct"/>
                  <w:tcBorders>
                    <w:tl2br w:val="nil"/>
                    <w:tr2bl w:val="nil"/>
                  </w:tcBorders>
                  <w:noWrap w:val="0"/>
                  <w:vAlign w:val="center"/>
                </w:tcPr>
                <w:p w14:paraId="7E5C9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项目在办理环境影响评价手续，待项目建成调试运行后办理竣工环境保护验收</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58880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49BB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3D4F8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2</w:t>
                  </w:r>
                </w:p>
              </w:tc>
              <w:tc>
                <w:tcPr>
                  <w:tcW w:w="2339" w:type="pct"/>
                  <w:tcBorders>
                    <w:tl2br w:val="nil"/>
                    <w:tr2bl w:val="nil"/>
                  </w:tcBorders>
                  <w:noWrap w:val="0"/>
                  <w:vAlign w:val="center"/>
                </w:tcPr>
                <w:p w14:paraId="10357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建筑垃圾资源化利用企业根据生产需要应设置粉尘回收和储存设备厂区环境空气质量应达到《环境空气质量标准》GB3095要求，且符合企业所在地的相关地方标准和环境影响评价要求。</w:t>
                  </w:r>
                </w:p>
              </w:tc>
              <w:tc>
                <w:tcPr>
                  <w:tcW w:w="1692" w:type="pct"/>
                  <w:tcBorders>
                    <w:tl2br w:val="nil"/>
                    <w:tr2bl w:val="nil"/>
                  </w:tcBorders>
                  <w:noWrap w:val="0"/>
                  <w:vAlign w:val="center"/>
                </w:tcPr>
                <w:p w14:paraId="5C6BC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本项目生产工艺采用布袋除尘器收集粉尘，项目位于不达标区，符合企业所在地的相关地方标准和环境影响评价要求</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73554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32CA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55FC7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3</w:t>
                  </w:r>
                </w:p>
              </w:tc>
              <w:tc>
                <w:tcPr>
                  <w:tcW w:w="2339" w:type="pct"/>
                  <w:tcBorders>
                    <w:tl2br w:val="nil"/>
                    <w:tr2bl w:val="nil"/>
                  </w:tcBorders>
                  <w:noWrap w:val="0"/>
                  <w:vAlign w:val="center"/>
                </w:tcPr>
                <w:p w14:paraId="50EDA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建筑垃圾资源化利用企业应根据生产工艺的需求，建设生产废水处理系统，实现生产废水循环利用和零排放。</w:t>
                  </w:r>
                </w:p>
              </w:tc>
              <w:tc>
                <w:tcPr>
                  <w:tcW w:w="1692" w:type="pct"/>
                  <w:tcBorders>
                    <w:tl2br w:val="nil"/>
                    <w:tr2bl w:val="nil"/>
                  </w:tcBorders>
                  <w:noWrap w:val="0"/>
                  <w:vAlign w:val="center"/>
                </w:tcPr>
                <w:p w14:paraId="5F68F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项目主要为干式生产</w:t>
                  </w:r>
                  <w:r>
                    <w:rPr>
                      <w:rFonts w:hint="eastAsia" w:cs="Times New Roman"/>
                      <w:color w:val="auto"/>
                      <w:sz w:val="21"/>
                      <w:szCs w:val="21"/>
                      <w:highlight w:val="none"/>
                      <w:shd w:val="clear" w:color="auto" w:fill="auto"/>
                      <w:vertAlign w:val="baseline"/>
                      <w:lang w:val="en-US" w:eastAsia="zh-CN"/>
                    </w:rPr>
                    <w:t>，</w:t>
                  </w:r>
                  <w:r>
                    <w:rPr>
                      <w:rFonts w:hint="eastAsia" w:ascii="Times New Roman" w:hAnsi="Times New Roman" w:cs="Times New Roman"/>
                      <w:color w:val="auto"/>
                      <w:sz w:val="21"/>
                      <w:szCs w:val="21"/>
                      <w:highlight w:val="none"/>
                      <w:shd w:val="clear" w:color="auto" w:fill="auto"/>
                      <w:vertAlign w:val="baseline"/>
                      <w:lang w:val="en-US" w:eastAsia="zh-CN"/>
                    </w:rPr>
                    <w:t>无生产废水产生</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0ECB1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3C16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3B382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4</w:t>
                  </w:r>
                </w:p>
              </w:tc>
              <w:tc>
                <w:tcPr>
                  <w:tcW w:w="2339" w:type="pct"/>
                  <w:tcBorders>
                    <w:tl2br w:val="nil"/>
                    <w:tr2bl w:val="nil"/>
                  </w:tcBorders>
                  <w:noWrap w:val="0"/>
                  <w:vAlign w:val="center"/>
                </w:tcPr>
                <w:p w14:paraId="09F69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建筑垃圾资源化利用企业应对噪声污染采取防治措施，达到《工业企业厂界环境噪声排放标准》GB12348的要求，且符合企业所在地的相关地方标准和环境影响评价要求</w:t>
                  </w:r>
                  <w:r>
                    <w:rPr>
                      <w:rFonts w:hint="eastAsia" w:ascii="Times New Roman" w:hAnsi="Times New Roman" w:eastAsia="宋体" w:cs="Times New Roman"/>
                      <w:color w:val="auto"/>
                      <w:sz w:val="21"/>
                      <w:szCs w:val="21"/>
                      <w:highlight w:val="none"/>
                      <w:shd w:val="clear" w:color="auto" w:fill="auto"/>
                      <w:vertAlign w:val="baseline"/>
                      <w:lang w:val="en-US" w:eastAsia="zh-CN"/>
                    </w:rPr>
                    <w:t>。</w:t>
                  </w:r>
                </w:p>
              </w:tc>
              <w:tc>
                <w:tcPr>
                  <w:tcW w:w="1692" w:type="pct"/>
                  <w:tcBorders>
                    <w:tl2br w:val="nil"/>
                    <w:tr2bl w:val="nil"/>
                  </w:tcBorders>
                  <w:noWrap w:val="0"/>
                  <w:vAlign w:val="center"/>
                </w:tcPr>
                <w:p w14:paraId="706C8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企业生产设备采用</w:t>
                  </w:r>
                  <w:r>
                    <w:rPr>
                      <w:rFonts w:hint="eastAsia" w:cs="Times New Roman"/>
                      <w:color w:val="auto"/>
                      <w:sz w:val="21"/>
                      <w:szCs w:val="21"/>
                      <w:highlight w:val="none"/>
                      <w:shd w:val="clear" w:color="auto" w:fill="auto"/>
                      <w:vertAlign w:val="baseline"/>
                      <w:lang w:val="en-US" w:eastAsia="zh-CN"/>
                    </w:rPr>
                    <w:t>减振</w:t>
                  </w:r>
                  <w:r>
                    <w:rPr>
                      <w:rFonts w:hint="eastAsia" w:ascii="Times New Roman" w:hAnsi="Times New Roman" w:cs="Times New Roman"/>
                      <w:color w:val="auto"/>
                      <w:sz w:val="21"/>
                      <w:szCs w:val="21"/>
                      <w:highlight w:val="none"/>
                      <w:shd w:val="clear" w:color="auto" w:fill="auto"/>
                      <w:vertAlign w:val="baseline"/>
                      <w:lang w:val="en-US" w:eastAsia="zh-CN"/>
                    </w:rPr>
                    <w:t>、厂房隔声等措施减少设备噪声，能够满足《工业企业厂界环境噪声排放标准》</w:t>
                  </w:r>
                  <w:r>
                    <w:rPr>
                      <w:rFonts w:hint="eastAsia" w:cs="Times New Roman"/>
                      <w:color w:val="auto"/>
                      <w:sz w:val="21"/>
                      <w:szCs w:val="21"/>
                      <w:highlight w:val="none"/>
                      <w:shd w:val="clear" w:color="auto" w:fill="auto"/>
                      <w:vertAlign w:val="baseline"/>
                      <w:lang w:val="en-US" w:eastAsia="zh-CN"/>
                    </w:rPr>
                    <w:t>（</w:t>
                  </w:r>
                  <w:r>
                    <w:rPr>
                      <w:rFonts w:hint="eastAsia" w:ascii="Times New Roman" w:hAnsi="Times New Roman" w:cs="Times New Roman"/>
                      <w:color w:val="auto"/>
                      <w:sz w:val="21"/>
                      <w:szCs w:val="21"/>
                      <w:highlight w:val="none"/>
                      <w:shd w:val="clear" w:color="auto" w:fill="auto"/>
                      <w:vertAlign w:val="baseline"/>
                      <w:lang w:val="en-US" w:eastAsia="zh-CN"/>
                    </w:rPr>
                    <w:t>GB12348</w:t>
                  </w:r>
                  <w:r>
                    <w:rPr>
                      <w:rFonts w:hint="eastAsia" w:cs="Times New Roman"/>
                      <w:color w:val="auto"/>
                      <w:sz w:val="21"/>
                      <w:szCs w:val="21"/>
                      <w:highlight w:val="none"/>
                      <w:shd w:val="clear" w:color="auto" w:fill="auto"/>
                      <w:vertAlign w:val="baseline"/>
                      <w:lang w:val="en-US" w:eastAsia="zh-CN"/>
                    </w:rPr>
                    <w:t>）</w:t>
                  </w:r>
                  <w:r>
                    <w:rPr>
                      <w:rFonts w:hint="eastAsia" w:ascii="Times New Roman" w:hAnsi="Times New Roman" w:cs="Times New Roman"/>
                      <w:color w:val="auto"/>
                      <w:sz w:val="21"/>
                      <w:szCs w:val="21"/>
                      <w:highlight w:val="none"/>
                      <w:shd w:val="clear" w:color="auto" w:fill="auto"/>
                      <w:vertAlign w:val="baseline"/>
                      <w:lang w:val="en-US" w:eastAsia="zh-CN"/>
                    </w:rPr>
                    <w:t>的要求，</w:t>
                  </w:r>
                  <w:r>
                    <w:rPr>
                      <w:rFonts w:hint="eastAsia" w:cs="Times New Roman"/>
                      <w:color w:val="auto"/>
                      <w:sz w:val="21"/>
                      <w:szCs w:val="21"/>
                      <w:highlight w:val="none"/>
                      <w:shd w:val="clear" w:color="auto" w:fill="auto"/>
                      <w:vertAlign w:val="baseline"/>
                      <w:lang w:val="en-US" w:eastAsia="zh-CN"/>
                    </w:rPr>
                    <w:t>同时</w:t>
                  </w:r>
                  <w:r>
                    <w:rPr>
                      <w:rFonts w:hint="eastAsia" w:ascii="Times New Roman" w:hAnsi="Times New Roman" w:cs="Times New Roman"/>
                      <w:color w:val="auto"/>
                      <w:sz w:val="21"/>
                      <w:szCs w:val="21"/>
                      <w:highlight w:val="none"/>
                      <w:shd w:val="clear" w:color="auto" w:fill="auto"/>
                      <w:vertAlign w:val="baseline"/>
                      <w:lang w:val="en-US" w:eastAsia="zh-CN"/>
                    </w:rPr>
                    <w:t>符合企业所在地的相关地方标准和环境影响评价要求</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081CD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6654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4"/>
                  <w:tcBorders>
                    <w:tl2br w:val="nil"/>
                    <w:tr2bl w:val="nil"/>
                  </w:tcBorders>
                  <w:noWrap w:val="0"/>
                  <w:vAlign w:val="center"/>
                </w:tcPr>
                <w:p w14:paraId="7CCA9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六、产品质量与职业教育</w:t>
                  </w:r>
                </w:p>
              </w:tc>
            </w:tr>
            <w:tr w14:paraId="3815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2EB68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1</w:t>
                  </w:r>
                </w:p>
              </w:tc>
              <w:tc>
                <w:tcPr>
                  <w:tcW w:w="2339" w:type="pct"/>
                  <w:tcBorders>
                    <w:tl2br w:val="nil"/>
                    <w:tr2bl w:val="nil"/>
                  </w:tcBorders>
                  <w:noWrap w:val="0"/>
                  <w:vAlign w:val="center"/>
                </w:tcPr>
                <w:p w14:paraId="4569D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产品质量应符合《混凝土和砂浆用再</w:t>
                  </w:r>
                  <w:r>
                    <w:rPr>
                      <w:rFonts w:hint="eastAsia" w:ascii="Times New Roman" w:hAnsi="Times New Roman" w:eastAsia="宋体" w:cs="Times New Roman"/>
                      <w:color w:val="auto"/>
                      <w:sz w:val="21"/>
                      <w:szCs w:val="21"/>
                      <w:highlight w:val="none"/>
                      <w:shd w:val="clear" w:color="auto" w:fill="auto"/>
                      <w:vertAlign w:val="baseline"/>
                      <w:lang w:val="en-US" w:eastAsia="zh-CN"/>
                    </w:rPr>
                    <w:t>生</w:t>
                  </w:r>
                  <w:r>
                    <w:rPr>
                      <w:rFonts w:hint="default" w:ascii="Times New Roman" w:hAnsi="Times New Roman" w:eastAsia="宋体" w:cs="Times New Roman"/>
                      <w:color w:val="auto"/>
                      <w:sz w:val="21"/>
                      <w:szCs w:val="21"/>
                      <w:highlight w:val="none"/>
                      <w:shd w:val="clear" w:color="auto" w:fill="auto"/>
                      <w:vertAlign w:val="baseline"/>
                      <w:lang w:val="en-US" w:eastAsia="zh-CN"/>
                    </w:rPr>
                    <w:t>骨料》(GB/T25176)《混凝土用再生粗骨料》(GB/T25177)等国家、行业和地方标准的有</w:t>
                  </w:r>
                  <w:r>
                    <w:rPr>
                      <w:rFonts w:hint="eastAsia" w:ascii="Times New Roman" w:hAnsi="Times New Roman" w:eastAsia="宋体" w:cs="Times New Roman"/>
                      <w:color w:val="auto"/>
                      <w:sz w:val="21"/>
                      <w:szCs w:val="21"/>
                      <w:highlight w:val="none"/>
                      <w:shd w:val="clear" w:color="auto" w:fill="auto"/>
                      <w:vertAlign w:val="baseline"/>
                      <w:lang w:val="en-US" w:eastAsia="zh-CN"/>
                    </w:rPr>
                    <w:t>关规</w:t>
                  </w:r>
                  <w:r>
                    <w:rPr>
                      <w:rFonts w:hint="default" w:ascii="Times New Roman" w:hAnsi="Times New Roman" w:eastAsia="宋体" w:cs="Times New Roman"/>
                      <w:color w:val="auto"/>
                      <w:sz w:val="21"/>
                      <w:szCs w:val="21"/>
                      <w:highlight w:val="none"/>
                      <w:shd w:val="clear" w:color="auto" w:fill="auto"/>
                      <w:vertAlign w:val="baseline"/>
                      <w:lang w:val="en-US" w:eastAsia="zh-CN"/>
                    </w:rPr>
                    <w:t>定。</w:t>
                  </w:r>
                </w:p>
              </w:tc>
              <w:tc>
                <w:tcPr>
                  <w:tcW w:w="1692" w:type="pct"/>
                  <w:tcBorders>
                    <w:tl2br w:val="nil"/>
                    <w:tr2bl w:val="nil"/>
                  </w:tcBorders>
                  <w:noWrap w:val="0"/>
                  <w:vAlign w:val="center"/>
                </w:tcPr>
                <w:p w14:paraId="0C245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产品</w:t>
                  </w:r>
                  <w:r>
                    <w:rPr>
                      <w:rFonts w:hint="eastAsia" w:ascii="Times New Roman" w:hAnsi="Times New Roman" w:cs="Times New Roman"/>
                      <w:color w:val="auto"/>
                      <w:sz w:val="21"/>
                      <w:szCs w:val="21"/>
                      <w:highlight w:val="none"/>
                      <w:shd w:val="clear" w:color="auto" w:fill="auto"/>
                      <w:vertAlign w:val="baseline"/>
                      <w:lang w:val="en-US" w:eastAsia="zh-CN"/>
                    </w:rPr>
                    <w:t>符合《混凝</w:t>
                  </w:r>
                  <w:r>
                    <w:rPr>
                      <w:rFonts w:hint="eastAsia" w:cs="Times New Roman"/>
                      <w:color w:val="auto"/>
                      <w:sz w:val="21"/>
                      <w:szCs w:val="21"/>
                      <w:highlight w:val="none"/>
                      <w:shd w:val="clear" w:color="auto" w:fill="auto"/>
                      <w:vertAlign w:val="baseline"/>
                      <w:lang w:val="en-US" w:eastAsia="zh-CN"/>
                    </w:rPr>
                    <w:t>土</w:t>
                  </w:r>
                  <w:r>
                    <w:rPr>
                      <w:rFonts w:hint="eastAsia" w:ascii="Times New Roman" w:hAnsi="Times New Roman" w:cs="Times New Roman"/>
                      <w:color w:val="auto"/>
                      <w:sz w:val="21"/>
                      <w:szCs w:val="21"/>
                      <w:highlight w:val="none"/>
                      <w:shd w:val="clear" w:color="auto" w:fill="auto"/>
                      <w:vertAlign w:val="baseline"/>
                      <w:lang w:val="en-US" w:eastAsia="zh-CN"/>
                    </w:rPr>
                    <w:t>再生粗骨料》（GB/T25177-2010)等有关标准</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6E814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0C9E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538E3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2</w:t>
                  </w:r>
                </w:p>
              </w:tc>
              <w:tc>
                <w:tcPr>
                  <w:tcW w:w="2339" w:type="pct"/>
                  <w:tcBorders>
                    <w:tl2br w:val="nil"/>
                    <w:tr2bl w:val="nil"/>
                  </w:tcBorders>
                  <w:noWrap w:val="0"/>
                  <w:vAlign w:val="center"/>
                </w:tcPr>
                <w:p w14:paraId="309CAD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企业应当设立独立的质量检验部门和专职检验人员，质量检验管理制度健全、检验数据完整，具有经过检定合格、符合使用期限的相应检验、检测设备。</w:t>
                  </w:r>
                </w:p>
              </w:tc>
              <w:tc>
                <w:tcPr>
                  <w:tcW w:w="1692" w:type="pct"/>
                  <w:tcBorders>
                    <w:tl2br w:val="nil"/>
                    <w:tr2bl w:val="nil"/>
                  </w:tcBorders>
                  <w:noWrap w:val="0"/>
                  <w:vAlign w:val="center"/>
                </w:tcPr>
                <w:p w14:paraId="3D3DBD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企业建成运行后设置独立质量检验部门和专职检验人员，质量检验管理制度健全、检验数据完整,具有经过检定合格、符合使用期限的相应检验、检测设备</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62873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1F86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69DBC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3</w:t>
                  </w:r>
                </w:p>
              </w:tc>
              <w:tc>
                <w:tcPr>
                  <w:tcW w:w="2339" w:type="pct"/>
                  <w:tcBorders>
                    <w:tl2br w:val="nil"/>
                    <w:tr2bl w:val="nil"/>
                  </w:tcBorders>
                  <w:noWrap w:val="0"/>
                  <w:vAlign w:val="center"/>
                </w:tcPr>
                <w:p w14:paraId="0B872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建立生产质量管理体系，励企业实施《ISO9001质量管理体系》产品在使用时应明确标示为再生</w:t>
                  </w:r>
                  <w:r>
                    <w:rPr>
                      <w:rFonts w:hint="eastAsia" w:cs="Times New Roman"/>
                      <w:color w:val="auto"/>
                      <w:sz w:val="21"/>
                      <w:szCs w:val="21"/>
                      <w:highlight w:val="none"/>
                      <w:shd w:val="clear" w:color="auto" w:fill="auto"/>
                      <w:vertAlign w:val="baseline"/>
                      <w:lang w:val="en-US" w:eastAsia="zh-CN"/>
                    </w:rPr>
                    <w:t>骨</w:t>
                  </w:r>
                  <w:r>
                    <w:rPr>
                      <w:rFonts w:hint="default" w:ascii="Times New Roman" w:hAnsi="Times New Roman" w:eastAsia="宋体" w:cs="Times New Roman"/>
                      <w:color w:val="auto"/>
                      <w:sz w:val="21"/>
                      <w:szCs w:val="21"/>
                      <w:highlight w:val="none"/>
                      <w:shd w:val="clear" w:color="auto" w:fill="auto"/>
                      <w:vertAlign w:val="baseline"/>
                      <w:lang w:val="en-US" w:eastAsia="zh-CN"/>
                    </w:rPr>
                    <w:t>料。</w:t>
                  </w:r>
                </w:p>
              </w:tc>
              <w:tc>
                <w:tcPr>
                  <w:tcW w:w="1692" w:type="pct"/>
                  <w:tcBorders>
                    <w:tl2br w:val="nil"/>
                    <w:tr2bl w:val="nil"/>
                  </w:tcBorders>
                  <w:noWrap w:val="0"/>
                  <w:vAlign w:val="center"/>
                </w:tcPr>
                <w:p w14:paraId="280A4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企业产品在使用时明确标示为再生骨料</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51E7F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1DB7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6D99A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4</w:t>
                  </w:r>
                </w:p>
              </w:tc>
              <w:tc>
                <w:tcPr>
                  <w:tcW w:w="2339" w:type="pct"/>
                  <w:tcBorders>
                    <w:tl2br w:val="nil"/>
                    <w:tr2bl w:val="nil"/>
                  </w:tcBorders>
                  <w:noWrap w:val="0"/>
                  <w:vAlign w:val="center"/>
                </w:tcPr>
                <w:p w14:paraId="0D18A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企业应建立可追溯的生产记录以及检验过程中的各种相关信息、所使用的原材料、各工序加工过程中的工艺参数和产品应用记录等档案，相关档案至少保存3年。</w:t>
                  </w:r>
                </w:p>
              </w:tc>
              <w:tc>
                <w:tcPr>
                  <w:tcW w:w="1692" w:type="pct"/>
                  <w:tcBorders>
                    <w:tl2br w:val="nil"/>
                    <w:tr2bl w:val="nil"/>
                  </w:tcBorders>
                  <w:noWrap w:val="0"/>
                  <w:vAlign w:val="center"/>
                </w:tcPr>
                <w:p w14:paraId="3869F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企业建立可追溯的生产记录以及检验过程中的各种相关信息、所使用的原材料、各工序加工过程中的工艺参数和产品应用记录等档案，相关档案至少保存5年</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6DD60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14:paraId="506D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tcBorders>
                    <w:tl2br w:val="nil"/>
                    <w:tr2bl w:val="nil"/>
                  </w:tcBorders>
                  <w:noWrap w:val="0"/>
                  <w:vAlign w:val="center"/>
                </w:tcPr>
                <w:p w14:paraId="19DD8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5</w:t>
                  </w:r>
                </w:p>
              </w:tc>
              <w:tc>
                <w:tcPr>
                  <w:tcW w:w="2339" w:type="pct"/>
                  <w:tcBorders>
                    <w:tl2br w:val="nil"/>
                    <w:tr2bl w:val="nil"/>
                  </w:tcBorders>
                  <w:noWrap w:val="0"/>
                  <w:vAlign w:val="center"/>
                </w:tcPr>
                <w:p w14:paraId="23DA9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企业应建立职业教育培训管理制度。工程技术人员和生产工人应定期接受国家职业培训与继续教育，建立职工教育档案。</w:t>
                  </w:r>
                </w:p>
              </w:tc>
              <w:tc>
                <w:tcPr>
                  <w:tcW w:w="1692" w:type="pct"/>
                  <w:tcBorders>
                    <w:tl2br w:val="nil"/>
                    <w:tr2bl w:val="nil"/>
                  </w:tcBorders>
                  <w:noWrap w:val="0"/>
                  <w:vAlign w:val="center"/>
                </w:tcPr>
                <w:p w14:paraId="308F5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sz w:val="21"/>
                      <w:szCs w:val="21"/>
                      <w:highlight w:val="none"/>
                      <w:shd w:val="clear" w:color="auto" w:fill="auto"/>
                      <w:vertAlign w:val="baseline"/>
                      <w:lang w:val="en-US" w:eastAsia="zh-CN"/>
                    </w:rPr>
                  </w:pPr>
                  <w:r>
                    <w:rPr>
                      <w:rFonts w:hint="eastAsia" w:ascii="Times New Roman" w:hAnsi="Times New Roman" w:cs="Times New Roman"/>
                      <w:color w:val="auto"/>
                      <w:sz w:val="21"/>
                      <w:szCs w:val="21"/>
                      <w:highlight w:val="none"/>
                      <w:shd w:val="clear" w:color="auto" w:fill="auto"/>
                      <w:vertAlign w:val="baseline"/>
                      <w:lang w:val="en-US" w:eastAsia="zh-CN"/>
                    </w:rPr>
                    <w:t>企业建立职业教育培训管理制度。工程技术人员和生产工人应定期接受国家职业培训与继续教育，建立职工教育档案</w:t>
                  </w:r>
                  <w:r>
                    <w:rPr>
                      <w:rFonts w:hint="eastAsia" w:cs="Times New Roman"/>
                      <w:color w:val="auto"/>
                      <w:sz w:val="21"/>
                      <w:szCs w:val="21"/>
                      <w:highlight w:val="none"/>
                      <w:shd w:val="clear" w:color="auto" w:fill="auto"/>
                      <w:vertAlign w:val="baseline"/>
                      <w:lang w:val="en-US" w:eastAsia="zh-CN"/>
                    </w:rPr>
                    <w:t>。</w:t>
                  </w:r>
                </w:p>
              </w:tc>
              <w:tc>
                <w:tcPr>
                  <w:tcW w:w="558" w:type="pct"/>
                  <w:tcBorders>
                    <w:tl2br w:val="nil"/>
                    <w:tr2bl w:val="nil"/>
                  </w:tcBorders>
                  <w:noWrap w:val="0"/>
                  <w:vAlign w:val="center"/>
                </w:tcPr>
                <w:p w14:paraId="46DF9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bl>
          <w:p w14:paraId="794BAEB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80" w:lineRule="exact"/>
              <w:ind w:left="0" w:leftChars="0" w:right="0" w:rightChars="0" w:firstLine="482" w:firstLineChars="200"/>
              <w:textAlignment w:val="auto"/>
              <w:rPr>
                <w:rFonts w:hint="eastAsia"/>
                <w:b/>
                <w:bCs/>
                <w:color w:val="auto"/>
                <w:sz w:val="24"/>
                <w:lang w:val="en-US" w:eastAsia="zh-CN"/>
              </w:rPr>
            </w:pPr>
            <w:r>
              <w:rPr>
                <w:rFonts w:hint="eastAsia" w:ascii="Times New Roman" w:hAnsi="Times New Roman" w:eastAsia="宋体" w:cs="Times New Roman"/>
                <w:b/>
                <w:bCs/>
                <w:color w:val="auto"/>
                <w:kern w:val="2"/>
                <w:sz w:val="24"/>
                <w:szCs w:val="24"/>
                <w:lang w:val="en-US" w:eastAsia="zh-CN" w:bidi="ar-SA"/>
              </w:rPr>
              <w:t>6.</w:t>
            </w:r>
            <w:r>
              <w:rPr>
                <w:rFonts w:hint="eastAsia"/>
                <w:b/>
                <w:bCs/>
                <w:color w:val="auto"/>
                <w:sz w:val="24"/>
                <w:lang w:val="en-US" w:eastAsia="zh-CN"/>
              </w:rPr>
              <w:t>与《关于推进机制砂石行业高质量发展的若干意见》（工信部联原〔2019〕239号）的符合性分析</w:t>
            </w:r>
          </w:p>
          <w:p w14:paraId="12F33B9E">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与“工信部联原[2019]239号”符合性分析一览表</w:t>
            </w:r>
          </w:p>
          <w:tbl>
            <w:tblPr>
              <w:tblStyle w:val="28"/>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145"/>
              <w:gridCol w:w="2310"/>
              <w:gridCol w:w="858"/>
            </w:tblGrid>
            <w:tr w14:paraId="4B7F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0" w:type="pct"/>
                  <w:gridSpan w:val="2"/>
                  <w:tcBorders>
                    <w:tl2br w:val="nil"/>
                    <w:tr2bl w:val="nil"/>
                  </w:tcBorders>
                  <w:noWrap w:val="0"/>
                  <w:vAlign w:val="center"/>
                </w:tcPr>
                <w:p w14:paraId="1746841E">
                  <w:pPr>
                    <w:pStyle w:val="98"/>
                    <w:keepNext w:val="0"/>
                    <w:keepLines w:val="0"/>
                    <w:suppressLineNumbers w:val="0"/>
                    <w:bidi w:val="0"/>
                    <w:spacing w:beforeAutospacing="0" w:afterAutospacing="0"/>
                    <w:ind w:left="0" w:right="0"/>
                    <w:jc w:val="center"/>
                    <w:rPr>
                      <w:rFonts w:hint="default"/>
                      <w:b/>
                      <w:bCs/>
                      <w:color w:val="auto"/>
                    </w:rPr>
                  </w:pPr>
                  <w:r>
                    <w:rPr>
                      <w:rFonts w:hint="default"/>
                      <w:b/>
                      <w:bCs/>
                      <w:color w:val="auto"/>
                    </w:rPr>
                    <w:t>文件要求</w:t>
                  </w:r>
                </w:p>
              </w:tc>
              <w:tc>
                <w:tcPr>
                  <w:tcW w:w="1443" w:type="pct"/>
                  <w:tcBorders>
                    <w:tl2br w:val="nil"/>
                    <w:tr2bl w:val="nil"/>
                  </w:tcBorders>
                  <w:noWrap w:val="0"/>
                  <w:vAlign w:val="center"/>
                </w:tcPr>
                <w:p w14:paraId="630831FF">
                  <w:pPr>
                    <w:pStyle w:val="98"/>
                    <w:keepNext w:val="0"/>
                    <w:keepLines w:val="0"/>
                    <w:suppressLineNumbers w:val="0"/>
                    <w:bidi w:val="0"/>
                    <w:spacing w:beforeAutospacing="0" w:afterAutospacing="0"/>
                    <w:ind w:left="0" w:right="0"/>
                    <w:jc w:val="center"/>
                    <w:rPr>
                      <w:rFonts w:hint="default"/>
                      <w:b/>
                      <w:bCs/>
                      <w:color w:val="auto"/>
                    </w:rPr>
                  </w:pPr>
                  <w:r>
                    <w:rPr>
                      <w:rFonts w:hint="eastAsia"/>
                      <w:b/>
                      <w:bCs/>
                      <w:color w:val="auto"/>
                      <w:lang w:val="en-US" w:eastAsia="zh-CN"/>
                    </w:rPr>
                    <w:t>本</w:t>
                  </w:r>
                  <w:r>
                    <w:rPr>
                      <w:rFonts w:hint="default"/>
                      <w:b/>
                      <w:bCs/>
                      <w:color w:val="auto"/>
                    </w:rPr>
                    <w:t>项目情况</w:t>
                  </w:r>
                </w:p>
              </w:tc>
              <w:tc>
                <w:tcPr>
                  <w:tcW w:w="536" w:type="pct"/>
                  <w:tcBorders>
                    <w:tl2br w:val="nil"/>
                    <w:tr2bl w:val="nil"/>
                  </w:tcBorders>
                  <w:noWrap w:val="0"/>
                  <w:vAlign w:val="center"/>
                </w:tcPr>
                <w:p w14:paraId="6BE68081">
                  <w:pPr>
                    <w:pStyle w:val="98"/>
                    <w:keepNext w:val="0"/>
                    <w:keepLines w:val="0"/>
                    <w:suppressLineNumbers w:val="0"/>
                    <w:bidi w:val="0"/>
                    <w:spacing w:beforeAutospacing="0" w:afterAutospacing="0"/>
                    <w:ind w:left="0" w:right="0"/>
                    <w:rPr>
                      <w:rFonts w:hint="eastAsia" w:eastAsia="宋体"/>
                      <w:b/>
                      <w:bCs/>
                      <w:color w:val="auto"/>
                      <w:lang w:val="en-US" w:eastAsia="zh-CN"/>
                    </w:rPr>
                  </w:pPr>
                  <w:r>
                    <w:rPr>
                      <w:rFonts w:hint="eastAsia"/>
                      <w:b/>
                      <w:bCs/>
                      <w:color w:val="auto"/>
                      <w:lang w:val="en-US" w:eastAsia="zh-CN"/>
                    </w:rPr>
                    <w:t>符合性</w:t>
                  </w:r>
                </w:p>
              </w:tc>
            </w:tr>
            <w:tr w14:paraId="7B75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0" w:type="pct"/>
                  <w:gridSpan w:val="2"/>
                  <w:tcBorders>
                    <w:tl2br w:val="nil"/>
                    <w:tr2bl w:val="nil"/>
                  </w:tcBorders>
                  <w:noWrap w:val="0"/>
                  <w:vAlign w:val="center"/>
                </w:tcPr>
                <w:p w14:paraId="3A4DB9E5">
                  <w:pPr>
                    <w:pStyle w:val="98"/>
                    <w:keepNext w:val="0"/>
                    <w:keepLines w:val="0"/>
                    <w:suppressLineNumbers w:val="0"/>
                    <w:bidi w:val="0"/>
                    <w:spacing w:beforeAutospacing="0" w:afterAutospacing="0"/>
                    <w:ind w:left="0" w:right="0"/>
                    <w:jc w:val="both"/>
                    <w:rPr>
                      <w:rFonts w:hint="default"/>
                      <w:color w:val="auto"/>
                    </w:rPr>
                  </w:pPr>
                  <w:r>
                    <w:rPr>
                      <w:rFonts w:hint="default"/>
                      <w:color w:val="auto"/>
                    </w:rPr>
                    <w:t>一、总体要求发展目标：到2025年，形成较为完善合理的机制砂石供应保障体系，产品质量符合GB/T14684《建设用砂》等有关要求，以Ⅰ类产品为代表的高品质机制砂石比例大幅提升，年产1000万吨及以上的</w:t>
                  </w:r>
                  <w:r>
                    <w:rPr>
                      <w:rFonts w:hint="eastAsia"/>
                      <w:color w:val="auto"/>
                    </w:rPr>
                    <w:t>超</w:t>
                  </w:r>
                  <w:r>
                    <w:rPr>
                      <w:rFonts w:hint="default"/>
                      <w:color w:val="auto"/>
                    </w:rPr>
                    <w:t>大型机制砂石企业产能占比达到40%，利用尾矿、废石、建筑垃圾等生产的机制砂石占比明显提高，</w:t>
                  </w:r>
                  <w:r>
                    <w:rPr>
                      <w:rFonts w:hint="eastAsia"/>
                      <w:color w:val="auto"/>
                      <w:lang w:eastAsia="zh-CN"/>
                    </w:rPr>
                    <w:t>“</w:t>
                  </w:r>
                  <w:r>
                    <w:rPr>
                      <w:rFonts w:hint="default"/>
                      <w:color w:val="auto"/>
                    </w:rPr>
                    <w:t>公转铁、公转水</w:t>
                  </w:r>
                  <w:r>
                    <w:rPr>
                      <w:rFonts w:hint="eastAsia"/>
                      <w:color w:val="auto"/>
                      <w:lang w:eastAsia="zh-CN"/>
                    </w:rPr>
                    <w:t>”</w:t>
                  </w:r>
                  <w:r>
                    <w:rPr>
                      <w:rFonts w:hint="default"/>
                      <w:color w:val="auto"/>
                    </w:rPr>
                    <w:t>运输取得明显进展</w:t>
                  </w:r>
                </w:p>
              </w:tc>
              <w:tc>
                <w:tcPr>
                  <w:tcW w:w="1443" w:type="pct"/>
                  <w:tcBorders>
                    <w:tl2br w:val="nil"/>
                    <w:tr2bl w:val="nil"/>
                  </w:tcBorders>
                  <w:noWrap w:val="0"/>
                  <w:vAlign w:val="center"/>
                </w:tcPr>
                <w:p w14:paraId="5A0096D2">
                  <w:pPr>
                    <w:pStyle w:val="98"/>
                    <w:keepNext w:val="0"/>
                    <w:keepLines w:val="0"/>
                    <w:suppressLineNumbers w:val="0"/>
                    <w:bidi w:val="0"/>
                    <w:spacing w:beforeAutospacing="0" w:afterAutospacing="0"/>
                    <w:ind w:left="0" w:right="0"/>
                    <w:jc w:val="left"/>
                    <w:rPr>
                      <w:rFonts w:hint="eastAsia" w:eastAsia="宋体"/>
                      <w:color w:val="auto"/>
                      <w:lang w:val="en-US" w:eastAsia="zh-CN"/>
                    </w:rPr>
                  </w:pPr>
                  <w:r>
                    <w:rPr>
                      <w:rFonts w:hint="default"/>
                      <w:color w:val="auto"/>
                    </w:rPr>
                    <w:t>本项目</w:t>
                  </w:r>
                  <w:r>
                    <w:rPr>
                      <w:rFonts w:hint="eastAsia"/>
                      <w:color w:val="auto"/>
                      <w:lang w:val="en-US" w:eastAsia="zh-CN"/>
                    </w:rPr>
                    <w:t>年处理30万吨建筑垃圾，产品为机制砂、石子</w:t>
                  </w:r>
                  <w:r>
                    <w:rPr>
                      <w:rFonts w:hint="default"/>
                      <w:color w:val="auto"/>
                    </w:rPr>
                    <w:t>，产品质量要求符合《建设用砂》</w:t>
                  </w:r>
                  <w:r>
                    <w:rPr>
                      <w:rFonts w:hint="eastAsia"/>
                      <w:color w:val="auto"/>
                      <w:lang w:eastAsia="zh-CN"/>
                    </w:rPr>
                    <w:t>（</w:t>
                  </w:r>
                  <w:r>
                    <w:rPr>
                      <w:rFonts w:hint="default"/>
                      <w:color w:val="auto"/>
                    </w:rPr>
                    <w:t>GB/T14684</w:t>
                  </w:r>
                  <w:r>
                    <w:rPr>
                      <w:rFonts w:hint="eastAsia"/>
                      <w:color w:val="auto"/>
                      <w:lang w:eastAsia="zh-CN"/>
                    </w:rPr>
                    <w:t>）</w:t>
                  </w:r>
                  <w:r>
                    <w:rPr>
                      <w:rFonts w:hint="eastAsia"/>
                      <w:color w:val="auto"/>
                      <w:lang w:val="en-US" w:eastAsia="zh-CN"/>
                    </w:rPr>
                    <w:t>等</w:t>
                  </w:r>
                  <w:r>
                    <w:rPr>
                      <w:rFonts w:hint="default"/>
                      <w:color w:val="auto"/>
                    </w:rPr>
                    <w:t>标准</w:t>
                  </w:r>
                  <w:r>
                    <w:rPr>
                      <w:rFonts w:hint="eastAsia"/>
                      <w:color w:val="auto"/>
                      <w:lang w:val="en-US" w:eastAsia="zh-CN"/>
                    </w:rPr>
                    <w:t>要求</w:t>
                  </w:r>
                  <w:r>
                    <w:rPr>
                      <w:rFonts w:hint="eastAsia"/>
                      <w:color w:val="auto"/>
                      <w:lang w:eastAsia="zh-CN"/>
                    </w:rPr>
                    <w:t>。</w:t>
                  </w:r>
                </w:p>
              </w:tc>
              <w:tc>
                <w:tcPr>
                  <w:tcW w:w="536" w:type="pct"/>
                  <w:tcBorders>
                    <w:tl2br w:val="nil"/>
                    <w:tr2bl w:val="nil"/>
                  </w:tcBorders>
                  <w:noWrap w:val="0"/>
                  <w:vAlign w:val="center"/>
                </w:tcPr>
                <w:p w14:paraId="3D1B90C0">
                  <w:pPr>
                    <w:pStyle w:val="98"/>
                    <w:keepNext w:val="0"/>
                    <w:keepLines w:val="0"/>
                    <w:suppressLineNumbers w:val="0"/>
                    <w:bidi w:val="0"/>
                    <w:spacing w:beforeAutospacing="0" w:afterAutospacing="0"/>
                    <w:ind w:left="0" w:right="0"/>
                    <w:rPr>
                      <w:rFonts w:hint="default"/>
                      <w:color w:val="auto"/>
                    </w:rPr>
                  </w:pPr>
                  <w:r>
                    <w:rPr>
                      <w:rFonts w:hint="eastAsia"/>
                      <w:color w:val="auto"/>
                    </w:rPr>
                    <w:t>符合</w:t>
                  </w:r>
                </w:p>
              </w:tc>
            </w:tr>
            <w:tr w14:paraId="78D3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 w:type="pct"/>
                  <w:vMerge w:val="restart"/>
                  <w:tcBorders>
                    <w:tl2br w:val="nil"/>
                    <w:tr2bl w:val="nil"/>
                  </w:tcBorders>
                  <w:noWrap w:val="0"/>
                  <w:vAlign w:val="center"/>
                </w:tcPr>
                <w:p w14:paraId="7757558C">
                  <w:pPr>
                    <w:pStyle w:val="98"/>
                    <w:keepNext w:val="0"/>
                    <w:keepLines w:val="0"/>
                    <w:suppressLineNumbers w:val="0"/>
                    <w:bidi w:val="0"/>
                    <w:spacing w:beforeAutospacing="0" w:afterAutospacing="0"/>
                    <w:ind w:left="0" w:right="0"/>
                    <w:jc w:val="center"/>
                    <w:rPr>
                      <w:rFonts w:hint="default"/>
                      <w:color w:val="auto"/>
                    </w:rPr>
                  </w:pPr>
                  <w:r>
                    <w:rPr>
                      <w:rFonts w:hint="default"/>
                      <w:color w:val="auto"/>
                    </w:rPr>
                    <w:t>二、多措并举保障市场供应</w:t>
                  </w:r>
                </w:p>
              </w:tc>
              <w:tc>
                <w:tcPr>
                  <w:tcW w:w="2590" w:type="pct"/>
                  <w:tcBorders>
                    <w:tl2br w:val="nil"/>
                    <w:tr2bl w:val="nil"/>
                  </w:tcBorders>
                  <w:noWrap w:val="0"/>
                  <w:vAlign w:val="center"/>
                </w:tcPr>
                <w:p w14:paraId="33E482E1">
                  <w:pPr>
                    <w:pStyle w:val="98"/>
                    <w:keepNext w:val="0"/>
                    <w:keepLines w:val="0"/>
                    <w:suppressLineNumbers w:val="0"/>
                    <w:bidi w:val="0"/>
                    <w:spacing w:beforeAutospacing="0" w:afterAutospacing="0"/>
                    <w:ind w:left="0" w:right="0"/>
                    <w:jc w:val="both"/>
                    <w:rPr>
                      <w:rFonts w:hint="default"/>
                      <w:color w:val="auto"/>
                    </w:rPr>
                  </w:pPr>
                  <w:r>
                    <w:rPr>
                      <w:rFonts w:hint="eastAsia"/>
                      <w:color w:val="auto"/>
                    </w:rPr>
                    <w:t>统筹协调布局。根据“十四五”投资建设需要，统筹考虑矿产资源、市场需求、交通物流等因素，按照安全、环保、功能区等方面要求，科学规划、合理布局，建立国内合理的机制砂石供应体系，既保障供给，又防止“一哄而上”造成产能过剩。市、县区域合理布局服务当地的砂石加工基地或集散中心。</w:t>
                  </w:r>
                </w:p>
              </w:tc>
              <w:tc>
                <w:tcPr>
                  <w:tcW w:w="1443" w:type="pct"/>
                  <w:tcBorders>
                    <w:tl2br w:val="nil"/>
                    <w:tr2bl w:val="nil"/>
                  </w:tcBorders>
                  <w:noWrap w:val="0"/>
                  <w:vAlign w:val="center"/>
                </w:tcPr>
                <w:p w14:paraId="4A362DD9">
                  <w:pPr>
                    <w:pStyle w:val="98"/>
                    <w:keepNext w:val="0"/>
                    <w:keepLines w:val="0"/>
                    <w:suppressLineNumbers w:val="0"/>
                    <w:bidi w:val="0"/>
                    <w:spacing w:beforeAutospacing="0" w:afterAutospacing="0"/>
                    <w:ind w:left="0" w:right="0"/>
                    <w:jc w:val="both"/>
                    <w:rPr>
                      <w:rFonts w:hint="default" w:eastAsia="宋体"/>
                      <w:color w:val="auto"/>
                      <w:lang w:val="en-US" w:eastAsia="zh-CN"/>
                    </w:rPr>
                  </w:pPr>
                  <w:r>
                    <w:rPr>
                      <w:rFonts w:hint="eastAsia" w:ascii="Times New Roman" w:hAnsi="Times New Roman" w:eastAsia="宋体" w:cs="Times New Roman"/>
                      <w:color w:val="auto"/>
                      <w:lang w:val="en-US" w:eastAsia="zh-CN"/>
                    </w:rPr>
                    <w:t>本项目位于</w:t>
                  </w:r>
                  <w:r>
                    <w:rPr>
                      <w:rFonts w:hint="default" w:ascii="Times New Roman" w:hAnsi="Times New Roman" w:eastAsia="宋体" w:cs="Times New Roman"/>
                      <w:color w:val="auto"/>
                      <w:lang w:val="en-US" w:eastAsia="zh-CN"/>
                    </w:rPr>
                    <w:t>长治市屯留区李高乡西酪余村北</w:t>
                  </w:r>
                  <w:r>
                    <w:rPr>
                      <w:rFonts w:hint="eastAsia" w:ascii="Times New Roman" w:hAnsi="Times New Roman" w:eastAsia="宋体" w:cs="Times New Roman"/>
                      <w:color w:val="auto"/>
                      <w:lang w:val="en-US" w:eastAsia="zh-CN"/>
                    </w:rPr>
                    <w:t>，厂区内布局合理。</w:t>
                  </w:r>
                </w:p>
              </w:tc>
              <w:tc>
                <w:tcPr>
                  <w:tcW w:w="536" w:type="pct"/>
                  <w:tcBorders>
                    <w:tl2br w:val="nil"/>
                    <w:tr2bl w:val="nil"/>
                  </w:tcBorders>
                  <w:noWrap w:val="0"/>
                  <w:vAlign w:val="center"/>
                </w:tcPr>
                <w:p w14:paraId="7438E72F">
                  <w:pPr>
                    <w:pStyle w:val="98"/>
                    <w:keepNext w:val="0"/>
                    <w:keepLines w:val="0"/>
                    <w:suppressLineNumbers w:val="0"/>
                    <w:bidi w:val="0"/>
                    <w:spacing w:beforeAutospacing="0" w:afterAutospacing="0"/>
                    <w:ind w:left="0" w:right="0"/>
                    <w:rPr>
                      <w:rFonts w:hint="eastAsia"/>
                      <w:color w:val="auto"/>
                    </w:rPr>
                  </w:pPr>
                  <w:r>
                    <w:rPr>
                      <w:rFonts w:hint="eastAsia"/>
                      <w:color w:val="auto"/>
                    </w:rPr>
                    <w:t>符合</w:t>
                  </w:r>
                </w:p>
              </w:tc>
            </w:tr>
            <w:tr w14:paraId="358A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 w:type="pct"/>
                  <w:vMerge w:val="continue"/>
                  <w:tcBorders>
                    <w:tl2br w:val="nil"/>
                    <w:tr2bl w:val="nil"/>
                  </w:tcBorders>
                  <w:noWrap w:val="0"/>
                  <w:vAlign w:val="center"/>
                </w:tcPr>
                <w:p w14:paraId="42440987">
                  <w:pPr>
                    <w:pStyle w:val="98"/>
                    <w:keepNext w:val="0"/>
                    <w:keepLines w:val="0"/>
                    <w:suppressLineNumbers w:val="0"/>
                    <w:bidi w:val="0"/>
                    <w:spacing w:beforeAutospacing="0" w:afterAutospacing="0"/>
                    <w:ind w:left="0" w:right="0"/>
                    <w:jc w:val="both"/>
                    <w:rPr>
                      <w:rFonts w:hint="default"/>
                      <w:color w:val="auto"/>
                    </w:rPr>
                  </w:pPr>
                </w:p>
              </w:tc>
              <w:tc>
                <w:tcPr>
                  <w:tcW w:w="2590" w:type="pct"/>
                  <w:tcBorders>
                    <w:tl2br w:val="nil"/>
                    <w:tr2bl w:val="nil"/>
                  </w:tcBorders>
                  <w:noWrap w:val="0"/>
                  <w:vAlign w:val="center"/>
                </w:tcPr>
                <w:p w14:paraId="000EE3CA">
                  <w:pPr>
                    <w:pStyle w:val="98"/>
                    <w:keepNext w:val="0"/>
                    <w:keepLines w:val="0"/>
                    <w:suppressLineNumbers w:val="0"/>
                    <w:bidi w:val="0"/>
                    <w:spacing w:beforeAutospacing="0" w:afterAutospacing="0"/>
                    <w:ind w:left="0" w:right="0"/>
                    <w:jc w:val="both"/>
                    <w:rPr>
                      <w:rFonts w:hint="default"/>
                      <w:color w:val="auto"/>
                    </w:rPr>
                  </w:pPr>
                  <w:r>
                    <w:rPr>
                      <w:rFonts w:hint="eastAsia"/>
                      <w:color w:val="auto"/>
                    </w:rPr>
                    <w:t>拓展砂石来源。规范砂石资源管理，鼓励利用废石以及铁、钼、钒钛等矿山的尾矿生产机制砂石，节约天然资源，提高产业固体废物综合利用水平。支持就地取材，利用开山、道路、隧洞、场地平整等建设工程产生的砂石料生产机制砂石，减少长距离运输外来砂石，满足建设需要。发展“互联网+砂石骨料”，构建机制砂石电子商务平台，完善支撑服务体系，培育适合砂石产业的O2O、C2B等电商模式，实现砂石电子商务交易中的信息交流、市场交易、物流配送、支付结算、售后服务等功能。</w:t>
                  </w:r>
                </w:p>
              </w:tc>
              <w:tc>
                <w:tcPr>
                  <w:tcW w:w="1443" w:type="pct"/>
                  <w:tcBorders>
                    <w:tl2br w:val="nil"/>
                    <w:tr2bl w:val="nil"/>
                  </w:tcBorders>
                  <w:noWrap w:val="0"/>
                  <w:vAlign w:val="center"/>
                </w:tcPr>
                <w:p w14:paraId="54F7C793">
                  <w:pPr>
                    <w:pStyle w:val="98"/>
                    <w:keepNext w:val="0"/>
                    <w:keepLines w:val="0"/>
                    <w:suppressLineNumbers w:val="0"/>
                    <w:bidi w:val="0"/>
                    <w:spacing w:beforeAutospacing="0" w:afterAutospacing="0"/>
                    <w:ind w:left="0" w:right="0"/>
                    <w:jc w:val="both"/>
                    <w:rPr>
                      <w:rFonts w:hint="eastAsia" w:eastAsia="宋体"/>
                      <w:color w:val="auto"/>
                      <w:lang w:eastAsia="zh-CN"/>
                    </w:rPr>
                  </w:pPr>
                  <w:r>
                    <w:rPr>
                      <w:rFonts w:hint="eastAsia"/>
                      <w:color w:val="auto"/>
                      <w:highlight w:val="none"/>
                    </w:rPr>
                    <w:t>本项目为</w:t>
                  </w:r>
                  <w:r>
                    <w:rPr>
                      <w:rFonts w:hint="eastAsia"/>
                      <w:color w:val="auto"/>
                      <w:highlight w:val="none"/>
                      <w:lang w:val="en-US" w:eastAsia="zh-CN"/>
                    </w:rPr>
                    <w:t>其他建筑材料制造</w:t>
                  </w:r>
                  <w:r>
                    <w:rPr>
                      <w:rFonts w:hint="eastAsia"/>
                      <w:color w:val="auto"/>
                      <w:highlight w:val="none"/>
                    </w:rPr>
                    <w:t>项目</w:t>
                  </w:r>
                  <w:r>
                    <w:rPr>
                      <w:rFonts w:hint="eastAsia"/>
                      <w:color w:val="auto"/>
                      <w:highlight w:val="none"/>
                      <w:lang w:eastAsia="zh-CN"/>
                    </w:rPr>
                    <w:t>，</w:t>
                  </w:r>
                  <w:r>
                    <w:rPr>
                      <w:rFonts w:hint="eastAsia"/>
                      <w:color w:val="auto"/>
                      <w:sz w:val="21"/>
                      <w:szCs w:val="21"/>
                      <w:highlight w:val="none"/>
                      <w:lang w:val="en-US" w:eastAsia="zh-CN"/>
                    </w:rPr>
                    <w:t>原料为城市建筑拆迁、道路改造等产生的建筑垃圾</w:t>
                  </w:r>
                  <w:r>
                    <w:rPr>
                      <w:rFonts w:hint="eastAsia"/>
                      <w:color w:val="auto"/>
                      <w:highlight w:val="none"/>
                    </w:rPr>
                    <w:t>，最远的运距约</w:t>
                  </w:r>
                  <w:r>
                    <w:rPr>
                      <w:rFonts w:hint="eastAsia"/>
                      <w:color w:val="auto"/>
                      <w:highlight w:val="none"/>
                      <w:lang w:val="en-US" w:eastAsia="zh-CN"/>
                    </w:rPr>
                    <w:t>10</w:t>
                  </w:r>
                  <w:r>
                    <w:rPr>
                      <w:rFonts w:hint="default"/>
                      <w:color w:val="auto"/>
                      <w:highlight w:val="none"/>
                    </w:rPr>
                    <w:t>km，</w:t>
                  </w:r>
                  <w:r>
                    <w:rPr>
                      <w:rFonts w:hint="eastAsia"/>
                      <w:color w:val="auto"/>
                      <w:highlight w:val="none"/>
                      <w:lang w:val="en-US" w:eastAsia="zh-CN"/>
                    </w:rPr>
                    <w:t>沿路敏感目标是周围村庄（西酪余村、东酪余村等）</w:t>
                  </w:r>
                  <w:r>
                    <w:rPr>
                      <w:rFonts w:hint="eastAsia"/>
                      <w:color w:val="auto"/>
                      <w:highlight w:val="none"/>
                    </w:rPr>
                    <w:t>，</w:t>
                  </w:r>
                  <w:r>
                    <w:rPr>
                      <w:rFonts w:hint="eastAsia"/>
                      <w:color w:val="auto"/>
                      <w:highlight w:val="none"/>
                      <w:lang w:val="en-US" w:eastAsia="zh-CN"/>
                    </w:rPr>
                    <w:t>运输车辆采用厢式车运输，篷布苫盖，路过村庄禁止鸣笛，限制车速，夜间禁止运输。</w:t>
                  </w:r>
                </w:p>
              </w:tc>
              <w:tc>
                <w:tcPr>
                  <w:tcW w:w="536" w:type="pct"/>
                  <w:tcBorders>
                    <w:tl2br w:val="nil"/>
                    <w:tr2bl w:val="nil"/>
                  </w:tcBorders>
                  <w:noWrap w:val="0"/>
                  <w:vAlign w:val="center"/>
                </w:tcPr>
                <w:p w14:paraId="1E33EED2">
                  <w:pPr>
                    <w:pStyle w:val="98"/>
                    <w:keepNext w:val="0"/>
                    <w:keepLines w:val="0"/>
                    <w:suppressLineNumbers w:val="0"/>
                    <w:bidi w:val="0"/>
                    <w:spacing w:beforeAutospacing="0" w:afterAutospacing="0"/>
                    <w:ind w:left="0" w:right="0"/>
                    <w:rPr>
                      <w:rFonts w:hint="default"/>
                      <w:color w:val="auto"/>
                    </w:rPr>
                  </w:pPr>
                  <w:r>
                    <w:rPr>
                      <w:rFonts w:hint="eastAsia"/>
                      <w:color w:val="auto"/>
                    </w:rPr>
                    <w:t>符合</w:t>
                  </w:r>
                </w:p>
              </w:tc>
            </w:tr>
            <w:tr w14:paraId="65BD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 w:type="pct"/>
                  <w:vMerge w:val="continue"/>
                  <w:tcBorders>
                    <w:tl2br w:val="nil"/>
                    <w:tr2bl w:val="nil"/>
                  </w:tcBorders>
                  <w:noWrap w:val="0"/>
                  <w:vAlign w:val="center"/>
                </w:tcPr>
                <w:p w14:paraId="7DC709B5">
                  <w:pPr>
                    <w:pStyle w:val="98"/>
                    <w:keepNext w:val="0"/>
                    <w:keepLines w:val="0"/>
                    <w:suppressLineNumbers w:val="0"/>
                    <w:bidi w:val="0"/>
                    <w:spacing w:beforeAutospacing="0" w:afterAutospacing="0"/>
                    <w:ind w:left="0" w:right="0"/>
                    <w:jc w:val="both"/>
                    <w:rPr>
                      <w:rFonts w:hint="default"/>
                      <w:color w:val="auto"/>
                    </w:rPr>
                  </w:pPr>
                </w:p>
              </w:tc>
              <w:tc>
                <w:tcPr>
                  <w:tcW w:w="2590" w:type="pct"/>
                  <w:tcBorders>
                    <w:tl2br w:val="nil"/>
                    <w:tr2bl w:val="nil"/>
                  </w:tcBorders>
                  <w:noWrap w:val="0"/>
                  <w:vAlign w:val="center"/>
                </w:tcPr>
                <w:p w14:paraId="1D49F0FE">
                  <w:pPr>
                    <w:pStyle w:val="98"/>
                    <w:keepNext w:val="0"/>
                    <w:keepLines w:val="0"/>
                    <w:suppressLineNumbers w:val="0"/>
                    <w:bidi w:val="0"/>
                    <w:spacing w:beforeAutospacing="0" w:afterAutospacing="0"/>
                    <w:ind w:left="0" w:right="0"/>
                    <w:jc w:val="both"/>
                    <w:rPr>
                      <w:rFonts w:hint="default"/>
                      <w:color w:val="auto"/>
                    </w:rPr>
                  </w:pPr>
                  <w:r>
                    <w:rPr>
                      <w:rFonts w:hint="eastAsia"/>
                      <w:color w:val="auto"/>
                    </w:rPr>
                    <w:t>加强运输保障。推进机制砂石中长距离运输“公转铁、公转水”，减少公路运输量，增加铁路运输量，完善内河水运网络和港口集疏运体系建设。在充分利用铁路专用线、城市铁路货场和岸线码头运输能力的同时，推进铁路专用线建设，对年运量150万吨以上的机制砂石企业，应按规定建设铁路专用线。有序发展多式联运，加强不同运输方式间的有效衔接，大力发展集装箱铁公联运，切实提高机制砂石运输能力。加快建设封闭式运输皮带廊道，逐步减少散货露天装卸量。利用信息化手段对砂石运输实现全程监管，构建绿色物流和绿色供应链。加强运输车辆检测，防止超限超载车辆出场（站）上路。</w:t>
                  </w:r>
                </w:p>
              </w:tc>
              <w:tc>
                <w:tcPr>
                  <w:tcW w:w="1443" w:type="pct"/>
                  <w:tcBorders>
                    <w:tl2br w:val="nil"/>
                    <w:tr2bl w:val="nil"/>
                  </w:tcBorders>
                  <w:noWrap w:val="0"/>
                  <w:vAlign w:val="center"/>
                </w:tcPr>
                <w:p w14:paraId="74D5781E">
                  <w:pPr>
                    <w:pStyle w:val="98"/>
                    <w:keepNext w:val="0"/>
                    <w:keepLines w:val="0"/>
                    <w:suppressLineNumbers w:val="0"/>
                    <w:bidi w:val="0"/>
                    <w:spacing w:beforeAutospacing="0" w:afterAutospacing="0"/>
                    <w:ind w:left="0" w:right="0"/>
                    <w:jc w:val="both"/>
                    <w:rPr>
                      <w:rFonts w:hint="eastAsia" w:eastAsia="宋体"/>
                      <w:color w:val="auto"/>
                      <w:lang w:eastAsia="zh-CN"/>
                    </w:rPr>
                  </w:pPr>
                  <w:r>
                    <w:rPr>
                      <w:rFonts w:hint="eastAsia"/>
                      <w:color w:val="auto"/>
                      <w:highlight w:val="none"/>
                    </w:rPr>
                    <w:t>本项目为</w:t>
                  </w:r>
                  <w:r>
                    <w:rPr>
                      <w:rFonts w:hint="eastAsia"/>
                      <w:color w:val="auto"/>
                      <w:highlight w:val="none"/>
                      <w:lang w:val="en-US" w:eastAsia="zh-CN"/>
                    </w:rPr>
                    <w:t>其他建筑材料制造</w:t>
                  </w:r>
                  <w:r>
                    <w:rPr>
                      <w:rFonts w:hint="eastAsia"/>
                      <w:color w:val="auto"/>
                      <w:highlight w:val="none"/>
                      <w:lang w:eastAsia="zh-CN"/>
                    </w:rPr>
                    <w:t>，</w:t>
                  </w:r>
                  <w:r>
                    <w:rPr>
                      <w:rFonts w:hint="eastAsia"/>
                      <w:color w:val="auto"/>
                      <w:sz w:val="21"/>
                      <w:szCs w:val="21"/>
                      <w:lang w:val="en-US" w:eastAsia="zh-CN"/>
                    </w:rPr>
                    <w:t>原料为城市建筑拆迁、道路改造等产生的块状建筑垃圾</w:t>
                  </w:r>
                  <w:r>
                    <w:rPr>
                      <w:rFonts w:hint="eastAsia"/>
                      <w:color w:val="auto"/>
                      <w:highlight w:val="none"/>
                      <w:lang w:val="en-US" w:eastAsia="zh-CN"/>
                    </w:rPr>
                    <w:t>，原料建筑垃圾为30</w:t>
                  </w:r>
                  <w:r>
                    <w:rPr>
                      <w:rFonts w:hint="eastAsia"/>
                      <w:color w:val="auto"/>
                      <w:highlight w:val="none"/>
                    </w:rPr>
                    <w:t>万吨，</w:t>
                  </w:r>
                  <w:r>
                    <w:rPr>
                      <w:rFonts w:hint="eastAsia"/>
                      <w:color w:val="auto"/>
                      <w:highlight w:val="none"/>
                      <w:lang w:val="en-US" w:eastAsia="zh-CN"/>
                    </w:rPr>
                    <w:t>运输距离最长约为10km，为公路运输，沿路为村庄和工业企业，</w:t>
                  </w:r>
                  <w:r>
                    <w:rPr>
                      <w:rFonts w:hint="eastAsia"/>
                      <w:color w:val="auto"/>
                      <w:highlight w:val="none"/>
                    </w:rPr>
                    <w:t>产品</w:t>
                  </w:r>
                  <w:r>
                    <w:rPr>
                      <w:rFonts w:hint="eastAsia"/>
                      <w:color w:val="auto"/>
                      <w:highlight w:val="none"/>
                      <w:lang w:val="en-US" w:eastAsia="zh-CN"/>
                    </w:rPr>
                    <w:t>石子、机制砂可作为原料外售周围商砼搅拌站</w:t>
                  </w:r>
                  <w:r>
                    <w:rPr>
                      <w:rFonts w:hint="eastAsia"/>
                      <w:color w:val="auto"/>
                      <w:highlight w:val="none"/>
                      <w:lang w:eastAsia="zh-CN"/>
                    </w:rPr>
                    <w:t>。</w:t>
                  </w:r>
                  <w:r>
                    <w:rPr>
                      <w:rFonts w:hint="eastAsia"/>
                      <w:color w:val="auto"/>
                      <w:highlight w:val="none"/>
                    </w:rPr>
                    <w:t>评价要求厂内所有物料及生产工序均在全封闭厂房内进行，物料转运均设置封闭式的运输皮带，杜绝散货露天装卸；项目建成后加强对运输车辆的管理，防止超限超载车辆出场上路</w:t>
                  </w:r>
                  <w:r>
                    <w:rPr>
                      <w:rFonts w:hint="eastAsia"/>
                      <w:color w:val="auto"/>
                      <w:highlight w:val="none"/>
                      <w:lang w:eastAsia="zh-CN"/>
                    </w:rPr>
                    <w:t>。</w:t>
                  </w:r>
                  <w:r>
                    <w:rPr>
                      <w:rFonts w:hint="eastAsia" w:ascii="Times New Roman" w:hAnsi="Times New Roman" w:cs="Times New Roman"/>
                      <w:color w:val="auto"/>
                      <w:sz w:val="21"/>
                      <w:szCs w:val="21"/>
                      <w:highlight w:val="none"/>
                      <w:shd w:val="clear" w:color="auto" w:fill="auto"/>
                      <w:vertAlign w:val="baseline"/>
                      <w:lang w:val="en-US" w:eastAsia="zh-CN"/>
                    </w:rPr>
                    <w:t>运输车辆使用国六标准以上的运输车辆或新能源清洁燃料车辆</w:t>
                  </w:r>
                  <w:r>
                    <w:rPr>
                      <w:rFonts w:hint="eastAsia" w:cs="Times New Roman"/>
                      <w:color w:val="auto"/>
                      <w:sz w:val="21"/>
                      <w:szCs w:val="21"/>
                      <w:highlight w:val="none"/>
                      <w:shd w:val="clear" w:color="auto" w:fill="auto"/>
                      <w:vertAlign w:val="baseline"/>
                      <w:lang w:val="en-US" w:eastAsia="zh-CN"/>
                    </w:rPr>
                    <w:t>。</w:t>
                  </w:r>
                </w:p>
              </w:tc>
              <w:tc>
                <w:tcPr>
                  <w:tcW w:w="536" w:type="pct"/>
                  <w:tcBorders>
                    <w:tl2br w:val="nil"/>
                    <w:tr2bl w:val="nil"/>
                  </w:tcBorders>
                  <w:noWrap w:val="0"/>
                  <w:vAlign w:val="center"/>
                </w:tcPr>
                <w:p w14:paraId="30C9F335">
                  <w:pPr>
                    <w:pStyle w:val="98"/>
                    <w:keepNext w:val="0"/>
                    <w:keepLines w:val="0"/>
                    <w:suppressLineNumbers w:val="0"/>
                    <w:bidi w:val="0"/>
                    <w:spacing w:beforeAutospacing="0" w:afterAutospacing="0"/>
                    <w:ind w:left="0" w:right="0"/>
                    <w:rPr>
                      <w:rFonts w:hint="eastAsia"/>
                      <w:color w:val="auto"/>
                    </w:rPr>
                  </w:pPr>
                  <w:r>
                    <w:rPr>
                      <w:rFonts w:hint="eastAsia"/>
                      <w:color w:val="auto"/>
                    </w:rPr>
                    <w:t>符合</w:t>
                  </w:r>
                </w:p>
              </w:tc>
            </w:tr>
            <w:tr w14:paraId="2C93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0" w:type="pct"/>
                  <w:gridSpan w:val="2"/>
                  <w:tcBorders>
                    <w:tl2br w:val="nil"/>
                    <w:tr2bl w:val="nil"/>
                  </w:tcBorders>
                  <w:noWrap w:val="0"/>
                  <w:vAlign w:val="center"/>
                </w:tcPr>
                <w:p w14:paraId="255A6734">
                  <w:pPr>
                    <w:pStyle w:val="98"/>
                    <w:keepNext w:val="0"/>
                    <w:keepLines w:val="0"/>
                    <w:suppressLineNumbers w:val="0"/>
                    <w:bidi w:val="0"/>
                    <w:spacing w:beforeAutospacing="0" w:afterAutospacing="0"/>
                    <w:ind w:left="0" w:right="0"/>
                    <w:jc w:val="both"/>
                    <w:rPr>
                      <w:rFonts w:hint="eastAsia" w:eastAsia="宋体"/>
                      <w:color w:val="auto"/>
                      <w:lang w:eastAsia="zh-CN"/>
                    </w:rPr>
                  </w:pPr>
                  <w:r>
                    <w:rPr>
                      <w:rFonts w:hint="default"/>
                      <w:color w:val="auto"/>
                    </w:rPr>
                    <w:t>三、加快技术创新提高质量水平</w:t>
                  </w:r>
                  <w:r>
                    <w:rPr>
                      <w:rFonts w:hint="eastAsia"/>
                      <w:color w:val="auto"/>
                    </w:rPr>
                    <w:t>。</w:t>
                  </w:r>
                  <w:r>
                    <w:rPr>
                      <w:rFonts w:hint="default"/>
                      <w:color w:val="auto"/>
                    </w:rPr>
                    <w:t>严格质量管控：强化企业主体责任，完善质量管理体系，加强过程质量控制，严格执行相关标准，鼓励企业建立检测中心，配备合格的质量检验设备和专业质检人员。对成品料分类或分仓储存。加强对原料的品质监测和控制能力，严格控制有毒杂质含量</w:t>
                  </w:r>
                  <w:r>
                    <w:rPr>
                      <w:rFonts w:hint="eastAsia"/>
                      <w:color w:val="auto"/>
                      <w:lang w:eastAsia="zh-CN"/>
                    </w:rPr>
                    <w:t>。</w:t>
                  </w:r>
                </w:p>
              </w:tc>
              <w:tc>
                <w:tcPr>
                  <w:tcW w:w="1443" w:type="pct"/>
                  <w:tcBorders>
                    <w:tl2br w:val="nil"/>
                    <w:tr2bl w:val="nil"/>
                  </w:tcBorders>
                  <w:noWrap w:val="0"/>
                  <w:vAlign w:val="center"/>
                </w:tcPr>
                <w:p w14:paraId="5240BDB2">
                  <w:pPr>
                    <w:pStyle w:val="98"/>
                    <w:keepNext w:val="0"/>
                    <w:keepLines w:val="0"/>
                    <w:suppressLineNumbers w:val="0"/>
                    <w:bidi w:val="0"/>
                    <w:spacing w:beforeAutospacing="0" w:afterAutospacing="0"/>
                    <w:ind w:left="0" w:right="0"/>
                    <w:jc w:val="both"/>
                    <w:rPr>
                      <w:rFonts w:hint="eastAsia" w:eastAsia="宋体"/>
                      <w:color w:val="auto"/>
                      <w:lang w:eastAsia="zh-CN"/>
                    </w:rPr>
                  </w:pPr>
                  <w:r>
                    <w:rPr>
                      <w:rFonts w:hint="default"/>
                      <w:color w:val="auto"/>
                    </w:rPr>
                    <w:t>企业定期委托质量检测部门对产品质量进行检测，确保出厂产品质量符合相应质量标准。对原料、成品分区储存</w:t>
                  </w:r>
                  <w:r>
                    <w:rPr>
                      <w:rFonts w:hint="eastAsia"/>
                      <w:color w:val="auto"/>
                      <w:lang w:eastAsia="zh-CN"/>
                    </w:rPr>
                    <w:t>。</w:t>
                  </w:r>
                </w:p>
              </w:tc>
              <w:tc>
                <w:tcPr>
                  <w:tcW w:w="536" w:type="pct"/>
                  <w:tcBorders>
                    <w:tl2br w:val="nil"/>
                    <w:tr2bl w:val="nil"/>
                  </w:tcBorders>
                  <w:noWrap w:val="0"/>
                  <w:vAlign w:val="center"/>
                </w:tcPr>
                <w:p w14:paraId="6E7EF842">
                  <w:pPr>
                    <w:pStyle w:val="98"/>
                    <w:keepNext w:val="0"/>
                    <w:keepLines w:val="0"/>
                    <w:suppressLineNumbers w:val="0"/>
                    <w:bidi w:val="0"/>
                    <w:spacing w:beforeAutospacing="0" w:afterAutospacing="0"/>
                    <w:ind w:left="0" w:right="0"/>
                    <w:rPr>
                      <w:rFonts w:hint="default"/>
                      <w:color w:val="auto"/>
                    </w:rPr>
                  </w:pPr>
                  <w:r>
                    <w:rPr>
                      <w:rFonts w:hint="eastAsia"/>
                      <w:color w:val="auto"/>
                    </w:rPr>
                    <w:t>符合</w:t>
                  </w:r>
                </w:p>
              </w:tc>
            </w:tr>
            <w:tr w14:paraId="2A36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20" w:type="pct"/>
                  <w:gridSpan w:val="2"/>
                  <w:tcBorders>
                    <w:tl2br w:val="nil"/>
                    <w:tr2bl w:val="nil"/>
                  </w:tcBorders>
                  <w:noWrap w:val="0"/>
                  <w:vAlign w:val="center"/>
                </w:tcPr>
                <w:p w14:paraId="0FBD80D8">
                  <w:pPr>
                    <w:pStyle w:val="98"/>
                    <w:keepNext w:val="0"/>
                    <w:keepLines w:val="0"/>
                    <w:suppressLineNumbers w:val="0"/>
                    <w:bidi w:val="0"/>
                    <w:spacing w:beforeAutospacing="0" w:afterAutospacing="0"/>
                    <w:ind w:left="0" w:right="0"/>
                    <w:jc w:val="both"/>
                    <w:rPr>
                      <w:rFonts w:hint="default"/>
                      <w:color w:val="auto"/>
                    </w:rPr>
                  </w:pPr>
                  <w:r>
                    <w:rPr>
                      <w:rFonts w:hint="eastAsia"/>
                      <w:color w:val="auto"/>
                    </w:rPr>
                    <w:t>四</w:t>
                  </w:r>
                  <w:r>
                    <w:rPr>
                      <w:rFonts w:hint="default"/>
                      <w:color w:val="auto"/>
                    </w:rPr>
                    <w:t>、推进绿色发展提升本质安全</w:t>
                  </w:r>
                  <w:r>
                    <w:rPr>
                      <w:rFonts w:hint="eastAsia"/>
                      <w:color w:val="auto"/>
                    </w:rPr>
                    <w:t>。</w:t>
                  </w:r>
                  <w:r>
                    <w:rPr>
                      <w:rFonts w:hint="default"/>
                      <w:color w:val="auto"/>
                    </w:rPr>
                    <w:t>发展绿色制造</w:t>
                  </w:r>
                  <w:r>
                    <w:rPr>
                      <w:rFonts w:hint="eastAsia"/>
                      <w:color w:val="auto"/>
                    </w:rPr>
                    <w:t>：</w:t>
                  </w:r>
                  <w:r>
                    <w:rPr>
                      <w:rFonts w:hint="default"/>
                      <w:color w:val="auto"/>
                    </w:rPr>
                    <w:t>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w:t>
                  </w:r>
                  <w:r>
                    <w:rPr>
                      <w:rFonts w:hint="eastAsia"/>
                      <w:color w:val="auto"/>
                    </w:rPr>
                    <w:t>耗，鼓励有条件的企业实施输送带势能发电、开展合同节水管理。</w:t>
                  </w:r>
                </w:p>
              </w:tc>
              <w:tc>
                <w:tcPr>
                  <w:tcW w:w="1443" w:type="pct"/>
                  <w:tcBorders>
                    <w:tl2br w:val="nil"/>
                    <w:tr2bl w:val="nil"/>
                  </w:tcBorders>
                  <w:noWrap w:val="0"/>
                  <w:vAlign w:val="center"/>
                </w:tcPr>
                <w:p w14:paraId="00A95D5F">
                  <w:pPr>
                    <w:pStyle w:val="98"/>
                    <w:keepNext w:val="0"/>
                    <w:keepLines w:val="0"/>
                    <w:suppressLineNumbers w:val="0"/>
                    <w:bidi w:val="0"/>
                    <w:spacing w:beforeAutospacing="0" w:afterAutospacing="0"/>
                    <w:ind w:left="0" w:right="0"/>
                    <w:jc w:val="both"/>
                    <w:rPr>
                      <w:rFonts w:hint="eastAsia" w:eastAsia="宋体"/>
                      <w:color w:val="auto"/>
                      <w:lang w:eastAsia="zh-CN"/>
                    </w:rPr>
                  </w:pPr>
                  <w:r>
                    <w:rPr>
                      <w:rFonts w:hint="default"/>
                      <w:color w:val="auto"/>
                      <w:highlight w:val="none"/>
                    </w:rPr>
                    <w:t>本项目</w:t>
                  </w:r>
                  <w:r>
                    <w:rPr>
                      <w:rFonts w:hint="eastAsia"/>
                      <w:color w:val="auto"/>
                      <w:highlight w:val="none"/>
                    </w:rPr>
                    <w:t>在</w:t>
                  </w:r>
                  <w:r>
                    <w:rPr>
                      <w:rFonts w:hint="eastAsia"/>
                      <w:color w:val="auto"/>
                      <w:highlight w:val="none"/>
                      <w:lang w:val="en-US" w:eastAsia="zh-CN"/>
                    </w:rPr>
                    <w:t>入料口设置集气罩，其他设备均为全封闭式，设置集气管道，废气引入袋式</w:t>
                  </w:r>
                  <w:r>
                    <w:rPr>
                      <w:rFonts w:hint="eastAsia"/>
                      <w:color w:val="auto"/>
                      <w:highlight w:val="none"/>
                    </w:rPr>
                    <w:t>除尘</w:t>
                  </w:r>
                  <w:r>
                    <w:rPr>
                      <w:rFonts w:hint="eastAsia"/>
                      <w:color w:val="auto"/>
                      <w:highlight w:val="none"/>
                      <w:lang w:val="en-US" w:eastAsia="zh-CN"/>
                    </w:rPr>
                    <w:t>器处理</w:t>
                  </w:r>
                  <w:r>
                    <w:rPr>
                      <w:rFonts w:hint="default"/>
                      <w:color w:val="auto"/>
                      <w:highlight w:val="none"/>
                    </w:rPr>
                    <w:t>，</w:t>
                  </w:r>
                  <w:r>
                    <w:rPr>
                      <w:rFonts w:hint="eastAsia"/>
                      <w:color w:val="auto"/>
                    </w:rPr>
                    <w:t>各储库均为全封闭且配套喷雾抑尘措施，</w:t>
                  </w:r>
                  <w:r>
                    <w:rPr>
                      <w:rFonts w:hint="default"/>
                      <w:color w:val="auto"/>
                    </w:rPr>
                    <w:t>生产废水</w:t>
                  </w:r>
                  <w:r>
                    <w:rPr>
                      <w:rFonts w:hint="eastAsia"/>
                      <w:color w:val="auto"/>
                      <w:lang w:val="en-US" w:eastAsia="zh-CN"/>
                    </w:rPr>
                    <w:t>循环使用</w:t>
                  </w:r>
                  <w:r>
                    <w:rPr>
                      <w:rFonts w:hint="default"/>
                      <w:color w:val="auto"/>
                    </w:rPr>
                    <w:t>，各生产设备均置于封闭性车间，生产过程中收集的粉尘、废水等均</w:t>
                  </w:r>
                  <w:r>
                    <w:rPr>
                      <w:rFonts w:hint="eastAsia"/>
                      <w:color w:val="auto"/>
                    </w:rPr>
                    <w:t>合理处置</w:t>
                  </w:r>
                  <w:r>
                    <w:rPr>
                      <w:rFonts w:hint="default"/>
                      <w:color w:val="auto"/>
                    </w:rPr>
                    <w:t>。项目选用行业先进节能、节水设备</w:t>
                  </w:r>
                  <w:r>
                    <w:rPr>
                      <w:rFonts w:hint="eastAsia"/>
                      <w:color w:val="auto"/>
                      <w:lang w:eastAsia="zh-CN"/>
                    </w:rPr>
                    <w:t>。</w:t>
                  </w:r>
                </w:p>
              </w:tc>
              <w:tc>
                <w:tcPr>
                  <w:tcW w:w="536" w:type="pct"/>
                  <w:tcBorders>
                    <w:tl2br w:val="nil"/>
                    <w:tr2bl w:val="nil"/>
                  </w:tcBorders>
                  <w:noWrap w:val="0"/>
                  <w:vAlign w:val="center"/>
                </w:tcPr>
                <w:p w14:paraId="7B9AC90F">
                  <w:pPr>
                    <w:pStyle w:val="98"/>
                    <w:keepNext w:val="0"/>
                    <w:keepLines w:val="0"/>
                    <w:suppressLineNumbers w:val="0"/>
                    <w:bidi w:val="0"/>
                    <w:spacing w:beforeAutospacing="0" w:afterAutospacing="0"/>
                    <w:ind w:left="0" w:right="0"/>
                    <w:rPr>
                      <w:rFonts w:hint="default"/>
                      <w:color w:val="auto"/>
                    </w:rPr>
                  </w:pPr>
                  <w:r>
                    <w:rPr>
                      <w:rFonts w:hint="eastAsia"/>
                      <w:color w:val="auto"/>
                    </w:rPr>
                    <w:t>符合</w:t>
                  </w:r>
                </w:p>
              </w:tc>
            </w:tr>
          </w:tbl>
          <w:p w14:paraId="23CA9D5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jc w:val="both"/>
              <w:textAlignment w:val="auto"/>
              <w:rPr>
                <w:rFonts w:hint="default" w:eastAsia="宋体"/>
                <w:b/>
                <w:bCs/>
                <w:color w:val="auto"/>
                <w:sz w:val="24"/>
                <w:szCs w:val="21"/>
                <w:lang w:val="en-US" w:eastAsia="zh-CN"/>
              </w:rPr>
            </w:pPr>
            <w:r>
              <w:rPr>
                <w:rFonts w:hint="eastAsia" w:cs="Times New Roman"/>
                <w:b/>
                <w:bCs/>
                <w:color w:val="auto"/>
                <w:kern w:val="0"/>
                <w:sz w:val="24"/>
                <w:highlight w:val="none"/>
                <w:lang w:val="en-US" w:eastAsia="zh-CN"/>
              </w:rPr>
              <w:t>7.</w:t>
            </w:r>
            <w:r>
              <w:rPr>
                <w:rFonts w:hint="eastAsia"/>
                <w:b/>
                <w:bCs/>
                <w:color w:val="auto"/>
                <w:sz w:val="24"/>
              </w:rPr>
              <w:t>选址可行性分析</w:t>
            </w:r>
          </w:p>
          <w:p w14:paraId="7EA155F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color w:val="auto"/>
                <w:sz w:val="24"/>
              </w:rPr>
            </w:pPr>
            <w:r>
              <w:rPr>
                <w:rFonts w:hint="eastAsia"/>
                <w:color w:val="auto"/>
                <w:sz w:val="24"/>
              </w:rPr>
              <w:t>本项目为</w:t>
            </w:r>
            <w:r>
              <w:rPr>
                <w:rFonts w:hint="eastAsia" w:cs="Times New Roman"/>
                <w:color w:val="auto"/>
                <w:sz w:val="24"/>
                <w:szCs w:val="24"/>
                <w:highlight w:val="none"/>
                <w:lang w:val="en-US" w:eastAsia="zh-CN"/>
              </w:rPr>
              <w:t>其他建筑材料制造</w:t>
            </w:r>
            <w:r>
              <w:rPr>
                <w:rFonts w:hint="eastAsia"/>
                <w:color w:val="auto"/>
                <w:sz w:val="24"/>
              </w:rPr>
              <w:t>项目，选址位于长治市屯留区李高乡西酪余村北，</w:t>
            </w:r>
            <w:r>
              <w:rPr>
                <w:rFonts w:hint="eastAsia"/>
                <w:color w:val="auto"/>
                <w:sz w:val="24"/>
                <w:lang w:val="en-US" w:eastAsia="zh-CN"/>
              </w:rPr>
              <w:t>占地</w:t>
            </w:r>
            <w:r>
              <w:rPr>
                <w:rFonts w:hint="eastAsia"/>
                <w:color w:val="auto"/>
                <w:sz w:val="24"/>
              </w:rPr>
              <w:t>类</w:t>
            </w:r>
            <w:r>
              <w:rPr>
                <w:rFonts w:hint="eastAsia"/>
                <w:color w:val="auto"/>
                <w:sz w:val="24"/>
                <w:lang w:val="en-US" w:eastAsia="zh-CN"/>
              </w:rPr>
              <w:t>型</w:t>
            </w:r>
            <w:r>
              <w:rPr>
                <w:rFonts w:hint="eastAsia"/>
                <w:color w:val="auto"/>
                <w:sz w:val="24"/>
              </w:rPr>
              <w:t>为</w:t>
            </w:r>
            <w:r>
              <w:rPr>
                <w:rFonts w:hint="eastAsia"/>
                <w:color w:val="auto"/>
                <w:sz w:val="24"/>
                <w:lang w:val="en-US" w:eastAsia="zh-CN"/>
              </w:rPr>
              <w:t>工业</w:t>
            </w:r>
            <w:r>
              <w:rPr>
                <w:rFonts w:hint="eastAsia"/>
                <w:color w:val="auto"/>
                <w:sz w:val="24"/>
              </w:rPr>
              <w:t>用地</w:t>
            </w:r>
            <w:r>
              <w:rPr>
                <w:rFonts w:hint="eastAsia" w:ascii="Times New Roman" w:hAnsi="Times New Roman" w:eastAsia="宋体" w:cs="Times New Roman"/>
                <w:color w:val="auto"/>
                <w:spacing w:val="4"/>
                <w:sz w:val="24"/>
                <w:highlight w:val="none"/>
                <w:lang w:val="en-US" w:eastAsia="zh-CN"/>
              </w:rPr>
              <w:t>，不占用永久基本农田，不在生态保护红线范围内，不在城镇开发边界。</w:t>
            </w:r>
            <w:r>
              <w:rPr>
                <w:rFonts w:hint="eastAsia"/>
                <w:color w:val="auto"/>
                <w:sz w:val="24"/>
              </w:rPr>
              <w:t>根据前述分析可知，本项目选址符合“三线一单”的管控要求，不涉及集中式饮用水水源保护区、准保护区，符合当地国土空间总体规划，场地不与辛安泉域重点保护区重叠。本项目不属于高污染、高耗水、高耗能项目，且项目运营期无废水外排，固废收集后合理处置，大气污染物主要为颗粒物，严格采取环评要求的环保措施后，可达标排放，对区域环境空气及敏感目标影响较小。</w:t>
            </w:r>
          </w:p>
          <w:p w14:paraId="6AC617C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color w:val="auto"/>
                <w:sz w:val="24"/>
              </w:rPr>
            </w:pPr>
            <w:r>
              <w:rPr>
                <w:rFonts w:hint="eastAsia"/>
                <w:color w:val="auto"/>
                <w:sz w:val="24"/>
              </w:rPr>
              <w:t>综上所述，本项目选址、规模、性质符合国家和山西省有关环境保护法律法规、标准、政策、规范，本项目选址可行。</w:t>
            </w:r>
          </w:p>
          <w:p w14:paraId="2A6135CC">
            <w:pPr>
              <w:pStyle w:val="16"/>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b/>
                <w:bCs/>
                <w:color w:val="auto"/>
                <w:sz w:val="24"/>
                <w:lang w:val="en-US" w:eastAsia="zh-CN"/>
              </w:rPr>
            </w:pPr>
          </w:p>
          <w:p w14:paraId="27C8FF7C">
            <w:pPr>
              <w:pStyle w:val="16"/>
              <w:keepNext w:val="0"/>
              <w:keepLines w:val="0"/>
              <w:suppressLineNumbers w:val="0"/>
              <w:spacing w:before="0" w:beforeAutospacing="0" w:after="0" w:afterAutospacing="0"/>
              <w:ind w:left="0" w:right="0"/>
              <w:rPr>
                <w:rFonts w:hint="default"/>
                <w:color w:val="auto"/>
                <w:lang w:val="en-US" w:eastAsia="zh-CN"/>
              </w:rPr>
            </w:pPr>
          </w:p>
        </w:tc>
      </w:tr>
    </w:tbl>
    <w:p w14:paraId="6FBFBF94">
      <w:pPr>
        <w:rPr>
          <w:color w:val="auto"/>
          <w:highlight w:val="none"/>
        </w:rPr>
      </w:pPr>
      <w:r>
        <w:rPr>
          <w:color w:val="auto"/>
          <w:highlight w:val="none"/>
        </w:rPr>
        <w:br w:type="page"/>
      </w:r>
    </w:p>
    <w:p w14:paraId="38CA6AE1">
      <w:pPr>
        <w:rPr>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D2546A2">
      <w:pPr>
        <w:pStyle w:val="20"/>
        <w:jc w:val="center"/>
        <w:outlineLvl w:val="0"/>
        <w:rPr>
          <w:rFonts w:hint="default" w:ascii="Times New Roman" w:hAnsi="Times New Roman" w:eastAsia="黑体" w:cs="Times New Roman"/>
          <w:snapToGrid w:val="0"/>
          <w:color w:val="auto"/>
          <w:sz w:val="30"/>
          <w:szCs w:val="30"/>
          <w:highlight w:val="none"/>
        </w:rPr>
      </w:pPr>
      <w:bookmarkStart w:id="6" w:name="_Toc21071"/>
      <w:r>
        <w:rPr>
          <w:rFonts w:hint="default" w:ascii="Times New Roman" w:hAnsi="Times New Roman" w:eastAsia="黑体" w:cs="Times New Roman"/>
          <w:snapToGrid w:val="0"/>
          <w:color w:val="auto"/>
          <w:sz w:val="30"/>
          <w:szCs w:val="30"/>
          <w:highlight w:val="none"/>
        </w:rPr>
        <w:t>二、建设项目工程分析</w:t>
      </w:r>
      <w:bookmarkEnd w:id="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307"/>
      </w:tblGrid>
      <w:tr w14:paraId="47B6B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677" w:type="dxa"/>
            <w:vAlign w:val="center"/>
          </w:tcPr>
          <w:p w14:paraId="2FC525E8">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建设内容</w:t>
            </w:r>
          </w:p>
        </w:tc>
        <w:tc>
          <w:tcPr>
            <w:tcW w:w="8307" w:type="dxa"/>
          </w:tcPr>
          <w:p w14:paraId="4ED0F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一、项目背景</w:t>
            </w:r>
          </w:p>
          <w:p w14:paraId="368E54B4">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长治市盛石工贸有限公司拟投资100万元建设长治市盛石工贸有限公司年30万吨建筑垃圾回收再利用项目，建设地点为长治市屯留区李高乡西酪余村北，</w:t>
            </w:r>
            <w:r>
              <w:rPr>
                <w:rFonts w:hint="default" w:ascii="Times New Roman" w:hAnsi="Times New Roman" w:eastAsia="宋体" w:cs="Times New Roman"/>
                <w:color w:val="auto"/>
                <w:kern w:val="0"/>
                <w:sz w:val="24"/>
                <w:szCs w:val="24"/>
                <w:highlight w:val="none"/>
                <w:lang w:val="en-US" w:eastAsia="zh-CN"/>
              </w:rPr>
              <w:t>202</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年</w:t>
            </w: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月</w:t>
            </w:r>
            <w:r>
              <w:rPr>
                <w:rFonts w:hint="eastAsia" w:cs="Times New Roman"/>
                <w:color w:val="auto"/>
                <w:kern w:val="0"/>
                <w:sz w:val="24"/>
                <w:szCs w:val="24"/>
                <w:highlight w:val="none"/>
                <w:lang w:val="en-US" w:eastAsia="zh-CN"/>
              </w:rPr>
              <w:t>16</w:t>
            </w:r>
            <w:r>
              <w:rPr>
                <w:rFonts w:hint="default" w:ascii="Times New Roman" w:hAnsi="Times New Roman" w:eastAsia="宋体" w:cs="Times New Roman"/>
                <w:color w:val="auto"/>
                <w:kern w:val="0"/>
                <w:sz w:val="24"/>
                <w:szCs w:val="24"/>
                <w:highlight w:val="none"/>
                <w:lang w:val="en-US" w:eastAsia="zh-CN"/>
              </w:rPr>
              <w:t>日</w:t>
            </w:r>
            <w:r>
              <w:rPr>
                <w:rFonts w:hint="eastAsia" w:cs="Times New Roman"/>
                <w:color w:val="auto"/>
                <w:kern w:val="0"/>
                <w:sz w:val="24"/>
                <w:szCs w:val="24"/>
                <w:highlight w:val="none"/>
                <w:lang w:val="en-US" w:eastAsia="zh-CN"/>
              </w:rPr>
              <w:t>，</w:t>
            </w:r>
            <w:r>
              <w:rPr>
                <w:rFonts w:hint="eastAsia" w:cs="Times New Roman"/>
                <w:color w:val="auto"/>
                <w:sz w:val="24"/>
                <w:szCs w:val="24"/>
                <w:highlight w:val="none"/>
                <w:lang w:val="en-US" w:eastAsia="zh-CN"/>
              </w:rPr>
              <w:t>长治市屯留区行政审批服务局</w:t>
            </w:r>
            <w:r>
              <w:rPr>
                <w:rFonts w:hint="eastAsia" w:cs="Times New Roman"/>
                <w:color w:val="auto"/>
                <w:kern w:val="0"/>
                <w:sz w:val="24"/>
                <w:szCs w:val="24"/>
                <w:highlight w:val="none"/>
                <w:lang w:val="en-US" w:eastAsia="zh-CN"/>
              </w:rPr>
              <w:t>对本项目进行了</w:t>
            </w:r>
            <w:r>
              <w:rPr>
                <w:rFonts w:hint="default" w:ascii="Times New Roman" w:hAnsi="Times New Roman" w:eastAsia="宋体" w:cs="Times New Roman"/>
                <w:color w:val="auto"/>
                <w:kern w:val="0"/>
                <w:sz w:val="24"/>
                <w:szCs w:val="24"/>
                <w:highlight w:val="none"/>
                <w:lang w:val="en-US" w:eastAsia="zh-CN"/>
              </w:rPr>
              <w:t>备案，项目代码为2603-140405-89-05-669802</w:t>
            </w:r>
            <w:r>
              <w:rPr>
                <w:rFonts w:hint="eastAsia" w:cs="Times New Roman"/>
                <w:color w:val="auto"/>
                <w:sz w:val="24"/>
                <w:szCs w:val="24"/>
                <w:highlight w:val="none"/>
                <w:lang w:val="en-US" w:eastAsia="zh-CN"/>
              </w:rPr>
              <w:t>。</w:t>
            </w:r>
          </w:p>
          <w:p w14:paraId="37CC71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根据《建设项目环境影响评价分类管理名录（2021年版）》，本项目属于名录中“</w:t>
            </w:r>
            <w:r>
              <w:rPr>
                <w:rFonts w:hint="eastAsia" w:ascii="Times New Roman" w:hAnsi="Times New Roman" w:eastAsia="宋体" w:cs="Times New Roman"/>
                <w:color w:val="auto"/>
                <w:sz w:val="24"/>
                <w:szCs w:val="24"/>
                <w:highlight w:val="none"/>
                <w:lang w:val="en-US" w:eastAsia="zh-CN"/>
              </w:rPr>
              <w:t>二十七、非金属矿物制品业 30-</w:t>
            </w:r>
            <w:r>
              <w:rPr>
                <w:rFonts w:hint="eastAsia" w:cs="Times New Roman"/>
                <w:color w:val="auto"/>
                <w:sz w:val="24"/>
                <w:szCs w:val="24"/>
                <w:highlight w:val="none"/>
                <w:lang w:val="en-US" w:eastAsia="zh-CN"/>
              </w:rPr>
              <w:t>56</w:t>
            </w:r>
            <w:r>
              <w:rPr>
                <w:rFonts w:hint="eastAsia" w:ascii="Times New Roman" w:hAnsi="Times New Roman" w:eastAsia="宋体" w:cs="Times New Roman"/>
                <w:color w:val="auto"/>
                <w:sz w:val="24"/>
                <w:szCs w:val="24"/>
                <w:highlight w:val="none"/>
                <w:lang w:val="en-US" w:eastAsia="zh-CN"/>
              </w:rPr>
              <w:t>、砖瓦、石材等建筑材料制造 303-其他建筑材料制造（含干粉砂浆搅拌站）</w:t>
            </w:r>
            <w:r>
              <w:rPr>
                <w:rFonts w:hint="default" w:ascii="Times New Roman" w:hAnsi="Times New Roman" w:eastAsia="宋体" w:cs="Times New Roman"/>
                <w:bCs/>
                <w:color w:val="auto"/>
                <w:spacing w:val="0"/>
                <w:sz w:val="24"/>
                <w:szCs w:val="24"/>
                <w:highlight w:val="none"/>
                <w:lang w:val="en-US" w:eastAsia="zh-CN"/>
              </w:rPr>
              <w:t>”，应当编制环境影响报告表。202</w:t>
            </w:r>
            <w:r>
              <w:rPr>
                <w:rFonts w:hint="eastAsia" w:ascii="Times New Roman" w:hAnsi="Times New Roman" w:eastAsia="宋体" w:cs="Times New Roman"/>
                <w:bCs/>
                <w:color w:val="auto"/>
                <w:spacing w:val="0"/>
                <w:sz w:val="24"/>
                <w:szCs w:val="24"/>
                <w:highlight w:val="none"/>
                <w:lang w:val="en-US" w:eastAsia="zh-CN"/>
              </w:rPr>
              <w:t>5</w:t>
            </w:r>
            <w:r>
              <w:rPr>
                <w:rFonts w:hint="default" w:ascii="Times New Roman" w:hAnsi="Times New Roman" w:eastAsia="宋体" w:cs="Times New Roman"/>
                <w:bCs/>
                <w:color w:val="auto"/>
                <w:spacing w:val="0"/>
                <w:sz w:val="24"/>
                <w:szCs w:val="24"/>
                <w:highlight w:val="none"/>
                <w:lang w:val="en-US" w:eastAsia="zh-CN"/>
              </w:rPr>
              <w:t>年</w:t>
            </w:r>
            <w:r>
              <w:rPr>
                <w:rFonts w:hint="eastAsia" w:cs="Times New Roman"/>
                <w:bCs/>
                <w:color w:val="auto"/>
                <w:spacing w:val="0"/>
                <w:sz w:val="24"/>
                <w:szCs w:val="24"/>
                <w:highlight w:val="none"/>
                <w:lang w:val="en-US" w:eastAsia="zh-CN"/>
              </w:rPr>
              <w:t>3</w:t>
            </w:r>
            <w:r>
              <w:rPr>
                <w:rFonts w:hint="default" w:ascii="Times New Roman" w:hAnsi="Times New Roman" w:eastAsia="宋体" w:cs="Times New Roman"/>
                <w:bCs/>
                <w:color w:val="auto"/>
                <w:spacing w:val="0"/>
                <w:sz w:val="24"/>
                <w:szCs w:val="24"/>
                <w:highlight w:val="none"/>
                <w:lang w:val="en-US" w:eastAsia="zh-CN"/>
              </w:rPr>
              <w:t>月，</w:t>
            </w:r>
            <w:r>
              <w:rPr>
                <w:rFonts w:hint="eastAsia" w:cs="Times New Roman"/>
                <w:color w:val="auto"/>
                <w:sz w:val="24"/>
                <w:szCs w:val="24"/>
                <w:highlight w:val="none"/>
                <w:lang w:val="en-US" w:eastAsia="zh-CN"/>
              </w:rPr>
              <w:t>长治市盛石工贸有限公司</w:t>
            </w:r>
            <w:r>
              <w:rPr>
                <w:rFonts w:hint="default" w:ascii="Times New Roman" w:hAnsi="Times New Roman" w:eastAsia="宋体" w:cs="Times New Roman"/>
                <w:bCs/>
                <w:color w:val="auto"/>
                <w:spacing w:val="0"/>
                <w:sz w:val="24"/>
                <w:szCs w:val="24"/>
                <w:highlight w:val="none"/>
                <w:lang w:val="en-US" w:eastAsia="zh-CN"/>
              </w:rPr>
              <w:t>委托我公司承担该项目的环境影响评价工作（见附件1）。在接受委托后，我公司收集了有关资料，对建设项目进行了现场踏勘，在</w:t>
            </w:r>
            <w:r>
              <w:rPr>
                <w:rFonts w:hint="eastAsia" w:ascii="Times New Roman" w:hAnsi="Times New Roman" w:eastAsia="宋体" w:cs="Times New Roman"/>
                <w:bCs/>
                <w:color w:val="auto"/>
                <w:spacing w:val="0"/>
                <w:sz w:val="24"/>
                <w:szCs w:val="24"/>
                <w:highlight w:val="none"/>
                <w:lang w:val="en-US" w:eastAsia="zh-CN"/>
              </w:rPr>
              <w:t>此</w:t>
            </w:r>
            <w:r>
              <w:rPr>
                <w:rFonts w:hint="default" w:ascii="Times New Roman" w:hAnsi="Times New Roman" w:eastAsia="宋体" w:cs="Times New Roman"/>
                <w:bCs/>
                <w:color w:val="auto"/>
                <w:spacing w:val="0"/>
                <w:sz w:val="24"/>
                <w:szCs w:val="24"/>
                <w:highlight w:val="none"/>
                <w:lang w:val="en-US" w:eastAsia="zh-CN"/>
              </w:rPr>
              <w:t>基础上编制完成了</w:t>
            </w:r>
            <w:r>
              <w:rPr>
                <w:rFonts w:hint="eastAsia" w:ascii="Times New Roman" w:hAnsi="Times New Roman" w:eastAsia="宋体" w:cs="Times New Roman"/>
                <w:bCs/>
                <w:color w:val="auto"/>
                <w:spacing w:val="0"/>
                <w:sz w:val="24"/>
                <w:szCs w:val="24"/>
                <w:highlight w:val="none"/>
                <w:lang w:val="en-US" w:eastAsia="zh-CN"/>
              </w:rPr>
              <w:t>《</w:t>
            </w:r>
            <w:r>
              <w:rPr>
                <w:rFonts w:hint="eastAsia" w:cs="Times New Roman"/>
                <w:color w:val="auto"/>
                <w:sz w:val="24"/>
                <w:szCs w:val="24"/>
                <w:highlight w:val="none"/>
                <w:lang w:val="en-US" w:eastAsia="zh-CN"/>
              </w:rPr>
              <w:t>长治市盛石工贸有限公司年30万吨建筑垃圾回收再利用项目</w:t>
            </w:r>
            <w:r>
              <w:rPr>
                <w:rFonts w:hint="eastAsia" w:ascii="Times New Roman" w:hAnsi="Times New Roman" w:eastAsia="宋体" w:cs="Times New Roman"/>
                <w:bCs/>
                <w:color w:val="auto"/>
                <w:spacing w:val="0"/>
                <w:sz w:val="24"/>
                <w:szCs w:val="24"/>
                <w:highlight w:val="none"/>
                <w:lang w:val="en-US" w:eastAsia="zh-CN"/>
              </w:rPr>
              <w:t>》</w:t>
            </w:r>
            <w:r>
              <w:rPr>
                <w:rFonts w:hint="default" w:ascii="Times New Roman" w:hAnsi="Times New Roman" w:eastAsia="宋体" w:cs="Times New Roman"/>
                <w:bCs/>
                <w:color w:val="auto"/>
                <w:spacing w:val="0"/>
                <w:sz w:val="24"/>
                <w:szCs w:val="24"/>
                <w:highlight w:val="none"/>
                <w:lang w:val="en-US" w:eastAsia="zh-CN"/>
              </w:rPr>
              <w:t>。</w:t>
            </w:r>
          </w:p>
          <w:p w14:paraId="0FC48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二、</w:t>
            </w:r>
            <w:r>
              <w:rPr>
                <w:rFonts w:hint="default" w:cs="Times New Roman"/>
                <w:b/>
                <w:bCs w:val="0"/>
                <w:color w:val="auto"/>
                <w:spacing w:val="0"/>
                <w:sz w:val="24"/>
                <w:szCs w:val="24"/>
                <w:highlight w:val="none"/>
                <w:lang w:val="en-US" w:eastAsia="zh-CN"/>
              </w:rPr>
              <w:t>工程组成</w:t>
            </w:r>
          </w:p>
          <w:p w14:paraId="5005C41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项目占地原为屯留县锦泰工贸有限公司30万m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/a商品混凝土搅拌站项目，该项目已不再投入生产，钢结构生产车间内生产设备均已拆除。</w:t>
            </w:r>
          </w:p>
          <w:p w14:paraId="27CDB57C">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eastAsia" w:cs="Times New Roman"/>
                <w:color w:val="auto"/>
                <w:sz w:val="24"/>
                <w:szCs w:val="24"/>
                <w:highlight w:val="none"/>
                <w:lang w:val="en-US" w:eastAsia="zh-CN"/>
              </w:rPr>
              <w:t>长治市盛石工贸有限公司与屯留县锦泰工贸有限公司签订了租赁协议，本次环评利用</w:t>
            </w:r>
            <w:r>
              <w:rPr>
                <w:rFonts w:hint="eastAsia" w:cs="Times New Roman"/>
                <w:color w:val="auto"/>
                <w:spacing w:val="0"/>
                <w:sz w:val="24"/>
                <w:szCs w:val="20"/>
                <w:highlight w:val="none"/>
                <w:lang w:val="en-US" w:eastAsia="zh-CN"/>
              </w:rPr>
              <w:t>厂区内现有2座钢结构厂房、1座办公区。本</w:t>
            </w:r>
            <w:r>
              <w:rPr>
                <w:rFonts w:hint="default" w:ascii="Times New Roman" w:hAnsi="Times New Roman" w:eastAsia="宋体" w:cs="Times New Roman"/>
                <w:color w:val="auto"/>
                <w:spacing w:val="0"/>
                <w:sz w:val="24"/>
                <w:szCs w:val="20"/>
                <w:highlight w:val="none"/>
                <w:lang w:val="en-US" w:eastAsia="zh-CN"/>
              </w:rPr>
              <w:t>项目组成</w:t>
            </w:r>
            <w:r>
              <w:rPr>
                <w:rFonts w:hint="default" w:ascii="Times New Roman" w:hAnsi="Times New Roman" w:eastAsia="宋体" w:cs="Times New Roman"/>
                <w:color w:val="auto"/>
                <w:spacing w:val="0"/>
                <w:sz w:val="24"/>
                <w:szCs w:val="20"/>
                <w:highlight w:val="none"/>
              </w:rPr>
              <w:t>内容见表</w:t>
            </w:r>
            <w:r>
              <w:rPr>
                <w:rFonts w:hint="default" w:ascii="Times New Roman" w:hAnsi="Times New Roman" w:eastAsia="宋体" w:cs="Times New Roman"/>
                <w:color w:val="auto"/>
                <w:spacing w:val="0"/>
                <w:sz w:val="24"/>
                <w:szCs w:val="20"/>
                <w:highlight w:val="none"/>
                <w:lang w:val="en-US" w:eastAsia="zh-CN"/>
              </w:rPr>
              <w:t>2</w:t>
            </w:r>
            <w:r>
              <w:rPr>
                <w:rFonts w:hint="default" w:ascii="Times New Roman" w:hAnsi="Times New Roman" w:eastAsia="宋体" w:cs="Times New Roman"/>
                <w:color w:val="auto"/>
                <w:spacing w:val="0"/>
                <w:sz w:val="24"/>
                <w:szCs w:val="20"/>
                <w:highlight w:val="none"/>
              </w:rPr>
              <w:t>-1。</w:t>
            </w:r>
          </w:p>
          <w:p w14:paraId="1F49F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宋体" w:cs="Times New Roman"/>
                <w:b/>
                <w:bCs/>
                <w:iCs/>
                <w:snapToGrid w:val="0"/>
                <w:color w:val="auto"/>
                <w:spacing w:val="0"/>
                <w:kern w:val="0"/>
                <w:sz w:val="21"/>
                <w:szCs w:val="21"/>
                <w:highlight w:val="none"/>
                <w:lang w:val="en-US" w:eastAsia="zh-CN" w:bidi="ar-SA"/>
              </w:rPr>
              <w:t>表2-1  工程主要建设内容一览表</w:t>
            </w:r>
          </w:p>
          <w:tbl>
            <w:tblPr>
              <w:tblStyle w:val="28"/>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
              <w:gridCol w:w="408"/>
              <w:gridCol w:w="1104"/>
              <w:gridCol w:w="5156"/>
              <w:gridCol w:w="982"/>
            </w:tblGrid>
            <w:tr w14:paraId="22CA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tcBorders>
                    <w:tl2br w:val="nil"/>
                    <w:tr2bl w:val="nil"/>
                  </w:tcBorders>
                  <w:vAlign w:val="center"/>
                </w:tcPr>
                <w:p w14:paraId="3E1D53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类别</w:t>
                  </w:r>
                </w:p>
              </w:tc>
              <w:tc>
                <w:tcPr>
                  <w:tcW w:w="1104" w:type="dxa"/>
                  <w:tcBorders>
                    <w:tl2br w:val="nil"/>
                    <w:tr2bl w:val="nil"/>
                  </w:tcBorders>
                  <w:vAlign w:val="center"/>
                </w:tcPr>
                <w:p w14:paraId="498ACA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项目</w:t>
                  </w:r>
                </w:p>
              </w:tc>
              <w:tc>
                <w:tcPr>
                  <w:tcW w:w="5156" w:type="dxa"/>
                  <w:tcBorders>
                    <w:tl2br w:val="nil"/>
                    <w:tr2bl w:val="nil"/>
                  </w:tcBorders>
                  <w:vAlign w:val="center"/>
                </w:tcPr>
                <w:p w14:paraId="4311BA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建设内容</w:t>
                  </w:r>
                </w:p>
              </w:tc>
              <w:tc>
                <w:tcPr>
                  <w:tcW w:w="982" w:type="dxa"/>
                  <w:tcBorders>
                    <w:tl2br w:val="nil"/>
                    <w:tr2bl w:val="nil"/>
                  </w:tcBorders>
                  <w:vAlign w:val="center"/>
                </w:tcPr>
                <w:p w14:paraId="5DBDCB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备注</w:t>
                  </w:r>
                </w:p>
              </w:tc>
            </w:tr>
            <w:tr w14:paraId="33BA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tcBorders>
                    <w:tl2br w:val="nil"/>
                    <w:tr2bl w:val="nil"/>
                  </w:tcBorders>
                  <w:vAlign w:val="center"/>
                </w:tcPr>
                <w:p w14:paraId="227F5C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主体</w:t>
                  </w:r>
                </w:p>
                <w:p w14:paraId="21DCEB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工程</w:t>
                  </w:r>
                </w:p>
              </w:tc>
              <w:tc>
                <w:tcPr>
                  <w:tcW w:w="1104" w:type="dxa"/>
                  <w:tcBorders>
                    <w:tl2br w:val="nil"/>
                    <w:tr2bl w:val="nil"/>
                  </w:tcBorders>
                  <w:vAlign w:val="center"/>
                </w:tcPr>
                <w:p w14:paraId="26A3C4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生产车间</w:t>
                  </w:r>
                </w:p>
              </w:tc>
              <w:tc>
                <w:tcPr>
                  <w:tcW w:w="5156" w:type="dxa"/>
                  <w:tcBorders>
                    <w:tl2br w:val="nil"/>
                    <w:tr2bl w:val="nil"/>
                  </w:tcBorders>
                  <w:vAlign w:val="center"/>
                </w:tcPr>
                <w:p w14:paraId="30932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位于厂区西侧，占地面积约1600</w:t>
                  </w:r>
                  <w:r>
                    <w:rPr>
                      <w:rFonts w:hint="default" w:ascii="Times New Roman" w:hAnsi="Times New Roman" w:cs="Times New Roman"/>
                      <w:color w:val="auto"/>
                      <w:spacing w:val="0"/>
                      <w:szCs w:val="21"/>
                      <w:highlight w:val="none"/>
                    </w:rPr>
                    <w:t>m</w:t>
                  </w:r>
                  <w:r>
                    <w:rPr>
                      <w:rFonts w:hint="default" w:ascii="Times New Roman" w:hAnsi="Times New Roman" w:cs="Times New Roman"/>
                      <w:color w:val="auto"/>
                      <w:spacing w:val="0"/>
                      <w:szCs w:val="21"/>
                      <w:highlight w:val="none"/>
                      <w:vertAlign w:val="superscript"/>
                    </w:rPr>
                    <w:t>2</w:t>
                  </w:r>
                  <w:r>
                    <w:rPr>
                      <w:rFonts w:hint="default" w:ascii="Times New Roman" w:hAnsi="Times New Roman" w:cs="Times New Roman"/>
                      <w:color w:val="auto"/>
                      <w:spacing w:val="0"/>
                      <w:kern w:val="0"/>
                      <w:szCs w:val="21"/>
                      <w:highlight w:val="none"/>
                    </w:rPr>
                    <w:t>，</w:t>
                  </w:r>
                  <w:r>
                    <w:rPr>
                      <w:rFonts w:hint="eastAsia"/>
                      <w:color w:val="auto"/>
                      <w:kern w:val="0"/>
                      <w:sz w:val="21"/>
                      <w:szCs w:val="21"/>
                      <w:lang w:val="en-US" w:eastAsia="zh-CN"/>
                    </w:rPr>
                    <w:t>全封闭</w:t>
                  </w:r>
                  <w:r>
                    <w:rPr>
                      <w:rFonts w:hint="default"/>
                      <w:color w:val="auto"/>
                      <w:kern w:val="0"/>
                      <w:sz w:val="21"/>
                      <w:szCs w:val="21"/>
                    </w:rPr>
                    <w:t>钢结构，</w:t>
                  </w:r>
                  <w:r>
                    <w:rPr>
                      <w:rFonts w:hint="eastAsia"/>
                      <w:color w:val="auto"/>
                      <w:kern w:val="0"/>
                      <w:sz w:val="21"/>
                      <w:szCs w:val="21"/>
                      <w:lang w:val="en-US" w:eastAsia="zh-CN"/>
                    </w:rPr>
                    <w:t>车间内建有1条年处理30万吨建筑垃圾生产线，设置1台振动</w:t>
                  </w:r>
                  <w:r>
                    <w:rPr>
                      <w:rFonts w:hint="default"/>
                      <w:color w:val="auto"/>
                      <w:kern w:val="0"/>
                      <w:sz w:val="21"/>
                      <w:szCs w:val="21"/>
                    </w:rPr>
                    <w:t>给料机、</w:t>
                  </w:r>
                  <w:r>
                    <w:rPr>
                      <w:rFonts w:hint="eastAsia"/>
                      <w:color w:val="auto"/>
                      <w:kern w:val="0"/>
                      <w:sz w:val="21"/>
                      <w:szCs w:val="21"/>
                      <w:lang w:val="en-US" w:eastAsia="zh-CN"/>
                    </w:rPr>
                    <w:t>1台箱式破碎机、1台锤式制砂机、1台</w:t>
                  </w:r>
                  <w:r>
                    <w:rPr>
                      <w:rFonts w:hint="default"/>
                      <w:color w:val="auto"/>
                      <w:kern w:val="0"/>
                      <w:sz w:val="21"/>
                      <w:szCs w:val="21"/>
                    </w:rPr>
                    <w:t>振动筛</w:t>
                  </w:r>
                  <w:r>
                    <w:rPr>
                      <w:rFonts w:hint="eastAsia"/>
                      <w:color w:val="auto"/>
                      <w:kern w:val="0"/>
                      <w:sz w:val="21"/>
                      <w:szCs w:val="21"/>
                      <w:lang w:val="en-US" w:eastAsia="zh-CN"/>
                    </w:rPr>
                    <w:t>及全封闭皮带输送机等</w:t>
                  </w:r>
                </w:p>
              </w:tc>
              <w:tc>
                <w:tcPr>
                  <w:tcW w:w="982" w:type="dxa"/>
                  <w:tcBorders>
                    <w:tl2br w:val="nil"/>
                    <w:tr2bl w:val="nil"/>
                  </w:tcBorders>
                  <w:vAlign w:val="center"/>
                </w:tcPr>
                <w:p w14:paraId="5EA440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新建</w:t>
                  </w:r>
                </w:p>
                <w:p w14:paraId="2C1270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（厂房利用现有构筑物）</w:t>
                  </w:r>
                </w:p>
              </w:tc>
            </w:tr>
            <w:tr w14:paraId="68DE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restart"/>
                  <w:tcBorders>
                    <w:tl2br w:val="nil"/>
                    <w:tr2bl w:val="nil"/>
                  </w:tcBorders>
                  <w:vAlign w:val="center"/>
                </w:tcPr>
                <w:p w14:paraId="555575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储运</w:t>
                  </w:r>
                </w:p>
                <w:p w14:paraId="0573C4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工程</w:t>
                  </w:r>
                </w:p>
              </w:tc>
              <w:tc>
                <w:tcPr>
                  <w:tcW w:w="1104" w:type="dxa"/>
                  <w:tcBorders>
                    <w:tl2br w:val="nil"/>
                    <w:tr2bl w:val="nil"/>
                  </w:tcBorders>
                  <w:vAlign w:val="center"/>
                </w:tcPr>
                <w:p w14:paraId="14D478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原料堆放区</w:t>
                  </w:r>
                </w:p>
              </w:tc>
              <w:tc>
                <w:tcPr>
                  <w:tcW w:w="5156" w:type="dxa"/>
                  <w:tcBorders>
                    <w:tl2br w:val="nil"/>
                    <w:tr2bl w:val="nil"/>
                  </w:tcBorders>
                  <w:vAlign w:val="center"/>
                </w:tcPr>
                <w:p w14:paraId="712640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eastAsia="宋体" w:cs="Times New Roman"/>
                      <w:color w:val="auto"/>
                      <w:spacing w:val="0"/>
                      <w:sz w:val="21"/>
                      <w:szCs w:val="21"/>
                      <w:highlight w:val="none"/>
                      <w:vertAlign w:val="baseline"/>
                      <w:lang w:val="en-US" w:eastAsia="zh-CN"/>
                    </w:rPr>
                  </w:pPr>
                  <w:r>
                    <w:rPr>
                      <w:rFonts w:hint="eastAsia" w:cs="Times New Roman"/>
                      <w:color w:val="auto"/>
                      <w:spacing w:val="0"/>
                      <w:sz w:val="21"/>
                      <w:szCs w:val="21"/>
                      <w:highlight w:val="none"/>
                      <w:lang w:val="en-US" w:eastAsia="zh-CN"/>
                    </w:rPr>
                    <w:t>位于全封闭生产车间内东侧，占地面积约1400</w:t>
                  </w:r>
                  <w:r>
                    <w:rPr>
                      <w:rFonts w:hint="default" w:ascii="Times New Roman" w:hAnsi="Times New Roman" w:cs="Times New Roman"/>
                      <w:color w:val="auto"/>
                      <w:spacing w:val="0"/>
                      <w:szCs w:val="21"/>
                      <w:highlight w:val="none"/>
                    </w:rPr>
                    <w:t>m</w:t>
                  </w:r>
                  <w:r>
                    <w:rPr>
                      <w:rFonts w:hint="default" w:ascii="Times New Roman" w:hAnsi="Times New Roman" w:cs="Times New Roman"/>
                      <w:color w:val="auto"/>
                      <w:spacing w:val="0"/>
                      <w:szCs w:val="21"/>
                      <w:highlight w:val="none"/>
                      <w:vertAlign w:val="superscript"/>
                    </w:rPr>
                    <w:t>2</w:t>
                  </w:r>
                  <w:r>
                    <w:rPr>
                      <w:rFonts w:hint="default" w:ascii="Times New Roman" w:hAnsi="Times New Roman" w:cs="Times New Roman"/>
                      <w:color w:val="auto"/>
                      <w:spacing w:val="0"/>
                      <w:kern w:val="0"/>
                      <w:szCs w:val="21"/>
                      <w:highlight w:val="none"/>
                    </w:rPr>
                    <w:t>，</w:t>
                  </w:r>
                  <w:r>
                    <w:rPr>
                      <w:rFonts w:hint="eastAsia" w:cs="Times New Roman"/>
                      <w:color w:val="auto"/>
                      <w:spacing w:val="0"/>
                      <w:kern w:val="0"/>
                      <w:szCs w:val="21"/>
                      <w:highlight w:val="none"/>
                      <w:lang w:val="en-US" w:eastAsia="zh-CN"/>
                    </w:rPr>
                    <w:t>用于原料的堆放，堆放区顶部设置雾炮喷淋洒水装置</w:t>
                  </w:r>
                </w:p>
              </w:tc>
              <w:tc>
                <w:tcPr>
                  <w:tcW w:w="982" w:type="dxa"/>
                  <w:tcBorders>
                    <w:tl2br w:val="nil"/>
                    <w:tr2bl w:val="nil"/>
                  </w:tcBorders>
                  <w:vAlign w:val="center"/>
                </w:tcPr>
                <w:p w14:paraId="18D1E1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p w14:paraId="286A8E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（厂房利用现有构筑物）</w:t>
                  </w:r>
                </w:p>
              </w:tc>
            </w:tr>
            <w:tr w14:paraId="5BE6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2DD1BC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104" w:type="dxa"/>
                  <w:tcBorders>
                    <w:tl2br w:val="nil"/>
                    <w:tr2bl w:val="nil"/>
                  </w:tcBorders>
                  <w:vAlign w:val="center"/>
                </w:tcPr>
                <w:p w14:paraId="5B164C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成品库</w:t>
                  </w:r>
                </w:p>
              </w:tc>
              <w:tc>
                <w:tcPr>
                  <w:tcW w:w="5156" w:type="dxa"/>
                  <w:tcBorders>
                    <w:tl2br w:val="nil"/>
                    <w:tr2bl w:val="nil"/>
                  </w:tcBorders>
                  <w:vAlign w:val="center"/>
                </w:tcPr>
                <w:p w14:paraId="1ED31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位于厂区西北角，生产车间北侧，占地面积约600</w:t>
                  </w:r>
                  <w:r>
                    <w:rPr>
                      <w:rFonts w:hint="default" w:ascii="Times New Roman" w:hAnsi="Times New Roman" w:cs="Times New Roman"/>
                      <w:color w:val="auto"/>
                      <w:spacing w:val="0"/>
                      <w:szCs w:val="21"/>
                      <w:highlight w:val="none"/>
                    </w:rPr>
                    <w:t>m</w:t>
                  </w:r>
                  <w:r>
                    <w:rPr>
                      <w:rFonts w:hint="default" w:ascii="Times New Roman" w:hAnsi="Times New Roman" w:cs="Times New Roman"/>
                      <w:color w:val="auto"/>
                      <w:spacing w:val="0"/>
                      <w:szCs w:val="21"/>
                      <w:highlight w:val="none"/>
                      <w:vertAlign w:val="superscript"/>
                    </w:rPr>
                    <w:t>2</w:t>
                  </w:r>
                  <w:r>
                    <w:rPr>
                      <w:rFonts w:hint="default" w:ascii="Times New Roman" w:hAnsi="Times New Roman" w:cs="Times New Roman"/>
                      <w:color w:val="auto"/>
                      <w:spacing w:val="0"/>
                      <w:kern w:val="0"/>
                      <w:szCs w:val="21"/>
                      <w:highlight w:val="none"/>
                    </w:rPr>
                    <w:t>，</w:t>
                  </w:r>
                  <w:r>
                    <w:rPr>
                      <w:rFonts w:hint="eastAsia" w:cs="Times New Roman"/>
                      <w:color w:val="auto"/>
                      <w:spacing w:val="0"/>
                      <w:kern w:val="0"/>
                      <w:szCs w:val="21"/>
                      <w:highlight w:val="none"/>
                      <w:lang w:val="en-US" w:eastAsia="zh-CN"/>
                    </w:rPr>
                    <w:t>用于成品粒径为</w:t>
                  </w:r>
                  <w:r>
                    <w:rPr>
                      <w:rFonts w:hint="eastAsia" w:cs="Times New Roman"/>
                      <w:color w:val="auto"/>
                      <w:sz w:val="21"/>
                      <w:szCs w:val="21"/>
                      <w:highlight w:val="none"/>
                      <w:shd w:val="clear" w:color="auto" w:fill="auto"/>
                      <w:vertAlign w:val="baseline"/>
                      <w:lang w:val="en-US" w:eastAsia="zh-CN"/>
                    </w:rPr>
                    <w:t>0-4.75mm机制砂和10-15mm、15-20mm</w:t>
                  </w:r>
                  <w:r>
                    <w:rPr>
                      <w:rFonts w:hint="eastAsia" w:cs="Times New Roman"/>
                      <w:color w:val="auto"/>
                      <w:spacing w:val="0"/>
                      <w:kern w:val="0"/>
                      <w:szCs w:val="21"/>
                      <w:highlight w:val="none"/>
                      <w:lang w:val="en-US" w:eastAsia="zh-CN"/>
                    </w:rPr>
                    <w:t>石子的堆放，库内顶部设置雾炮喷淋洒水装置</w:t>
                  </w:r>
                </w:p>
              </w:tc>
              <w:tc>
                <w:tcPr>
                  <w:tcW w:w="982" w:type="dxa"/>
                  <w:tcBorders>
                    <w:tl2br w:val="nil"/>
                    <w:tr2bl w:val="nil"/>
                  </w:tcBorders>
                  <w:vAlign w:val="center"/>
                </w:tcPr>
                <w:p w14:paraId="7D5244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p w14:paraId="401ED2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（厂房利用现有构筑物）</w:t>
                  </w:r>
                </w:p>
              </w:tc>
            </w:tr>
            <w:tr w14:paraId="4423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restart"/>
                  <w:tcBorders>
                    <w:tl2br w:val="nil"/>
                    <w:tr2bl w:val="nil"/>
                  </w:tcBorders>
                  <w:vAlign w:val="center"/>
                </w:tcPr>
                <w:p w14:paraId="656B4B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辅助</w:t>
                  </w:r>
                </w:p>
                <w:p w14:paraId="25993A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工程</w:t>
                  </w:r>
                </w:p>
              </w:tc>
              <w:tc>
                <w:tcPr>
                  <w:tcW w:w="1104" w:type="dxa"/>
                  <w:tcBorders>
                    <w:tl2br w:val="nil"/>
                    <w:tr2bl w:val="nil"/>
                  </w:tcBorders>
                  <w:vAlign w:val="center"/>
                </w:tcPr>
                <w:p w14:paraId="4787CE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办公区</w:t>
                  </w:r>
                </w:p>
              </w:tc>
              <w:tc>
                <w:tcPr>
                  <w:tcW w:w="5156" w:type="dxa"/>
                  <w:tcBorders>
                    <w:tl2br w:val="nil"/>
                    <w:tr2bl w:val="nil"/>
                  </w:tcBorders>
                  <w:vAlign w:val="center"/>
                </w:tcPr>
                <w:p w14:paraId="7FCFF5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位于厂区西侧，占地面积约130</w:t>
                  </w:r>
                  <w:r>
                    <w:rPr>
                      <w:rFonts w:hint="default" w:ascii="Times New Roman" w:hAnsi="Times New Roman" w:cs="Times New Roman"/>
                      <w:color w:val="auto"/>
                      <w:spacing w:val="0"/>
                      <w:szCs w:val="21"/>
                      <w:highlight w:val="none"/>
                    </w:rPr>
                    <w:t>m</w:t>
                  </w:r>
                  <w:r>
                    <w:rPr>
                      <w:rFonts w:hint="default" w:ascii="Times New Roman" w:hAnsi="Times New Roman" w:cs="Times New Roman"/>
                      <w:color w:val="auto"/>
                      <w:spacing w:val="0"/>
                      <w:szCs w:val="21"/>
                      <w:highlight w:val="none"/>
                      <w:vertAlign w:val="superscript"/>
                    </w:rPr>
                    <w:t>2</w:t>
                  </w:r>
                  <w:r>
                    <w:rPr>
                      <w:rFonts w:hint="eastAsia" w:cs="Times New Roman"/>
                      <w:color w:val="auto"/>
                      <w:spacing w:val="0"/>
                      <w:szCs w:val="21"/>
                      <w:highlight w:val="none"/>
                      <w:vertAlign w:val="baseline"/>
                      <w:lang w:eastAsia="zh-CN"/>
                    </w:rPr>
                    <w:t>，</w:t>
                  </w:r>
                  <w:r>
                    <w:rPr>
                      <w:rFonts w:hint="eastAsia" w:cs="Times New Roman"/>
                      <w:color w:val="auto"/>
                      <w:spacing w:val="0"/>
                      <w:sz w:val="21"/>
                      <w:szCs w:val="21"/>
                      <w:highlight w:val="none"/>
                      <w:lang w:val="en-US" w:eastAsia="zh-CN"/>
                    </w:rPr>
                    <w:t>砖混结构</w:t>
                  </w:r>
                </w:p>
              </w:tc>
              <w:tc>
                <w:tcPr>
                  <w:tcW w:w="982" w:type="dxa"/>
                  <w:tcBorders>
                    <w:tl2br w:val="nil"/>
                    <w:tr2bl w:val="nil"/>
                  </w:tcBorders>
                  <w:vAlign w:val="center"/>
                </w:tcPr>
                <w:p w14:paraId="49B024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p w14:paraId="600EE7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（厂房利用现有构筑物）</w:t>
                  </w:r>
                </w:p>
              </w:tc>
            </w:tr>
            <w:tr w14:paraId="5520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0CE9F2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1104" w:type="dxa"/>
                  <w:tcBorders>
                    <w:tl2br w:val="nil"/>
                    <w:tr2bl w:val="nil"/>
                  </w:tcBorders>
                  <w:vAlign w:val="center"/>
                </w:tcPr>
                <w:p w14:paraId="2DA4D6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磅房</w:t>
                  </w:r>
                </w:p>
              </w:tc>
              <w:tc>
                <w:tcPr>
                  <w:tcW w:w="5156" w:type="dxa"/>
                  <w:tcBorders>
                    <w:tl2br w:val="nil"/>
                    <w:tr2bl w:val="nil"/>
                  </w:tcBorders>
                  <w:vAlign w:val="center"/>
                </w:tcPr>
                <w:p w14:paraId="173041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厂区出入口设置1座磅房，轻钢结构，占地面积10</w:t>
                  </w:r>
                  <w:r>
                    <w:rPr>
                      <w:rFonts w:hint="default" w:ascii="Times New Roman" w:hAnsi="Times New Roman" w:cs="Times New Roman"/>
                      <w:color w:val="auto"/>
                      <w:spacing w:val="0"/>
                      <w:szCs w:val="21"/>
                      <w:highlight w:val="none"/>
                    </w:rPr>
                    <w:t>m</w:t>
                  </w:r>
                  <w:r>
                    <w:rPr>
                      <w:rFonts w:hint="default" w:ascii="Times New Roman" w:hAnsi="Times New Roman" w:cs="Times New Roman"/>
                      <w:color w:val="auto"/>
                      <w:spacing w:val="0"/>
                      <w:szCs w:val="21"/>
                      <w:highlight w:val="none"/>
                      <w:vertAlign w:val="superscript"/>
                    </w:rPr>
                    <w:t>2</w:t>
                  </w:r>
                </w:p>
              </w:tc>
              <w:tc>
                <w:tcPr>
                  <w:tcW w:w="982" w:type="dxa"/>
                  <w:tcBorders>
                    <w:tl2br w:val="nil"/>
                    <w:tr2bl w:val="nil"/>
                  </w:tcBorders>
                  <w:vAlign w:val="center"/>
                </w:tcPr>
                <w:p w14:paraId="0FF72F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tc>
            </w:tr>
            <w:tr w14:paraId="76F4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472107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1104" w:type="dxa"/>
                  <w:tcBorders>
                    <w:tl2br w:val="nil"/>
                    <w:tr2bl w:val="nil"/>
                  </w:tcBorders>
                  <w:vAlign w:val="center"/>
                </w:tcPr>
                <w:p w14:paraId="15AD5C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洗车平台</w:t>
                  </w:r>
                </w:p>
              </w:tc>
              <w:tc>
                <w:tcPr>
                  <w:tcW w:w="5156" w:type="dxa"/>
                  <w:tcBorders>
                    <w:tl2br w:val="nil"/>
                    <w:tr2bl w:val="nil"/>
                  </w:tcBorders>
                  <w:vAlign w:val="center"/>
                </w:tcPr>
                <w:p w14:paraId="25BEE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厂区</w:t>
                  </w:r>
                  <w:r>
                    <w:rPr>
                      <w:rFonts w:hint="eastAsia" w:cs="Times New Roman"/>
                      <w:color w:val="auto"/>
                      <w:spacing w:val="0"/>
                      <w:sz w:val="21"/>
                      <w:szCs w:val="21"/>
                      <w:highlight w:val="none"/>
                      <w:lang w:val="en-US" w:eastAsia="zh-CN"/>
                    </w:rPr>
                    <w:t>出入口位于厂区西侧，新建1座</w:t>
                  </w:r>
                  <w:r>
                    <w:rPr>
                      <w:rFonts w:hint="eastAsia" w:ascii="Times New Roman" w:hAnsi="Times New Roman" w:eastAsia="宋体" w:cs="Times New Roman"/>
                      <w:color w:val="auto"/>
                      <w:spacing w:val="0"/>
                      <w:sz w:val="21"/>
                      <w:szCs w:val="21"/>
                      <w:highlight w:val="none"/>
                      <w:lang w:val="en-US" w:eastAsia="zh-CN"/>
                    </w:rPr>
                    <w:t>长20m</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宽3m</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占地面积60m</w:t>
                  </w:r>
                  <w:r>
                    <w:rPr>
                      <w:rFonts w:hint="eastAsia" w:ascii="Times New Roman" w:hAnsi="Times New Roman" w:eastAsia="宋体" w:cs="Times New Roman"/>
                      <w:color w:val="auto"/>
                      <w:spacing w:val="0"/>
                      <w:sz w:val="21"/>
                      <w:szCs w:val="21"/>
                      <w:highlight w:val="none"/>
                      <w:vertAlign w:val="superscript"/>
                      <w:lang w:val="en-US" w:eastAsia="zh-CN"/>
                    </w:rPr>
                    <w:t>2</w:t>
                  </w:r>
                  <w:r>
                    <w:rPr>
                      <w:rFonts w:hint="eastAsia" w:ascii="Times New Roman" w:hAnsi="Times New Roman" w:eastAsia="宋体" w:cs="Times New Roman"/>
                      <w:color w:val="auto"/>
                      <w:spacing w:val="0"/>
                      <w:sz w:val="21"/>
                      <w:szCs w:val="21"/>
                      <w:highlight w:val="none"/>
                      <w:lang w:val="en-US" w:eastAsia="zh-CN"/>
                    </w:rPr>
                    <w:t>的全自动洗车平台，具有保温、烘干功能，长度和高度应确保车身和车轮全部冲洗到位，平台两侧内壁及底部设高压喷淋水喷头，清洗水压高于1.0MPa，单台车辆冲洗时间不低于100s；并配套设置1座容积为</w:t>
                  </w:r>
                  <w:r>
                    <w:rPr>
                      <w:rFonts w:hint="eastAsia" w:cs="Times New Roman"/>
                      <w:color w:val="auto"/>
                      <w:spacing w:val="0"/>
                      <w:sz w:val="21"/>
                      <w:szCs w:val="21"/>
                      <w:highlight w:val="none"/>
                      <w:lang w:val="en-US" w:eastAsia="zh-CN"/>
                    </w:rPr>
                    <w:t>15</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lang w:val="en-US" w:eastAsia="zh-CN"/>
                    </w:rPr>
                    <w:t>的</w:t>
                  </w:r>
                  <w:r>
                    <w:rPr>
                      <w:rFonts w:hint="eastAsia" w:cs="Times New Roman"/>
                      <w:color w:val="auto"/>
                      <w:spacing w:val="0"/>
                      <w:sz w:val="21"/>
                      <w:szCs w:val="21"/>
                      <w:highlight w:val="none"/>
                      <w:lang w:val="en-US" w:eastAsia="zh-CN"/>
                    </w:rPr>
                    <w:t>三级</w:t>
                  </w:r>
                  <w:r>
                    <w:rPr>
                      <w:rFonts w:hint="eastAsia" w:ascii="Times New Roman" w:hAnsi="Times New Roman" w:eastAsia="宋体" w:cs="Times New Roman"/>
                      <w:color w:val="auto"/>
                      <w:spacing w:val="0"/>
                      <w:sz w:val="21"/>
                      <w:szCs w:val="21"/>
                      <w:highlight w:val="none"/>
                      <w:lang w:val="en-US" w:eastAsia="zh-CN"/>
                    </w:rPr>
                    <w:t>沉淀池</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水池之间有溢流口相连。洗车台前设有抖车台并配套建设有站房设置吹干装置（冬季采用热风，热源为电加热）保证冰冻季节正常使用</w:t>
                  </w:r>
                </w:p>
              </w:tc>
              <w:tc>
                <w:tcPr>
                  <w:tcW w:w="982" w:type="dxa"/>
                  <w:tcBorders>
                    <w:tl2br w:val="nil"/>
                    <w:tr2bl w:val="nil"/>
                  </w:tcBorders>
                  <w:vAlign w:val="center"/>
                </w:tcPr>
                <w:p w14:paraId="542A04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tc>
            </w:tr>
            <w:tr w14:paraId="009C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restart"/>
                  <w:tcBorders>
                    <w:tl2br w:val="nil"/>
                    <w:tr2bl w:val="nil"/>
                  </w:tcBorders>
                  <w:vAlign w:val="center"/>
                </w:tcPr>
                <w:p w14:paraId="78CCDC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公用</w:t>
                  </w:r>
                </w:p>
                <w:p w14:paraId="7C13EC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工程</w:t>
                  </w:r>
                </w:p>
              </w:tc>
              <w:tc>
                <w:tcPr>
                  <w:tcW w:w="1104" w:type="dxa"/>
                  <w:tcBorders>
                    <w:tl2br w:val="nil"/>
                    <w:tr2bl w:val="nil"/>
                  </w:tcBorders>
                  <w:vAlign w:val="center"/>
                </w:tcPr>
                <w:p w14:paraId="0EA7E3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供水</w:t>
                  </w:r>
                </w:p>
              </w:tc>
              <w:tc>
                <w:tcPr>
                  <w:tcW w:w="5156" w:type="dxa"/>
                  <w:tcBorders>
                    <w:tl2br w:val="nil"/>
                    <w:tr2bl w:val="nil"/>
                  </w:tcBorders>
                  <w:vAlign w:val="center"/>
                </w:tcPr>
                <w:p w14:paraId="5E0AE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由罐车从西酪余村拉水</w:t>
                  </w:r>
                </w:p>
              </w:tc>
              <w:tc>
                <w:tcPr>
                  <w:tcW w:w="982" w:type="dxa"/>
                  <w:tcBorders>
                    <w:tl2br w:val="nil"/>
                    <w:tr2bl w:val="nil"/>
                  </w:tcBorders>
                  <w:vAlign w:val="center"/>
                </w:tcPr>
                <w:p w14:paraId="610234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tc>
            </w:tr>
            <w:tr w14:paraId="3DBE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03AF06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104" w:type="dxa"/>
                  <w:tcBorders>
                    <w:tl2br w:val="nil"/>
                    <w:tr2bl w:val="nil"/>
                  </w:tcBorders>
                  <w:vAlign w:val="center"/>
                </w:tcPr>
                <w:p w14:paraId="5E8D7D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供电</w:t>
                  </w:r>
                </w:p>
              </w:tc>
              <w:tc>
                <w:tcPr>
                  <w:tcW w:w="5156" w:type="dxa"/>
                  <w:tcBorders>
                    <w:tl2br w:val="nil"/>
                    <w:tr2bl w:val="nil"/>
                  </w:tcBorders>
                  <w:vAlign w:val="center"/>
                </w:tcPr>
                <w:p w14:paraId="2EC805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西酪余村就近接入</w:t>
                  </w:r>
                  <w:r>
                    <w:rPr>
                      <w:rFonts w:hint="default" w:ascii="Times New Roman" w:hAnsi="Times New Roman" w:eastAsia="宋体" w:cs="Times New Roman"/>
                      <w:color w:val="auto"/>
                      <w:spacing w:val="0"/>
                      <w:kern w:val="2"/>
                      <w:sz w:val="21"/>
                      <w:szCs w:val="21"/>
                      <w:highlight w:val="none"/>
                      <w:lang w:val="en-US" w:eastAsia="zh-CN" w:bidi="ar-SA"/>
                    </w:rPr>
                    <w:t>，厂区内</w:t>
                  </w:r>
                  <w:r>
                    <w:rPr>
                      <w:rFonts w:hint="eastAsia" w:cs="Times New Roman"/>
                      <w:color w:val="auto"/>
                      <w:spacing w:val="0"/>
                      <w:kern w:val="2"/>
                      <w:sz w:val="21"/>
                      <w:szCs w:val="21"/>
                      <w:highlight w:val="none"/>
                      <w:lang w:val="en-US" w:eastAsia="zh-CN" w:bidi="ar-SA"/>
                    </w:rPr>
                    <w:t>设置</w:t>
                  </w:r>
                  <w:r>
                    <w:rPr>
                      <w:rFonts w:hint="default" w:ascii="Times New Roman" w:hAnsi="Times New Roman" w:eastAsia="宋体" w:cs="Times New Roman"/>
                      <w:color w:val="auto"/>
                      <w:spacing w:val="0"/>
                      <w:kern w:val="2"/>
                      <w:sz w:val="21"/>
                      <w:szCs w:val="21"/>
                      <w:highlight w:val="none"/>
                      <w:lang w:val="en-US" w:eastAsia="zh-CN" w:bidi="ar-SA"/>
                    </w:rPr>
                    <w:t>1台</w:t>
                  </w:r>
                  <w:r>
                    <w:rPr>
                      <w:rFonts w:hint="eastAsia" w:cs="Times New Roman"/>
                      <w:color w:val="auto"/>
                      <w:spacing w:val="0"/>
                      <w:kern w:val="2"/>
                      <w:sz w:val="21"/>
                      <w:szCs w:val="21"/>
                      <w:highlight w:val="none"/>
                      <w:lang w:val="en-US" w:eastAsia="zh-CN" w:bidi="ar-SA"/>
                    </w:rPr>
                    <w:t>5</w:t>
                  </w:r>
                  <w:r>
                    <w:rPr>
                      <w:rFonts w:hint="default" w:ascii="Times New Roman" w:hAnsi="Times New Roman" w:eastAsia="宋体" w:cs="Times New Roman"/>
                      <w:color w:val="auto"/>
                      <w:spacing w:val="0"/>
                      <w:kern w:val="2"/>
                      <w:sz w:val="21"/>
                      <w:szCs w:val="21"/>
                      <w:highlight w:val="none"/>
                      <w:lang w:val="en-US" w:eastAsia="zh-CN" w:bidi="ar-SA"/>
                    </w:rPr>
                    <w:t>00KVA变压器</w:t>
                  </w:r>
                </w:p>
              </w:tc>
              <w:tc>
                <w:tcPr>
                  <w:tcW w:w="982" w:type="dxa"/>
                  <w:tcBorders>
                    <w:tl2br w:val="nil"/>
                    <w:tr2bl w:val="nil"/>
                  </w:tcBorders>
                  <w:vAlign w:val="center"/>
                </w:tcPr>
                <w:p w14:paraId="16306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tc>
            </w:tr>
            <w:tr w14:paraId="5FB6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3" w:type="dxa"/>
                  <w:gridSpan w:val="2"/>
                  <w:vMerge w:val="continue"/>
                  <w:tcBorders>
                    <w:tl2br w:val="nil"/>
                    <w:tr2bl w:val="nil"/>
                  </w:tcBorders>
                  <w:vAlign w:val="center"/>
                </w:tcPr>
                <w:p w14:paraId="3E1547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104" w:type="dxa"/>
                  <w:tcBorders>
                    <w:tl2br w:val="nil"/>
                    <w:tr2bl w:val="nil"/>
                  </w:tcBorders>
                  <w:vAlign w:val="center"/>
                </w:tcPr>
                <w:p w14:paraId="5AC3BB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供</w:t>
                  </w:r>
                  <w:r>
                    <w:rPr>
                      <w:rFonts w:hint="eastAsia" w:cs="Times New Roman"/>
                      <w:color w:val="auto"/>
                      <w:spacing w:val="0"/>
                      <w:sz w:val="21"/>
                      <w:szCs w:val="21"/>
                      <w:highlight w:val="none"/>
                      <w:lang w:val="en-US" w:eastAsia="zh-CN"/>
                    </w:rPr>
                    <w:t>暖</w:t>
                  </w:r>
                </w:p>
              </w:tc>
              <w:tc>
                <w:tcPr>
                  <w:tcW w:w="5156" w:type="dxa"/>
                  <w:tcBorders>
                    <w:tl2br w:val="nil"/>
                    <w:tr2bl w:val="nil"/>
                  </w:tcBorders>
                  <w:vAlign w:val="center"/>
                </w:tcPr>
                <w:p w14:paraId="3C996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生产区冬季不采暖，生活区采暖使用电采暖</w:t>
                  </w:r>
                </w:p>
              </w:tc>
              <w:tc>
                <w:tcPr>
                  <w:tcW w:w="982" w:type="dxa"/>
                  <w:tcBorders>
                    <w:tl2br w:val="nil"/>
                    <w:tr2bl w:val="nil"/>
                  </w:tcBorders>
                  <w:vAlign w:val="center"/>
                </w:tcPr>
                <w:p w14:paraId="299469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新建</w:t>
                  </w:r>
                </w:p>
              </w:tc>
            </w:tr>
            <w:tr w14:paraId="6B8A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restart"/>
                  <w:tcBorders>
                    <w:tl2br w:val="nil"/>
                    <w:tr2bl w:val="nil"/>
                  </w:tcBorders>
                  <w:vAlign w:val="center"/>
                </w:tcPr>
                <w:p w14:paraId="314AED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环保</w:t>
                  </w:r>
                </w:p>
                <w:p w14:paraId="27799C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工程</w:t>
                  </w:r>
                </w:p>
              </w:tc>
              <w:tc>
                <w:tcPr>
                  <w:tcW w:w="408" w:type="dxa"/>
                  <w:vMerge w:val="restart"/>
                  <w:tcBorders>
                    <w:tl2br w:val="nil"/>
                    <w:tr2bl w:val="nil"/>
                  </w:tcBorders>
                  <w:vAlign w:val="center"/>
                </w:tcPr>
                <w:p w14:paraId="1623C4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废气</w:t>
                  </w:r>
                </w:p>
              </w:tc>
              <w:tc>
                <w:tcPr>
                  <w:tcW w:w="1104" w:type="dxa"/>
                  <w:tcBorders>
                    <w:tl2br w:val="nil"/>
                    <w:tr2bl w:val="nil"/>
                  </w:tcBorders>
                  <w:shd w:val="clear" w:color="auto" w:fill="auto"/>
                  <w:vAlign w:val="center"/>
                </w:tcPr>
                <w:p w14:paraId="6F5662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color w:val="auto"/>
                      <w:sz w:val="21"/>
                      <w:szCs w:val="21"/>
                    </w:rPr>
                    <w:t>运输扬尘</w:t>
                  </w:r>
                </w:p>
              </w:tc>
              <w:tc>
                <w:tcPr>
                  <w:tcW w:w="5156" w:type="dxa"/>
                  <w:tcBorders>
                    <w:tl2br w:val="nil"/>
                    <w:tr2bl w:val="nil"/>
                  </w:tcBorders>
                  <w:shd w:val="clear" w:color="auto" w:fill="auto"/>
                  <w:vAlign w:val="center"/>
                </w:tcPr>
                <w:p w14:paraId="1A71AD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color w:val="auto"/>
                      <w:sz w:val="21"/>
                      <w:szCs w:val="21"/>
                    </w:rPr>
                    <w:t>厂区大门出入口</w:t>
                  </w:r>
                  <w:r>
                    <w:rPr>
                      <w:rFonts w:hint="eastAsia"/>
                      <w:color w:val="auto"/>
                      <w:spacing w:val="6"/>
                      <w:sz w:val="21"/>
                      <w:szCs w:val="21"/>
                      <w:lang w:val="en-US" w:eastAsia="zh-CN"/>
                    </w:rPr>
                    <w:t>设置</w:t>
                  </w:r>
                  <w:r>
                    <w:rPr>
                      <w:rFonts w:hint="default"/>
                      <w:color w:val="auto"/>
                      <w:spacing w:val="6"/>
                      <w:sz w:val="21"/>
                      <w:szCs w:val="21"/>
                    </w:rPr>
                    <w:t>洗车平台，对进出车辆进行冲洗，路面定时洒水抑尘，定期对道路清理，保持清洁，在运输过程中要求运输车辆采用封闭厢式车运输，防止物料洒落</w:t>
                  </w:r>
                </w:p>
              </w:tc>
              <w:tc>
                <w:tcPr>
                  <w:tcW w:w="982" w:type="dxa"/>
                  <w:tcBorders>
                    <w:tl2br w:val="nil"/>
                    <w:tr2bl w:val="nil"/>
                  </w:tcBorders>
                  <w:vAlign w:val="center"/>
                </w:tcPr>
                <w:p w14:paraId="55DA7F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1D2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60243D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408" w:type="dxa"/>
                  <w:vMerge w:val="continue"/>
                  <w:tcBorders>
                    <w:tl2br w:val="nil"/>
                    <w:tr2bl w:val="nil"/>
                  </w:tcBorders>
                  <w:vAlign w:val="center"/>
                </w:tcPr>
                <w:p w14:paraId="7C2297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c>
                <w:tcPr>
                  <w:tcW w:w="1104" w:type="dxa"/>
                  <w:tcBorders>
                    <w:tl2br w:val="nil"/>
                    <w:tr2bl w:val="nil"/>
                  </w:tcBorders>
                  <w:shd w:val="clear" w:color="auto" w:fill="auto"/>
                  <w:vAlign w:val="center"/>
                </w:tcPr>
                <w:p w14:paraId="5E222F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olor w:val="auto"/>
                      <w:sz w:val="21"/>
                      <w:szCs w:val="21"/>
                      <w:lang w:val="en-US" w:eastAsia="zh-CN"/>
                    </w:rPr>
                    <w:t>原料及成品</w:t>
                  </w:r>
                  <w:r>
                    <w:rPr>
                      <w:rFonts w:hint="default"/>
                      <w:color w:val="auto"/>
                      <w:sz w:val="21"/>
                      <w:szCs w:val="21"/>
                    </w:rPr>
                    <w:t>堆放、装卸扬尘</w:t>
                  </w:r>
                </w:p>
              </w:tc>
              <w:tc>
                <w:tcPr>
                  <w:tcW w:w="5156" w:type="dxa"/>
                  <w:tcBorders>
                    <w:tl2br w:val="nil"/>
                    <w:tr2bl w:val="nil"/>
                  </w:tcBorders>
                  <w:shd w:val="clear" w:color="auto" w:fill="auto"/>
                  <w:vAlign w:val="center"/>
                </w:tcPr>
                <w:p w14:paraId="0B78D86D">
                  <w:pPr>
                    <w:keepNext w:val="0"/>
                    <w:keepLines w:val="0"/>
                    <w:pageBreakBefore w:val="0"/>
                    <w:suppressLineNumbers w:val="0"/>
                    <w:tabs>
                      <w:tab w:val="left" w:pos="720"/>
                    </w:tabs>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olor w:val="auto"/>
                      <w:spacing w:val="4"/>
                      <w:sz w:val="21"/>
                      <w:szCs w:val="21"/>
                      <w:lang w:val="en-US" w:eastAsia="zh-CN"/>
                    </w:rPr>
                    <w:t>原料和成品机制砂、成品石子全部堆放在全封闭车间和库内，车间内</w:t>
                  </w:r>
                  <w:r>
                    <w:rPr>
                      <w:rFonts w:hint="default"/>
                      <w:color w:val="auto"/>
                      <w:spacing w:val="4"/>
                      <w:sz w:val="21"/>
                      <w:szCs w:val="21"/>
                    </w:rPr>
                    <w:t>地面</w:t>
                  </w:r>
                  <w:r>
                    <w:rPr>
                      <w:rFonts w:hint="eastAsia"/>
                      <w:color w:val="auto"/>
                      <w:spacing w:val="4"/>
                      <w:sz w:val="21"/>
                      <w:szCs w:val="21"/>
                      <w:lang w:val="en-US" w:eastAsia="zh-CN"/>
                    </w:rPr>
                    <w:t>全部</w:t>
                  </w:r>
                  <w:r>
                    <w:rPr>
                      <w:rFonts w:hint="default"/>
                      <w:color w:val="auto"/>
                      <w:spacing w:val="4"/>
                      <w:sz w:val="21"/>
                      <w:szCs w:val="21"/>
                    </w:rPr>
                    <w:t>硬化，</w:t>
                  </w:r>
                  <w:r>
                    <w:rPr>
                      <w:rFonts w:hint="eastAsia"/>
                      <w:color w:val="auto"/>
                      <w:spacing w:val="4"/>
                      <w:sz w:val="21"/>
                      <w:szCs w:val="21"/>
                      <w:lang w:val="en-US" w:eastAsia="zh-CN"/>
                    </w:rPr>
                    <w:t>原料堆放区和成品库顶部安装</w:t>
                  </w:r>
                  <w:r>
                    <w:rPr>
                      <w:rFonts w:hint="default"/>
                      <w:color w:val="auto"/>
                      <w:spacing w:val="4"/>
                      <w:sz w:val="21"/>
                      <w:szCs w:val="21"/>
                    </w:rPr>
                    <w:t>喷雾</w:t>
                  </w:r>
                  <w:r>
                    <w:rPr>
                      <w:rFonts w:hint="eastAsia"/>
                      <w:color w:val="auto"/>
                      <w:spacing w:val="4"/>
                      <w:sz w:val="21"/>
                      <w:szCs w:val="21"/>
                      <w:lang w:val="en-US" w:eastAsia="zh-CN"/>
                    </w:rPr>
                    <w:t>洒水</w:t>
                  </w:r>
                  <w:r>
                    <w:rPr>
                      <w:rFonts w:hint="default"/>
                      <w:color w:val="auto"/>
                      <w:spacing w:val="4"/>
                      <w:sz w:val="21"/>
                      <w:szCs w:val="21"/>
                    </w:rPr>
                    <w:t>装置，定时喷洒；装卸时使用雾炮机进行喷洒抑尘；安装密闭门</w:t>
                  </w:r>
                </w:p>
              </w:tc>
              <w:tc>
                <w:tcPr>
                  <w:tcW w:w="982" w:type="dxa"/>
                  <w:tcBorders>
                    <w:tl2br w:val="nil"/>
                    <w:tr2bl w:val="nil"/>
                  </w:tcBorders>
                  <w:vAlign w:val="center"/>
                </w:tcPr>
                <w:p w14:paraId="222561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eastAsia="zh-CN"/>
                    </w:rPr>
                  </w:pPr>
                  <w:r>
                    <w:rPr>
                      <w:rFonts w:hint="eastAsia" w:cs="Times New Roman"/>
                      <w:bCs/>
                      <w:color w:val="auto"/>
                      <w:spacing w:val="0"/>
                      <w:sz w:val="21"/>
                      <w:szCs w:val="21"/>
                      <w:highlight w:val="none"/>
                      <w:lang w:val="en-US" w:eastAsia="zh-CN"/>
                    </w:rPr>
                    <w:t>新建</w:t>
                  </w:r>
                </w:p>
              </w:tc>
            </w:tr>
            <w:tr w14:paraId="5D87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6DE115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124A93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c>
                <w:tcPr>
                  <w:tcW w:w="1104" w:type="dxa"/>
                  <w:tcBorders>
                    <w:tl2br w:val="nil"/>
                    <w:tr2bl w:val="nil"/>
                  </w:tcBorders>
                  <w:shd w:val="clear" w:color="auto" w:fill="auto"/>
                  <w:vAlign w:val="center"/>
                </w:tcPr>
                <w:p w14:paraId="4929A1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spacing w:val="0"/>
                      <w:kern w:val="2"/>
                      <w:sz w:val="21"/>
                      <w:szCs w:val="21"/>
                      <w:highlight w:val="none"/>
                      <w:vertAlign w:val="baseline"/>
                      <w:lang w:val="en-US" w:eastAsia="zh-CN" w:bidi="ar-SA"/>
                    </w:rPr>
                    <w:t>给料、破碎粉尘</w:t>
                  </w:r>
                </w:p>
              </w:tc>
              <w:tc>
                <w:tcPr>
                  <w:tcW w:w="5156" w:type="dxa"/>
                  <w:tcBorders>
                    <w:tl2br w:val="nil"/>
                    <w:tr2bl w:val="nil"/>
                  </w:tcBorders>
                  <w:shd w:val="clear" w:color="auto" w:fill="auto"/>
                  <w:vAlign w:val="center"/>
                </w:tcPr>
                <w:p w14:paraId="644B6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both"/>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给料机上方安装1个集气罩</w:t>
                  </w:r>
                  <w:r>
                    <w:rPr>
                      <w:rFonts w:hint="eastAsia" w:cs="Times New Roman"/>
                      <w:color w:val="auto"/>
                      <w:spacing w:val="0"/>
                      <w:kern w:val="2"/>
                      <w:sz w:val="21"/>
                      <w:szCs w:val="21"/>
                      <w:highlight w:val="none"/>
                      <w:vertAlign w:val="baseline"/>
                      <w:lang w:val="en-US" w:eastAsia="zh-CN" w:bidi="ar-SA"/>
                    </w:rPr>
                    <w:t>（三面封闭）</w:t>
                  </w:r>
                  <w:r>
                    <w:rPr>
                      <w:rFonts w:hint="default" w:ascii="Times New Roman" w:hAnsi="Times New Roman" w:eastAsia="宋体" w:cs="Times New Roman"/>
                      <w:color w:val="auto"/>
                      <w:spacing w:val="0"/>
                      <w:kern w:val="2"/>
                      <w:sz w:val="21"/>
                      <w:szCs w:val="21"/>
                      <w:highlight w:val="none"/>
                      <w:vertAlign w:val="baseline"/>
                      <w:lang w:val="en-US" w:eastAsia="zh-CN" w:bidi="ar-SA"/>
                    </w:rPr>
                    <w:t>，</w:t>
                  </w:r>
                  <w:r>
                    <w:rPr>
                      <w:rFonts w:hint="eastAsia" w:cs="Times New Roman"/>
                      <w:color w:val="auto"/>
                      <w:spacing w:val="0"/>
                      <w:kern w:val="2"/>
                      <w:sz w:val="21"/>
                      <w:szCs w:val="21"/>
                      <w:highlight w:val="none"/>
                      <w:vertAlign w:val="baseline"/>
                      <w:lang w:val="en-US" w:eastAsia="zh-CN" w:bidi="ar-SA"/>
                    </w:rPr>
                    <w:t>箱式</w:t>
                  </w:r>
                  <w:r>
                    <w:rPr>
                      <w:rFonts w:hint="default" w:ascii="Times New Roman" w:hAnsi="Times New Roman" w:eastAsia="宋体" w:cs="Times New Roman"/>
                      <w:color w:val="auto"/>
                      <w:spacing w:val="0"/>
                      <w:kern w:val="2"/>
                      <w:sz w:val="21"/>
                      <w:szCs w:val="21"/>
                      <w:highlight w:val="none"/>
                      <w:vertAlign w:val="baseline"/>
                      <w:lang w:val="en-US" w:eastAsia="zh-CN" w:bidi="ar-SA"/>
                    </w:rPr>
                    <w:t>破碎机为全封闭式，上方设置集气管道，废气收集后共同引入1台布袋除尘器（TA001）处理后，由1根15m高排气筒（DA001）排放</w:t>
                  </w:r>
                </w:p>
              </w:tc>
              <w:tc>
                <w:tcPr>
                  <w:tcW w:w="982" w:type="dxa"/>
                  <w:tcBorders>
                    <w:tl2br w:val="nil"/>
                    <w:tr2bl w:val="nil"/>
                  </w:tcBorders>
                  <w:vAlign w:val="center"/>
                </w:tcPr>
                <w:p w14:paraId="6C67B5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10F8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70D029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592CA7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c>
                <w:tcPr>
                  <w:tcW w:w="1104" w:type="dxa"/>
                  <w:tcBorders>
                    <w:tl2br w:val="nil"/>
                    <w:tr2bl w:val="nil"/>
                  </w:tcBorders>
                  <w:shd w:val="clear" w:color="auto" w:fill="auto"/>
                  <w:vAlign w:val="center"/>
                </w:tcPr>
                <w:p w14:paraId="61AAE1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lang w:val="en-US" w:eastAsia="zh-CN"/>
                    </w:rPr>
                  </w:pPr>
                  <w:r>
                    <w:rPr>
                      <w:rFonts w:hint="eastAsia" w:cs="Times New Roman"/>
                      <w:color w:val="auto"/>
                      <w:kern w:val="2"/>
                      <w:sz w:val="21"/>
                      <w:szCs w:val="21"/>
                      <w:highlight w:val="none"/>
                      <w:lang w:val="en-US" w:eastAsia="zh-CN" w:bidi="ar-SA"/>
                    </w:rPr>
                    <w:t>制砂、筛分</w:t>
                  </w:r>
                  <w:r>
                    <w:rPr>
                      <w:rFonts w:hint="eastAsia" w:ascii="Times New Roman" w:hAnsi="Times New Roman" w:eastAsia="宋体" w:cs="Times New Roman"/>
                      <w:color w:val="auto"/>
                      <w:kern w:val="2"/>
                      <w:sz w:val="21"/>
                      <w:szCs w:val="21"/>
                      <w:highlight w:val="none"/>
                      <w:lang w:val="en-US" w:eastAsia="zh-CN" w:bidi="ar-SA"/>
                    </w:rPr>
                    <w:t>粉尘</w:t>
                  </w:r>
                </w:p>
              </w:tc>
              <w:tc>
                <w:tcPr>
                  <w:tcW w:w="5156" w:type="dxa"/>
                  <w:tcBorders>
                    <w:tl2br w:val="nil"/>
                    <w:tr2bl w:val="nil"/>
                  </w:tcBorders>
                  <w:shd w:val="clear" w:color="auto" w:fill="auto"/>
                  <w:vAlign w:val="center"/>
                </w:tcPr>
                <w:p w14:paraId="11AC291B">
                  <w:pPr>
                    <w:keepNext w:val="0"/>
                    <w:keepLines w:val="0"/>
                    <w:suppressLineNumbers w:val="0"/>
                    <w:spacing w:before="0" w:beforeAutospacing="0" w:after="0" w:afterAutospacing="0"/>
                    <w:ind w:left="0" w:leftChars="0" w:right="0" w:rightChars="0"/>
                    <w:jc w:val="both"/>
                    <w:rPr>
                      <w:rFonts w:hint="default"/>
                      <w:color w:val="auto"/>
                      <w:sz w:val="21"/>
                      <w:szCs w:val="21"/>
                      <w:lang w:val="en-US" w:eastAsia="zh-CN"/>
                    </w:rPr>
                  </w:pPr>
                  <w:r>
                    <w:rPr>
                      <w:rFonts w:hint="eastAsia" w:cs="Times New Roman"/>
                      <w:color w:val="auto"/>
                      <w:kern w:val="2"/>
                      <w:sz w:val="21"/>
                      <w:szCs w:val="21"/>
                      <w:lang w:val="en-US" w:eastAsia="zh-CN" w:bidi="ar-SA"/>
                    </w:rPr>
                    <w:t>锤式</w:t>
                  </w:r>
                  <w:r>
                    <w:rPr>
                      <w:rFonts w:hint="default" w:ascii="Times New Roman" w:hAnsi="Times New Roman" w:eastAsia="宋体" w:cs="Times New Roman"/>
                      <w:color w:val="auto"/>
                      <w:kern w:val="2"/>
                      <w:sz w:val="21"/>
                      <w:szCs w:val="21"/>
                      <w:lang w:val="en-US" w:eastAsia="zh-CN" w:bidi="ar-SA"/>
                    </w:rPr>
                    <w:t>制砂机、振动筛</w:t>
                  </w:r>
                  <w:r>
                    <w:rPr>
                      <w:rFonts w:hint="eastAsia" w:cs="Times New Roman"/>
                      <w:color w:val="auto"/>
                      <w:kern w:val="2"/>
                      <w:sz w:val="21"/>
                      <w:szCs w:val="21"/>
                      <w:lang w:val="en-US" w:eastAsia="zh-CN" w:bidi="ar-SA"/>
                    </w:rPr>
                    <w:t>均</w:t>
                  </w:r>
                  <w:r>
                    <w:rPr>
                      <w:rFonts w:hint="default" w:ascii="Times New Roman" w:hAnsi="Times New Roman" w:eastAsia="宋体" w:cs="Times New Roman"/>
                      <w:color w:val="auto"/>
                      <w:kern w:val="2"/>
                      <w:sz w:val="21"/>
                      <w:szCs w:val="21"/>
                      <w:lang w:val="en-US" w:eastAsia="zh-CN" w:bidi="ar-SA"/>
                    </w:rPr>
                    <w:t>为全封闭式，上方设置集气管道，废气收集后共同引入1台布袋除尘器（TA002）处理后，由1根15m高排气筒（DA002）排放</w:t>
                  </w:r>
                </w:p>
              </w:tc>
              <w:tc>
                <w:tcPr>
                  <w:tcW w:w="982" w:type="dxa"/>
                  <w:tcBorders>
                    <w:tl2br w:val="nil"/>
                    <w:tr2bl w:val="nil"/>
                  </w:tcBorders>
                  <w:vAlign w:val="center"/>
                </w:tcPr>
                <w:p w14:paraId="27EEEC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0EA1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15" w:type="dxa"/>
                  <w:vMerge w:val="continue"/>
                  <w:tcBorders>
                    <w:tl2br w:val="nil"/>
                    <w:tr2bl w:val="nil"/>
                  </w:tcBorders>
                  <w:vAlign w:val="center"/>
                </w:tcPr>
                <w:p w14:paraId="6D9B05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742B98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104" w:type="dxa"/>
                  <w:tcBorders>
                    <w:tl2br w:val="nil"/>
                    <w:tr2bl w:val="nil"/>
                  </w:tcBorders>
                  <w:vAlign w:val="center"/>
                </w:tcPr>
                <w:p w14:paraId="2471A8A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default"/>
                      <w:bCs/>
                      <w:color w:val="auto"/>
                      <w:sz w:val="21"/>
                      <w:szCs w:val="21"/>
                    </w:rPr>
                    <w:t>物料</w:t>
                  </w:r>
                  <w:r>
                    <w:rPr>
                      <w:rFonts w:hint="eastAsia"/>
                      <w:bCs/>
                      <w:color w:val="auto"/>
                      <w:sz w:val="21"/>
                      <w:szCs w:val="21"/>
                      <w:lang w:val="en-US" w:eastAsia="zh-CN"/>
                    </w:rPr>
                    <w:t>运输</w:t>
                  </w:r>
                  <w:r>
                    <w:rPr>
                      <w:rFonts w:hint="default"/>
                      <w:bCs/>
                      <w:color w:val="auto"/>
                      <w:sz w:val="21"/>
                      <w:szCs w:val="21"/>
                    </w:rPr>
                    <w:t>转载粉尘</w:t>
                  </w:r>
                </w:p>
              </w:tc>
              <w:tc>
                <w:tcPr>
                  <w:tcW w:w="5156" w:type="dxa"/>
                  <w:tcBorders>
                    <w:tl2br w:val="nil"/>
                    <w:tr2bl w:val="nil"/>
                  </w:tcBorders>
                  <w:vAlign w:val="center"/>
                </w:tcPr>
                <w:p w14:paraId="3EEA3F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采用全封闭皮带</w:t>
                  </w:r>
                  <w:r>
                    <w:rPr>
                      <w:rFonts w:hint="default" w:ascii="Times New Roman" w:hAnsi="Times New Roman" w:cs="Times New Roman"/>
                      <w:b w:val="0"/>
                      <w:bCs w:val="0"/>
                      <w:color w:val="auto"/>
                      <w:kern w:val="2"/>
                      <w:sz w:val="21"/>
                      <w:szCs w:val="21"/>
                      <w:highlight w:val="none"/>
                      <w:lang w:val="en-US" w:eastAsia="zh-CN" w:bidi="ar-SA"/>
                    </w:rPr>
                    <w:t>输送</w:t>
                  </w:r>
                  <w:r>
                    <w:rPr>
                      <w:rFonts w:hint="eastAsia" w:ascii="Times New Roman" w:hAnsi="Times New Roman" w:cs="Times New Roman"/>
                      <w:b w:val="0"/>
                      <w:bCs w:val="0"/>
                      <w:color w:val="auto"/>
                      <w:kern w:val="2"/>
                      <w:sz w:val="21"/>
                      <w:szCs w:val="21"/>
                      <w:highlight w:val="none"/>
                      <w:lang w:val="en-US" w:eastAsia="zh-CN" w:bidi="ar-SA"/>
                    </w:rPr>
                    <w:t>，运输转载粉尘就近接入相应的除尘器中，皮带转运跌落点降低高度，并设置固定式雾化喷头</w:t>
                  </w:r>
                </w:p>
              </w:tc>
              <w:tc>
                <w:tcPr>
                  <w:tcW w:w="982" w:type="dxa"/>
                  <w:tcBorders>
                    <w:tl2br w:val="nil"/>
                    <w:tr2bl w:val="nil"/>
                  </w:tcBorders>
                  <w:vAlign w:val="center"/>
                </w:tcPr>
                <w:p w14:paraId="5881BD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08BD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46B337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restart"/>
                  <w:tcBorders>
                    <w:tl2br w:val="nil"/>
                    <w:tr2bl w:val="nil"/>
                  </w:tcBorders>
                  <w:vAlign w:val="center"/>
                </w:tcPr>
                <w:p w14:paraId="7AD30A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废水</w:t>
                  </w:r>
                </w:p>
              </w:tc>
              <w:tc>
                <w:tcPr>
                  <w:tcW w:w="1104" w:type="dxa"/>
                  <w:tcBorders>
                    <w:tl2br w:val="nil"/>
                    <w:tr2bl w:val="nil"/>
                  </w:tcBorders>
                  <w:vAlign w:val="center"/>
                </w:tcPr>
                <w:p w14:paraId="22D803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生活污水</w:t>
                  </w:r>
                </w:p>
              </w:tc>
              <w:tc>
                <w:tcPr>
                  <w:tcW w:w="5156" w:type="dxa"/>
                  <w:tcBorders>
                    <w:tl2br w:val="nil"/>
                    <w:tr2bl w:val="nil"/>
                  </w:tcBorders>
                  <w:vAlign w:val="center"/>
                </w:tcPr>
                <w:p w14:paraId="53E79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排入厂区旱厕，定时清掏，不外排</w:t>
                  </w:r>
                </w:p>
              </w:tc>
              <w:tc>
                <w:tcPr>
                  <w:tcW w:w="982" w:type="dxa"/>
                  <w:tcBorders>
                    <w:tl2br w:val="nil"/>
                    <w:tr2bl w:val="nil"/>
                  </w:tcBorders>
                  <w:vAlign w:val="center"/>
                </w:tcPr>
                <w:p w14:paraId="51BCE3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589B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648662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2F46F9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104" w:type="dxa"/>
                  <w:tcBorders>
                    <w:tl2br w:val="nil"/>
                    <w:tr2bl w:val="nil"/>
                  </w:tcBorders>
                  <w:vAlign w:val="center"/>
                </w:tcPr>
                <w:p w14:paraId="08565C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rPr>
                    <w:t>洗车废水</w:t>
                  </w:r>
                </w:p>
              </w:tc>
              <w:tc>
                <w:tcPr>
                  <w:tcW w:w="5156" w:type="dxa"/>
                  <w:tcBorders>
                    <w:tl2br w:val="nil"/>
                    <w:tr2bl w:val="nil"/>
                  </w:tcBorders>
                  <w:vAlign w:val="center"/>
                </w:tcPr>
                <w:p w14:paraId="43246AA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rPr>
                    <w:t>洗车废水</w:t>
                  </w:r>
                  <w:r>
                    <w:rPr>
                      <w:rFonts w:hint="eastAsia" w:cs="Times New Roman"/>
                      <w:color w:val="auto"/>
                      <w:spacing w:val="0"/>
                      <w:sz w:val="21"/>
                      <w:szCs w:val="21"/>
                      <w:highlight w:val="none"/>
                      <w:lang w:val="en-US" w:eastAsia="zh-CN"/>
                    </w:rPr>
                    <w:t>经沉淀池沉淀后</w:t>
                  </w:r>
                  <w:r>
                    <w:rPr>
                      <w:rFonts w:hint="default" w:ascii="Times New Roman" w:hAnsi="Times New Roman" w:cs="Times New Roman"/>
                      <w:color w:val="auto"/>
                      <w:spacing w:val="0"/>
                      <w:sz w:val="21"/>
                      <w:szCs w:val="21"/>
                      <w:highlight w:val="none"/>
                    </w:rPr>
                    <w:t>，回用至</w:t>
                  </w:r>
                  <w:r>
                    <w:rPr>
                      <w:rFonts w:hint="default" w:ascii="Times New Roman" w:hAnsi="Times New Roman" w:eastAsia="宋体" w:cs="Times New Roman"/>
                      <w:color w:val="auto"/>
                      <w:spacing w:val="0"/>
                      <w:sz w:val="21"/>
                      <w:szCs w:val="21"/>
                      <w:highlight w:val="none"/>
                      <w:lang w:val="en-US" w:eastAsia="zh-CN"/>
                    </w:rPr>
                    <w:t>洗车</w:t>
                  </w:r>
                  <w:r>
                    <w:rPr>
                      <w:rFonts w:hint="default" w:ascii="Times New Roman" w:hAnsi="Times New Roman" w:cs="Times New Roman"/>
                      <w:color w:val="auto"/>
                      <w:spacing w:val="0"/>
                      <w:sz w:val="21"/>
                      <w:szCs w:val="21"/>
                      <w:highlight w:val="none"/>
                    </w:rPr>
                    <w:t>工序，循环使用，不排放</w:t>
                  </w:r>
                </w:p>
              </w:tc>
              <w:tc>
                <w:tcPr>
                  <w:tcW w:w="982" w:type="dxa"/>
                  <w:tcBorders>
                    <w:tl2br w:val="nil"/>
                    <w:tr2bl w:val="nil"/>
                  </w:tcBorders>
                  <w:vAlign w:val="center"/>
                </w:tcPr>
                <w:p w14:paraId="25E54D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eastAsia" w:cs="Times New Roman"/>
                      <w:bCs/>
                      <w:color w:val="auto"/>
                      <w:spacing w:val="0"/>
                      <w:sz w:val="21"/>
                      <w:szCs w:val="21"/>
                      <w:highlight w:val="none"/>
                      <w:lang w:val="en-US" w:eastAsia="zh-CN"/>
                    </w:rPr>
                    <w:t>新建</w:t>
                  </w:r>
                </w:p>
              </w:tc>
            </w:tr>
            <w:tr w14:paraId="621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5651ED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0A992E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104" w:type="dxa"/>
                  <w:tcBorders>
                    <w:tl2br w:val="nil"/>
                    <w:tr2bl w:val="nil"/>
                  </w:tcBorders>
                  <w:vAlign w:val="center"/>
                </w:tcPr>
                <w:p w14:paraId="61FA74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初期雨水</w:t>
                  </w:r>
                </w:p>
              </w:tc>
              <w:tc>
                <w:tcPr>
                  <w:tcW w:w="5156" w:type="dxa"/>
                  <w:tcBorders>
                    <w:tl2br w:val="nil"/>
                    <w:tr2bl w:val="nil"/>
                  </w:tcBorders>
                  <w:vAlign w:val="center"/>
                </w:tcPr>
                <w:p w14:paraId="7176F6B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sz w:val="21"/>
                      <w:szCs w:val="21"/>
                      <w:highlight w:val="none"/>
                    </w:rPr>
                  </w:pPr>
                  <w:r>
                    <w:rPr>
                      <w:rFonts w:hint="eastAsia" w:cs="Times New Roman"/>
                      <w:color w:val="auto"/>
                      <w:sz w:val="21"/>
                      <w:szCs w:val="21"/>
                      <w:highlight w:val="none"/>
                      <w:lang w:val="en-US" w:eastAsia="zh-CN"/>
                    </w:rPr>
                    <w:t>厂区地势最低处东南侧设置1座150m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初期雨水池</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雨水经沉淀后</w:t>
                  </w:r>
                  <w:r>
                    <w:rPr>
                      <w:rFonts w:hint="eastAsia" w:ascii="Times New Roman" w:hAnsi="Times New Roman" w:eastAsia="宋体" w:cs="Times New Roman"/>
                      <w:color w:val="auto"/>
                      <w:sz w:val="21"/>
                      <w:szCs w:val="21"/>
                      <w:highlight w:val="none"/>
                      <w:lang w:val="en-US" w:eastAsia="zh-CN"/>
                    </w:rPr>
                    <w:t>用于厂区洒水抑尘</w:t>
                  </w:r>
                </w:p>
              </w:tc>
              <w:tc>
                <w:tcPr>
                  <w:tcW w:w="982" w:type="dxa"/>
                  <w:tcBorders>
                    <w:tl2br w:val="nil"/>
                    <w:tr2bl w:val="nil"/>
                  </w:tcBorders>
                  <w:vAlign w:val="center"/>
                </w:tcPr>
                <w:p w14:paraId="29A424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608E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6A35D6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restart"/>
                  <w:tcBorders>
                    <w:tl2br w:val="nil"/>
                    <w:tr2bl w:val="nil"/>
                  </w:tcBorders>
                  <w:vAlign w:val="center"/>
                </w:tcPr>
                <w:p w14:paraId="21534E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固废</w:t>
                  </w:r>
                </w:p>
              </w:tc>
              <w:tc>
                <w:tcPr>
                  <w:tcW w:w="1104" w:type="dxa"/>
                  <w:tcBorders>
                    <w:tl2br w:val="nil"/>
                    <w:tr2bl w:val="nil"/>
                  </w:tcBorders>
                  <w:vAlign w:val="center"/>
                </w:tcPr>
                <w:p w14:paraId="43742E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除尘灰</w:t>
                  </w:r>
                </w:p>
              </w:tc>
              <w:tc>
                <w:tcPr>
                  <w:tcW w:w="5156" w:type="dxa"/>
                  <w:tcBorders>
                    <w:tl2br w:val="nil"/>
                    <w:tr2bl w:val="nil"/>
                  </w:tcBorders>
                  <w:vAlign w:val="center"/>
                </w:tcPr>
                <w:p w14:paraId="1AC40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Cs w:val="21"/>
                      <w:highlight w:val="none"/>
                      <w:lang w:val="en-US" w:eastAsia="zh-CN"/>
                    </w:rPr>
                    <w:t>除尘器下方设置收灰桶，收灰桶装满后作为产品外售</w:t>
                  </w:r>
                </w:p>
              </w:tc>
              <w:tc>
                <w:tcPr>
                  <w:tcW w:w="982" w:type="dxa"/>
                  <w:tcBorders>
                    <w:tl2br w:val="nil"/>
                    <w:tr2bl w:val="nil"/>
                  </w:tcBorders>
                  <w:vAlign w:val="center"/>
                </w:tcPr>
                <w:p w14:paraId="1FE7D0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174B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25EF40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3C3BE0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c>
                <w:tcPr>
                  <w:tcW w:w="1104" w:type="dxa"/>
                  <w:tcBorders>
                    <w:tl2br w:val="nil"/>
                    <w:tr2bl w:val="nil"/>
                  </w:tcBorders>
                  <w:vAlign w:val="center"/>
                </w:tcPr>
                <w:p w14:paraId="2A9210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废布袋</w:t>
                  </w:r>
                </w:p>
              </w:tc>
              <w:tc>
                <w:tcPr>
                  <w:tcW w:w="5156" w:type="dxa"/>
                  <w:tcBorders>
                    <w:tl2br w:val="nil"/>
                    <w:tr2bl w:val="nil"/>
                  </w:tcBorders>
                  <w:vAlign w:val="center"/>
                </w:tcPr>
                <w:p w14:paraId="79DA0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cs="Times New Roman"/>
                      <w:color w:val="auto"/>
                      <w:spacing w:val="0"/>
                      <w:sz w:val="21"/>
                      <w:szCs w:val="21"/>
                      <w:highlight w:val="none"/>
                      <w:lang w:val="en-US" w:eastAsia="zh-CN"/>
                    </w:rPr>
                  </w:pPr>
                  <w:r>
                    <w:rPr>
                      <w:rFonts w:hint="eastAsia" w:cs="Times New Roman"/>
                      <w:color w:val="auto"/>
                      <w:spacing w:val="0"/>
                      <w:szCs w:val="21"/>
                      <w:highlight w:val="none"/>
                      <w:lang w:val="en-US" w:eastAsia="zh-CN"/>
                    </w:rPr>
                    <w:t>更换周期为2-3年，除尘器厂家更换后带走，不在厂区内暂存</w:t>
                  </w:r>
                </w:p>
              </w:tc>
              <w:tc>
                <w:tcPr>
                  <w:tcW w:w="982" w:type="dxa"/>
                  <w:tcBorders>
                    <w:tl2br w:val="nil"/>
                    <w:tr2bl w:val="nil"/>
                  </w:tcBorders>
                  <w:vAlign w:val="center"/>
                </w:tcPr>
                <w:p w14:paraId="626F6C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2FB1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5E1B35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206B67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c>
                <w:tcPr>
                  <w:tcW w:w="1104" w:type="dxa"/>
                  <w:tcBorders>
                    <w:tl2br w:val="nil"/>
                    <w:tr2bl w:val="nil"/>
                  </w:tcBorders>
                  <w:vAlign w:val="center"/>
                </w:tcPr>
                <w:p w14:paraId="45E463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废铁屑</w:t>
                  </w:r>
                </w:p>
              </w:tc>
              <w:tc>
                <w:tcPr>
                  <w:tcW w:w="5156" w:type="dxa"/>
                  <w:tcBorders>
                    <w:tl2br w:val="nil"/>
                    <w:tr2bl w:val="nil"/>
                  </w:tcBorders>
                  <w:vAlign w:val="center"/>
                </w:tcPr>
                <w:p w14:paraId="7A706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Cs w:val="21"/>
                      <w:highlight w:val="none"/>
                      <w:lang w:val="en-US" w:eastAsia="zh-CN"/>
                    </w:rPr>
                    <w:t>收集后外售废品收购站</w:t>
                  </w:r>
                </w:p>
              </w:tc>
              <w:tc>
                <w:tcPr>
                  <w:tcW w:w="982" w:type="dxa"/>
                  <w:tcBorders>
                    <w:tl2br w:val="nil"/>
                    <w:tr2bl w:val="nil"/>
                  </w:tcBorders>
                  <w:vAlign w:val="center"/>
                </w:tcPr>
                <w:p w14:paraId="1CB412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1D22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7E35DE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7AA313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104" w:type="dxa"/>
                  <w:tcBorders>
                    <w:tl2br w:val="nil"/>
                    <w:tr2bl w:val="nil"/>
                  </w:tcBorders>
                  <w:vAlign w:val="center"/>
                </w:tcPr>
                <w:p w14:paraId="5119B8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生活垃圾</w:t>
                  </w:r>
                </w:p>
              </w:tc>
              <w:tc>
                <w:tcPr>
                  <w:tcW w:w="5156" w:type="dxa"/>
                  <w:tcBorders>
                    <w:tl2br w:val="nil"/>
                    <w:tr2bl w:val="nil"/>
                  </w:tcBorders>
                  <w:vAlign w:val="center"/>
                </w:tcPr>
                <w:p w14:paraId="4B336F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厂区内设置分类垃圾桶，定期送至当地环卫部门指定地点处置</w:t>
                  </w:r>
                </w:p>
              </w:tc>
              <w:tc>
                <w:tcPr>
                  <w:tcW w:w="982" w:type="dxa"/>
                  <w:tcBorders>
                    <w:tl2br w:val="nil"/>
                    <w:tr2bl w:val="nil"/>
                  </w:tcBorders>
                  <w:vAlign w:val="center"/>
                </w:tcPr>
                <w:p w14:paraId="4EABAA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0760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33B325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vMerge w:val="continue"/>
                  <w:tcBorders>
                    <w:tl2br w:val="nil"/>
                    <w:tr2bl w:val="nil"/>
                  </w:tcBorders>
                  <w:vAlign w:val="center"/>
                </w:tcPr>
                <w:p w14:paraId="007F3A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104" w:type="dxa"/>
                  <w:tcBorders>
                    <w:tl2br w:val="nil"/>
                    <w:tr2bl w:val="nil"/>
                  </w:tcBorders>
                  <w:vAlign w:val="center"/>
                </w:tcPr>
                <w:p w14:paraId="3F5BF4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废矿物油</w:t>
                  </w:r>
                  <w:r>
                    <w:rPr>
                      <w:rFonts w:hint="eastAsia" w:ascii="Times New Roman" w:hAnsi="Times New Roman" w:eastAsia="宋体" w:cs="Times New Roman"/>
                      <w:color w:val="auto"/>
                      <w:spacing w:val="0"/>
                      <w:sz w:val="21"/>
                      <w:szCs w:val="21"/>
                      <w:highlight w:val="none"/>
                      <w:lang w:val="en-US" w:eastAsia="zh-CN"/>
                    </w:rPr>
                    <w:t>、</w:t>
                  </w:r>
                </w:p>
                <w:p w14:paraId="1DCFE0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废油桶</w:t>
                  </w:r>
                </w:p>
              </w:tc>
              <w:tc>
                <w:tcPr>
                  <w:tcW w:w="5156" w:type="dxa"/>
                  <w:tcBorders>
                    <w:tl2br w:val="nil"/>
                    <w:tr2bl w:val="nil"/>
                  </w:tcBorders>
                  <w:vAlign w:val="center"/>
                </w:tcPr>
                <w:p w14:paraId="49717F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生产车间内东南侧设置1座10m</w:t>
                  </w:r>
                  <w:r>
                    <w:rPr>
                      <w:rFonts w:hint="eastAsia" w:cs="Times New Roman"/>
                      <w:color w:val="auto"/>
                      <w:spacing w:val="0"/>
                      <w:sz w:val="21"/>
                      <w:szCs w:val="21"/>
                      <w:highlight w:val="none"/>
                      <w:vertAlign w:val="superscript"/>
                      <w:lang w:val="en-US" w:eastAsia="zh-CN"/>
                    </w:rPr>
                    <w:t>2</w:t>
                  </w:r>
                  <w:r>
                    <w:rPr>
                      <w:rFonts w:hint="eastAsia" w:cs="Times New Roman"/>
                      <w:color w:val="auto"/>
                      <w:spacing w:val="0"/>
                      <w:sz w:val="21"/>
                      <w:szCs w:val="21"/>
                      <w:highlight w:val="none"/>
                      <w:vertAlign w:val="baseline"/>
                      <w:lang w:val="en-US" w:eastAsia="zh-CN"/>
                    </w:rPr>
                    <w:t>的危废贮存库，废矿物油、废油桶</w:t>
                  </w:r>
                  <w:r>
                    <w:rPr>
                      <w:rFonts w:hint="default" w:ascii="Times New Roman" w:hAnsi="Times New Roman" w:eastAsia="宋体" w:cs="Times New Roman"/>
                      <w:color w:val="auto"/>
                      <w:spacing w:val="0"/>
                      <w:sz w:val="21"/>
                      <w:szCs w:val="21"/>
                      <w:highlight w:val="none"/>
                      <w:lang w:val="en-US" w:eastAsia="zh-CN"/>
                    </w:rPr>
                    <w:t>暂存于</w:t>
                  </w:r>
                  <w:r>
                    <w:rPr>
                      <w:rFonts w:hint="eastAsia" w:ascii="Times New Roman" w:hAnsi="Times New Roman" w:eastAsia="宋体" w:cs="Times New Roman"/>
                      <w:color w:val="auto"/>
                      <w:spacing w:val="0"/>
                      <w:sz w:val="21"/>
                      <w:szCs w:val="21"/>
                      <w:highlight w:val="none"/>
                      <w:lang w:val="en-US" w:eastAsia="zh-CN"/>
                    </w:rPr>
                    <w:t>危废贮存库</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定期委托有资质单位处置</w:t>
                  </w:r>
                </w:p>
              </w:tc>
              <w:tc>
                <w:tcPr>
                  <w:tcW w:w="982" w:type="dxa"/>
                  <w:tcBorders>
                    <w:tl2br w:val="nil"/>
                    <w:tr2bl w:val="nil"/>
                  </w:tcBorders>
                  <w:vAlign w:val="center"/>
                </w:tcPr>
                <w:p w14:paraId="4E2BAD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r w14:paraId="6115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5" w:type="dxa"/>
                  <w:vMerge w:val="continue"/>
                  <w:tcBorders>
                    <w:tl2br w:val="nil"/>
                    <w:tr2bl w:val="nil"/>
                  </w:tcBorders>
                  <w:vAlign w:val="center"/>
                </w:tcPr>
                <w:p w14:paraId="5C898D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408" w:type="dxa"/>
                  <w:tcBorders>
                    <w:tl2br w:val="nil"/>
                    <w:tr2bl w:val="nil"/>
                  </w:tcBorders>
                  <w:vAlign w:val="center"/>
                </w:tcPr>
                <w:p w14:paraId="69A08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噪声</w:t>
                  </w:r>
                </w:p>
              </w:tc>
              <w:tc>
                <w:tcPr>
                  <w:tcW w:w="1104" w:type="dxa"/>
                  <w:tcBorders>
                    <w:tl2br w:val="nil"/>
                    <w:tr2bl w:val="nil"/>
                  </w:tcBorders>
                  <w:vAlign w:val="center"/>
                </w:tcPr>
                <w:p w14:paraId="5FE119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rPr>
                    <w:t>生产设备</w:t>
                  </w:r>
                </w:p>
              </w:tc>
              <w:tc>
                <w:tcPr>
                  <w:tcW w:w="5156" w:type="dxa"/>
                  <w:tcBorders>
                    <w:tl2br w:val="nil"/>
                    <w:tr2bl w:val="nil"/>
                  </w:tcBorders>
                  <w:vAlign w:val="center"/>
                </w:tcPr>
                <w:p w14:paraId="25308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bCs/>
                      <w:color w:val="auto"/>
                      <w:spacing w:val="0"/>
                      <w:sz w:val="21"/>
                      <w:szCs w:val="21"/>
                      <w:highlight w:val="none"/>
                    </w:rPr>
                    <w:t>选用低噪声设备，高噪音设备做基础减振、柔性连接，厂房隔声等，保持设备运行良好；车辆限速行驶，减少鸣笛</w:t>
                  </w:r>
                </w:p>
              </w:tc>
              <w:tc>
                <w:tcPr>
                  <w:tcW w:w="982" w:type="dxa"/>
                  <w:tcBorders>
                    <w:tl2br w:val="nil"/>
                    <w:tr2bl w:val="nil"/>
                  </w:tcBorders>
                  <w:vAlign w:val="center"/>
                </w:tcPr>
                <w:p w14:paraId="0063F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新建</w:t>
                  </w:r>
                </w:p>
              </w:tc>
            </w:tr>
          </w:tbl>
          <w:p w14:paraId="30EEF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Regular" w:hAnsi="Times New Roman Regular" w:cs="Times New Roman Regular"/>
                <w:b w:val="0"/>
                <w:bCs/>
                <w:color w:val="auto"/>
                <w:sz w:val="24"/>
                <w:szCs w:val="24"/>
                <w:highlight w:val="none"/>
                <w:vertAlign w:val="baseline"/>
                <w:lang w:val="en-US" w:eastAsia="zh-CN"/>
              </w:rPr>
            </w:pPr>
            <w:r>
              <w:rPr>
                <w:rFonts w:hint="eastAsia"/>
                <w:color w:val="auto"/>
                <w:sz w:val="24"/>
                <w:szCs w:val="24"/>
              </w:rPr>
              <w:t>原料及成品周转能力分析：</w:t>
            </w:r>
          </w:p>
          <w:p w14:paraId="6B541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Regular" w:hAnsi="Times New Roman Regular" w:cs="Times New Roman Regular"/>
                <w:b w:val="0"/>
                <w:bCs/>
                <w:color w:val="auto"/>
                <w:sz w:val="24"/>
                <w:szCs w:val="24"/>
                <w:highlight w:val="none"/>
                <w:vertAlign w:val="baseline"/>
                <w:lang w:val="en-US" w:eastAsia="zh-CN"/>
              </w:rPr>
            </w:pPr>
            <w:r>
              <w:rPr>
                <w:rFonts w:hint="eastAsia" w:ascii="Times New Roman Regular" w:hAnsi="Times New Roman Regular" w:cs="Times New Roman Regular"/>
                <w:b w:val="0"/>
                <w:bCs/>
                <w:color w:val="auto"/>
                <w:sz w:val="24"/>
                <w:szCs w:val="24"/>
                <w:highlight w:val="none"/>
                <w:vertAlign w:val="baseline"/>
                <w:lang w:val="en-US" w:eastAsia="zh-CN"/>
              </w:rPr>
              <w:t>（1）原料堆放区</w:t>
            </w:r>
          </w:p>
          <w:p w14:paraId="6B827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auto"/>
                <w:sz w:val="24"/>
                <w:szCs w:val="24"/>
                <w:lang w:val="en-US" w:eastAsia="zh-CN"/>
              </w:rPr>
            </w:pPr>
            <w:r>
              <w:rPr>
                <w:rFonts w:hint="eastAsia" w:hAnsi="宋体"/>
                <w:color w:val="auto"/>
                <w:sz w:val="24"/>
                <w:lang w:val="en-US" w:eastAsia="zh-CN"/>
              </w:rPr>
              <w:t>原料堆放区位于生产车间内东侧，</w:t>
            </w:r>
            <w:r>
              <w:rPr>
                <w:rFonts w:hint="eastAsia"/>
                <w:bCs/>
                <w:color w:val="auto"/>
                <w:spacing w:val="4"/>
                <w:sz w:val="24"/>
                <w:highlight w:val="none"/>
              </w:rPr>
              <w:t>占地面积</w:t>
            </w:r>
            <w:r>
              <w:rPr>
                <w:rFonts w:hint="eastAsia"/>
                <w:bCs/>
                <w:color w:val="auto"/>
                <w:spacing w:val="4"/>
                <w:sz w:val="24"/>
                <w:highlight w:val="none"/>
                <w:lang w:val="en-US" w:eastAsia="zh-CN"/>
              </w:rPr>
              <w:t>约140</w:t>
            </w:r>
            <w:r>
              <w:rPr>
                <w:rFonts w:hint="default"/>
                <w:bCs/>
                <w:color w:val="auto"/>
                <w:spacing w:val="4"/>
                <w:sz w:val="24"/>
                <w:highlight w:val="none"/>
              </w:rPr>
              <w:t>0</w:t>
            </w:r>
            <w:r>
              <w:rPr>
                <w:rFonts w:hint="eastAsia"/>
                <w:bCs/>
                <w:color w:val="auto"/>
                <w:spacing w:val="4"/>
                <w:sz w:val="24"/>
                <w:highlight w:val="none"/>
              </w:rPr>
              <w:t>m</w:t>
            </w:r>
            <w:r>
              <w:rPr>
                <w:rFonts w:hint="eastAsia"/>
                <w:bCs/>
                <w:color w:val="auto"/>
                <w:spacing w:val="4"/>
                <w:sz w:val="24"/>
                <w:highlight w:val="none"/>
                <w:vertAlign w:val="superscript"/>
              </w:rPr>
              <w:t>2</w:t>
            </w:r>
            <w:r>
              <w:rPr>
                <w:rFonts w:hint="eastAsia"/>
                <w:bCs/>
                <w:color w:val="auto"/>
                <w:spacing w:val="4"/>
                <w:sz w:val="24"/>
                <w:highlight w:val="none"/>
              </w:rPr>
              <w:t>，储存高度约</w:t>
            </w:r>
            <w:r>
              <w:rPr>
                <w:rFonts w:hint="eastAsia"/>
                <w:bCs/>
                <w:color w:val="auto"/>
                <w:spacing w:val="4"/>
                <w:sz w:val="24"/>
                <w:highlight w:val="none"/>
                <w:lang w:val="en-US" w:eastAsia="zh-CN"/>
              </w:rPr>
              <w:t>6</w:t>
            </w:r>
            <w:r>
              <w:rPr>
                <w:rFonts w:hint="eastAsia"/>
                <w:bCs/>
                <w:color w:val="auto"/>
                <w:spacing w:val="4"/>
                <w:sz w:val="24"/>
                <w:highlight w:val="none"/>
              </w:rPr>
              <w:t>m，有效储存容积约</w:t>
            </w:r>
            <w:r>
              <w:rPr>
                <w:rFonts w:hint="eastAsia"/>
                <w:bCs/>
                <w:color w:val="auto"/>
                <w:spacing w:val="4"/>
                <w:sz w:val="24"/>
                <w:highlight w:val="none"/>
                <w:lang w:val="en-US" w:eastAsia="zh-CN"/>
              </w:rPr>
              <w:t>8000</w:t>
            </w:r>
            <w:r>
              <w:rPr>
                <w:rFonts w:hint="eastAsia"/>
                <w:bCs/>
                <w:color w:val="auto"/>
                <w:spacing w:val="4"/>
                <w:sz w:val="24"/>
                <w:highlight w:val="none"/>
              </w:rPr>
              <w:t>m</w:t>
            </w:r>
            <w:r>
              <w:rPr>
                <w:rFonts w:hint="eastAsia"/>
                <w:bCs/>
                <w:color w:val="auto"/>
                <w:spacing w:val="4"/>
                <w:sz w:val="24"/>
                <w:highlight w:val="none"/>
                <w:vertAlign w:val="superscript"/>
              </w:rPr>
              <w:t>3</w:t>
            </w:r>
            <w:r>
              <w:rPr>
                <w:rFonts w:hint="eastAsia"/>
                <w:bCs/>
                <w:color w:val="auto"/>
                <w:spacing w:val="4"/>
                <w:sz w:val="24"/>
                <w:highlight w:val="none"/>
              </w:rPr>
              <w:t>，</w:t>
            </w:r>
            <w:r>
              <w:rPr>
                <w:rFonts w:hint="eastAsia"/>
                <w:color w:val="auto"/>
                <w:sz w:val="24"/>
                <w:szCs w:val="24"/>
                <w:lang w:val="en-US" w:eastAsia="zh-CN"/>
              </w:rPr>
              <w:t>建筑垃圾</w:t>
            </w:r>
            <w:r>
              <w:rPr>
                <w:rFonts w:hint="eastAsia"/>
                <w:color w:val="auto"/>
                <w:sz w:val="24"/>
                <w:szCs w:val="24"/>
              </w:rPr>
              <w:t>堆积密度为1.</w:t>
            </w:r>
            <w:r>
              <w:rPr>
                <w:rFonts w:hint="eastAsia"/>
                <w:color w:val="auto"/>
                <w:sz w:val="24"/>
                <w:szCs w:val="24"/>
                <w:lang w:val="en-US" w:eastAsia="zh-CN"/>
              </w:rPr>
              <w:t>8</w:t>
            </w:r>
            <w:r>
              <w:rPr>
                <w:rFonts w:hint="eastAsia"/>
                <w:color w:val="auto"/>
                <w:sz w:val="24"/>
                <w:szCs w:val="24"/>
              </w:rPr>
              <w:t>t/m</w:t>
            </w:r>
            <w:r>
              <w:rPr>
                <w:rFonts w:hint="eastAsia"/>
                <w:color w:val="auto"/>
                <w:sz w:val="24"/>
                <w:szCs w:val="24"/>
                <w:vertAlign w:val="superscript"/>
              </w:rPr>
              <w:t>3</w:t>
            </w:r>
            <w:r>
              <w:rPr>
                <w:rFonts w:hint="eastAsia"/>
                <w:color w:val="auto"/>
                <w:sz w:val="24"/>
                <w:szCs w:val="24"/>
              </w:rPr>
              <w:t>，最大储存量预计</w:t>
            </w:r>
            <w:r>
              <w:rPr>
                <w:rFonts w:hint="eastAsia"/>
                <w:color w:val="auto"/>
                <w:sz w:val="24"/>
                <w:szCs w:val="24"/>
                <w:lang w:val="en-US" w:eastAsia="zh-CN"/>
              </w:rPr>
              <w:t>14400t</w:t>
            </w:r>
            <w:r>
              <w:rPr>
                <w:rFonts w:hint="eastAsia"/>
                <w:color w:val="auto"/>
                <w:sz w:val="24"/>
                <w:szCs w:val="24"/>
              </w:rPr>
              <w:t>，</w:t>
            </w:r>
            <w:r>
              <w:rPr>
                <w:rFonts w:hint="eastAsia"/>
                <w:color w:val="auto"/>
                <w:sz w:val="24"/>
                <w:szCs w:val="24"/>
                <w:lang w:val="en-US" w:eastAsia="zh-CN"/>
              </w:rPr>
              <w:t>年工作330天，建筑垃圾</w:t>
            </w:r>
            <w:r>
              <w:rPr>
                <w:rFonts w:hint="eastAsia"/>
                <w:color w:val="auto"/>
                <w:sz w:val="24"/>
                <w:szCs w:val="24"/>
              </w:rPr>
              <w:t>年</w:t>
            </w:r>
            <w:r>
              <w:rPr>
                <w:rFonts w:hint="eastAsia"/>
                <w:color w:val="auto"/>
                <w:sz w:val="24"/>
                <w:szCs w:val="24"/>
                <w:lang w:val="en-US" w:eastAsia="zh-CN"/>
              </w:rPr>
              <w:t>处理量为3</w:t>
            </w:r>
            <w:r>
              <w:rPr>
                <w:rFonts w:hint="eastAsia" w:ascii="Times New Roman" w:eastAsia="宋体"/>
                <w:color w:val="auto"/>
                <w:sz w:val="24"/>
                <w:szCs w:val="24"/>
                <w:lang w:val="en-US" w:eastAsia="zh-CN"/>
              </w:rPr>
              <w:t>0</w:t>
            </w:r>
            <w:r>
              <w:rPr>
                <w:rFonts w:hint="eastAsia"/>
                <w:color w:val="auto"/>
                <w:sz w:val="24"/>
                <w:szCs w:val="24"/>
              </w:rPr>
              <w:t>万t，可满足企业</w:t>
            </w:r>
            <w:r>
              <w:rPr>
                <w:rFonts w:hint="eastAsia"/>
                <w:color w:val="auto"/>
                <w:sz w:val="24"/>
                <w:szCs w:val="24"/>
                <w:lang w:val="en-US" w:eastAsia="zh-CN"/>
              </w:rPr>
              <w:t>15-16</w:t>
            </w:r>
            <w:r>
              <w:rPr>
                <w:rFonts w:hint="eastAsia"/>
                <w:color w:val="auto"/>
                <w:sz w:val="24"/>
                <w:szCs w:val="24"/>
              </w:rPr>
              <w:t>天的原料储存量</w:t>
            </w:r>
            <w:r>
              <w:rPr>
                <w:rFonts w:hint="eastAsia"/>
                <w:color w:val="auto"/>
                <w:sz w:val="24"/>
                <w:szCs w:val="24"/>
                <w:lang w:eastAsia="zh-CN"/>
              </w:rPr>
              <w:t>。</w:t>
            </w:r>
          </w:p>
          <w:p w14:paraId="41D3254E">
            <w:pPr>
              <w:keepNext w:val="0"/>
              <w:keepLines w:val="0"/>
              <w:suppressLineNumbers w:val="0"/>
              <w:spacing w:before="0" w:beforeAutospacing="0" w:after="0" w:afterAutospacing="0" w:line="480" w:lineRule="exact"/>
              <w:ind w:left="0" w:right="0" w:firstLine="480" w:firstLineChars="200"/>
              <w:rPr>
                <w:rFonts w:hint="eastAsia"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成品</w:t>
            </w:r>
            <w:r>
              <w:rPr>
                <w:rFonts w:hint="eastAsia"/>
                <w:color w:val="auto"/>
                <w:sz w:val="24"/>
                <w:szCs w:val="24"/>
                <w:lang w:val="en-US" w:eastAsia="zh-CN"/>
              </w:rPr>
              <w:t>库</w:t>
            </w:r>
          </w:p>
          <w:p w14:paraId="628DE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szCs w:val="24"/>
              </w:rPr>
            </w:pPr>
            <w:r>
              <w:rPr>
                <w:rFonts w:hint="eastAsia"/>
                <w:color w:val="auto"/>
                <w:sz w:val="24"/>
                <w:szCs w:val="24"/>
                <w:lang w:val="en-US" w:eastAsia="zh-CN"/>
              </w:rPr>
              <w:t>成品库占地面积约6</w:t>
            </w:r>
            <w:r>
              <w:rPr>
                <w:rFonts w:hint="eastAsia" w:ascii="Times New Roman" w:eastAsia="宋体"/>
                <w:color w:val="auto"/>
                <w:sz w:val="24"/>
                <w:szCs w:val="24"/>
                <w:lang w:val="en-US" w:eastAsia="zh-CN"/>
              </w:rPr>
              <w:t>0</w:t>
            </w:r>
            <w:r>
              <w:rPr>
                <w:rFonts w:hint="default"/>
                <w:color w:val="auto"/>
                <w:sz w:val="24"/>
                <w:szCs w:val="24"/>
              </w:rPr>
              <w:t>0m</w:t>
            </w:r>
            <w:r>
              <w:rPr>
                <w:rFonts w:hint="default"/>
                <w:color w:val="auto"/>
                <w:sz w:val="24"/>
                <w:szCs w:val="24"/>
                <w:vertAlign w:val="superscript"/>
              </w:rPr>
              <w:t>2</w:t>
            </w:r>
            <w:r>
              <w:rPr>
                <w:rFonts w:hint="eastAsia"/>
                <w:color w:val="auto"/>
                <w:sz w:val="24"/>
                <w:szCs w:val="24"/>
              </w:rPr>
              <w:t>，成品</w:t>
            </w:r>
            <w:r>
              <w:rPr>
                <w:rFonts w:hint="eastAsia" w:ascii="Times New Roman" w:eastAsia="宋体"/>
                <w:color w:val="auto"/>
                <w:sz w:val="24"/>
                <w:szCs w:val="24"/>
                <w:lang w:val="en-US" w:eastAsia="zh-CN"/>
              </w:rPr>
              <w:t>堆放</w:t>
            </w:r>
            <w:r>
              <w:rPr>
                <w:rFonts w:hint="eastAsia"/>
                <w:color w:val="auto"/>
                <w:sz w:val="24"/>
                <w:szCs w:val="24"/>
              </w:rPr>
              <w:t>物料平均堆高</w:t>
            </w:r>
            <w:r>
              <w:rPr>
                <w:rFonts w:hint="eastAsia"/>
                <w:color w:val="auto"/>
                <w:sz w:val="24"/>
                <w:szCs w:val="24"/>
                <w:lang w:val="en-US" w:eastAsia="zh-CN"/>
              </w:rPr>
              <w:t>6</w:t>
            </w:r>
            <w:r>
              <w:rPr>
                <w:rFonts w:hint="default"/>
                <w:color w:val="auto"/>
                <w:sz w:val="24"/>
                <w:szCs w:val="24"/>
              </w:rPr>
              <w:t>m</w:t>
            </w:r>
            <w:r>
              <w:rPr>
                <w:rFonts w:hint="eastAsia"/>
                <w:color w:val="auto"/>
                <w:sz w:val="24"/>
                <w:szCs w:val="24"/>
              </w:rPr>
              <w:t>，有效堆存面积</w:t>
            </w:r>
            <w:r>
              <w:rPr>
                <w:rFonts w:hint="eastAsia"/>
                <w:color w:val="auto"/>
                <w:sz w:val="24"/>
                <w:szCs w:val="24"/>
                <w:lang w:val="en-US" w:eastAsia="zh-CN"/>
              </w:rPr>
              <w:t>约3400</w:t>
            </w:r>
            <w:r>
              <w:rPr>
                <w:rFonts w:hint="default"/>
                <w:color w:val="auto"/>
                <w:sz w:val="24"/>
                <w:szCs w:val="24"/>
              </w:rPr>
              <w:t>m</w:t>
            </w:r>
            <w:r>
              <w:rPr>
                <w:rFonts w:hint="default"/>
                <w:color w:val="auto"/>
                <w:sz w:val="24"/>
                <w:szCs w:val="24"/>
                <w:vertAlign w:val="superscript"/>
              </w:rPr>
              <w:t>2</w:t>
            </w:r>
            <w:r>
              <w:rPr>
                <w:rFonts w:hint="eastAsia"/>
                <w:color w:val="auto"/>
                <w:spacing w:val="-1"/>
                <w:sz w:val="24"/>
                <w:szCs w:val="24"/>
              </w:rPr>
              <w:t>，</w:t>
            </w:r>
            <w:r>
              <w:rPr>
                <w:rFonts w:hint="eastAsia"/>
                <w:color w:val="auto"/>
                <w:sz w:val="24"/>
                <w:szCs w:val="24"/>
              </w:rPr>
              <w:t>堆积密度为</w:t>
            </w:r>
            <w:r>
              <w:rPr>
                <w:rFonts w:hint="eastAsia" w:ascii="Times New Roman" w:eastAsia="宋体"/>
                <w:color w:val="auto"/>
                <w:sz w:val="24"/>
                <w:szCs w:val="24"/>
                <w:lang w:val="en-US" w:eastAsia="zh-CN"/>
              </w:rPr>
              <w:t>1.</w:t>
            </w:r>
            <w:r>
              <w:rPr>
                <w:rFonts w:hint="eastAsia"/>
                <w:color w:val="auto"/>
                <w:sz w:val="24"/>
                <w:szCs w:val="24"/>
                <w:lang w:val="en-US" w:eastAsia="zh-CN"/>
              </w:rPr>
              <w:t>8</w:t>
            </w:r>
            <w:r>
              <w:rPr>
                <w:rFonts w:hint="eastAsia"/>
                <w:color w:val="auto"/>
                <w:sz w:val="24"/>
                <w:szCs w:val="24"/>
              </w:rPr>
              <w:t>t</w:t>
            </w:r>
            <w:r>
              <w:rPr>
                <w:rFonts w:hint="default"/>
                <w:color w:val="auto"/>
                <w:sz w:val="24"/>
                <w:szCs w:val="24"/>
              </w:rPr>
              <w:t>/m</w:t>
            </w:r>
            <w:r>
              <w:rPr>
                <w:rFonts w:hint="default"/>
                <w:color w:val="auto"/>
                <w:sz w:val="24"/>
                <w:szCs w:val="24"/>
                <w:vertAlign w:val="superscript"/>
              </w:rPr>
              <w:t>3</w:t>
            </w:r>
            <w:r>
              <w:rPr>
                <w:rFonts w:hint="eastAsia"/>
                <w:color w:val="auto"/>
                <w:sz w:val="24"/>
                <w:szCs w:val="24"/>
              </w:rPr>
              <w:t>，最大储存量预计</w:t>
            </w:r>
            <w:r>
              <w:rPr>
                <w:rFonts w:hint="eastAsia"/>
                <w:color w:val="auto"/>
                <w:sz w:val="24"/>
                <w:szCs w:val="24"/>
                <w:lang w:val="en-US" w:eastAsia="zh-CN"/>
              </w:rPr>
              <w:t>600</w:t>
            </w:r>
            <w:r>
              <w:rPr>
                <w:rFonts w:hint="eastAsia" w:ascii="Times New Roman" w:eastAsia="宋体"/>
                <w:color w:val="auto"/>
                <w:sz w:val="24"/>
                <w:szCs w:val="24"/>
                <w:lang w:val="en-US" w:eastAsia="zh-CN"/>
              </w:rPr>
              <w:t>0t</w:t>
            </w:r>
            <w:r>
              <w:rPr>
                <w:rFonts w:hint="eastAsia"/>
                <w:color w:val="auto"/>
                <w:sz w:val="24"/>
                <w:szCs w:val="24"/>
              </w:rPr>
              <w:t>，</w:t>
            </w:r>
            <w:r>
              <w:rPr>
                <w:rFonts w:hint="eastAsia"/>
                <w:color w:val="auto"/>
                <w:sz w:val="24"/>
                <w:szCs w:val="24"/>
                <w:lang w:val="en-US" w:eastAsia="zh-CN"/>
              </w:rPr>
              <w:t>年工作330天，</w:t>
            </w:r>
            <w:r>
              <w:rPr>
                <w:rFonts w:hint="eastAsia"/>
                <w:color w:val="auto"/>
                <w:sz w:val="24"/>
                <w:szCs w:val="24"/>
              </w:rPr>
              <w:t>成品</w:t>
            </w:r>
            <w:r>
              <w:rPr>
                <w:rFonts w:hint="eastAsia" w:ascii="Times New Roman" w:eastAsia="宋体"/>
                <w:color w:val="auto"/>
                <w:sz w:val="24"/>
                <w:szCs w:val="24"/>
                <w:lang w:val="en-US" w:eastAsia="zh-CN"/>
              </w:rPr>
              <w:t>堆放区主要0-</w:t>
            </w:r>
            <w:r>
              <w:rPr>
                <w:rFonts w:hint="eastAsia"/>
                <w:color w:val="auto"/>
                <w:sz w:val="24"/>
                <w:szCs w:val="24"/>
                <w:lang w:val="en-US" w:eastAsia="zh-CN"/>
              </w:rPr>
              <w:t>4.75</w:t>
            </w:r>
            <w:r>
              <w:rPr>
                <w:rFonts w:hint="eastAsia" w:ascii="Times New Roman" w:eastAsia="宋体"/>
                <w:color w:val="auto"/>
                <w:sz w:val="24"/>
                <w:szCs w:val="24"/>
                <w:lang w:val="en-US" w:eastAsia="zh-CN"/>
              </w:rPr>
              <w:t>mm机制砂和</w:t>
            </w:r>
            <w:r>
              <w:rPr>
                <w:rFonts w:hint="eastAsia"/>
                <w:color w:val="auto"/>
                <w:sz w:val="24"/>
                <w:szCs w:val="24"/>
                <w:lang w:val="en-US" w:eastAsia="zh-CN"/>
              </w:rPr>
              <w:t>10</w:t>
            </w:r>
            <w:r>
              <w:rPr>
                <w:rFonts w:hint="eastAsia" w:ascii="Times New Roman" w:eastAsia="宋体"/>
                <w:color w:val="auto"/>
                <w:sz w:val="24"/>
                <w:szCs w:val="24"/>
                <w:lang w:val="en-US" w:eastAsia="zh-CN"/>
              </w:rPr>
              <w:t>-</w:t>
            </w:r>
            <w:r>
              <w:rPr>
                <w:rFonts w:hint="eastAsia"/>
                <w:color w:val="auto"/>
                <w:sz w:val="24"/>
                <w:szCs w:val="24"/>
                <w:lang w:val="en-US" w:eastAsia="zh-CN"/>
              </w:rPr>
              <w:t>15</w:t>
            </w:r>
            <w:r>
              <w:rPr>
                <w:rFonts w:hint="eastAsia" w:ascii="Times New Roman" w:eastAsia="宋体"/>
                <w:color w:val="auto"/>
                <w:sz w:val="24"/>
                <w:szCs w:val="24"/>
                <w:lang w:val="en-US" w:eastAsia="zh-CN"/>
              </w:rPr>
              <w:t>mm</w:t>
            </w:r>
            <w:r>
              <w:rPr>
                <w:rFonts w:hint="eastAsia"/>
                <w:color w:val="auto"/>
                <w:sz w:val="24"/>
                <w:szCs w:val="24"/>
                <w:lang w:val="en-US" w:eastAsia="zh-CN"/>
              </w:rPr>
              <w:t>、15-20mm</w:t>
            </w:r>
            <w:r>
              <w:rPr>
                <w:rFonts w:hint="eastAsia" w:ascii="Times New Roman" w:eastAsia="宋体"/>
                <w:color w:val="auto"/>
                <w:sz w:val="24"/>
                <w:szCs w:val="24"/>
                <w:lang w:val="en-US" w:eastAsia="zh-CN"/>
              </w:rPr>
              <w:t>石子</w:t>
            </w:r>
            <w:r>
              <w:rPr>
                <w:rFonts w:hint="eastAsia"/>
                <w:color w:val="auto"/>
                <w:sz w:val="24"/>
                <w:szCs w:val="24"/>
              </w:rPr>
              <w:t>，年堆存量约</w:t>
            </w:r>
            <w:r>
              <w:rPr>
                <w:rFonts w:hint="eastAsia"/>
                <w:color w:val="auto"/>
                <w:sz w:val="24"/>
                <w:szCs w:val="24"/>
                <w:lang w:val="en-US" w:eastAsia="zh-CN"/>
              </w:rPr>
              <w:t>3</w:t>
            </w:r>
            <w:r>
              <w:rPr>
                <w:rFonts w:hint="eastAsia" w:ascii="Times New Roman" w:eastAsia="宋体"/>
                <w:color w:val="auto"/>
                <w:sz w:val="24"/>
                <w:szCs w:val="24"/>
                <w:lang w:val="en-US" w:eastAsia="zh-CN"/>
              </w:rPr>
              <w:t>0万</w:t>
            </w:r>
            <w:r>
              <w:rPr>
                <w:rFonts w:hint="default"/>
                <w:color w:val="auto"/>
                <w:sz w:val="24"/>
                <w:szCs w:val="24"/>
              </w:rPr>
              <w:t>t</w:t>
            </w:r>
            <w:r>
              <w:rPr>
                <w:rFonts w:hint="eastAsia"/>
                <w:color w:val="auto"/>
                <w:sz w:val="24"/>
                <w:szCs w:val="24"/>
              </w:rPr>
              <w:t>，可满足企业</w:t>
            </w:r>
            <w:r>
              <w:rPr>
                <w:rFonts w:hint="eastAsia"/>
                <w:color w:val="auto"/>
                <w:sz w:val="24"/>
                <w:szCs w:val="24"/>
                <w:lang w:val="en-US" w:eastAsia="zh-CN"/>
              </w:rPr>
              <w:t>6-7</w:t>
            </w:r>
            <w:r>
              <w:rPr>
                <w:rFonts w:hint="eastAsia"/>
                <w:color w:val="auto"/>
                <w:sz w:val="24"/>
                <w:szCs w:val="24"/>
              </w:rPr>
              <w:t>天的成品储存量。</w:t>
            </w:r>
          </w:p>
          <w:p w14:paraId="540BE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根据以上分析，厂区内现有2座钢结构厂房能满足本项目原料及成品的堆放，</w:t>
            </w:r>
            <w:r>
              <w:rPr>
                <w:rFonts w:hint="default"/>
                <w:color w:val="auto"/>
                <w:sz w:val="24"/>
              </w:rPr>
              <w:t>可以满足</w:t>
            </w:r>
            <w:r>
              <w:rPr>
                <w:rFonts w:hint="eastAsia"/>
                <w:color w:val="auto"/>
                <w:sz w:val="24"/>
                <w:lang w:val="en-US" w:eastAsia="zh-CN"/>
              </w:rPr>
              <w:t>本项目的</w:t>
            </w:r>
            <w:r>
              <w:rPr>
                <w:rFonts w:hint="default"/>
                <w:color w:val="auto"/>
                <w:sz w:val="24"/>
              </w:rPr>
              <w:t>生产需求。</w:t>
            </w:r>
          </w:p>
          <w:p w14:paraId="140E6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三、</w:t>
            </w:r>
            <w:r>
              <w:rPr>
                <w:rFonts w:hint="eastAsia" w:ascii="Times New Roman" w:hAnsi="Times New Roman" w:eastAsia="宋体" w:cs="Times New Roman"/>
                <w:b/>
                <w:bCs w:val="0"/>
                <w:color w:val="auto"/>
                <w:spacing w:val="0"/>
                <w:sz w:val="24"/>
                <w:szCs w:val="24"/>
                <w:highlight w:val="none"/>
                <w:lang w:val="en-US" w:eastAsia="zh-CN"/>
              </w:rPr>
              <w:t>主要</w:t>
            </w:r>
            <w:r>
              <w:rPr>
                <w:rFonts w:hint="default" w:ascii="Times New Roman" w:hAnsi="Times New Roman" w:eastAsia="宋体" w:cs="Times New Roman"/>
                <w:b/>
                <w:bCs w:val="0"/>
                <w:color w:val="auto"/>
                <w:spacing w:val="0"/>
                <w:sz w:val="24"/>
                <w:szCs w:val="24"/>
                <w:highlight w:val="none"/>
                <w:lang w:val="en-US" w:eastAsia="zh-CN"/>
              </w:rPr>
              <w:t>产品方案</w:t>
            </w:r>
            <w:r>
              <w:rPr>
                <w:rFonts w:hint="eastAsia" w:ascii="Times New Roman" w:hAnsi="Times New Roman" w:eastAsia="宋体" w:cs="Times New Roman"/>
                <w:b/>
                <w:bCs w:val="0"/>
                <w:color w:val="auto"/>
                <w:spacing w:val="0"/>
                <w:sz w:val="24"/>
                <w:szCs w:val="24"/>
                <w:highlight w:val="none"/>
                <w:lang w:val="en-US" w:eastAsia="zh-CN"/>
              </w:rPr>
              <w:t>及产能</w:t>
            </w:r>
          </w:p>
          <w:p w14:paraId="2574E22A">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本项目</w:t>
            </w:r>
            <w:r>
              <w:rPr>
                <w:rFonts w:hint="eastAsia" w:ascii="Times New Roman" w:hAnsi="Times New Roman" w:eastAsia="宋体" w:cs="Times New Roman"/>
                <w:bCs/>
                <w:color w:val="auto"/>
                <w:spacing w:val="0"/>
                <w:sz w:val="24"/>
                <w:szCs w:val="24"/>
                <w:highlight w:val="none"/>
                <w:lang w:val="en-US" w:eastAsia="zh-CN"/>
              </w:rPr>
              <w:t>产品方案见表2-</w:t>
            </w:r>
            <w:r>
              <w:rPr>
                <w:rFonts w:hint="eastAsia" w:cs="Times New Roman"/>
                <w:bCs/>
                <w:color w:val="auto"/>
                <w:spacing w:val="0"/>
                <w:sz w:val="24"/>
                <w:szCs w:val="24"/>
                <w:highlight w:val="none"/>
                <w:lang w:val="en-US" w:eastAsia="zh-CN"/>
              </w:rPr>
              <w:t>2</w:t>
            </w:r>
            <w:r>
              <w:rPr>
                <w:rFonts w:hint="eastAsia" w:ascii="Times New Roman" w:hAnsi="Times New Roman" w:eastAsia="宋体" w:cs="Times New Roman"/>
                <w:bCs/>
                <w:color w:val="auto"/>
                <w:spacing w:val="0"/>
                <w:sz w:val="24"/>
                <w:szCs w:val="24"/>
                <w:highlight w:val="none"/>
                <w:lang w:val="en-US" w:eastAsia="zh-CN"/>
              </w:rPr>
              <w:t>。</w:t>
            </w:r>
          </w:p>
          <w:p w14:paraId="50134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default" w:ascii="Times New Roman" w:hAnsi="Times New Roman" w:eastAsia="宋体" w:cs="Times New Roman"/>
                <w:b/>
                <w:bCs/>
                <w:iCs/>
                <w:snapToGrid w:val="0"/>
                <w:color w:val="auto"/>
                <w:spacing w:val="0"/>
                <w:kern w:val="0"/>
                <w:sz w:val="21"/>
                <w:szCs w:val="20"/>
                <w:highlight w:val="none"/>
                <w:lang w:val="en-US" w:eastAsia="zh-CN" w:bidi="ar-SA"/>
              </w:rPr>
              <w:t>表2-2  产品方案表</w:t>
            </w:r>
          </w:p>
          <w:tbl>
            <w:tblPr>
              <w:tblStyle w:val="28"/>
              <w:tblW w:w="495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64"/>
              <w:gridCol w:w="1648"/>
              <w:gridCol w:w="1509"/>
              <w:gridCol w:w="1154"/>
              <w:gridCol w:w="1318"/>
              <w:gridCol w:w="1219"/>
            </w:tblGrid>
            <w:tr w14:paraId="3A967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Align w:val="center"/>
                </w:tcPr>
                <w:p w14:paraId="01C8F8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rPr>
                  </w:pPr>
                  <w:r>
                    <w:rPr>
                      <w:rFonts w:hint="default" w:ascii="Times New Roman" w:hAnsi="Times New Roman" w:eastAsia="宋体" w:cs="Times New Roman"/>
                      <w:b/>
                      <w:bCs/>
                      <w:color w:val="auto"/>
                      <w:spacing w:val="0"/>
                      <w:w w:val="100"/>
                      <w:kern w:val="0"/>
                      <w:sz w:val="21"/>
                      <w:szCs w:val="21"/>
                      <w:highlight w:val="none"/>
                    </w:rPr>
                    <w:t>序号</w:t>
                  </w:r>
                </w:p>
              </w:tc>
              <w:tc>
                <w:tcPr>
                  <w:tcW w:w="1028" w:type="pct"/>
                  <w:vAlign w:val="center"/>
                </w:tcPr>
                <w:p w14:paraId="0AB3FF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pacing w:val="0"/>
                      <w:w w:val="100"/>
                      <w:kern w:val="0"/>
                      <w:sz w:val="21"/>
                      <w:szCs w:val="21"/>
                      <w:highlight w:val="none"/>
                      <w:lang w:val="en-US" w:eastAsia="zh-CN"/>
                    </w:rPr>
                  </w:pPr>
                  <w:r>
                    <w:rPr>
                      <w:rFonts w:hint="eastAsia" w:ascii="Times New Roman" w:hAnsi="Times New Roman" w:eastAsia="宋体" w:cs="Times New Roman"/>
                      <w:b/>
                      <w:bCs/>
                      <w:color w:val="auto"/>
                      <w:spacing w:val="0"/>
                      <w:w w:val="100"/>
                      <w:kern w:val="0"/>
                      <w:sz w:val="21"/>
                      <w:szCs w:val="21"/>
                      <w:highlight w:val="none"/>
                      <w:lang w:val="en-US" w:eastAsia="zh-CN"/>
                    </w:rPr>
                    <w:t>产品</w:t>
                  </w:r>
                  <w:r>
                    <w:rPr>
                      <w:rFonts w:hint="default" w:ascii="Times New Roman" w:hAnsi="Times New Roman" w:eastAsia="宋体" w:cs="Times New Roman"/>
                      <w:b/>
                      <w:bCs/>
                      <w:color w:val="auto"/>
                      <w:spacing w:val="0"/>
                      <w:w w:val="100"/>
                      <w:kern w:val="0"/>
                      <w:sz w:val="21"/>
                      <w:szCs w:val="21"/>
                      <w:highlight w:val="none"/>
                    </w:rPr>
                    <w:t>名称</w:t>
                  </w:r>
                </w:p>
              </w:tc>
              <w:tc>
                <w:tcPr>
                  <w:tcW w:w="941" w:type="pct"/>
                  <w:vAlign w:val="center"/>
                </w:tcPr>
                <w:p w14:paraId="5DDDA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规格</w:t>
                  </w:r>
                </w:p>
              </w:tc>
              <w:tc>
                <w:tcPr>
                  <w:tcW w:w="720" w:type="pct"/>
                  <w:vAlign w:val="center"/>
                </w:tcPr>
                <w:p w14:paraId="77E89B5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w w:val="100"/>
                      <w:kern w:val="0"/>
                      <w:sz w:val="21"/>
                      <w:szCs w:val="21"/>
                      <w:highlight w:val="none"/>
                      <w:lang w:val="en-US" w:eastAsia="zh-CN"/>
                    </w:rPr>
                  </w:pPr>
                  <w:r>
                    <w:rPr>
                      <w:rFonts w:hint="default"/>
                      <w:b/>
                      <w:bCs/>
                      <w:color w:val="auto"/>
                    </w:rPr>
                    <w:t>单位</w:t>
                  </w:r>
                </w:p>
              </w:tc>
              <w:tc>
                <w:tcPr>
                  <w:tcW w:w="822" w:type="pct"/>
                  <w:vAlign w:val="center"/>
                </w:tcPr>
                <w:p w14:paraId="2CFB7F3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spacing w:val="0"/>
                      <w:w w:val="100"/>
                      <w:kern w:val="0"/>
                      <w:sz w:val="21"/>
                      <w:szCs w:val="21"/>
                      <w:highlight w:val="yellow"/>
                      <w:lang w:val="en-US" w:eastAsia="zh-CN"/>
                    </w:rPr>
                  </w:pPr>
                  <w:r>
                    <w:rPr>
                      <w:rFonts w:hint="default"/>
                      <w:b/>
                      <w:bCs/>
                      <w:color w:val="auto"/>
                      <w:highlight w:val="none"/>
                    </w:rPr>
                    <w:t>产量</w:t>
                  </w:r>
                </w:p>
              </w:tc>
              <w:tc>
                <w:tcPr>
                  <w:tcW w:w="760" w:type="pct"/>
                  <w:vAlign w:val="center"/>
                </w:tcPr>
                <w:p w14:paraId="1A76A19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spacing w:val="0"/>
                      <w:w w:val="100"/>
                      <w:kern w:val="0"/>
                      <w:sz w:val="21"/>
                      <w:szCs w:val="21"/>
                      <w:highlight w:val="none"/>
                      <w:lang w:val="en-US" w:eastAsia="zh-CN"/>
                    </w:rPr>
                  </w:pPr>
                  <w:r>
                    <w:rPr>
                      <w:rFonts w:hint="eastAsia"/>
                      <w:b/>
                      <w:bCs/>
                      <w:color w:val="auto"/>
                      <w:lang w:val="en-US" w:eastAsia="zh-CN"/>
                    </w:rPr>
                    <w:t>去向</w:t>
                  </w:r>
                </w:p>
              </w:tc>
            </w:tr>
            <w:tr w14:paraId="49C73C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Align w:val="center"/>
                </w:tcPr>
                <w:p w14:paraId="18903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kern w:val="0"/>
                      <w:sz w:val="21"/>
                      <w:szCs w:val="21"/>
                      <w:highlight w:val="none"/>
                      <w:lang w:val="en-US" w:eastAsia="zh-CN"/>
                    </w:rPr>
                  </w:pPr>
                  <w:r>
                    <w:rPr>
                      <w:rFonts w:hint="eastAsia" w:ascii="Times New Roman" w:hAnsi="Times New Roman" w:eastAsia="宋体" w:cs="Times New Roman"/>
                      <w:color w:val="auto"/>
                      <w:spacing w:val="0"/>
                      <w:w w:val="100"/>
                      <w:kern w:val="0"/>
                      <w:sz w:val="21"/>
                      <w:szCs w:val="21"/>
                      <w:highlight w:val="none"/>
                      <w:lang w:val="en-US" w:eastAsia="zh-CN"/>
                    </w:rPr>
                    <w:t>1</w:t>
                  </w:r>
                </w:p>
              </w:tc>
              <w:tc>
                <w:tcPr>
                  <w:tcW w:w="1028" w:type="pct"/>
                  <w:vMerge w:val="restart"/>
                  <w:vAlign w:val="center"/>
                </w:tcPr>
                <w:p w14:paraId="53EA8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石子</w:t>
                  </w:r>
                </w:p>
              </w:tc>
              <w:tc>
                <w:tcPr>
                  <w:tcW w:w="941" w:type="pct"/>
                  <w:vAlign w:val="center"/>
                </w:tcPr>
                <w:p w14:paraId="6A7CA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15-20mm</w:t>
                  </w:r>
                </w:p>
              </w:tc>
              <w:tc>
                <w:tcPr>
                  <w:tcW w:w="720" w:type="pct"/>
                  <w:vAlign w:val="center"/>
                </w:tcPr>
                <w:p w14:paraId="0D0E71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t/a</w:t>
                  </w:r>
                </w:p>
              </w:tc>
              <w:tc>
                <w:tcPr>
                  <w:tcW w:w="1318" w:type="dxa"/>
                  <w:vMerge w:val="restart"/>
                  <w:vAlign w:val="center"/>
                </w:tcPr>
                <w:p w14:paraId="64231D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kern w:val="0"/>
                      <w:sz w:val="21"/>
                      <w:szCs w:val="21"/>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200417.332</w:t>
                  </w:r>
                </w:p>
              </w:tc>
              <w:tc>
                <w:tcPr>
                  <w:tcW w:w="760" w:type="pct"/>
                  <w:vMerge w:val="restart"/>
                  <w:vAlign w:val="center"/>
                </w:tcPr>
                <w:p w14:paraId="31D3D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eastAsia" w:cs="Times New Roman"/>
                      <w:color w:val="auto"/>
                      <w:spacing w:val="0"/>
                      <w:w w:val="100"/>
                      <w:kern w:val="0"/>
                      <w:sz w:val="21"/>
                      <w:szCs w:val="21"/>
                      <w:highlight w:val="none"/>
                      <w:lang w:val="en-US" w:eastAsia="zh-CN" w:bidi="ar-SA"/>
                    </w:rPr>
                    <w:t>外售屯留区周围商砼搅拌站</w:t>
                  </w:r>
                </w:p>
              </w:tc>
            </w:tr>
            <w:tr w14:paraId="02930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Align w:val="center"/>
                </w:tcPr>
                <w:p w14:paraId="3230CB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2</w:t>
                  </w:r>
                </w:p>
              </w:tc>
              <w:tc>
                <w:tcPr>
                  <w:tcW w:w="1028" w:type="pct"/>
                  <w:vMerge w:val="continue"/>
                  <w:vAlign w:val="center"/>
                </w:tcPr>
                <w:p w14:paraId="3F65B7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p>
              </w:tc>
              <w:tc>
                <w:tcPr>
                  <w:tcW w:w="941" w:type="pct"/>
                  <w:vAlign w:val="center"/>
                </w:tcPr>
                <w:p w14:paraId="38FC32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val="0"/>
                      <w:color w:val="auto"/>
                      <w:szCs w:val="21"/>
                      <w:lang w:val="en-US" w:eastAsia="zh-CN"/>
                    </w:rPr>
                  </w:pPr>
                  <w:r>
                    <w:rPr>
                      <w:rFonts w:hint="eastAsia"/>
                      <w:b w:val="0"/>
                      <w:bCs w:val="0"/>
                      <w:color w:val="auto"/>
                      <w:szCs w:val="21"/>
                      <w:lang w:val="en-US" w:eastAsia="zh-CN"/>
                    </w:rPr>
                    <w:t>10-15mm</w:t>
                  </w:r>
                </w:p>
              </w:tc>
              <w:tc>
                <w:tcPr>
                  <w:tcW w:w="720" w:type="pct"/>
                  <w:vAlign w:val="center"/>
                </w:tcPr>
                <w:p w14:paraId="231F5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t/a</w:t>
                  </w:r>
                </w:p>
              </w:tc>
              <w:tc>
                <w:tcPr>
                  <w:tcW w:w="822" w:type="pct"/>
                  <w:vMerge w:val="continue"/>
                  <w:vAlign w:val="center"/>
                </w:tcPr>
                <w:p w14:paraId="1F0A1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w w:val="100"/>
                      <w:kern w:val="0"/>
                      <w:sz w:val="21"/>
                      <w:szCs w:val="21"/>
                      <w:highlight w:val="yellow"/>
                      <w:lang w:val="en-US" w:eastAsia="zh-CN" w:bidi="ar-SA"/>
                    </w:rPr>
                  </w:pPr>
                </w:p>
              </w:tc>
              <w:tc>
                <w:tcPr>
                  <w:tcW w:w="760" w:type="pct"/>
                  <w:vMerge w:val="continue"/>
                  <w:vAlign w:val="center"/>
                </w:tcPr>
                <w:p w14:paraId="6E45D3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14:paraId="60B146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6" w:type="pct"/>
                  <w:vAlign w:val="center"/>
                </w:tcPr>
                <w:p w14:paraId="457F1A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3</w:t>
                  </w:r>
                </w:p>
              </w:tc>
              <w:tc>
                <w:tcPr>
                  <w:tcW w:w="1028" w:type="pct"/>
                  <w:vAlign w:val="center"/>
                </w:tcPr>
                <w:p w14:paraId="3FDE3B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机制砂</w:t>
                  </w:r>
                </w:p>
              </w:tc>
              <w:tc>
                <w:tcPr>
                  <w:tcW w:w="941" w:type="pct"/>
                  <w:vAlign w:val="center"/>
                </w:tcPr>
                <w:p w14:paraId="337FCB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val="0"/>
                      <w:bCs w:val="0"/>
                      <w:color w:val="auto"/>
                      <w:szCs w:val="21"/>
                      <w:lang w:val="en-US" w:eastAsia="zh-CN"/>
                    </w:rPr>
                  </w:pPr>
                  <w:r>
                    <w:rPr>
                      <w:rFonts w:hint="eastAsia"/>
                      <w:b w:val="0"/>
                      <w:bCs w:val="0"/>
                      <w:color w:val="auto"/>
                      <w:szCs w:val="21"/>
                      <w:lang w:val="en-US" w:eastAsia="zh-CN"/>
                    </w:rPr>
                    <w:t>0-4.75mm</w:t>
                  </w:r>
                </w:p>
              </w:tc>
              <w:tc>
                <w:tcPr>
                  <w:tcW w:w="720" w:type="pct"/>
                  <w:vAlign w:val="center"/>
                </w:tcPr>
                <w:p w14:paraId="36B687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t/a</w:t>
                  </w:r>
                </w:p>
              </w:tc>
              <w:tc>
                <w:tcPr>
                  <w:tcW w:w="1318" w:type="dxa"/>
                  <w:vAlign w:val="center"/>
                </w:tcPr>
                <w:p w14:paraId="4965F7B1">
                  <w:pPr>
                    <w:keepNext w:val="0"/>
                    <w:keepLines w:val="0"/>
                    <w:widowControl/>
                    <w:suppressLineNumbers w:val="0"/>
                    <w:spacing w:before="0" w:beforeAutospacing="0" w:after="0" w:afterAutospacing="0"/>
                    <w:ind w:left="0" w:right="0"/>
                    <w:jc w:val="center"/>
                    <w:textAlignment w:val="center"/>
                    <w:rPr>
                      <w:rFonts w:hint="default" w:cs="Times New Roman"/>
                      <w:color w:val="auto"/>
                      <w:spacing w:val="0"/>
                      <w:w w:val="100"/>
                      <w:kern w:val="0"/>
                      <w:sz w:val="21"/>
                      <w:szCs w:val="21"/>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99062.385</w:t>
                  </w:r>
                </w:p>
              </w:tc>
              <w:tc>
                <w:tcPr>
                  <w:tcW w:w="760" w:type="pct"/>
                  <w:vMerge w:val="continue"/>
                  <w:vAlign w:val="center"/>
                </w:tcPr>
                <w:p w14:paraId="6AF042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bl>
          <w:p w14:paraId="2D8E1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产品质量应符合《混凝土和砂浆用再</w:t>
            </w:r>
            <w:r>
              <w:rPr>
                <w:rFonts w:hint="eastAsia" w:ascii="Times New Roman" w:hAnsi="Times New Roman" w:eastAsia="宋体" w:cs="Times New Roman"/>
                <w:color w:val="auto"/>
                <w:sz w:val="24"/>
                <w:szCs w:val="24"/>
                <w:lang w:val="en-US" w:eastAsia="zh-CN"/>
              </w:rPr>
              <w:t>生</w:t>
            </w:r>
            <w:r>
              <w:rPr>
                <w:rFonts w:hint="default" w:ascii="Times New Roman" w:hAnsi="Times New Roman" w:eastAsia="宋体" w:cs="Times New Roman"/>
                <w:color w:val="auto"/>
                <w:sz w:val="24"/>
                <w:szCs w:val="24"/>
                <w:lang w:val="en-US" w:eastAsia="zh-CN"/>
              </w:rPr>
              <w:t>骨料》</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GB/T25176</w:t>
            </w:r>
            <w:r>
              <w:rPr>
                <w:rFonts w:hint="eastAsia" w:ascii="Times New Roman" w:hAnsi="Times New Roman" w:eastAsia="宋体" w:cs="Times New Roman"/>
                <w:color w:val="auto"/>
                <w:sz w:val="24"/>
                <w:szCs w:val="24"/>
                <w:lang w:val="en-US" w:eastAsia="zh-CN"/>
              </w:rPr>
              <w:t>-2010）、</w:t>
            </w:r>
            <w:r>
              <w:rPr>
                <w:rFonts w:hint="default" w:ascii="Times New Roman" w:hAnsi="Times New Roman" w:eastAsia="宋体" w:cs="Times New Roman"/>
                <w:color w:val="auto"/>
                <w:sz w:val="24"/>
                <w:szCs w:val="24"/>
                <w:lang w:val="en-US" w:eastAsia="zh-CN"/>
              </w:rPr>
              <w:t>《混凝土用再生粗骨料》</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GB/T25177</w:t>
            </w:r>
            <w:r>
              <w:rPr>
                <w:rFonts w:hint="eastAsia" w:ascii="Times New Roman" w:hAnsi="Times New Roman" w:eastAsia="宋体" w:cs="Times New Roman"/>
                <w:color w:val="auto"/>
                <w:sz w:val="24"/>
                <w:szCs w:val="24"/>
                <w:lang w:val="en-US" w:eastAsia="zh-CN"/>
              </w:rPr>
              <w:t>-2010）、《建设用砂》（GB/T14684-2022）</w:t>
            </w:r>
            <w:r>
              <w:rPr>
                <w:rFonts w:hint="eastAsia"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的有</w:t>
            </w:r>
            <w:r>
              <w:rPr>
                <w:rFonts w:hint="eastAsia" w:ascii="Times New Roman" w:hAnsi="Times New Roman" w:eastAsia="宋体" w:cs="Times New Roman"/>
                <w:color w:val="auto"/>
                <w:sz w:val="24"/>
                <w:szCs w:val="24"/>
                <w:lang w:val="en-US" w:eastAsia="zh-CN"/>
              </w:rPr>
              <w:t>关规</w:t>
            </w:r>
            <w:r>
              <w:rPr>
                <w:rFonts w:hint="default" w:ascii="Times New Roman" w:hAnsi="Times New Roman" w:eastAsia="宋体" w:cs="Times New Roman"/>
                <w:color w:val="auto"/>
                <w:sz w:val="24"/>
                <w:szCs w:val="24"/>
                <w:lang w:val="en-US" w:eastAsia="zh-CN"/>
              </w:rPr>
              <w:t>定</w:t>
            </w:r>
            <w:r>
              <w:rPr>
                <w:rFonts w:hint="eastAsia" w:cs="Times New Roman"/>
                <w:color w:val="auto"/>
                <w:sz w:val="24"/>
                <w:szCs w:val="24"/>
                <w:lang w:val="en-US" w:eastAsia="zh-CN"/>
              </w:rPr>
              <w:t>，具体指标见下表</w:t>
            </w:r>
            <w:r>
              <w:rPr>
                <w:rFonts w:hint="default" w:ascii="Times New Roman" w:hAnsi="Times New Roman" w:eastAsia="宋体" w:cs="Times New Roman"/>
                <w:color w:val="auto"/>
                <w:sz w:val="24"/>
                <w:szCs w:val="24"/>
                <w:lang w:val="en-US" w:eastAsia="zh-CN"/>
              </w:rPr>
              <w:t>。</w:t>
            </w:r>
          </w:p>
          <w:p w14:paraId="0D39D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eastAsia"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表2-3  机制砂指标一览表</w:t>
            </w:r>
          </w:p>
          <w:tbl>
            <w:tblPr>
              <w:tblStyle w:val="28"/>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38"/>
              <w:gridCol w:w="1149"/>
              <w:gridCol w:w="1962"/>
              <w:gridCol w:w="1462"/>
              <w:gridCol w:w="2038"/>
            </w:tblGrid>
            <w:tr w14:paraId="388E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893" w:type="pct"/>
                  <w:tcBorders>
                    <w:tl2br w:val="nil"/>
                    <w:tr2bl w:val="nil"/>
                  </w:tcBorders>
                  <w:noWrap w:val="0"/>
                  <w:vAlign w:val="center"/>
                </w:tcPr>
                <w:p w14:paraId="7F48B265">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w:t>
                  </w:r>
                </w:p>
              </w:tc>
              <w:tc>
                <w:tcPr>
                  <w:tcW w:w="714" w:type="pct"/>
                  <w:tcBorders>
                    <w:tl2br w:val="nil"/>
                    <w:tr2bl w:val="nil"/>
                  </w:tcBorders>
                  <w:noWrap w:val="0"/>
                  <w:vAlign w:val="center"/>
                </w:tcPr>
                <w:p w14:paraId="105B3428">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MB</w:t>
                  </w:r>
                </w:p>
              </w:tc>
              <w:tc>
                <w:tcPr>
                  <w:tcW w:w="1219" w:type="pct"/>
                  <w:tcBorders>
                    <w:tl2br w:val="nil"/>
                    <w:tr2bl w:val="nil"/>
                  </w:tcBorders>
                  <w:noWrap w:val="0"/>
                  <w:vAlign w:val="center"/>
                </w:tcPr>
                <w:p w14:paraId="1DFA76B7">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石粉含量</w:t>
                  </w:r>
                </w:p>
                <w:p w14:paraId="7B9E7B32">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（按质量分数计）</w:t>
                  </w:r>
                </w:p>
              </w:tc>
              <w:tc>
                <w:tcPr>
                  <w:tcW w:w="908" w:type="pct"/>
                  <w:tcBorders>
                    <w:tl2br w:val="nil"/>
                    <w:tr2bl w:val="nil"/>
                  </w:tcBorders>
                  <w:noWrap w:val="0"/>
                  <w:vAlign w:val="center"/>
                </w:tcPr>
                <w:p w14:paraId="4998F02F">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泥块含量</w:t>
                  </w:r>
                </w:p>
                <w:p w14:paraId="5AF9D1F0">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（按质量计）</w:t>
                  </w:r>
                </w:p>
              </w:tc>
              <w:tc>
                <w:tcPr>
                  <w:tcW w:w="1264" w:type="pct"/>
                  <w:tcBorders>
                    <w:tl2br w:val="nil"/>
                    <w:tr2bl w:val="nil"/>
                  </w:tcBorders>
                  <w:noWrap w:val="0"/>
                  <w:vAlign w:val="center"/>
                </w:tcPr>
                <w:p w14:paraId="5C6EF7D5">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硫化物及硫酸盐</w:t>
                  </w:r>
                </w:p>
                <w:p w14:paraId="23578F76">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（按SO</w:t>
                  </w:r>
                  <w:r>
                    <w:rPr>
                      <w:rFonts w:hint="default" w:ascii="Times New Roman" w:hAnsi="Times New Roman" w:cs="Times New Roman"/>
                      <w:b/>
                      <w:bCs/>
                      <w:color w:val="auto"/>
                      <w:sz w:val="21"/>
                      <w:szCs w:val="21"/>
                      <w:vertAlign w:val="subscript"/>
                      <w:lang w:val="en-US" w:eastAsia="zh-CN"/>
                    </w:rPr>
                    <w:t>2</w:t>
                  </w:r>
                  <w:r>
                    <w:rPr>
                      <w:rFonts w:hint="default" w:ascii="Times New Roman" w:hAnsi="Times New Roman" w:cs="Times New Roman"/>
                      <w:b/>
                      <w:bCs/>
                      <w:color w:val="auto"/>
                      <w:sz w:val="21"/>
                      <w:szCs w:val="21"/>
                      <w:lang w:val="en-US" w:eastAsia="zh-CN"/>
                    </w:rPr>
                    <w:t>质量计）</w:t>
                  </w:r>
                </w:p>
              </w:tc>
            </w:tr>
            <w:tr w14:paraId="5DF9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893" w:type="pct"/>
                  <w:vMerge w:val="restart"/>
                  <w:tcBorders>
                    <w:tl2br w:val="nil"/>
                    <w:tr2bl w:val="nil"/>
                  </w:tcBorders>
                  <w:noWrap w:val="0"/>
                  <w:vAlign w:val="center"/>
                </w:tcPr>
                <w:p w14:paraId="22F234AB">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Ⅰ级指标</w:t>
                  </w:r>
                </w:p>
              </w:tc>
              <w:tc>
                <w:tcPr>
                  <w:tcW w:w="714" w:type="pct"/>
                  <w:tcBorders>
                    <w:tl2br w:val="nil"/>
                    <w:tr2bl w:val="nil"/>
                  </w:tcBorders>
                  <w:noWrap w:val="0"/>
                  <w:vAlign w:val="center"/>
                </w:tcPr>
                <w:p w14:paraId="77A430BA">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1219" w:type="pct"/>
                  <w:tcBorders>
                    <w:tl2br w:val="nil"/>
                    <w:tr2bl w:val="nil"/>
                  </w:tcBorders>
                  <w:noWrap w:val="0"/>
                  <w:vAlign w:val="center"/>
                </w:tcPr>
                <w:p w14:paraId="5B03CDE4">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≤15%</w:t>
                  </w:r>
                </w:p>
              </w:tc>
              <w:tc>
                <w:tcPr>
                  <w:tcW w:w="908" w:type="pct"/>
                  <w:vMerge w:val="restart"/>
                  <w:tcBorders>
                    <w:tl2br w:val="nil"/>
                    <w:tr2bl w:val="nil"/>
                  </w:tcBorders>
                  <w:noWrap w:val="0"/>
                  <w:vAlign w:val="center"/>
                </w:tcPr>
                <w:p w14:paraId="007FB885">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1264" w:type="pct"/>
                  <w:vMerge w:val="restart"/>
                  <w:tcBorders>
                    <w:tl2br w:val="nil"/>
                    <w:tr2bl w:val="nil"/>
                  </w:tcBorders>
                  <w:noWrap w:val="0"/>
                  <w:vAlign w:val="center"/>
                </w:tcPr>
                <w:p w14:paraId="21630FAF">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≤0.5</w:t>
                  </w:r>
                </w:p>
              </w:tc>
            </w:tr>
            <w:tr w14:paraId="1E19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893" w:type="pct"/>
                  <w:vMerge w:val="continue"/>
                  <w:tcBorders>
                    <w:tl2br w:val="nil"/>
                    <w:tr2bl w:val="nil"/>
                  </w:tcBorders>
                  <w:noWrap w:val="0"/>
                  <w:vAlign w:val="center"/>
                </w:tcPr>
                <w:p w14:paraId="64E2CD03">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p>
              </w:tc>
              <w:tc>
                <w:tcPr>
                  <w:tcW w:w="714" w:type="pct"/>
                  <w:tcBorders>
                    <w:tl2br w:val="nil"/>
                    <w:tr2bl w:val="nil"/>
                  </w:tcBorders>
                  <w:noWrap w:val="0"/>
                  <w:vAlign w:val="center"/>
                </w:tcPr>
                <w:p w14:paraId="1A1DBD2D">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0.5-1.0</w:t>
                  </w:r>
                </w:p>
              </w:tc>
              <w:tc>
                <w:tcPr>
                  <w:tcW w:w="1219" w:type="pct"/>
                  <w:tcBorders>
                    <w:tl2br w:val="nil"/>
                    <w:tr2bl w:val="nil"/>
                  </w:tcBorders>
                  <w:noWrap w:val="0"/>
                  <w:vAlign w:val="center"/>
                </w:tcPr>
                <w:p w14:paraId="357CB158">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08" w:type="pct"/>
                  <w:vMerge w:val="continue"/>
                  <w:tcBorders>
                    <w:tl2br w:val="nil"/>
                    <w:tr2bl w:val="nil"/>
                  </w:tcBorders>
                  <w:noWrap w:val="0"/>
                  <w:vAlign w:val="center"/>
                </w:tcPr>
                <w:p w14:paraId="77BDF613">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p>
              </w:tc>
              <w:tc>
                <w:tcPr>
                  <w:tcW w:w="1264" w:type="pct"/>
                  <w:vMerge w:val="continue"/>
                  <w:tcBorders>
                    <w:tl2br w:val="nil"/>
                    <w:tr2bl w:val="nil"/>
                  </w:tcBorders>
                  <w:noWrap w:val="0"/>
                  <w:vAlign w:val="center"/>
                </w:tcPr>
                <w:p w14:paraId="6EAD51A2">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p>
              </w:tc>
            </w:tr>
            <w:tr w14:paraId="3E26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893" w:type="pct"/>
                  <w:tcBorders>
                    <w:tl2br w:val="nil"/>
                    <w:tr2bl w:val="nil"/>
                  </w:tcBorders>
                  <w:noWrap w:val="0"/>
                  <w:vAlign w:val="center"/>
                </w:tcPr>
                <w:p w14:paraId="160303E4">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Ⅱ级指标</w:t>
                  </w:r>
                </w:p>
              </w:tc>
              <w:tc>
                <w:tcPr>
                  <w:tcW w:w="714" w:type="pct"/>
                  <w:tcBorders>
                    <w:tl2br w:val="nil"/>
                    <w:tr2bl w:val="nil"/>
                  </w:tcBorders>
                  <w:noWrap w:val="0"/>
                  <w:vAlign w:val="center"/>
                </w:tcPr>
                <w:p w14:paraId="03A5B68E">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≤1.0</w:t>
                  </w:r>
                </w:p>
              </w:tc>
              <w:tc>
                <w:tcPr>
                  <w:tcW w:w="1219" w:type="pct"/>
                  <w:tcBorders>
                    <w:tl2br w:val="nil"/>
                    <w:tr2bl w:val="nil"/>
                  </w:tcBorders>
                  <w:noWrap w:val="0"/>
                  <w:vAlign w:val="center"/>
                </w:tcPr>
                <w:p w14:paraId="39D40B91">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908" w:type="pct"/>
                  <w:tcBorders>
                    <w:tl2br w:val="nil"/>
                    <w:tr2bl w:val="nil"/>
                  </w:tcBorders>
                  <w:noWrap w:val="0"/>
                  <w:vAlign w:val="center"/>
                </w:tcPr>
                <w:p w14:paraId="57820473">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264" w:type="pct"/>
                  <w:tcBorders>
                    <w:tl2br w:val="nil"/>
                    <w:tr2bl w:val="nil"/>
                  </w:tcBorders>
                  <w:noWrap w:val="0"/>
                  <w:vAlign w:val="center"/>
                </w:tcPr>
                <w:p w14:paraId="3FFD94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≤0.5</w:t>
                  </w:r>
                </w:p>
              </w:tc>
            </w:tr>
            <w:tr w14:paraId="3D3E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893" w:type="pct"/>
                  <w:tcBorders>
                    <w:tl2br w:val="nil"/>
                    <w:tr2bl w:val="nil"/>
                  </w:tcBorders>
                  <w:noWrap w:val="0"/>
                  <w:vAlign w:val="center"/>
                </w:tcPr>
                <w:p w14:paraId="3DDAD5C5">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Ⅲ级指标</w:t>
                  </w:r>
                </w:p>
              </w:tc>
              <w:tc>
                <w:tcPr>
                  <w:tcW w:w="714" w:type="pct"/>
                  <w:tcBorders>
                    <w:tl2br w:val="nil"/>
                    <w:tr2bl w:val="nil"/>
                  </w:tcBorders>
                  <w:noWrap w:val="0"/>
                  <w:vAlign w:val="center"/>
                </w:tcPr>
                <w:p w14:paraId="026C7075">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≤1.4</w:t>
                  </w:r>
                </w:p>
              </w:tc>
              <w:tc>
                <w:tcPr>
                  <w:tcW w:w="1219" w:type="pct"/>
                  <w:tcBorders>
                    <w:tl2br w:val="nil"/>
                    <w:tr2bl w:val="nil"/>
                  </w:tcBorders>
                  <w:noWrap w:val="0"/>
                  <w:vAlign w:val="center"/>
                </w:tcPr>
                <w:p w14:paraId="263C84C1">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908" w:type="pct"/>
                  <w:tcBorders>
                    <w:tl2br w:val="nil"/>
                    <w:tr2bl w:val="nil"/>
                  </w:tcBorders>
                  <w:noWrap w:val="0"/>
                  <w:vAlign w:val="center"/>
                </w:tcPr>
                <w:p w14:paraId="3CCA5A75">
                  <w:pPr>
                    <w:pStyle w:val="10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w:t>
                  </w:r>
                </w:p>
              </w:tc>
              <w:tc>
                <w:tcPr>
                  <w:tcW w:w="1264" w:type="pct"/>
                  <w:tcBorders>
                    <w:tl2br w:val="nil"/>
                    <w:tr2bl w:val="nil"/>
                  </w:tcBorders>
                  <w:noWrap w:val="0"/>
                  <w:vAlign w:val="center"/>
                </w:tcPr>
                <w:p w14:paraId="431523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≤0.5</w:t>
                  </w:r>
                </w:p>
              </w:tc>
            </w:tr>
            <w:tr w14:paraId="3650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5000" w:type="pct"/>
                  <w:gridSpan w:val="5"/>
                  <w:tcBorders>
                    <w:tl2br w:val="nil"/>
                    <w:tr2bl w:val="nil"/>
                  </w:tcBorders>
                  <w:noWrap w:val="0"/>
                  <w:vAlign w:val="center"/>
                </w:tcPr>
                <w:p w14:paraId="09D6ED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《建设用砂》（GB/T14684-2022）</w:t>
                  </w:r>
                </w:p>
              </w:tc>
            </w:tr>
          </w:tbl>
          <w:p w14:paraId="5C35B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表2-4  再生细骨料中有害物质含量</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1125"/>
              <w:gridCol w:w="1575"/>
              <w:gridCol w:w="1495"/>
            </w:tblGrid>
            <w:tr w14:paraId="005F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16649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125" w:type="dxa"/>
                  <w:vAlign w:val="center"/>
                </w:tcPr>
                <w:p w14:paraId="446FB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575" w:type="dxa"/>
                  <w:vAlign w:val="center"/>
                </w:tcPr>
                <w:p w14:paraId="73500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495" w:type="dxa"/>
                  <w:vAlign w:val="center"/>
                </w:tcPr>
                <w:p w14:paraId="10EEE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5EDA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18FE8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云母含量（按质量计）/%</w:t>
                  </w:r>
                </w:p>
              </w:tc>
              <w:tc>
                <w:tcPr>
                  <w:tcW w:w="4195" w:type="dxa"/>
                  <w:gridSpan w:val="3"/>
                  <w:vAlign w:val="center"/>
                </w:tcPr>
                <w:p w14:paraId="2F1F6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＜2.0</w:t>
                  </w:r>
                </w:p>
              </w:tc>
            </w:tr>
            <w:tr w14:paraId="6E8A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3896" w:type="dxa"/>
                  <w:vAlign w:val="center"/>
                </w:tcPr>
                <w:p w14:paraId="07C37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轻物质含量（按质量计）/%</w:t>
                  </w:r>
                </w:p>
              </w:tc>
              <w:tc>
                <w:tcPr>
                  <w:tcW w:w="4195" w:type="dxa"/>
                  <w:gridSpan w:val="3"/>
                  <w:vAlign w:val="center"/>
                </w:tcPr>
                <w:p w14:paraId="2E6176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＜1.0</w:t>
                  </w:r>
                </w:p>
              </w:tc>
            </w:tr>
            <w:tr w14:paraId="214C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2983F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有机物含量（比色法）</w:t>
                  </w:r>
                </w:p>
              </w:tc>
              <w:tc>
                <w:tcPr>
                  <w:tcW w:w="4195" w:type="dxa"/>
                  <w:gridSpan w:val="3"/>
                  <w:vAlign w:val="center"/>
                </w:tcPr>
                <w:p w14:paraId="25E93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合格</w:t>
                  </w:r>
                </w:p>
              </w:tc>
            </w:tr>
            <w:tr w14:paraId="73A1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08475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硫化物及硫酸盐含量（按SO</w:t>
                  </w:r>
                  <w:r>
                    <w:rPr>
                      <w:rFonts w:hint="eastAsia" w:ascii="Times New Roman" w:hAnsi="Times New Roman" w:eastAsia="宋体" w:cs="Times New Roman"/>
                      <w:b w:val="0"/>
                      <w:bCs w:val="0"/>
                      <w:iCs/>
                      <w:snapToGrid w:val="0"/>
                      <w:color w:val="auto"/>
                      <w:spacing w:val="0"/>
                      <w:kern w:val="0"/>
                      <w:sz w:val="21"/>
                      <w:szCs w:val="20"/>
                      <w:highlight w:val="none"/>
                      <w:vertAlign w:val="subscript"/>
                      <w:lang w:val="en-US" w:eastAsia="zh-CN" w:bidi="ar-SA"/>
                    </w:rPr>
                    <w:t>3</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质量计）/%</w:t>
                  </w:r>
                </w:p>
              </w:tc>
              <w:tc>
                <w:tcPr>
                  <w:tcW w:w="4195" w:type="dxa"/>
                  <w:gridSpan w:val="3"/>
                  <w:vAlign w:val="center"/>
                </w:tcPr>
                <w:p w14:paraId="79C4A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＜2.0</w:t>
                  </w:r>
                </w:p>
              </w:tc>
            </w:tr>
            <w:tr w14:paraId="1C95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19AC6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氯化物含量（以氯离子质量计）/%</w:t>
                  </w:r>
                </w:p>
              </w:tc>
              <w:tc>
                <w:tcPr>
                  <w:tcW w:w="4195" w:type="dxa"/>
                  <w:gridSpan w:val="3"/>
                  <w:vAlign w:val="center"/>
                </w:tcPr>
                <w:p w14:paraId="0D4C0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＜0.06</w:t>
                  </w:r>
                </w:p>
              </w:tc>
            </w:tr>
            <w:tr w14:paraId="4974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8091" w:type="dxa"/>
                  <w:gridSpan w:val="4"/>
                  <w:vAlign w:val="center"/>
                </w:tcPr>
                <w:p w14:paraId="120E6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《混凝土和砂浆用再生骨料》（GB/T25176-2010）</w:t>
                  </w:r>
                </w:p>
              </w:tc>
            </w:tr>
          </w:tbl>
          <w:p w14:paraId="72AB2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表2-5  再生细骨料坚固性指标</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1125"/>
              <w:gridCol w:w="1575"/>
              <w:gridCol w:w="1495"/>
            </w:tblGrid>
            <w:tr w14:paraId="4B21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78915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125" w:type="dxa"/>
                  <w:vAlign w:val="center"/>
                </w:tcPr>
                <w:p w14:paraId="006D9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575" w:type="dxa"/>
                  <w:vAlign w:val="center"/>
                </w:tcPr>
                <w:p w14:paraId="5F5C4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495" w:type="dxa"/>
                  <w:vAlign w:val="center"/>
                </w:tcPr>
                <w:p w14:paraId="2DA1B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3CDE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0ACC4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饱和硫酸钠溶液中质量损失/%</w:t>
                  </w:r>
                </w:p>
              </w:tc>
              <w:tc>
                <w:tcPr>
                  <w:tcW w:w="1125" w:type="dxa"/>
                  <w:vAlign w:val="center"/>
                </w:tcPr>
                <w:p w14:paraId="17E4A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＜8.0</w:t>
                  </w:r>
                </w:p>
              </w:tc>
              <w:tc>
                <w:tcPr>
                  <w:tcW w:w="1575" w:type="dxa"/>
                  <w:vAlign w:val="center"/>
                </w:tcPr>
                <w:p w14:paraId="776CD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＜10.0</w:t>
                  </w:r>
                </w:p>
              </w:tc>
              <w:tc>
                <w:tcPr>
                  <w:tcW w:w="1495" w:type="dxa"/>
                  <w:vAlign w:val="center"/>
                </w:tcPr>
                <w:p w14:paraId="4D4CB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＜12.0</w:t>
                  </w:r>
                </w:p>
              </w:tc>
            </w:tr>
            <w:tr w14:paraId="1D9C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21CE1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《混凝土和砂浆用再生骨料》（GB/T25176-2010）</w:t>
                  </w:r>
                </w:p>
              </w:tc>
            </w:tr>
          </w:tbl>
          <w:p w14:paraId="33766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eastAsia"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表2-6  再生细骨料压碎指标</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1125"/>
              <w:gridCol w:w="1575"/>
              <w:gridCol w:w="1495"/>
            </w:tblGrid>
            <w:tr w14:paraId="2B1B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198F6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125" w:type="dxa"/>
                  <w:vAlign w:val="center"/>
                </w:tcPr>
                <w:p w14:paraId="4B04F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575" w:type="dxa"/>
                  <w:vAlign w:val="center"/>
                </w:tcPr>
                <w:p w14:paraId="036D9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495" w:type="dxa"/>
                  <w:vAlign w:val="center"/>
                </w:tcPr>
                <w:p w14:paraId="5428E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7BAA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06A6A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单级最大压碎指标值/%</w:t>
                  </w:r>
                </w:p>
              </w:tc>
              <w:tc>
                <w:tcPr>
                  <w:tcW w:w="1125" w:type="dxa"/>
                  <w:vAlign w:val="center"/>
                </w:tcPr>
                <w:p w14:paraId="5E958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＜20</w:t>
                  </w:r>
                </w:p>
              </w:tc>
              <w:tc>
                <w:tcPr>
                  <w:tcW w:w="1575" w:type="dxa"/>
                  <w:vAlign w:val="center"/>
                </w:tcPr>
                <w:p w14:paraId="44BB6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＜25</w:t>
                  </w:r>
                </w:p>
              </w:tc>
              <w:tc>
                <w:tcPr>
                  <w:tcW w:w="1495" w:type="dxa"/>
                  <w:vAlign w:val="center"/>
                </w:tcPr>
                <w:p w14:paraId="2A5B2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＜30</w:t>
                  </w:r>
                </w:p>
              </w:tc>
            </w:tr>
            <w:tr w14:paraId="4805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61BE4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《混凝土和砂浆用再生骨料》（GB/T25176-2010）</w:t>
                  </w:r>
                </w:p>
              </w:tc>
            </w:tr>
          </w:tbl>
          <w:p w14:paraId="11CDFC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表2-7  再生粗骨料微粉含量和泥块含量</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1125"/>
              <w:gridCol w:w="1575"/>
              <w:gridCol w:w="1495"/>
            </w:tblGrid>
            <w:tr w14:paraId="076C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02638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125" w:type="dxa"/>
                  <w:vAlign w:val="center"/>
                </w:tcPr>
                <w:p w14:paraId="4B240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575" w:type="dxa"/>
                  <w:vAlign w:val="center"/>
                </w:tcPr>
                <w:p w14:paraId="6DC44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495" w:type="dxa"/>
                  <w:vAlign w:val="center"/>
                </w:tcPr>
                <w:p w14:paraId="492EB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57DB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506D7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微粉含量（</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按质量计</w:t>
                  </w: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w:t>
                  </w:r>
                </w:p>
              </w:tc>
              <w:tc>
                <w:tcPr>
                  <w:tcW w:w="1125" w:type="dxa"/>
                  <w:vAlign w:val="center"/>
                </w:tcPr>
                <w:p w14:paraId="7D8791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＜1.0</w:t>
                  </w:r>
                </w:p>
              </w:tc>
              <w:tc>
                <w:tcPr>
                  <w:tcW w:w="1575" w:type="dxa"/>
                  <w:vAlign w:val="center"/>
                </w:tcPr>
                <w:p w14:paraId="1A9D9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＜2.0</w:t>
                  </w:r>
                </w:p>
              </w:tc>
              <w:tc>
                <w:tcPr>
                  <w:tcW w:w="1495" w:type="dxa"/>
                  <w:vAlign w:val="center"/>
                </w:tcPr>
                <w:p w14:paraId="6D11D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＜3.0</w:t>
                  </w:r>
                </w:p>
              </w:tc>
            </w:tr>
            <w:tr w14:paraId="0F5E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739B5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泥块含量（</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按质量计</w:t>
                  </w: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w:t>
                  </w:r>
                </w:p>
              </w:tc>
              <w:tc>
                <w:tcPr>
                  <w:tcW w:w="1125" w:type="dxa"/>
                  <w:vAlign w:val="center"/>
                </w:tcPr>
                <w:p w14:paraId="64C78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＜0.5</w:t>
                  </w:r>
                </w:p>
              </w:tc>
              <w:tc>
                <w:tcPr>
                  <w:tcW w:w="1575" w:type="dxa"/>
                  <w:vAlign w:val="center"/>
                </w:tcPr>
                <w:p w14:paraId="6EA9F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＜0.7</w:t>
                  </w:r>
                </w:p>
              </w:tc>
              <w:tc>
                <w:tcPr>
                  <w:tcW w:w="1495" w:type="dxa"/>
                  <w:vAlign w:val="center"/>
                </w:tcPr>
                <w:p w14:paraId="7EB1A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＜1.0</w:t>
                  </w:r>
                </w:p>
              </w:tc>
            </w:tr>
            <w:tr w14:paraId="5B4E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5A35C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《混凝土用再生粗骨料》（GB/T25177-2010）</w:t>
                  </w:r>
                </w:p>
              </w:tc>
            </w:tr>
          </w:tbl>
          <w:p w14:paraId="4F03F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表2-8  再生粗骨料吸水率</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1125"/>
              <w:gridCol w:w="1575"/>
              <w:gridCol w:w="1495"/>
            </w:tblGrid>
            <w:tr w14:paraId="0C11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58B6A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125" w:type="dxa"/>
                  <w:vAlign w:val="center"/>
                </w:tcPr>
                <w:p w14:paraId="1EE55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575" w:type="dxa"/>
                  <w:vAlign w:val="center"/>
                </w:tcPr>
                <w:p w14:paraId="5A333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495" w:type="dxa"/>
                  <w:vAlign w:val="center"/>
                </w:tcPr>
                <w:p w14:paraId="5DE1F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465A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1AEFB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吸水率（</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按质量计</w:t>
                  </w: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w:t>
                  </w:r>
                </w:p>
              </w:tc>
              <w:tc>
                <w:tcPr>
                  <w:tcW w:w="1125" w:type="dxa"/>
                  <w:vAlign w:val="center"/>
                </w:tcPr>
                <w:p w14:paraId="7969E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＜3.0</w:t>
                  </w:r>
                </w:p>
              </w:tc>
              <w:tc>
                <w:tcPr>
                  <w:tcW w:w="1575" w:type="dxa"/>
                  <w:vAlign w:val="center"/>
                </w:tcPr>
                <w:p w14:paraId="51553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＜5.0</w:t>
                  </w:r>
                </w:p>
              </w:tc>
              <w:tc>
                <w:tcPr>
                  <w:tcW w:w="1495" w:type="dxa"/>
                  <w:vAlign w:val="center"/>
                </w:tcPr>
                <w:p w14:paraId="0395E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＜8.0</w:t>
                  </w:r>
                </w:p>
              </w:tc>
            </w:tr>
            <w:tr w14:paraId="0B19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44EFC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《混凝土用再生粗骨料》（GB/T25177-2010）</w:t>
                  </w:r>
                </w:p>
              </w:tc>
            </w:tr>
          </w:tbl>
          <w:p w14:paraId="7A857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表2-9  再生粗骨料中有害物质含量</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1287"/>
              <w:gridCol w:w="1225"/>
              <w:gridCol w:w="1282"/>
            </w:tblGrid>
            <w:tr w14:paraId="120D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7" w:type="dxa"/>
                  <w:vAlign w:val="center"/>
                </w:tcPr>
                <w:p w14:paraId="44C50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287" w:type="dxa"/>
                  <w:vAlign w:val="center"/>
                </w:tcPr>
                <w:p w14:paraId="5E9F4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225" w:type="dxa"/>
                  <w:vAlign w:val="center"/>
                </w:tcPr>
                <w:p w14:paraId="1ECCD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282" w:type="dxa"/>
                  <w:vAlign w:val="center"/>
                </w:tcPr>
                <w:p w14:paraId="422C9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6759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7" w:type="dxa"/>
                  <w:vAlign w:val="center"/>
                </w:tcPr>
                <w:p w14:paraId="16A48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有机物</w:t>
                  </w:r>
                </w:p>
              </w:tc>
              <w:tc>
                <w:tcPr>
                  <w:tcW w:w="3794" w:type="dxa"/>
                  <w:gridSpan w:val="3"/>
                  <w:vAlign w:val="center"/>
                </w:tcPr>
                <w:p w14:paraId="455446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合格</w:t>
                  </w:r>
                </w:p>
              </w:tc>
            </w:tr>
            <w:tr w14:paraId="2642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7" w:type="dxa"/>
                  <w:vAlign w:val="center"/>
                </w:tcPr>
                <w:p w14:paraId="5D157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硫化物及硫酸盐（折算成</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SO</w:t>
                  </w:r>
                  <w:r>
                    <w:rPr>
                      <w:rFonts w:hint="eastAsia" w:ascii="Times New Roman" w:hAnsi="Times New Roman" w:eastAsia="宋体" w:cs="Times New Roman"/>
                      <w:b w:val="0"/>
                      <w:bCs w:val="0"/>
                      <w:iCs/>
                      <w:snapToGrid w:val="0"/>
                      <w:color w:val="auto"/>
                      <w:spacing w:val="0"/>
                      <w:kern w:val="0"/>
                      <w:sz w:val="21"/>
                      <w:szCs w:val="20"/>
                      <w:highlight w:val="none"/>
                      <w:vertAlign w:val="subscript"/>
                      <w:lang w:val="en-US" w:eastAsia="zh-CN" w:bidi="ar-SA"/>
                    </w:rPr>
                    <w:t>3</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，按质量计</w:t>
                  </w: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w:t>
                  </w:r>
                </w:p>
              </w:tc>
              <w:tc>
                <w:tcPr>
                  <w:tcW w:w="3794" w:type="dxa"/>
                  <w:gridSpan w:val="3"/>
                  <w:vAlign w:val="center"/>
                </w:tcPr>
                <w:p w14:paraId="466EC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＜2.0</w:t>
                  </w:r>
                </w:p>
              </w:tc>
            </w:tr>
            <w:tr w14:paraId="63B6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7" w:type="dxa"/>
                  <w:vAlign w:val="center"/>
                </w:tcPr>
                <w:p w14:paraId="6A52E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氯化物（以氯离子质量计）</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w:t>
                  </w:r>
                </w:p>
              </w:tc>
              <w:tc>
                <w:tcPr>
                  <w:tcW w:w="3794" w:type="dxa"/>
                  <w:gridSpan w:val="3"/>
                  <w:vAlign w:val="center"/>
                </w:tcPr>
                <w:p w14:paraId="18D7D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＜0.06</w:t>
                  </w:r>
                </w:p>
              </w:tc>
            </w:tr>
            <w:tr w14:paraId="5EE8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2B79C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《混凝土用再生粗骨料》（GB/T25177-2010）</w:t>
                  </w:r>
                </w:p>
              </w:tc>
            </w:tr>
          </w:tbl>
          <w:p w14:paraId="30BD9B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表2-10  再生粗骨料杂志含量</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1125"/>
              <w:gridCol w:w="1575"/>
              <w:gridCol w:w="1495"/>
            </w:tblGrid>
            <w:tr w14:paraId="63C1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3896" w:type="dxa"/>
                  <w:vAlign w:val="center"/>
                </w:tcPr>
                <w:p w14:paraId="1E910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125" w:type="dxa"/>
                  <w:vAlign w:val="center"/>
                </w:tcPr>
                <w:p w14:paraId="54C8A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575" w:type="dxa"/>
                  <w:vAlign w:val="center"/>
                </w:tcPr>
                <w:p w14:paraId="79A81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495" w:type="dxa"/>
                  <w:vAlign w:val="center"/>
                </w:tcPr>
                <w:p w14:paraId="0C1B2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2113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362CC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杂物（</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按质量计</w:t>
                  </w: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w:t>
                  </w:r>
                </w:p>
              </w:tc>
              <w:tc>
                <w:tcPr>
                  <w:tcW w:w="4195" w:type="dxa"/>
                  <w:gridSpan w:val="3"/>
                  <w:vAlign w:val="center"/>
                </w:tcPr>
                <w:p w14:paraId="33DDE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＜1.0</w:t>
                  </w:r>
                </w:p>
              </w:tc>
            </w:tr>
            <w:tr w14:paraId="1EE4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0265B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《混凝土用再生粗骨料》（GB/T25177-2010）</w:t>
                  </w:r>
                </w:p>
              </w:tc>
            </w:tr>
          </w:tbl>
          <w:p w14:paraId="7793D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表2-11  再生粗骨料坚固性指标</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1398"/>
              <w:gridCol w:w="1302"/>
              <w:gridCol w:w="1495"/>
            </w:tblGrid>
            <w:tr w14:paraId="2C42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7FAAB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398" w:type="dxa"/>
                  <w:vAlign w:val="center"/>
                </w:tcPr>
                <w:p w14:paraId="12882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302" w:type="dxa"/>
                  <w:vAlign w:val="center"/>
                </w:tcPr>
                <w:p w14:paraId="66AE7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495" w:type="dxa"/>
                  <w:vAlign w:val="center"/>
                </w:tcPr>
                <w:p w14:paraId="407C8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71C6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96" w:type="dxa"/>
                  <w:vAlign w:val="center"/>
                </w:tcPr>
                <w:p w14:paraId="6CC3F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lang w:val="en-US" w:eastAsia="zh-CN" w:bidi="ar-SA"/>
                    </w:rPr>
                    <w:t>质量损失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w:t>
                  </w:r>
                </w:p>
              </w:tc>
              <w:tc>
                <w:tcPr>
                  <w:tcW w:w="1398" w:type="dxa"/>
                  <w:vAlign w:val="center"/>
                </w:tcPr>
                <w:p w14:paraId="40C31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＜5.0</w:t>
                  </w:r>
                </w:p>
              </w:tc>
              <w:tc>
                <w:tcPr>
                  <w:tcW w:w="1302" w:type="dxa"/>
                  <w:vAlign w:val="center"/>
                </w:tcPr>
                <w:p w14:paraId="3EAA3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＜10.0</w:t>
                  </w:r>
                </w:p>
              </w:tc>
              <w:tc>
                <w:tcPr>
                  <w:tcW w:w="1495" w:type="dxa"/>
                  <w:vAlign w:val="center"/>
                </w:tcPr>
                <w:p w14:paraId="223FA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＜15.0</w:t>
                  </w:r>
                </w:p>
              </w:tc>
            </w:tr>
            <w:tr w14:paraId="59A4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7362D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《混凝土用再生粗骨料》（GB/T25177-2010）</w:t>
                  </w:r>
                </w:p>
              </w:tc>
            </w:tr>
          </w:tbl>
          <w:p w14:paraId="69829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eastAsia" w:ascii="Times New Roman" w:hAnsi="Times New Roman" w:eastAsia="宋体" w:cs="Times New Roman"/>
                <w:b/>
                <w:bCs/>
                <w:iCs/>
                <w:snapToGrid w:val="0"/>
                <w:color w:val="auto"/>
                <w:spacing w:val="0"/>
                <w:kern w:val="0"/>
                <w:sz w:val="21"/>
                <w:szCs w:val="20"/>
                <w:highlight w:val="none"/>
                <w:lang w:val="en-US" w:eastAsia="zh-CN" w:bidi="ar-SA"/>
              </w:rPr>
              <w:t>表2-12  再生粗骨料坚固性指标</w:t>
            </w:r>
          </w:p>
          <w:tbl>
            <w:tblPr>
              <w:tblStyle w:val="2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3"/>
              <w:gridCol w:w="1725"/>
              <w:gridCol w:w="1725"/>
              <w:gridCol w:w="1748"/>
            </w:tblGrid>
            <w:tr w14:paraId="66B9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93" w:type="dxa"/>
                  <w:vAlign w:val="center"/>
                </w:tcPr>
                <w:p w14:paraId="091D6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项目</w:t>
                  </w:r>
                </w:p>
              </w:tc>
              <w:tc>
                <w:tcPr>
                  <w:tcW w:w="1725" w:type="dxa"/>
                  <w:vAlign w:val="center"/>
                </w:tcPr>
                <w:p w14:paraId="30150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Ⅰ</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725" w:type="dxa"/>
                  <w:vAlign w:val="center"/>
                </w:tcPr>
                <w:p w14:paraId="0BF60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Ⅱ</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c>
                <w:tcPr>
                  <w:tcW w:w="1748" w:type="dxa"/>
                  <w:vAlign w:val="center"/>
                </w:tcPr>
                <w:p w14:paraId="33BD4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Ⅲ</w:t>
                  </w: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类</w:t>
                  </w:r>
                </w:p>
              </w:tc>
            </w:tr>
            <w:tr w14:paraId="4E59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93" w:type="dxa"/>
                  <w:vAlign w:val="center"/>
                </w:tcPr>
                <w:p w14:paraId="49927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质量损失/%</w:t>
                  </w:r>
                </w:p>
              </w:tc>
              <w:tc>
                <w:tcPr>
                  <w:tcW w:w="1725" w:type="dxa"/>
                  <w:vAlign w:val="center"/>
                </w:tcPr>
                <w:p w14:paraId="11616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＜5.0</w:t>
                  </w:r>
                </w:p>
              </w:tc>
              <w:tc>
                <w:tcPr>
                  <w:tcW w:w="1725" w:type="dxa"/>
                  <w:vAlign w:val="center"/>
                </w:tcPr>
                <w:p w14:paraId="0EB5D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＜10.0</w:t>
                  </w:r>
                </w:p>
              </w:tc>
              <w:tc>
                <w:tcPr>
                  <w:tcW w:w="1748" w:type="dxa"/>
                  <w:vAlign w:val="center"/>
                </w:tcPr>
                <w:p w14:paraId="1459B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＜15.0</w:t>
                  </w:r>
                </w:p>
              </w:tc>
            </w:tr>
            <w:tr w14:paraId="48C1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91" w:type="dxa"/>
                  <w:gridSpan w:val="4"/>
                  <w:vAlign w:val="center"/>
                </w:tcPr>
                <w:p w14:paraId="14159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pPr>
                  <w:r>
                    <w:rPr>
                      <w:rFonts w:hint="eastAsia" w:ascii="Times New Roman" w:hAnsi="Times New Roman" w:eastAsia="宋体" w:cs="Times New Roman"/>
                      <w:b w:val="0"/>
                      <w:bCs w:val="0"/>
                      <w:iCs/>
                      <w:snapToGrid w:val="0"/>
                      <w:color w:val="auto"/>
                      <w:spacing w:val="0"/>
                      <w:kern w:val="0"/>
                      <w:sz w:val="21"/>
                      <w:szCs w:val="20"/>
                      <w:highlight w:val="none"/>
                      <w:vertAlign w:val="baseline"/>
                      <w:lang w:val="en-US" w:eastAsia="zh-CN" w:bidi="ar-SA"/>
                    </w:rPr>
                    <w:t>《混凝土用再生粗骨料》（GB/T25177-2010）</w:t>
                  </w:r>
                </w:p>
              </w:tc>
            </w:tr>
          </w:tbl>
          <w:p w14:paraId="6445709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四、</w:t>
            </w:r>
            <w:r>
              <w:rPr>
                <w:rFonts w:hint="default" w:ascii="Times New Roman" w:hAnsi="Times New Roman" w:eastAsia="宋体" w:cs="Times New Roman"/>
                <w:b/>
                <w:bCs w:val="0"/>
                <w:color w:val="auto"/>
                <w:spacing w:val="0"/>
                <w:sz w:val="24"/>
                <w:szCs w:val="24"/>
                <w:highlight w:val="none"/>
                <w:lang w:val="en-US" w:eastAsia="zh-CN"/>
              </w:rPr>
              <w:t>生产设备</w:t>
            </w:r>
          </w:p>
          <w:p w14:paraId="476AB6F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本项目主要设备见表2</w:t>
            </w:r>
            <w:r>
              <w:rPr>
                <w:rFonts w:hint="eastAsia" w:cs="Times New Roman"/>
                <w:bCs/>
                <w:color w:val="auto"/>
                <w:spacing w:val="0"/>
                <w:sz w:val="24"/>
                <w:szCs w:val="24"/>
                <w:highlight w:val="none"/>
                <w:lang w:val="en-US" w:eastAsia="zh-CN"/>
              </w:rPr>
              <w:t>-13</w:t>
            </w:r>
            <w:r>
              <w:rPr>
                <w:rFonts w:hint="default" w:ascii="Times New Roman" w:hAnsi="Times New Roman" w:eastAsia="宋体" w:cs="Times New Roman"/>
                <w:bCs/>
                <w:color w:val="auto"/>
                <w:spacing w:val="0"/>
                <w:sz w:val="24"/>
                <w:szCs w:val="24"/>
                <w:highlight w:val="none"/>
                <w:lang w:val="en-US" w:eastAsia="zh-CN"/>
              </w:rPr>
              <w:t>。</w:t>
            </w:r>
          </w:p>
          <w:p w14:paraId="33A25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宋体" w:cs="Times New Roman"/>
                <w:b/>
                <w:bCs/>
                <w:iCs/>
                <w:snapToGrid w:val="0"/>
                <w:color w:val="auto"/>
                <w:spacing w:val="0"/>
                <w:kern w:val="0"/>
                <w:sz w:val="21"/>
                <w:szCs w:val="20"/>
                <w:highlight w:val="none"/>
                <w:lang w:val="en-US" w:eastAsia="zh-CN" w:bidi="ar-SA"/>
              </w:rPr>
            </w:pPr>
            <w:r>
              <w:rPr>
                <w:rFonts w:hint="default" w:ascii="Times New Roman" w:hAnsi="Times New Roman" w:eastAsia="宋体" w:cs="Times New Roman"/>
                <w:b/>
                <w:bCs/>
                <w:iCs/>
                <w:snapToGrid w:val="0"/>
                <w:color w:val="auto"/>
                <w:spacing w:val="0"/>
                <w:kern w:val="0"/>
                <w:sz w:val="21"/>
                <w:szCs w:val="20"/>
                <w:highlight w:val="none"/>
                <w:lang w:val="en-US" w:eastAsia="zh-CN" w:bidi="ar-SA"/>
              </w:rPr>
              <w:t>表2-</w:t>
            </w:r>
            <w:r>
              <w:rPr>
                <w:rFonts w:hint="eastAsia" w:cs="Times New Roman"/>
                <w:b/>
                <w:bCs/>
                <w:iCs/>
                <w:snapToGrid w:val="0"/>
                <w:color w:val="auto"/>
                <w:spacing w:val="0"/>
                <w:kern w:val="0"/>
                <w:sz w:val="21"/>
                <w:szCs w:val="20"/>
                <w:highlight w:val="none"/>
                <w:lang w:val="en-US" w:eastAsia="zh-CN" w:bidi="ar-SA"/>
              </w:rPr>
              <w:t>1</w:t>
            </w:r>
            <w:r>
              <w:rPr>
                <w:rFonts w:hint="default" w:ascii="Times New Roman" w:hAnsi="Times New Roman" w:eastAsia="宋体" w:cs="Times New Roman"/>
                <w:b/>
                <w:bCs/>
                <w:iCs/>
                <w:snapToGrid w:val="0"/>
                <w:color w:val="auto"/>
                <w:spacing w:val="0"/>
                <w:kern w:val="0"/>
                <w:sz w:val="21"/>
                <w:szCs w:val="20"/>
                <w:highlight w:val="none"/>
                <w:lang w:val="en-US" w:eastAsia="zh-CN" w:bidi="ar-SA"/>
              </w:rPr>
              <w:t>3  主要设备表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3"/>
              <w:gridCol w:w="1581"/>
              <w:gridCol w:w="692"/>
              <w:gridCol w:w="1119"/>
              <w:gridCol w:w="1996"/>
              <w:gridCol w:w="690"/>
            </w:tblGrid>
            <w:tr w14:paraId="6EC3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 w:type="pct"/>
                  <w:tcBorders>
                    <w:tl2br w:val="nil"/>
                    <w:tr2bl w:val="nil"/>
                  </w:tcBorders>
                  <w:vAlign w:val="center"/>
                </w:tcPr>
                <w:p w14:paraId="060A97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rPr>
                  </w:pPr>
                  <w:r>
                    <w:rPr>
                      <w:rFonts w:hint="default" w:ascii="Times New Roman" w:hAnsi="Times New Roman" w:eastAsia="宋体" w:cs="Times New Roman"/>
                      <w:b/>
                      <w:bCs/>
                      <w:color w:val="auto"/>
                      <w:spacing w:val="0"/>
                      <w:w w:val="100"/>
                      <w:kern w:val="0"/>
                      <w:sz w:val="21"/>
                      <w:szCs w:val="21"/>
                      <w:highlight w:val="none"/>
                    </w:rPr>
                    <w:t>序号</w:t>
                  </w:r>
                </w:p>
              </w:tc>
              <w:tc>
                <w:tcPr>
                  <w:tcW w:w="800" w:type="pct"/>
                  <w:tcBorders>
                    <w:tl2br w:val="nil"/>
                    <w:tr2bl w:val="nil"/>
                  </w:tcBorders>
                  <w:vAlign w:val="center"/>
                </w:tcPr>
                <w:p w14:paraId="1E0CB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rPr>
                  </w:pPr>
                  <w:r>
                    <w:rPr>
                      <w:rFonts w:hint="default" w:ascii="Times New Roman" w:hAnsi="Times New Roman" w:eastAsia="宋体" w:cs="Times New Roman"/>
                      <w:b/>
                      <w:bCs/>
                      <w:color w:val="auto"/>
                      <w:spacing w:val="0"/>
                      <w:w w:val="100"/>
                      <w:kern w:val="0"/>
                      <w:sz w:val="21"/>
                      <w:szCs w:val="21"/>
                      <w:highlight w:val="none"/>
                    </w:rPr>
                    <w:t>设备名称</w:t>
                  </w:r>
                </w:p>
              </w:tc>
              <w:tc>
                <w:tcPr>
                  <w:tcW w:w="978" w:type="pct"/>
                  <w:tcBorders>
                    <w:tl2br w:val="nil"/>
                    <w:tr2bl w:val="nil"/>
                  </w:tcBorders>
                  <w:vAlign w:val="center"/>
                </w:tcPr>
                <w:p w14:paraId="73F91B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rPr>
                  </w:pPr>
                  <w:r>
                    <w:rPr>
                      <w:rFonts w:hint="default" w:ascii="Times New Roman" w:hAnsi="Times New Roman" w:eastAsia="宋体" w:cs="Times New Roman"/>
                      <w:b/>
                      <w:bCs/>
                      <w:color w:val="auto"/>
                      <w:spacing w:val="0"/>
                      <w:w w:val="100"/>
                      <w:kern w:val="0"/>
                      <w:sz w:val="21"/>
                      <w:szCs w:val="21"/>
                      <w:highlight w:val="none"/>
                    </w:rPr>
                    <w:t>规格型号</w:t>
                  </w:r>
                </w:p>
              </w:tc>
              <w:tc>
                <w:tcPr>
                  <w:tcW w:w="428" w:type="pct"/>
                  <w:tcBorders>
                    <w:tl2br w:val="nil"/>
                    <w:tr2bl w:val="nil"/>
                  </w:tcBorders>
                  <w:vAlign w:val="center"/>
                </w:tcPr>
                <w:p w14:paraId="265A69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lang w:val="en-US" w:eastAsia="zh-CN"/>
                    </w:rPr>
                  </w:pPr>
                  <w:r>
                    <w:rPr>
                      <w:rFonts w:hint="default" w:ascii="Times New Roman" w:hAnsi="Times New Roman" w:eastAsia="宋体" w:cs="Times New Roman"/>
                      <w:b/>
                      <w:bCs/>
                      <w:color w:val="auto"/>
                      <w:spacing w:val="0"/>
                      <w:w w:val="100"/>
                      <w:kern w:val="0"/>
                      <w:sz w:val="21"/>
                      <w:szCs w:val="21"/>
                      <w:highlight w:val="none"/>
                      <w:lang w:eastAsia="zh-CN"/>
                    </w:rPr>
                    <w:t>数量</w:t>
                  </w:r>
                </w:p>
              </w:tc>
              <w:tc>
                <w:tcPr>
                  <w:tcW w:w="692" w:type="pct"/>
                  <w:tcBorders>
                    <w:tl2br w:val="nil"/>
                    <w:tr2bl w:val="nil"/>
                  </w:tcBorders>
                  <w:vAlign w:val="center"/>
                </w:tcPr>
                <w:p w14:paraId="0651C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0"/>
                      <w:w w:val="100"/>
                      <w:kern w:val="0"/>
                      <w:sz w:val="21"/>
                      <w:szCs w:val="21"/>
                      <w:highlight w:val="none"/>
                      <w:lang w:eastAsia="zh-CN"/>
                    </w:rPr>
                  </w:pPr>
                  <w:r>
                    <w:rPr>
                      <w:rFonts w:hint="eastAsia" w:cs="Times New Roman"/>
                      <w:b/>
                      <w:bCs/>
                      <w:color w:val="auto"/>
                      <w:spacing w:val="0"/>
                      <w:w w:val="100"/>
                      <w:kern w:val="0"/>
                      <w:sz w:val="21"/>
                      <w:szCs w:val="21"/>
                      <w:highlight w:val="none"/>
                      <w:lang w:val="en-US" w:eastAsia="zh-CN"/>
                    </w:rPr>
                    <w:t>生产能力</w:t>
                  </w:r>
                </w:p>
              </w:tc>
              <w:tc>
                <w:tcPr>
                  <w:tcW w:w="1235" w:type="pct"/>
                  <w:tcBorders>
                    <w:tl2br w:val="nil"/>
                    <w:tr2bl w:val="nil"/>
                  </w:tcBorders>
                  <w:vAlign w:val="center"/>
                </w:tcPr>
                <w:p w14:paraId="3E7F1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参数</w:t>
                  </w:r>
                </w:p>
              </w:tc>
              <w:tc>
                <w:tcPr>
                  <w:tcW w:w="427" w:type="pct"/>
                  <w:tcBorders>
                    <w:tl2br w:val="nil"/>
                    <w:tr2bl w:val="nil"/>
                  </w:tcBorders>
                  <w:vAlign w:val="center"/>
                </w:tcPr>
                <w:p w14:paraId="3C375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备注</w:t>
                  </w:r>
                </w:p>
              </w:tc>
            </w:tr>
            <w:tr w14:paraId="7059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 w:type="pct"/>
                  <w:tcBorders>
                    <w:tl2br w:val="nil"/>
                    <w:tr2bl w:val="nil"/>
                  </w:tcBorders>
                  <w:vAlign w:val="center"/>
                </w:tcPr>
                <w:p w14:paraId="6F85A2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default" w:ascii="Times New Roman" w:hAnsi="Times New Roman" w:eastAsia="宋体" w:cs="Times New Roman"/>
                      <w:color w:val="auto"/>
                      <w:spacing w:val="0"/>
                      <w:w w:val="100"/>
                      <w:kern w:val="0"/>
                      <w:sz w:val="21"/>
                      <w:szCs w:val="21"/>
                      <w:highlight w:val="none"/>
                      <w:lang w:val="en-US" w:eastAsia="zh-CN" w:bidi="ar-SA"/>
                    </w:rPr>
                    <w:t>1</w:t>
                  </w:r>
                </w:p>
              </w:tc>
              <w:tc>
                <w:tcPr>
                  <w:tcW w:w="800" w:type="pct"/>
                  <w:tcBorders>
                    <w:tl2br w:val="nil"/>
                    <w:tr2bl w:val="nil"/>
                  </w:tcBorders>
                  <w:vAlign w:val="center"/>
                </w:tcPr>
                <w:p w14:paraId="769DE91E">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bCs/>
                      <w:color w:val="auto"/>
                      <w:szCs w:val="21"/>
                      <w:lang w:val="en-US" w:eastAsia="zh-CN"/>
                    </w:rPr>
                    <w:t>振动</w:t>
                  </w:r>
                  <w:r>
                    <w:rPr>
                      <w:rFonts w:hint="default"/>
                      <w:bCs/>
                      <w:color w:val="auto"/>
                      <w:szCs w:val="21"/>
                    </w:rPr>
                    <w:t>给料机</w:t>
                  </w:r>
                </w:p>
              </w:tc>
              <w:tc>
                <w:tcPr>
                  <w:tcW w:w="978" w:type="pct"/>
                  <w:tcBorders>
                    <w:tl2br w:val="nil"/>
                    <w:tr2bl w:val="nil"/>
                  </w:tcBorders>
                  <w:vAlign w:val="center"/>
                </w:tcPr>
                <w:p w14:paraId="7B7B2604">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default" w:ascii="Times New Roman" w:hAnsi="Times New Roman" w:eastAsia="宋体" w:cs="Times New Roman"/>
                      <w:b w:val="0"/>
                      <w:bCs w:val="0"/>
                      <w:color w:val="auto"/>
                      <w:spacing w:val="0"/>
                      <w:w w:val="100"/>
                      <w:kern w:val="0"/>
                      <w:sz w:val="21"/>
                      <w:szCs w:val="21"/>
                      <w:highlight w:val="none"/>
                      <w:lang w:val="en-US" w:eastAsia="zh-CN" w:bidi="zh-CN"/>
                    </w:rPr>
                    <w:t>GZD-960×3800</w:t>
                  </w:r>
                </w:p>
              </w:tc>
              <w:tc>
                <w:tcPr>
                  <w:tcW w:w="428" w:type="pct"/>
                  <w:tcBorders>
                    <w:tl2br w:val="nil"/>
                    <w:tr2bl w:val="nil"/>
                  </w:tcBorders>
                  <w:vAlign w:val="center"/>
                </w:tcPr>
                <w:p w14:paraId="57F28F73">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ascii="Times New Roman" w:hAnsi="Times New Roman" w:eastAsia="宋体" w:cs="Times New Roman"/>
                      <w:b w:val="0"/>
                      <w:bCs w:val="0"/>
                      <w:color w:val="auto"/>
                      <w:spacing w:val="0"/>
                      <w:w w:val="100"/>
                      <w:kern w:val="0"/>
                      <w:sz w:val="21"/>
                      <w:szCs w:val="21"/>
                      <w:highlight w:val="none"/>
                      <w:lang w:val="en-US" w:eastAsia="zh-CN" w:bidi="zh-CN"/>
                    </w:rPr>
                    <w:t>1</w:t>
                  </w:r>
                  <w:r>
                    <w:rPr>
                      <w:rFonts w:hint="eastAsia" w:ascii="Times New Roman" w:hAnsi="Times New Roman" w:eastAsia="宋体" w:cs="Times New Roman"/>
                      <w:b w:val="0"/>
                      <w:bCs w:val="0"/>
                      <w:color w:val="auto"/>
                      <w:spacing w:val="0"/>
                      <w:w w:val="100"/>
                      <w:kern w:val="0"/>
                      <w:sz w:val="21"/>
                      <w:szCs w:val="21"/>
                      <w:highlight w:val="none"/>
                      <w:lang w:val="en-US" w:eastAsia="zh-CN"/>
                    </w:rPr>
                    <w:t>台</w:t>
                  </w:r>
                </w:p>
              </w:tc>
              <w:tc>
                <w:tcPr>
                  <w:tcW w:w="692" w:type="pct"/>
                  <w:tcBorders>
                    <w:tl2br w:val="nil"/>
                    <w:tr2bl w:val="nil"/>
                  </w:tcBorders>
                  <w:vAlign w:val="center"/>
                </w:tcPr>
                <w:p w14:paraId="747796B1">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zCs w:val="21"/>
                      <w:lang w:val="en-US" w:eastAsia="zh-CN"/>
                    </w:rPr>
                    <w:t>40-60</w:t>
                  </w:r>
                  <w:r>
                    <w:rPr>
                      <w:rFonts w:hint="eastAsia" w:ascii="Times New Roman" w:hAnsi="Times New Roman" w:cs="Times New Roman"/>
                      <w:color w:val="auto"/>
                      <w:szCs w:val="21"/>
                      <w:lang w:val="en-US" w:eastAsia="zh-CN"/>
                    </w:rPr>
                    <w:t>t/h</w:t>
                  </w:r>
                </w:p>
              </w:tc>
              <w:tc>
                <w:tcPr>
                  <w:tcW w:w="1235" w:type="pct"/>
                  <w:tcBorders>
                    <w:tl2br w:val="nil"/>
                    <w:tr2bl w:val="nil"/>
                  </w:tcBorders>
                  <w:vAlign w:val="center"/>
                </w:tcPr>
                <w:p w14:paraId="79F59C03">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进料粒径≤500mm</w:t>
                  </w:r>
                </w:p>
              </w:tc>
              <w:tc>
                <w:tcPr>
                  <w:tcW w:w="427" w:type="pct"/>
                  <w:tcBorders>
                    <w:tl2br w:val="nil"/>
                    <w:tr2bl w:val="nil"/>
                  </w:tcBorders>
                  <w:vAlign w:val="center"/>
                </w:tcPr>
                <w:p w14:paraId="213B72AD">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新建</w:t>
                  </w:r>
                </w:p>
              </w:tc>
            </w:tr>
            <w:tr w14:paraId="0C01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 w:type="pct"/>
                  <w:tcBorders>
                    <w:tl2br w:val="nil"/>
                    <w:tr2bl w:val="nil"/>
                  </w:tcBorders>
                  <w:vAlign w:val="center"/>
                </w:tcPr>
                <w:p w14:paraId="16C79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ar-SA"/>
                    </w:rPr>
                    <w:t>2</w:t>
                  </w:r>
                </w:p>
              </w:tc>
              <w:tc>
                <w:tcPr>
                  <w:tcW w:w="800" w:type="pct"/>
                  <w:tcBorders>
                    <w:tl2br w:val="nil"/>
                    <w:tr2bl w:val="nil"/>
                  </w:tcBorders>
                  <w:vAlign w:val="center"/>
                </w:tcPr>
                <w:p w14:paraId="3B011B1B">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pacing w:val="0"/>
                      <w:w w:val="100"/>
                      <w:kern w:val="0"/>
                      <w:sz w:val="21"/>
                      <w:szCs w:val="21"/>
                      <w:highlight w:val="none"/>
                      <w:lang w:val="en-US" w:eastAsia="zh-CN" w:bidi="zh-CN"/>
                    </w:rPr>
                    <w:t>箱式破碎机</w:t>
                  </w:r>
                </w:p>
              </w:tc>
              <w:tc>
                <w:tcPr>
                  <w:tcW w:w="978" w:type="pct"/>
                  <w:tcBorders>
                    <w:tl2br w:val="nil"/>
                    <w:tr2bl w:val="nil"/>
                  </w:tcBorders>
                  <w:vAlign w:val="center"/>
                </w:tcPr>
                <w:p w14:paraId="47922776">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cs="Times New Roman"/>
                      <w:b w:val="0"/>
                      <w:bCs w:val="0"/>
                      <w:color w:val="auto"/>
                      <w:spacing w:val="0"/>
                      <w:w w:val="100"/>
                      <w:kern w:val="0"/>
                      <w:sz w:val="21"/>
                      <w:szCs w:val="21"/>
                      <w:highlight w:val="none"/>
                      <w:lang w:val="en-US" w:eastAsia="zh-CN" w:bidi="zh-CN"/>
                    </w:rPr>
                    <w:t>JC-1215</w:t>
                  </w:r>
                </w:p>
              </w:tc>
              <w:tc>
                <w:tcPr>
                  <w:tcW w:w="428" w:type="pct"/>
                  <w:tcBorders>
                    <w:tl2br w:val="nil"/>
                    <w:tr2bl w:val="nil"/>
                  </w:tcBorders>
                  <w:vAlign w:val="center"/>
                </w:tcPr>
                <w:p w14:paraId="3BE50106">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ascii="Times New Roman" w:hAnsi="Times New Roman" w:eastAsia="宋体" w:cs="Times New Roman"/>
                      <w:b w:val="0"/>
                      <w:bCs w:val="0"/>
                      <w:color w:val="auto"/>
                      <w:spacing w:val="0"/>
                      <w:w w:val="100"/>
                      <w:kern w:val="0"/>
                      <w:sz w:val="21"/>
                      <w:szCs w:val="21"/>
                      <w:highlight w:val="none"/>
                      <w:lang w:val="en-US" w:eastAsia="zh-CN" w:bidi="zh-CN"/>
                    </w:rPr>
                    <w:t>1</w:t>
                  </w:r>
                  <w:r>
                    <w:rPr>
                      <w:rFonts w:hint="eastAsia" w:ascii="Times New Roman" w:hAnsi="Times New Roman" w:eastAsia="宋体" w:cs="Times New Roman"/>
                      <w:b w:val="0"/>
                      <w:bCs w:val="0"/>
                      <w:color w:val="auto"/>
                      <w:spacing w:val="0"/>
                      <w:w w:val="100"/>
                      <w:kern w:val="0"/>
                      <w:sz w:val="21"/>
                      <w:szCs w:val="21"/>
                      <w:highlight w:val="none"/>
                      <w:lang w:val="en-US" w:eastAsia="zh-CN"/>
                    </w:rPr>
                    <w:t>台</w:t>
                  </w:r>
                </w:p>
              </w:tc>
              <w:tc>
                <w:tcPr>
                  <w:tcW w:w="692" w:type="pct"/>
                  <w:tcBorders>
                    <w:tl2br w:val="nil"/>
                    <w:tr2bl w:val="nil"/>
                  </w:tcBorders>
                  <w:vAlign w:val="center"/>
                </w:tcPr>
                <w:p w14:paraId="3A1B2D69">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zCs w:val="21"/>
                      <w:highlight w:val="none"/>
                      <w:lang w:val="en-US" w:eastAsia="zh-CN"/>
                    </w:rPr>
                    <w:t>50-60</w:t>
                  </w:r>
                  <w:r>
                    <w:rPr>
                      <w:rFonts w:hint="eastAsia" w:ascii="Times New Roman" w:hAnsi="Times New Roman" w:cs="Times New Roman"/>
                      <w:color w:val="auto"/>
                      <w:szCs w:val="21"/>
                      <w:lang w:val="en-US" w:eastAsia="zh-CN"/>
                    </w:rPr>
                    <w:t>t/h</w:t>
                  </w:r>
                </w:p>
              </w:tc>
              <w:tc>
                <w:tcPr>
                  <w:tcW w:w="1235" w:type="pct"/>
                  <w:tcBorders>
                    <w:tl2br w:val="nil"/>
                    <w:tr2bl w:val="nil"/>
                  </w:tcBorders>
                  <w:vAlign w:val="center"/>
                </w:tcPr>
                <w:p w14:paraId="46FEAB86">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Cs w:val="21"/>
                      <w:highlight w:val="none"/>
                      <w:lang w:val="en-US" w:eastAsia="zh-CN"/>
                    </w:rPr>
                  </w:pPr>
                  <w:r>
                    <w:rPr>
                      <w:rFonts w:hint="eastAsia" w:cs="Times New Roman"/>
                      <w:color w:val="auto"/>
                      <w:szCs w:val="21"/>
                      <w:lang w:val="en-US" w:eastAsia="zh-CN"/>
                    </w:rPr>
                    <w:t>进料粒径≤350mm</w:t>
                  </w:r>
                </w:p>
              </w:tc>
              <w:tc>
                <w:tcPr>
                  <w:tcW w:w="427" w:type="pct"/>
                  <w:tcBorders>
                    <w:tl2br w:val="nil"/>
                    <w:tr2bl w:val="nil"/>
                  </w:tcBorders>
                  <w:vAlign w:val="center"/>
                </w:tcPr>
                <w:p w14:paraId="73FA62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Cs w:val="21"/>
                      <w:lang w:val="en-US" w:eastAsia="zh-CN"/>
                    </w:rPr>
                  </w:pPr>
                  <w:r>
                    <w:rPr>
                      <w:rFonts w:hint="eastAsia" w:cs="Times New Roman"/>
                      <w:color w:val="auto"/>
                      <w:szCs w:val="21"/>
                      <w:lang w:val="en-US" w:eastAsia="zh-CN"/>
                    </w:rPr>
                    <w:t>新建</w:t>
                  </w:r>
                </w:p>
              </w:tc>
            </w:tr>
            <w:tr w14:paraId="5544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 w:type="pct"/>
                  <w:tcBorders>
                    <w:tl2br w:val="nil"/>
                    <w:tr2bl w:val="nil"/>
                  </w:tcBorders>
                  <w:vAlign w:val="center"/>
                </w:tcPr>
                <w:p w14:paraId="1DFF0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ar-SA"/>
                    </w:rPr>
                    <w:t>3</w:t>
                  </w:r>
                </w:p>
              </w:tc>
              <w:tc>
                <w:tcPr>
                  <w:tcW w:w="800" w:type="pct"/>
                  <w:tcBorders>
                    <w:tl2br w:val="nil"/>
                    <w:tr2bl w:val="nil"/>
                  </w:tcBorders>
                  <w:vAlign w:val="center"/>
                </w:tcPr>
                <w:p w14:paraId="6CE655AF">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pacing w:val="0"/>
                      <w:w w:val="100"/>
                      <w:kern w:val="0"/>
                      <w:sz w:val="21"/>
                      <w:szCs w:val="21"/>
                      <w:highlight w:val="none"/>
                      <w:lang w:val="en-US" w:eastAsia="zh-CN" w:bidi="zh-CN"/>
                    </w:rPr>
                    <w:t>锤式制砂机</w:t>
                  </w:r>
                </w:p>
              </w:tc>
              <w:tc>
                <w:tcPr>
                  <w:tcW w:w="978" w:type="pct"/>
                  <w:tcBorders>
                    <w:tl2br w:val="nil"/>
                    <w:tr2bl w:val="nil"/>
                  </w:tcBorders>
                  <w:vAlign w:val="center"/>
                </w:tcPr>
                <w:p w14:paraId="7D5ABBA6">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cs="Times New Roman"/>
                      <w:b w:val="0"/>
                      <w:bCs w:val="0"/>
                      <w:color w:val="auto"/>
                      <w:spacing w:val="0"/>
                      <w:w w:val="100"/>
                      <w:kern w:val="0"/>
                      <w:sz w:val="21"/>
                      <w:szCs w:val="21"/>
                      <w:highlight w:val="none"/>
                      <w:lang w:val="en-US" w:eastAsia="zh-CN" w:bidi="zh-CN"/>
                    </w:rPr>
                    <w:t>PX-1414</w:t>
                  </w:r>
                </w:p>
              </w:tc>
              <w:tc>
                <w:tcPr>
                  <w:tcW w:w="428" w:type="pct"/>
                  <w:tcBorders>
                    <w:tl2br w:val="nil"/>
                    <w:tr2bl w:val="nil"/>
                  </w:tcBorders>
                  <w:vAlign w:val="center"/>
                </w:tcPr>
                <w:p w14:paraId="03297FE7">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ascii="Times New Roman" w:hAnsi="Times New Roman" w:eastAsia="宋体" w:cs="Times New Roman"/>
                      <w:b w:val="0"/>
                      <w:bCs w:val="0"/>
                      <w:color w:val="auto"/>
                      <w:spacing w:val="0"/>
                      <w:w w:val="100"/>
                      <w:kern w:val="0"/>
                      <w:sz w:val="21"/>
                      <w:szCs w:val="21"/>
                      <w:highlight w:val="none"/>
                      <w:lang w:val="en-US" w:eastAsia="zh-CN" w:bidi="zh-CN"/>
                    </w:rPr>
                    <w:t>1</w:t>
                  </w:r>
                  <w:r>
                    <w:rPr>
                      <w:rFonts w:hint="eastAsia" w:ascii="Times New Roman" w:hAnsi="Times New Roman" w:eastAsia="宋体" w:cs="Times New Roman"/>
                      <w:b w:val="0"/>
                      <w:bCs w:val="0"/>
                      <w:color w:val="auto"/>
                      <w:spacing w:val="0"/>
                      <w:w w:val="100"/>
                      <w:kern w:val="0"/>
                      <w:sz w:val="21"/>
                      <w:szCs w:val="21"/>
                      <w:highlight w:val="none"/>
                      <w:lang w:val="en-US" w:eastAsia="zh-CN"/>
                    </w:rPr>
                    <w:t>台</w:t>
                  </w:r>
                </w:p>
              </w:tc>
              <w:tc>
                <w:tcPr>
                  <w:tcW w:w="692" w:type="pct"/>
                  <w:tcBorders>
                    <w:tl2br w:val="nil"/>
                    <w:tr2bl w:val="nil"/>
                  </w:tcBorders>
                  <w:vAlign w:val="center"/>
                </w:tcPr>
                <w:p w14:paraId="78D62D83">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zCs w:val="21"/>
                      <w:lang w:val="en-US" w:eastAsia="zh-CN"/>
                    </w:rPr>
                    <w:t>55-60</w:t>
                  </w:r>
                  <w:r>
                    <w:rPr>
                      <w:rFonts w:hint="eastAsia" w:ascii="Times New Roman" w:hAnsi="Times New Roman" w:cs="Times New Roman"/>
                      <w:color w:val="auto"/>
                      <w:szCs w:val="21"/>
                      <w:lang w:val="en-US" w:eastAsia="zh-CN"/>
                    </w:rPr>
                    <w:t>t/h</w:t>
                  </w:r>
                </w:p>
              </w:tc>
              <w:tc>
                <w:tcPr>
                  <w:tcW w:w="1235" w:type="pct"/>
                  <w:tcBorders>
                    <w:tl2br w:val="nil"/>
                    <w:tr2bl w:val="nil"/>
                  </w:tcBorders>
                  <w:vAlign w:val="center"/>
                </w:tcPr>
                <w:p w14:paraId="779FCEDF">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Cs w:val="21"/>
                      <w:lang w:val="en-US" w:eastAsia="zh-CN"/>
                    </w:rPr>
                  </w:pPr>
                  <w:r>
                    <w:rPr>
                      <w:rFonts w:hint="eastAsia" w:cs="Times New Roman"/>
                      <w:color w:val="auto"/>
                      <w:szCs w:val="21"/>
                      <w:lang w:val="en-US" w:eastAsia="zh-CN"/>
                    </w:rPr>
                    <w:t>进料粒径≤200mm</w:t>
                  </w:r>
                </w:p>
              </w:tc>
              <w:tc>
                <w:tcPr>
                  <w:tcW w:w="427" w:type="pct"/>
                  <w:tcBorders>
                    <w:tl2br w:val="nil"/>
                    <w:tr2bl w:val="nil"/>
                  </w:tcBorders>
                  <w:vAlign w:val="center"/>
                </w:tcPr>
                <w:p w14:paraId="7A5689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Cs w:val="21"/>
                      <w:lang w:val="en-US" w:eastAsia="zh-CN"/>
                    </w:rPr>
                  </w:pPr>
                  <w:r>
                    <w:rPr>
                      <w:rFonts w:hint="eastAsia" w:cs="Times New Roman"/>
                      <w:color w:val="auto"/>
                      <w:szCs w:val="21"/>
                      <w:lang w:val="en-US" w:eastAsia="zh-CN"/>
                    </w:rPr>
                    <w:t>新建</w:t>
                  </w:r>
                </w:p>
              </w:tc>
            </w:tr>
            <w:tr w14:paraId="47F3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 w:type="pct"/>
                  <w:tcBorders>
                    <w:tl2br w:val="nil"/>
                    <w:tr2bl w:val="nil"/>
                  </w:tcBorders>
                  <w:vAlign w:val="center"/>
                </w:tcPr>
                <w:p w14:paraId="5A755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ar-SA"/>
                    </w:rPr>
                    <w:t>4</w:t>
                  </w:r>
                </w:p>
              </w:tc>
              <w:tc>
                <w:tcPr>
                  <w:tcW w:w="800" w:type="pct"/>
                  <w:tcBorders>
                    <w:tl2br w:val="nil"/>
                    <w:tr2bl w:val="nil"/>
                  </w:tcBorders>
                  <w:vAlign w:val="center"/>
                </w:tcPr>
                <w:p w14:paraId="52740B31">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pacing w:val="0"/>
                      <w:w w:val="100"/>
                      <w:kern w:val="0"/>
                      <w:sz w:val="21"/>
                      <w:szCs w:val="21"/>
                      <w:highlight w:val="none"/>
                      <w:lang w:val="en-US" w:eastAsia="zh-CN" w:bidi="zh-CN"/>
                    </w:rPr>
                    <w:t>振动筛</w:t>
                  </w:r>
                </w:p>
              </w:tc>
              <w:tc>
                <w:tcPr>
                  <w:tcW w:w="978" w:type="pct"/>
                  <w:tcBorders>
                    <w:tl2br w:val="nil"/>
                    <w:tr2bl w:val="nil"/>
                  </w:tcBorders>
                  <w:vAlign w:val="center"/>
                </w:tcPr>
                <w:p w14:paraId="02C7FAA8">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cs="Times New Roman"/>
                      <w:b w:val="0"/>
                      <w:bCs w:val="0"/>
                      <w:color w:val="auto"/>
                      <w:spacing w:val="0"/>
                      <w:w w:val="100"/>
                      <w:kern w:val="0"/>
                      <w:sz w:val="21"/>
                      <w:szCs w:val="21"/>
                      <w:highlight w:val="none"/>
                      <w:lang w:val="en-US" w:eastAsia="zh-CN" w:bidi="zh-CN"/>
                    </w:rPr>
                    <w:t>1860圆筛</w:t>
                  </w:r>
                </w:p>
              </w:tc>
              <w:tc>
                <w:tcPr>
                  <w:tcW w:w="428" w:type="pct"/>
                  <w:tcBorders>
                    <w:tl2br w:val="nil"/>
                    <w:tr2bl w:val="nil"/>
                  </w:tcBorders>
                  <w:vAlign w:val="center"/>
                </w:tcPr>
                <w:p w14:paraId="3DF54168">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cs="Times New Roman"/>
                      <w:b w:val="0"/>
                      <w:bCs w:val="0"/>
                      <w:color w:val="auto"/>
                      <w:spacing w:val="0"/>
                      <w:w w:val="100"/>
                      <w:kern w:val="0"/>
                      <w:sz w:val="21"/>
                      <w:szCs w:val="21"/>
                      <w:highlight w:val="none"/>
                      <w:lang w:val="en-US" w:eastAsia="zh-CN" w:bidi="zh-CN"/>
                    </w:rPr>
                    <w:t>1</w:t>
                  </w:r>
                  <w:r>
                    <w:rPr>
                      <w:rFonts w:hint="eastAsia" w:ascii="Times New Roman" w:hAnsi="Times New Roman" w:eastAsia="宋体" w:cs="Times New Roman"/>
                      <w:b w:val="0"/>
                      <w:bCs w:val="0"/>
                      <w:color w:val="auto"/>
                      <w:spacing w:val="0"/>
                      <w:w w:val="100"/>
                      <w:kern w:val="0"/>
                      <w:sz w:val="21"/>
                      <w:szCs w:val="21"/>
                      <w:highlight w:val="none"/>
                      <w:lang w:val="en-US" w:eastAsia="zh-CN"/>
                    </w:rPr>
                    <w:t>台</w:t>
                  </w:r>
                </w:p>
              </w:tc>
              <w:tc>
                <w:tcPr>
                  <w:tcW w:w="692" w:type="pct"/>
                  <w:tcBorders>
                    <w:tl2br w:val="nil"/>
                    <w:tr2bl w:val="nil"/>
                  </w:tcBorders>
                  <w:vAlign w:val="center"/>
                </w:tcPr>
                <w:p w14:paraId="36284FE0">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zCs w:val="21"/>
                      <w:lang w:val="en-US" w:eastAsia="zh-CN"/>
                    </w:rPr>
                    <w:t>55-6</w:t>
                  </w:r>
                  <w:r>
                    <w:rPr>
                      <w:rFonts w:hint="eastAsia" w:ascii="Times New Roman" w:hAnsi="Times New Roman" w:cs="Times New Roman"/>
                      <w:color w:val="auto"/>
                      <w:szCs w:val="21"/>
                      <w:lang w:val="en-US" w:eastAsia="zh-CN"/>
                    </w:rPr>
                    <w:t>0t/h</w:t>
                  </w:r>
                </w:p>
              </w:tc>
              <w:tc>
                <w:tcPr>
                  <w:tcW w:w="1235" w:type="pct"/>
                  <w:tcBorders>
                    <w:tl2br w:val="nil"/>
                    <w:tr2bl w:val="nil"/>
                  </w:tcBorders>
                  <w:vAlign w:val="center"/>
                </w:tcPr>
                <w:p w14:paraId="391F10C6">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3层筛面，单层筛面面积10.8m</w:t>
                  </w:r>
                  <w:r>
                    <w:rPr>
                      <w:rFonts w:hint="eastAsia" w:cs="Times New Roman"/>
                      <w:color w:val="auto"/>
                      <w:szCs w:val="21"/>
                      <w:vertAlign w:val="superscript"/>
                      <w:lang w:val="en-US" w:eastAsia="zh-CN"/>
                    </w:rPr>
                    <w:t>2</w:t>
                  </w:r>
                </w:p>
              </w:tc>
              <w:tc>
                <w:tcPr>
                  <w:tcW w:w="427" w:type="pct"/>
                  <w:tcBorders>
                    <w:tl2br w:val="nil"/>
                    <w:tr2bl w:val="nil"/>
                  </w:tcBorders>
                  <w:vAlign w:val="center"/>
                </w:tcPr>
                <w:p w14:paraId="087912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Cs w:val="21"/>
                      <w:lang w:val="en-US" w:eastAsia="zh-CN"/>
                    </w:rPr>
                  </w:pPr>
                  <w:r>
                    <w:rPr>
                      <w:rFonts w:hint="eastAsia" w:cs="Times New Roman"/>
                      <w:color w:val="auto"/>
                      <w:szCs w:val="21"/>
                      <w:lang w:val="en-US" w:eastAsia="zh-CN"/>
                    </w:rPr>
                    <w:t>新建</w:t>
                  </w:r>
                </w:p>
              </w:tc>
            </w:tr>
            <w:tr w14:paraId="5604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 w:type="pct"/>
                  <w:tcBorders>
                    <w:tl2br w:val="nil"/>
                    <w:tr2bl w:val="nil"/>
                  </w:tcBorders>
                  <w:vAlign w:val="center"/>
                </w:tcPr>
                <w:p w14:paraId="6915BC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ar-SA"/>
                    </w:rPr>
                    <w:t>5</w:t>
                  </w:r>
                </w:p>
              </w:tc>
              <w:tc>
                <w:tcPr>
                  <w:tcW w:w="800" w:type="pct"/>
                  <w:tcBorders>
                    <w:tl2br w:val="nil"/>
                    <w:tr2bl w:val="nil"/>
                  </w:tcBorders>
                  <w:vAlign w:val="center"/>
                </w:tcPr>
                <w:p w14:paraId="70157E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0"/>
                      <w:w w:val="100"/>
                      <w:kern w:val="0"/>
                      <w:sz w:val="21"/>
                      <w:szCs w:val="21"/>
                      <w:highlight w:val="none"/>
                      <w:lang w:val="en-US" w:eastAsia="zh-CN" w:bidi="zh-CN"/>
                    </w:rPr>
                  </w:pPr>
                  <w:r>
                    <w:rPr>
                      <w:rFonts w:hint="eastAsia"/>
                      <w:bCs/>
                      <w:color w:val="auto"/>
                      <w:szCs w:val="21"/>
                      <w:lang w:val="en-US" w:eastAsia="zh-CN"/>
                    </w:rPr>
                    <w:t>皮带输送机</w:t>
                  </w:r>
                </w:p>
              </w:tc>
              <w:tc>
                <w:tcPr>
                  <w:tcW w:w="978" w:type="pct"/>
                  <w:tcBorders>
                    <w:tl2br w:val="nil"/>
                    <w:tr2bl w:val="nil"/>
                  </w:tcBorders>
                  <w:vAlign w:val="center"/>
                </w:tcPr>
                <w:p w14:paraId="39FDE6F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0"/>
                      <w:w w:val="100"/>
                      <w:kern w:val="0"/>
                      <w:sz w:val="21"/>
                      <w:szCs w:val="21"/>
                      <w:highlight w:val="none"/>
                      <w:lang w:val="en-US" w:eastAsia="zh-CN" w:bidi="zh-CN"/>
                    </w:rPr>
                  </w:pPr>
                  <w:r>
                    <w:rPr>
                      <w:rFonts w:hint="eastAsia" w:cs="Times New Roman"/>
                      <w:b w:val="0"/>
                      <w:bCs w:val="0"/>
                      <w:color w:val="auto"/>
                      <w:spacing w:val="0"/>
                      <w:w w:val="100"/>
                      <w:kern w:val="0"/>
                      <w:sz w:val="21"/>
                      <w:szCs w:val="21"/>
                      <w:highlight w:val="none"/>
                      <w:lang w:val="en-US" w:eastAsia="zh-CN" w:bidi="zh-CN"/>
                    </w:rPr>
                    <w:t>B600</w:t>
                  </w:r>
                </w:p>
              </w:tc>
              <w:tc>
                <w:tcPr>
                  <w:tcW w:w="428" w:type="pct"/>
                  <w:tcBorders>
                    <w:tl2br w:val="nil"/>
                    <w:tr2bl w:val="nil"/>
                  </w:tcBorders>
                  <w:vAlign w:val="center"/>
                </w:tcPr>
                <w:p w14:paraId="3A094F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pacing w:val="0"/>
                      <w:w w:val="100"/>
                      <w:kern w:val="0"/>
                      <w:sz w:val="21"/>
                      <w:szCs w:val="21"/>
                      <w:highlight w:val="none"/>
                      <w:lang w:val="en-US" w:eastAsia="zh-CN" w:bidi="zh-CN"/>
                    </w:rPr>
                  </w:pPr>
                  <w:r>
                    <w:rPr>
                      <w:rFonts w:hint="eastAsia"/>
                      <w:b w:val="0"/>
                      <w:bCs w:val="0"/>
                      <w:color w:val="auto"/>
                      <w:szCs w:val="21"/>
                      <w:lang w:val="en-US" w:eastAsia="zh-CN"/>
                    </w:rPr>
                    <w:t>4</w:t>
                  </w:r>
                  <w:r>
                    <w:rPr>
                      <w:rFonts w:hint="eastAsia" w:ascii="Times New Roman" w:hAnsi="Times New Roman" w:eastAsia="宋体" w:cs="Times New Roman"/>
                      <w:b w:val="0"/>
                      <w:bCs w:val="0"/>
                      <w:color w:val="auto"/>
                      <w:spacing w:val="0"/>
                      <w:w w:val="100"/>
                      <w:kern w:val="0"/>
                      <w:sz w:val="21"/>
                      <w:szCs w:val="21"/>
                      <w:highlight w:val="none"/>
                      <w:lang w:val="en-US" w:eastAsia="zh-CN"/>
                    </w:rPr>
                    <w:t>台</w:t>
                  </w:r>
                </w:p>
              </w:tc>
              <w:tc>
                <w:tcPr>
                  <w:tcW w:w="692" w:type="pct"/>
                  <w:tcBorders>
                    <w:tl2br w:val="nil"/>
                    <w:tr2bl w:val="nil"/>
                  </w:tcBorders>
                  <w:vAlign w:val="center"/>
                </w:tcPr>
                <w:p w14:paraId="6B3B3D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w w:val="100"/>
                      <w:kern w:val="0"/>
                      <w:sz w:val="21"/>
                      <w:szCs w:val="21"/>
                      <w:highlight w:val="none"/>
                      <w:lang w:val="en-US" w:eastAsia="zh-CN" w:bidi="zh-CN"/>
                    </w:rPr>
                  </w:pPr>
                  <w:r>
                    <w:rPr>
                      <w:rFonts w:hint="eastAsia" w:cs="Times New Roman"/>
                      <w:color w:val="auto"/>
                      <w:szCs w:val="21"/>
                      <w:lang w:val="en-US" w:eastAsia="zh-CN"/>
                    </w:rPr>
                    <w:t>1-2m/s</w:t>
                  </w:r>
                </w:p>
              </w:tc>
              <w:tc>
                <w:tcPr>
                  <w:tcW w:w="1235" w:type="pct"/>
                  <w:tcBorders>
                    <w:tl2br w:val="nil"/>
                    <w:tr2bl w:val="nil"/>
                  </w:tcBorders>
                  <w:vAlign w:val="center"/>
                </w:tcPr>
                <w:p w14:paraId="0FB6800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Cs w:val="21"/>
                      <w:lang w:val="en-US" w:eastAsia="zh-CN"/>
                    </w:rPr>
                  </w:pPr>
                  <w:r>
                    <w:rPr>
                      <w:rFonts w:hint="eastAsia" w:cs="Times New Roman"/>
                      <w:color w:val="auto"/>
                      <w:szCs w:val="21"/>
                      <w:lang w:val="en-US" w:eastAsia="zh-CN"/>
                    </w:rPr>
                    <w:t>物料粒径≤100mm</w:t>
                  </w:r>
                </w:p>
              </w:tc>
              <w:tc>
                <w:tcPr>
                  <w:tcW w:w="427" w:type="pct"/>
                  <w:tcBorders>
                    <w:tl2br w:val="nil"/>
                    <w:tr2bl w:val="nil"/>
                  </w:tcBorders>
                  <w:vAlign w:val="center"/>
                </w:tcPr>
                <w:p w14:paraId="4600FF7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Cs w:val="21"/>
                      <w:lang w:val="en-US" w:eastAsia="zh-CN"/>
                    </w:rPr>
                  </w:pPr>
                  <w:r>
                    <w:rPr>
                      <w:rFonts w:hint="eastAsia" w:cs="Times New Roman"/>
                      <w:color w:val="auto"/>
                      <w:szCs w:val="21"/>
                      <w:lang w:val="en-US" w:eastAsia="zh-CN"/>
                    </w:rPr>
                    <w:t>新建</w:t>
                  </w:r>
                </w:p>
              </w:tc>
            </w:tr>
            <w:tr w14:paraId="5D74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 w:type="pct"/>
                  <w:tcBorders>
                    <w:tl2br w:val="nil"/>
                    <w:tr2bl w:val="nil"/>
                  </w:tcBorders>
                  <w:vAlign w:val="center"/>
                </w:tcPr>
                <w:p w14:paraId="207F6B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eastAsia" w:cs="Times New Roman"/>
                      <w:color w:val="auto"/>
                      <w:spacing w:val="0"/>
                      <w:w w:val="100"/>
                      <w:kern w:val="0"/>
                      <w:sz w:val="21"/>
                      <w:szCs w:val="21"/>
                      <w:highlight w:val="none"/>
                      <w:lang w:val="en-US" w:eastAsia="zh-CN" w:bidi="ar-SA"/>
                    </w:rPr>
                    <w:t>6</w:t>
                  </w:r>
                </w:p>
              </w:tc>
              <w:tc>
                <w:tcPr>
                  <w:tcW w:w="800" w:type="pct"/>
                  <w:tcBorders>
                    <w:tl2br w:val="nil"/>
                    <w:tr2bl w:val="nil"/>
                  </w:tcBorders>
                  <w:vAlign w:val="center"/>
                </w:tcPr>
                <w:p w14:paraId="30A298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bCs/>
                      <w:color w:val="auto"/>
                      <w:szCs w:val="21"/>
                      <w:lang w:val="en-US" w:eastAsia="zh-CN"/>
                    </w:rPr>
                  </w:pPr>
                  <w:r>
                    <w:rPr>
                      <w:rFonts w:hint="eastAsia"/>
                      <w:bCs/>
                      <w:color w:val="auto"/>
                      <w:szCs w:val="21"/>
                      <w:lang w:val="en-US" w:eastAsia="zh-CN"/>
                    </w:rPr>
                    <w:t>皮带输送机</w:t>
                  </w:r>
                </w:p>
              </w:tc>
              <w:tc>
                <w:tcPr>
                  <w:tcW w:w="978" w:type="pct"/>
                  <w:tcBorders>
                    <w:tl2br w:val="nil"/>
                    <w:tr2bl w:val="nil"/>
                  </w:tcBorders>
                  <w:vAlign w:val="center"/>
                </w:tcPr>
                <w:p w14:paraId="12C34D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eastAsia="宋体"/>
                      <w:color w:val="auto"/>
                      <w:szCs w:val="21"/>
                      <w:lang w:val="en-US" w:eastAsia="zh-CN"/>
                    </w:rPr>
                  </w:pPr>
                  <w:r>
                    <w:rPr>
                      <w:rFonts w:hint="default"/>
                      <w:color w:val="auto"/>
                      <w:szCs w:val="21"/>
                    </w:rPr>
                    <w:t>B</w:t>
                  </w:r>
                  <w:r>
                    <w:rPr>
                      <w:rFonts w:hint="eastAsia"/>
                      <w:color w:val="auto"/>
                      <w:szCs w:val="21"/>
                      <w:lang w:val="en-US" w:eastAsia="zh-CN"/>
                    </w:rPr>
                    <w:t>800</w:t>
                  </w:r>
                </w:p>
              </w:tc>
              <w:tc>
                <w:tcPr>
                  <w:tcW w:w="428" w:type="pct"/>
                  <w:tcBorders>
                    <w:tl2br w:val="nil"/>
                    <w:tr2bl w:val="nil"/>
                  </w:tcBorders>
                  <w:vAlign w:val="center"/>
                </w:tcPr>
                <w:p w14:paraId="6834F1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val="0"/>
                      <w:color w:val="auto"/>
                      <w:szCs w:val="21"/>
                      <w:lang w:val="en-US" w:eastAsia="zh-CN"/>
                    </w:rPr>
                  </w:pPr>
                  <w:r>
                    <w:rPr>
                      <w:rFonts w:hint="eastAsia"/>
                      <w:b w:val="0"/>
                      <w:bCs w:val="0"/>
                      <w:color w:val="auto"/>
                      <w:szCs w:val="21"/>
                      <w:lang w:val="en-US" w:eastAsia="zh-CN"/>
                    </w:rPr>
                    <w:t>5</w:t>
                  </w:r>
                  <w:r>
                    <w:rPr>
                      <w:rFonts w:hint="eastAsia" w:ascii="Times New Roman" w:hAnsi="Times New Roman" w:eastAsia="宋体" w:cs="Times New Roman"/>
                      <w:b w:val="0"/>
                      <w:bCs w:val="0"/>
                      <w:color w:val="auto"/>
                      <w:spacing w:val="0"/>
                      <w:w w:val="100"/>
                      <w:kern w:val="0"/>
                      <w:sz w:val="21"/>
                      <w:szCs w:val="21"/>
                      <w:highlight w:val="none"/>
                      <w:lang w:val="en-US" w:eastAsia="zh-CN"/>
                    </w:rPr>
                    <w:t>台</w:t>
                  </w:r>
                </w:p>
              </w:tc>
              <w:tc>
                <w:tcPr>
                  <w:tcW w:w="692" w:type="pct"/>
                  <w:tcBorders>
                    <w:tl2br w:val="nil"/>
                    <w:tr2bl w:val="nil"/>
                  </w:tcBorders>
                  <w:vAlign w:val="center"/>
                </w:tcPr>
                <w:p w14:paraId="09FB6E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1.25-2m/s</w:t>
                  </w:r>
                </w:p>
              </w:tc>
              <w:tc>
                <w:tcPr>
                  <w:tcW w:w="1235" w:type="pct"/>
                  <w:tcBorders>
                    <w:tl2br w:val="nil"/>
                    <w:tr2bl w:val="nil"/>
                  </w:tcBorders>
                  <w:vAlign w:val="center"/>
                </w:tcPr>
                <w:p w14:paraId="7AB78E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Cs w:val="21"/>
                      <w:lang w:val="en-US" w:eastAsia="zh-CN"/>
                    </w:rPr>
                  </w:pPr>
                  <w:r>
                    <w:rPr>
                      <w:rFonts w:hint="eastAsia" w:cs="Times New Roman"/>
                      <w:color w:val="auto"/>
                      <w:szCs w:val="21"/>
                      <w:lang w:val="en-US" w:eastAsia="zh-CN"/>
                    </w:rPr>
                    <w:t>物料粒径≤150mm</w:t>
                  </w:r>
                </w:p>
              </w:tc>
              <w:tc>
                <w:tcPr>
                  <w:tcW w:w="427" w:type="pct"/>
                  <w:tcBorders>
                    <w:tl2br w:val="nil"/>
                    <w:tr2bl w:val="nil"/>
                  </w:tcBorders>
                  <w:vAlign w:val="center"/>
                </w:tcPr>
                <w:p w14:paraId="39F854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Cs w:val="21"/>
                      <w:lang w:val="en-US" w:eastAsia="zh-CN"/>
                    </w:rPr>
                  </w:pPr>
                  <w:r>
                    <w:rPr>
                      <w:rFonts w:hint="eastAsia" w:cs="Times New Roman"/>
                      <w:color w:val="auto"/>
                      <w:szCs w:val="21"/>
                      <w:lang w:val="en-US" w:eastAsia="zh-CN"/>
                    </w:rPr>
                    <w:t>新建</w:t>
                  </w:r>
                </w:p>
              </w:tc>
            </w:tr>
          </w:tbl>
          <w:p w14:paraId="6E5FED26">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主要生产设备配置与设计生产能力匹配性分析：</w:t>
            </w:r>
          </w:p>
          <w:p w14:paraId="671CF4F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根据上述生产能力及设计工作制度，箱式破碎机按最大生产能力60</w:t>
            </w:r>
            <w:r>
              <w:rPr>
                <w:rFonts w:hint="eastAsia" w:ascii="Times New Roman" w:hAnsi="Times New Roman" w:cs="Times New Roman"/>
                <w:color w:val="auto"/>
                <w:sz w:val="24"/>
                <w:szCs w:val="24"/>
                <w:lang w:val="en-US" w:eastAsia="zh-CN"/>
              </w:rPr>
              <w:t>t/h，年处理能力为</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0t/h×</w:t>
            </w:r>
            <w:r>
              <w:rPr>
                <w:rFonts w:hint="eastAsia" w:cs="Times New Roman"/>
                <w:color w:val="auto"/>
                <w:sz w:val="24"/>
                <w:szCs w:val="24"/>
                <w:lang w:val="en-US" w:eastAsia="zh-CN"/>
              </w:rPr>
              <w:t>16</w:t>
            </w:r>
            <w:r>
              <w:rPr>
                <w:rFonts w:hint="eastAsia" w:ascii="Times New Roman" w:hAnsi="Times New Roman" w:cs="Times New Roman"/>
                <w:color w:val="auto"/>
                <w:sz w:val="24"/>
                <w:szCs w:val="24"/>
                <w:lang w:val="en-US" w:eastAsia="zh-CN"/>
              </w:rPr>
              <w:t>h×3</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0d=</w:t>
            </w:r>
            <w:r>
              <w:rPr>
                <w:rFonts w:hint="eastAsia" w:cs="Times New Roman"/>
                <w:color w:val="auto"/>
                <w:sz w:val="24"/>
                <w:szCs w:val="24"/>
                <w:lang w:val="en-US" w:eastAsia="zh-CN"/>
              </w:rPr>
              <w:t>31.68</w:t>
            </w:r>
            <w:r>
              <w:rPr>
                <w:rFonts w:hint="eastAsia" w:cs="Times New Roman"/>
                <w:b w:val="0"/>
                <w:bCs/>
                <w:color w:val="auto"/>
                <w:spacing w:val="0"/>
                <w:sz w:val="24"/>
                <w:szCs w:val="24"/>
                <w:highlight w:val="none"/>
                <w:lang w:val="en-US" w:eastAsia="zh-CN"/>
              </w:rPr>
              <w:t>万t/a；锤式制砂机按最大生产能力60</w:t>
            </w:r>
            <w:r>
              <w:rPr>
                <w:rFonts w:hint="eastAsia" w:ascii="Times New Roman" w:hAnsi="Times New Roman" w:cs="Times New Roman"/>
                <w:color w:val="auto"/>
                <w:sz w:val="24"/>
                <w:szCs w:val="24"/>
                <w:lang w:val="en-US" w:eastAsia="zh-CN"/>
              </w:rPr>
              <w:t>t/h，年处理能力为</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0t/h×</w:t>
            </w:r>
            <w:r>
              <w:rPr>
                <w:rFonts w:hint="eastAsia" w:cs="Times New Roman"/>
                <w:color w:val="auto"/>
                <w:sz w:val="24"/>
                <w:szCs w:val="24"/>
                <w:lang w:val="en-US" w:eastAsia="zh-CN"/>
              </w:rPr>
              <w:t>16</w:t>
            </w:r>
            <w:r>
              <w:rPr>
                <w:rFonts w:hint="eastAsia" w:ascii="Times New Roman" w:hAnsi="Times New Roman" w:cs="Times New Roman"/>
                <w:color w:val="auto"/>
                <w:sz w:val="24"/>
                <w:szCs w:val="24"/>
                <w:lang w:val="en-US" w:eastAsia="zh-CN"/>
              </w:rPr>
              <w:t>h×3</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0d=</w:t>
            </w:r>
            <w:r>
              <w:rPr>
                <w:rFonts w:hint="eastAsia" w:cs="Times New Roman"/>
                <w:color w:val="auto"/>
                <w:sz w:val="24"/>
                <w:szCs w:val="24"/>
                <w:lang w:val="en-US" w:eastAsia="zh-CN"/>
              </w:rPr>
              <w:t>31.68</w:t>
            </w:r>
            <w:r>
              <w:rPr>
                <w:rFonts w:hint="eastAsia" w:cs="Times New Roman"/>
                <w:b w:val="0"/>
                <w:bCs/>
                <w:color w:val="auto"/>
                <w:spacing w:val="0"/>
                <w:sz w:val="24"/>
                <w:szCs w:val="24"/>
                <w:highlight w:val="none"/>
                <w:lang w:val="en-US" w:eastAsia="zh-CN"/>
              </w:rPr>
              <w:t>万t/a；振动筛按最大生产能力60</w:t>
            </w:r>
            <w:r>
              <w:rPr>
                <w:rFonts w:hint="eastAsia" w:ascii="Times New Roman" w:hAnsi="Times New Roman" w:cs="Times New Roman"/>
                <w:color w:val="auto"/>
                <w:sz w:val="24"/>
                <w:szCs w:val="24"/>
                <w:lang w:val="en-US" w:eastAsia="zh-CN"/>
              </w:rPr>
              <w:t>t/h，年处理能力为</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0t/h×</w:t>
            </w:r>
            <w:r>
              <w:rPr>
                <w:rFonts w:hint="eastAsia" w:cs="Times New Roman"/>
                <w:color w:val="auto"/>
                <w:sz w:val="24"/>
                <w:szCs w:val="24"/>
                <w:lang w:val="en-US" w:eastAsia="zh-CN"/>
              </w:rPr>
              <w:t>16</w:t>
            </w:r>
            <w:r>
              <w:rPr>
                <w:rFonts w:hint="eastAsia" w:ascii="Times New Roman" w:hAnsi="Times New Roman" w:cs="Times New Roman"/>
                <w:color w:val="auto"/>
                <w:sz w:val="24"/>
                <w:szCs w:val="24"/>
                <w:lang w:val="en-US" w:eastAsia="zh-CN"/>
              </w:rPr>
              <w:t>h×3</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0d</w:t>
            </w:r>
            <w:r>
              <w:rPr>
                <w:rFonts w:hint="eastAsia" w:cs="Times New Roman"/>
                <w:color w:val="auto"/>
                <w:sz w:val="24"/>
                <w:szCs w:val="24"/>
                <w:lang w:val="en-US" w:eastAsia="zh-CN"/>
              </w:rPr>
              <w:t>=31.68</w:t>
            </w:r>
            <w:r>
              <w:rPr>
                <w:rFonts w:hint="eastAsia" w:cs="Times New Roman"/>
                <w:b w:val="0"/>
                <w:bCs/>
                <w:color w:val="auto"/>
                <w:spacing w:val="0"/>
                <w:sz w:val="24"/>
                <w:szCs w:val="24"/>
                <w:highlight w:val="none"/>
                <w:lang w:val="en-US" w:eastAsia="zh-CN"/>
              </w:rPr>
              <w:t>万t/a；均满足本项目设计产能年处理30万吨建筑垃圾。</w:t>
            </w:r>
          </w:p>
          <w:p w14:paraId="04B8CC5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五、</w:t>
            </w:r>
            <w:r>
              <w:rPr>
                <w:rFonts w:hint="default" w:ascii="Times New Roman" w:hAnsi="Times New Roman" w:eastAsia="宋体" w:cs="Times New Roman"/>
                <w:b/>
                <w:bCs w:val="0"/>
                <w:color w:val="auto"/>
                <w:spacing w:val="0"/>
                <w:sz w:val="24"/>
                <w:szCs w:val="24"/>
                <w:highlight w:val="none"/>
                <w:lang w:val="en-US" w:eastAsia="zh-CN"/>
              </w:rPr>
              <w:t>原辅材料及能源消耗</w:t>
            </w:r>
          </w:p>
          <w:p w14:paraId="362AA88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原辅材料及</w:t>
            </w:r>
            <w:r>
              <w:rPr>
                <w:rFonts w:hint="eastAsia" w:ascii="Times New Roman" w:hAnsi="Times New Roman" w:eastAsia="宋体" w:cs="Times New Roman"/>
                <w:bCs/>
                <w:color w:val="auto"/>
                <w:spacing w:val="0"/>
                <w:sz w:val="24"/>
                <w:szCs w:val="24"/>
                <w:highlight w:val="none"/>
                <w:lang w:val="en-US" w:eastAsia="zh-CN"/>
              </w:rPr>
              <w:t>能源消耗</w:t>
            </w:r>
            <w:r>
              <w:rPr>
                <w:rFonts w:hint="default" w:ascii="Times New Roman" w:hAnsi="Times New Roman" w:eastAsia="宋体" w:cs="Times New Roman"/>
                <w:bCs/>
                <w:color w:val="auto"/>
                <w:spacing w:val="0"/>
                <w:sz w:val="24"/>
                <w:szCs w:val="24"/>
                <w:highlight w:val="none"/>
                <w:lang w:val="en-US" w:eastAsia="zh-CN"/>
              </w:rPr>
              <w:t>情况见2</w:t>
            </w:r>
            <w:r>
              <w:rPr>
                <w:rFonts w:hint="eastAsia" w:cs="Times New Roman"/>
                <w:bCs/>
                <w:color w:val="auto"/>
                <w:spacing w:val="0"/>
                <w:sz w:val="24"/>
                <w:szCs w:val="24"/>
                <w:highlight w:val="none"/>
                <w:lang w:val="en-US" w:eastAsia="zh-CN"/>
              </w:rPr>
              <w:t>-14</w:t>
            </w:r>
            <w:r>
              <w:rPr>
                <w:rFonts w:hint="default" w:ascii="Times New Roman" w:hAnsi="Times New Roman" w:eastAsia="宋体" w:cs="Times New Roman"/>
                <w:bCs/>
                <w:color w:val="auto"/>
                <w:spacing w:val="0"/>
                <w:sz w:val="24"/>
                <w:szCs w:val="24"/>
                <w:highlight w:val="none"/>
                <w:lang w:val="en-US" w:eastAsia="zh-CN"/>
              </w:rPr>
              <w:t>。</w:t>
            </w:r>
          </w:p>
          <w:p w14:paraId="1B68B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baseline"/>
              <w:rPr>
                <w:rFonts w:hint="default" w:ascii="Times New Roman" w:hAnsi="Times New Roman" w:eastAsia="宋体" w:cs="Times New Roman"/>
                <w:b/>
                <w:bCs/>
                <w:color w:val="auto"/>
                <w:spacing w:val="0"/>
                <w:sz w:val="24"/>
                <w:highlight w:val="none"/>
                <w:lang w:val="en-US" w:eastAsia="zh-CN"/>
              </w:rPr>
            </w:pPr>
            <w:r>
              <w:rPr>
                <w:rFonts w:hint="default" w:ascii="Times New Roman" w:hAnsi="Times New Roman" w:eastAsia="宋体" w:cs="Times New Roman"/>
                <w:b/>
                <w:bCs/>
                <w:iCs/>
                <w:snapToGrid w:val="0"/>
                <w:color w:val="auto"/>
                <w:spacing w:val="0"/>
                <w:kern w:val="0"/>
                <w:sz w:val="21"/>
                <w:szCs w:val="20"/>
                <w:highlight w:val="none"/>
                <w:lang w:val="en-US" w:eastAsia="zh-CN" w:bidi="ar-SA"/>
              </w:rPr>
              <w:t>表2-</w:t>
            </w:r>
            <w:r>
              <w:rPr>
                <w:rFonts w:hint="eastAsia" w:cs="Times New Roman"/>
                <w:b/>
                <w:bCs/>
                <w:iCs/>
                <w:snapToGrid w:val="0"/>
                <w:color w:val="auto"/>
                <w:spacing w:val="0"/>
                <w:kern w:val="0"/>
                <w:sz w:val="21"/>
                <w:szCs w:val="20"/>
                <w:highlight w:val="none"/>
                <w:lang w:val="en-US" w:eastAsia="zh-CN" w:bidi="ar-SA"/>
              </w:rPr>
              <w:t>1</w:t>
            </w:r>
            <w:r>
              <w:rPr>
                <w:rFonts w:hint="default" w:ascii="Times New Roman" w:hAnsi="Times New Roman" w:eastAsia="宋体" w:cs="Times New Roman"/>
                <w:b/>
                <w:bCs/>
                <w:iCs/>
                <w:snapToGrid w:val="0"/>
                <w:color w:val="auto"/>
                <w:spacing w:val="0"/>
                <w:kern w:val="0"/>
                <w:sz w:val="21"/>
                <w:szCs w:val="20"/>
                <w:highlight w:val="none"/>
                <w:lang w:val="en-US" w:eastAsia="zh-CN" w:bidi="ar-SA"/>
              </w:rPr>
              <w:t>4  原辅料及能源消耗一览表</w:t>
            </w:r>
          </w:p>
          <w:tbl>
            <w:tblPr>
              <w:tblStyle w:val="29"/>
              <w:tblW w:w="5000"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148"/>
              <w:gridCol w:w="1312"/>
              <w:gridCol w:w="1163"/>
              <w:gridCol w:w="3707"/>
            </w:tblGrid>
            <w:tr w14:paraId="3F8A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2" w:type="dxa"/>
                  <w:tcBorders>
                    <w:tl2br w:val="nil"/>
                    <w:tr2bl w:val="nil"/>
                  </w:tcBorders>
                  <w:vAlign w:val="center"/>
                </w:tcPr>
                <w:p w14:paraId="78CC1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序号</w:t>
                  </w:r>
                </w:p>
              </w:tc>
              <w:tc>
                <w:tcPr>
                  <w:tcW w:w="1148" w:type="dxa"/>
                  <w:tcBorders>
                    <w:tl2br w:val="nil"/>
                    <w:tr2bl w:val="nil"/>
                  </w:tcBorders>
                  <w:vAlign w:val="center"/>
                </w:tcPr>
                <w:p w14:paraId="4A3FBFA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cs="Times New Roman"/>
                      <w:b/>
                      <w:bCs/>
                      <w:color w:val="auto"/>
                      <w:szCs w:val="21"/>
                    </w:rPr>
                    <w:t>原材料</w:t>
                  </w:r>
                </w:p>
              </w:tc>
              <w:tc>
                <w:tcPr>
                  <w:tcW w:w="1312" w:type="dxa"/>
                  <w:tcBorders>
                    <w:tl2br w:val="nil"/>
                    <w:tr2bl w:val="nil"/>
                  </w:tcBorders>
                  <w:vAlign w:val="center"/>
                </w:tcPr>
                <w:p w14:paraId="737E03A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cs="Times New Roman"/>
                      <w:b/>
                      <w:bCs/>
                      <w:color w:val="auto"/>
                      <w:szCs w:val="21"/>
                    </w:rPr>
                    <w:t>单位</w:t>
                  </w:r>
                </w:p>
              </w:tc>
              <w:tc>
                <w:tcPr>
                  <w:tcW w:w="1163" w:type="dxa"/>
                  <w:tcBorders>
                    <w:tl2br w:val="nil"/>
                    <w:tr2bl w:val="nil"/>
                  </w:tcBorders>
                  <w:vAlign w:val="center"/>
                </w:tcPr>
                <w:p w14:paraId="5709161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pacing w:val="0"/>
                      <w:sz w:val="21"/>
                      <w:szCs w:val="21"/>
                      <w:highlight w:val="none"/>
                      <w:vertAlign w:val="baseline"/>
                      <w:lang w:val="en-US" w:eastAsia="zh-CN"/>
                    </w:rPr>
                  </w:pPr>
                  <w:r>
                    <w:rPr>
                      <w:rFonts w:hint="eastAsia" w:cs="Times New Roman"/>
                      <w:b/>
                      <w:bCs/>
                      <w:color w:val="auto"/>
                      <w:szCs w:val="21"/>
                      <w:lang w:val="en-US" w:eastAsia="zh-CN"/>
                    </w:rPr>
                    <w:t>年用量</w:t>
                  </w:r>
                </w:p>
              </w:tc>
              <w:tc>
                <w:tcPr>
                  <w:tcW w:w="3707" w:type="dxa"/>
                  <w:tcBorders>
                    <w:tl2br w:val="nil"/>
                    <w:tr2bl w:val="nil"/>
                  </w:tcBorders>
                  <w:vAlign w:val="center"/>
                </w:tcPr>
                <w:p w14:paraId="5C1577D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cs="Times New Roman"/>
                      <w:b/>
                      <w:bCs/>
                      <w:color w:val="auto"/>
                      <w:szCs w:val="21"/>
                    </w:rPr>
                    <w:t>备注</w:t>
                  </w:r>
                </w:p>
              </w:tc>
            </w:tr>
            <w:tr w14:paraId="3E02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2" w:type="dxa"/>
                  <w:tcBorders>
                    <w:tl2br w:val="nil"/>
                    <w:tr2bl w:val="nil"/>
                  </w:tcBorders>
                  <w:vAlign w:val="center"/>
                </w:tcPr>
                <w:p w14:paraId="087F4E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1</w:t>
                  </w:r>
                </w:p>
              </w:tc>
              <w:tc>
                <w:tcPr>
                  <w:tcW w:w="1148" w:type="dxa"/>
                  <w:tcBorders>
                    <w:tl2br w:val="nil"/>
                    <w:tr2bl w:val="nil"/>
                  </w:tcBorders>
                  <w:vAlign w:val="center"/>
                </w:tcPr>
                <w:p w14:paraId="5B79E44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eastAsia" w:eastAsia="宋体"/>
                      <w:color w:val="auto"/>
                      <w:lang w:val="en-US" w:eastAsia="zh-CN"/>
                    </w:rPr>
                    <w:t>建筑垃圾</w:t>
                  </w:r>
                </w:p>
              </w:tc>
              <w:tc>
                <w:tcPr>
                  <w:tcW w:w="1312" w:type="dxa"/>
                  <w:tcBorders>
                    <w:tl2br w:val="nil"/>
                    <w:tr2bl w:val="nil"/>
                  </w:tcBorders>
                  <w:vAlign w:val="center"/>
                </w:tcPr>
                <w:p w14:paraId="2633C11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bCs/>
                      <w:color w:val="auto"/>
                      <w:szCs w:val="21"/>
                    </w:rPr>
                    <w:t>t/a</w:t>
                  </w:r>
                </w:p>
              </w:tc>
              <w:tc>
                <w:tcPr>
                  <w:tcW w:w="1163" w:type="dxa"/>
                  <w:tcBorders>
                    <w:tl2br w:val="nil"/>
                    <w:tr2bl w:val="nil"/>
                  </w:tcBorders>
                  <w:vAlign w:val="center"/>
                </w:tcPr>
                <w:p w14:paraId="51A2824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auto"/>
                      <w:spacing w:val="0"/>
                      <w:kern w:val="2"/>
                      <w:sz w:val="21"/>
                      <w:szCs w:val="21"/>
                      <w:highlight w:val="none"/>
                      <w:lang w:val="en-US" w:eastAsia="zh-CN" w:bidi="ar-SA"/>
                    </w:rPr>
                  </w:pPr>
                  <w:r>
                    <w:rPr>
                      <w:rFonts w:hint="eastAsia"/>
                      <w:bCs/>
                      <w:color w:val="auto"/>
                      <w:szCs w:val="21"/>
                      <w:highlight w:val="none"/>
                      <w:lang w:val="en-US" w:eastAsia="zh-CN"/>
                    </w:rPr>
                    <w:t>30</w:t>
                  </w:r>
                  <w:r>
                    <w:rPr>
                      <w:rFonts w:hint="default"/>
                      <w:bCs/>
                      <w:color w:val="auto"/>
                      <w:szCs w:val="21"/>
                      <w:highlight w:val="none"/>
                    </w:rPr>
                    <w:t>万</w:t>
                  </w:r>
                </w:p>
              </w:tc>
              <w:tc>
                <w:tcPr>
                  <w:tcW w:w="3707" w:type="dxa"/>
                  <w:tcBorders>
                    <w:tl2br w:val="nil"/>
                    <w:tr2bl w:val="nil"/>
                  </w:tcBorders>
                  <w:vAlign w:val="center"/>
                </w:tcPr>
                <w:p w14:paraId="109D03E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rPr>
                      <w:rFonts w:hint="default"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cs="Times New Roman"/>
                      <w:color w:val="auto"/>
                      <w:kern w:val="0"/>
                      <w:szCs w:val="21"/>
                      <w:lang w:val="en-US" w:eastAsia="zh-CN" w:bidi="ar"/>
                    </w:rPr>
                    <w:t>屯留区</w:t>
                  </w:r>
                  <w:r>
                    <w:rPr>
                      <w:rFonts w:hint="eastAsia"/>
                      <w:color w:val="auto"/>
                      <w:sz w:val="21"/>
                      <w:szCs w:val="21"/>
                      <w:lang w:val="en-US" w:eastAsia="zh-CN"/>
                    </w:rPr>
                    <w:t>城市建筑拆迁、道路改造等产生的块状建筑垃圾（＜</w:t>
                  </w:r>
                  <w:r>
                    <w:rPr>
                      <w:rFonts w:hint="eastAsia" w:cs="Times New Roman"/>
                      <w:color w:val="auto"/>
                      <w:szCs w:val="21"/>
                      <w:lang w:val="en-US" w:eastAsia="zh-CN"/>
                    </w:rPr>
                    <w:t>500mm</w:t>
                  </w:r>
                  <w:r>
                    <w:rPr>
                      <w:rFonts w:hint="eastAsia"/>
                      <w:color w:val="auto"/>
                      <w:sz w:val="21"/>
                      <w:szCs w:val="21"/>
                      <w:lang w:val="en-US" w:eastAsia="zh-CN"/>
                    </w:rPr>
                    <w:t>），不含有钢筋、铁丝等</w:t>
                  </w:r>
                </w:p>
              </w:tc>
            </w:tr>
            <w:tr w14:paraId="192C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2" w:type="dxa"/>
                  <w:tcBorders>
                    <w:tl2br w:val="nil"/>
                    <w:tr2bl w:val="nil"/>
                  </w:tcBorders>
                  <w:vAlign w:val="center"/>
                </w:tcPr>
                <w:p w14:paraId="348BD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eastAsia" w:cs="Times New Roman"/>
                      <w:color w:val="auto"/>
                      <w:spacing w:val="0"/>
                      <w:sz w:val="21"/>
                      <w:szCs w:val="21"/>
                      <w:highlight w:val="none"/>
                      <w:vertAlign w:val="baseline"/>
                      <w:lang w:val="en-US" w:eastAsia="zh-CN"/>
                    </w:rPr>
                    <w:t>2</w:t>
                  </w:r>
                </w:p>
              </w:tc>
              <w:tc>
                <w:tcPr>
                  <w:tcW w:w="1148" w:type="dxa"/>
                  <w:tcBorders>
                    <w:tl2br w:val="nil"/>
                    <w:tr2bl w:val="nil"/>
                  </w:tcBorders>
                  <w:vAlign w:val="center"/>
                </w:tcPr>
                <w:p w14:paraId="753567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color w:val="auto"/>
                      <w:spacing w:val="6"/>
                      <w:szCs w:val="21"/>
                    </w:rPr>
                    <w:t>水</w:t>
                  </w:r>
                </w:p>
              </w:tc>
              <w:tc>
                <w:tcPr>
                  <w:tcW w:w="1312" w:type="dxa"/>
                  <w:tcBorders>
                    <w:tl2br w:val="nil"/>
                    <w:tr2bl w:val="nil"/>
                  </w:tcBorders>
                  <w:vAlign w:val="center"/>
                </w:tcPr>
                <w:p w14:paraId="0D2E949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eastAsia" w:cs="Times New Roman"/>
                      <w:color w:val="auto"/>
                      <w:spacing w:val="0"/>
                      <w:kern w:val="2"/>
                      <w:sz w:val="21"/>
                      <w:szCs w:val="21"/>
                      <w:highlight w:val="none"/>
                      <w:lang w:val="en-US" w:eastAsia="zh-CN" w:bidi="ar-SA"/>
                    </w:rPr>
                  </w:pPr>
                  <w:r>
                    <w:rPr>
                      <w:rFonts w:hint="default"/>
                      <w:color w:val="auto"/>
                      <w:spacing w:val="6"/>
                      <w:szCs w:val="21"/>
                      <w:highlight w:val="none"/>
                    </w:rPr>
                    <w:t>m</w:t>
                  </w:r>
                  <w:r>
                    <w:rPr>
                      <w:rFonts w:hint="default"/>
                      <w:color w:val="auto"/>
                      <w:spacing w:val="6"/>
                      <w:szCs w:val="21"/>
                      <w:highlight w:val="none"/>
                      <w:vertAlign w:val="superscript"/>
                    </w:rPr>
                    <w:t>3</w:t>
                  </w:r>
                  <w:r>
                    <w:rPr>
                      <w:rFonts w:hint="default"/>
                      <w:color w:val="auto"/>
                      <w:spacing w:val="6"/>
                      <w:szCs w:val="21"/>
                      <w:highlight w:val="none"/>
                    </w:rPr>
                    <w:t>/a</w:t>
                  </w:r>
                </w:p>
              </w:tc>
              <w:tc>
                <w:tcPr>
                  <w:tcW w:w="1163" w:type="dxa"/>
                  <w:tcBorders>
                    <w:tl2br w:val="nil"/>
                    <w:tr2bl w:val="nil"/>
                  </w:tcBorders>
                  <w:vAlign w:val="center"/>
                </w:tcPr>
                <w:p w14:paraId="7B2D76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2160</w:t>
                  </w:r>
                </w:p>
              </w:tc>
              <w:tc>
                <w:tcPr>
                  <w:tcW w:w="3707" w:type="dxa"/>
                  <w:tcBorders>
                    <w:tl2br w:val="nil"/>
                    <w:tr2bl w:val="nil"/>
                  </w:tcBorders>
                  <w:vAlign w:val="center"/>
                </w:tcPr>
                <w:p w14:paraId="5B8FE04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auto"/>
                      <w:spacing w:val="0"/>
                      <w:sz w:val="21"/>
                      <w:szCs w:val="21"/>
                      <w:highlight w:val="none"/>
                      <w:lang w:val="en-US" w:eastAsia="zh-CN"/>
                    </w:rPr>
                  </w:pPr>
                  <w:r>
                    <w:rPr>
                      <w:rFonts w:hint="eastAsia"/>
                      <w:color w:val="auto"/>
                      <w:szCs w:val="21"/>
                      <w:lang w:val="en-US" w:eastAsia="zh-CN"/>
                    </w:rPr>
                    <w:t>罐车从西酪余村拉运水</w:t>
                  </w:r>
                </w:p>
              </w:tc>
            </w:tr>
            <w:tr w14:paraId="2AC2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2" w:type="dxa"/>
                  <w:tcBorders>
                    <w:tl2br w:val="nil"/>
                    <w:tr2bl w:val="nil"/>
                  </w:tcBorders>
                  <w:vAlign w:val="center"/>
                </w:tcPr>
                <w:p w14:paraId="6A349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eastAsia" w:cs="Times New Roman"/>
                      <w:color w:val="auto"/>
                      <w:spacing w:val="0"/>
                      <w:sz w:val="21"/>
                      <w:szCs w:val="21"/>
                      <w:highlight w:val="none"/>
                      <w:vertAlign w:val="baseline"/>
                      <w:lang w:val="en-US" w:eastAsia="zh-CN"/>
                    </w:rPr>
                    <w:t>3</w:t>
                  </w:r>
                </w:p>
              </w:tc>
              <w:tc>
                <w:tcPr>
                  <w:tcW w:w="1148" w:type="dxa"/>
                  <w:tcBorders>
                    <w:tl2br w:val="nil"/>
                    <w:tr2bl w:val="nil"/>
                  </w:tcBorders>
                  <w:vAlign w:val="center"/>
                </w:tcPr>
                <w:p w14:paraId="66651BA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color w:val="auto"/>
                      <w:spacing w:val="6"/>
                      <w:szCs w:val="21"/>
                    </w:rPr>
                    <w:t>电</w:t>
                  </w:r>
                </w:p>
              </w:tc>
              <w:tc>
                <w:tcPr>
                  <w:tcW w:w="1312" w:type="dxa"/>
                  <w:tcBorders>
                    <w:tl2br w:val="nil"/>
                    <w:tr2bl w:val="nil"/>
                  </w:tcBorders>
                  <w:vAlign w:val="center"/>
                </w:tcPr>
                <w:p w14:paraId="35642E9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eastAsia" w:cs="Times New Roman"/>
                      <w:color w:val="auto"/>
                      <w:spacing w:val="0"/>
                      <w:kern w:val="2"/>
                      <w:sz w:val="21"/>
                      <w:szCs w:val="21"/>
                      <w:highlight w:val="none"/>
                      <w:lang w:val="en-US" w:eastAsia="zh-CN" w:bidi="ar-SA"/>
                    </w:rPr>
                  </w:pPr>
                  <w:r>
                    <w:rPr>
                      <w:rFonts w:hint="default"/>
                      <w:color w:val="auto"/>
                      <w:spacing w:val="6"/>
                      <w:szCs w:val="21"/>
                      <w:highlight w:val="none"/>
                    </w:rPr>
                    <w:t>万kWh/a</w:t>
                  </w:r>
                </w:p>
              </w:tc>
              <w:tc>
                <w:tcPr>
                  <w:tcW w:w="1163" w:type="dxa"/>
                  <w:tcBorders>
                    <w:tl2br w:val="nil"/>
                    <w:tr2bl w:val="nil"/>
                  </w:tcBorders>
                  <w:vAlign w:val="center"/>
                </w:tcPr>
                <w:p w14:paraId="0504EEE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cs="Times New Roman"/>
                      <w:color w:val="auto"/>
                      <w:spacing w:val="0"/>
                      <w:kern w:val="2"/>
                      <w:sz w:val="21"/>
                      <w:szCs w:val="21"/>
                      <w:highlight w:val="none"/>
                      <w:lang w:val="en-US" w:eastAsia="zh-CN" w:bidi="ar-SA"/>
                    </w:rPr>
                  </w:pPr>
                  <w:r>
                    <w:rPr>
                      <w:rFonts w:hint="eastAsia"/>
                      <w:color w:val="auto"/>
                      <w:spacing w:val="6"/>
                      <w:szCs w:val="21"/>
                      <w:highlight w:val="none"/>
                      <w:lang w:val="en-US" w:eastAsia="zh-CN"/>
                    </w:rPr>
                    <w:t>200</w:t>
                  </w:r>
                </w:p>
              </w:tc>
              <w:tc>
                <w:tcPr>
                  <w:tcW w:w="3707" w:type="dxa"/>
                  <w:tcBorders>
                    <w:tl2br w:val="nil"/>
                    <w:tr2bl w:val="nil"/>
                  </w:tcBorders>
                  <w:vAlign w:val="center"/>
                </w:tcPr>
                <w:p w14:paraId="018875E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西酪余村就近接入</w:t>
                  </w:r>
                  <w:r>
                    <w:rPr>
                      <w:rFonts w:hint="default" w:ascii="Times New Roman" w:hAnsi="Times New Roman" w:eastAsia="宋体" w:cs="Times New Roman"/>
                      <w:color w:val="auto"/>
                      <w:spacing w:val="0"/>
                      <w:kern w:val="2"/>
                      <w:sz w:val="21"/>
                      <w:szCs w:val="21"/>
                      <w:highlight w:val="none"/>
                      <w:lang w:val="en-US" w:eastAsia="zh-CN" w:bidi="ar-SA"/>
                    </w:rPr>
                    <w:t>，厂区内</w:t>
                  </w:r>
                  <w:r>
                    <w:rPr>
                      <w:rFonts w:hint="eastAsia" w:cs="Times New Roman"/>
                      <w:color w:val="auto"/>
                      <w:spacing w:val="0"/>
                      <w:kern w:val="2"/>
                      <w:sz w:val="21"/>
                      <w:szCs w:val="21"/>
                      <w:highlight w:val="none"/>
                      <w:lang w:val="en-US" w:eastAsia="zh-CN" w:bidi="ar-SA"/>
                    </w:rPr>
                    <w:t>设置</w:t>
                  </w:r>
                  <w:r>
                    <w:rPr>
                      <w:rFonts w:hint="default" w:ascii="Times New Roman" w:hAnsi="Times New Roman" w:eastAsia="宋体" w:cs="Times New Roman"/>
                      <w:color w:val="auto"/>
                      <w:spacing w:val="0"/>
                      <w:kern w:val="2"/>
                      <w:sz w:val="21"/>
                      <w:szCs w:val="21"/>
                      <w:highlight w:val="none"/>
                      <w:lang w:val="en-US" w:eastAsia="zh-CN" w:bidi="ar-SA"/>
                    </w:rPr>
                    <w:t>1台</w:t>
                  </w:r>
                  <w:r>
                    <w:rPr>
                      <w:rFonts w:hint="eastAsia" w:cs="Times New Roman"/>
                      <w:color w:val="auto"/>
                      <w:spacing w:val="0"/>
                      <w:kern w:val="2"/>
                      <w:sz w:val="21"/>
                      <w:szCs w:val="21"/>
                      <w:highlight w:val="none"/>
                      <w:lang w:val="en-US" w:eastAsia="zh-CN" w:bidi="ar-SA"/>
                    </w:rPr>
                    <w:t>5</w:t>
                  </w:r>
                  <w:r>
                    <w:rPr>
                      <w:rFonts w:hint="default" w:ascii="Times New Roman" w:hAnsi="Times New Roman" w:eastAsia="宋体" w:cs="Times New Roman"/>
                      <w:color w:val="auto"/>
                      <w:spacing w:val="0"/>
                      <w:kern w:val="2"/>
                      <w:sz w:val="21"/>
                      <w:szCs w:val="21"/>
                      <w:highlight w:val="none"/>
                      <w:lang w:val="en-US" w:eastAsia="zh-CN" w:bidi="ar-SA"/>
                    </w:rPr>
                    <w:t>00KVA变压器</w:t>
                  </w:r>
                </w:p>
              </w:tc>
            </w:tr>
          </w:tbl>
          <w:p w14:paraId="26F7C3E6">
            <w:pPr>
              <w:keepNext w:val="0"/>
              <w:keepLines w:val="0"/>
              <w:suppressLineNumbers w:val="0"/>
              <w:spacing w:before="0" w:beforeAutospacing="0" w:after="0" w:afterAutospacing="0" w:line="500" w:lineRule="exact"/>
              <w:ind w:left="0" w:right="0" w:firstLine="480" w:firstLineChars="200"/>
              <w:rPr>
                <w:rFonts w:hint="default"/>
                <w:color w:val="auto"/>
                <w:sz w:val="24"/>
                <w:szCs w:val="24"/>
              </w:rPr>
            </w:pPr>
            <w:r>
              <w:rPr>
                <w:rFonts w:hint="default"/>
                <w:color w:val="auto"/>
                <w:sz w:val="24"/>
                <w:szCs w:val="24"/>
              </w:rPr>
              <w:t>根据建设单位提供的资料，本项目年耗电量为</w:t>
            </w:r>
            <w:r>
              <w:rPr>
                <w:rFonts w:hint="eastAsia"/>
                <w:color w:val="auto"/>
                <w:sz w:val="24"/>
                <w:szCs w:val="24"/>
                <w:lang w:val="en-US" w:eastAsia="zh-CN"/>
              </w:rPr>
              <w:t>200</w:t>
            </w:r>
            <w:r>
              <w:rPr>
                <w:rFonts w:hint="default"/>
                <w:color w:val="auto"/>
                <w:sz w:val="24"/>
                <w:szCs w:val="24"/>
              </w:rPr>
              <w:t>万千瓦；1千瓦折标煤约0.123kg，则本项目耗电量折标煤合计</w:t>
            </w:r>
            <w:r>
              <w:rPr>
                <w:rFonts w:hint="eastAsia"/>
                <w:color w:val="auto"/>
                <w:sz w:val="24"/>
                <w:szCs w:val="24"/>
                <w:lang w:val="en-US" w:eastAsia="zh-CN"/>
              </w:rPr>
              <w:t>246</w:t>
            </w:r>
            <w:r>
              <w:rPr>
                <w:rFonts w:hint="default"/>
                <w:color w:val="auto"/>
                <w:sz w:val="24"/>
                <w:szCs w:val="24"/>
              </w:rPr>
              <w:t>t，本项目年</w:t>
            </w:r>
            <w:r>
              <w:rPr>
                <w:rFonts w:hint="eastAsia"/>
                <w:color w:val="auto"/>
                <w:sz w:val="24"/>
                <w:szCs w:val="24"/>
                <w:lang w:val="en-US" w:eastAsia="zh-CN"/>
              </w:rPr>
              <w:t>处理建筑垃圾</w:t>
            </w:r>
            <w:r>
              <w:rPr>
                <w:rFonts w:hint="default"/>
                <w:color w:val="auto"/>
                <w:sz w:val="24"/>
                <w:szCs w:val="24"/>
              </w:rPr>
              <w:t>规模为</w:t>
            </w:r>
            <w:r>
              <w:rPr>
                <w:rFonts w:hint="eastAsia"/>
                <w:color w:val="auto"/>
                <w:sz w:val="24"/>
                <w:szCs w:val="24"/>
                <w:lang w:val="en-US" w:eastAsia="zh-CN"/>
              </w:rPr>
              <w:t>30</w:t>
            </w:r>
            <w:r>
              <w:rPr>
                <w:rFonts w:hint="default"/>
                <w:color w:val="auto"/>
                <w:sz w:val="24"/>
                <w:szCs w:val="24"/>
              </w:rPr>
              <w:t>万吨，则产品能耗折标煤为</w:t>
            </w:r>
            <w:r>
              <w:rPr>
                <w:rFonts w:hint="eastAsia"/>
                <w:color w:val="auto"/>
                <w:sz w:val="24"/>
                <w:szCs w:val="24"/>
                <w:lang w:val="en-US" w:eastAsia="zh-CN"/>
              </w:rPr>
              <w:t>8.2</w:t>
            </w:r>
            <w:r>
              <w:rPr>
                <w:rFonts w:hint="default"/>
                <w:color w:val="auto"/>
                <w:sz w:val="24"/>
                <w:szCs w:val="24"/>
              </w:rPr>
              <w:t>t标煤/万吨，</w:t>
            </w:r>
            <w:r>
              <w:rPr>
                <w:rFonts w:hint="eastAsia"/>
                <w:color w:val="auto"/>
                <w:sz w:val="24"/>
                <w:szCs w:val="24"/>
              </w:rPr>
              <w:t>满足</w:t>
            </w:r>
            <w:r>
              <w:rPr>
                <w:rFonts w:hint="default"/>
                <w:color w:val="auto"/>
                <w:sz w:val="24"/>
                <w:szCs w:val="24"/>
              </w:rPr>
              <w:t>《建筑垃圾资源化利用行业规范条件（暂行）》能耗指标</w:t>
            </w:r>
            <w:r>
              <w:rPr>
                <w:rFonts w:hint="eastAsia"/>
                <w:color w:val="auto"/>
                <w:sz w:val="24"/>
                <w:szCs w:val="24"/>
                <w:lang w:eastAsia="zh-CN"/>
              </w:rPr>
              <w:t>：</w:t>
            </w:r>
            <w:r>
              <w:rPr>
                <w:rFonts w:hint="default"/>
                <w:color w:val="auto"/>
                <w:sz w:val="24"/>
                <w:szCs w:val="24"/>
                <w:lang w:val="en-US" w:eastAsia="zh-CN"/>
              </w:rPr>
              <w:t>0-5mm、5-10mm、5-20mm标煤耗</w:t>
            </w:r>
            <w:r>
              <w:rPr>
                <w:rFonts w:hint="eastAsia" w:ascii="宋体" w:hAnsi="宋体" w:eastAsia="宋体" w:cs="宋体"/>
                <w:color w:val="auto"/>
                <w:sz w:val="24"/>
                <w:szCs w:val="24"/>
                <w:lang w:val="en-US" w:eastAsia="zh-CN"/>
              </w:rPr>
              <w:t>≤</w:t>
            </w:r>
            <w:r>
              <w:rPr>
                <w:rFonts w:hint="default"/>
                <w:color w:val="auto"/>
                <w:sz w:val="24"/>
                <w:szCs w:val="24"/>
                <w:lang w:val="en-US" w:eastAsia="zh-CN"/>
              </w:rPr>
              <w:t>12.0吨标煤/万吨</w:t>
            </w:r>
            <w:r>
              <w:rPr>
                <w:rFonts w:hint="eastAsia"/>
                <w:color w:val="auto"/>
                <w:sz w:val="24"/>
                <w:szCs w:val="24"/>
                <w:lang w:val="en-US" w:eastAsia="zh-CN"/>
              </w:rPr>
              <w:t>要求</w:t>
            </w:r>
            <w:r>
              <w:rPr>
                <w:rFonts w:hint="default"/>
                <w:color w:val="auto"/>
                <w:sz w:val="24"/>
                <w:szCs w:val="24"/>
              </w:rPr>
              <w:t>。</w:t>
            </w:r>
          </w:p>
          <w:p w14:paraId="211CA49A">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本项目原料为长治市屯留区城市建筑拆迁、道路改造等产生的建筑垃圾，主要包括为废混凝土块、碎石块等，建筑垃圾进厂前已经进行了分拣和预处理，经预处理后建筑废料的粒径为＜</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00mm，且剔除了废钢筋、废铁丝等金属，并在进厂之前做好检查工作，防止废塑料、废木材以及生活垃圾混入。</w:t>
            </w:r>
          </w:p>
          <w:p w14:paraId="5E2FE6C8">
            <w:pPr>
              <w:keepNext w:val="0"/>
              <w:keepLines w:val="0"/>
              <w:suppressLineNumbers w:val="0"/>
              <w:spacing w:before="0" w:beforeAutospacing="0" w:after="0" w:afterAutospacing="0" w:line="480" w:lineRule="exact"/>
              <w:ind w:left="0" w:right="0" w:firstLine="480" w:firstLineChars="200"/>
              <w:rPr>
                <w:rFonts w:hint="eastAsia" w:hAnsi="宋体"/>
                <w:color w:val="auto"/>
                <w:sz w:val="24"/>
              </w:rPr>
            </w:pPr>
            <w:r>
              <w:rPr>
                <w:rFonts w:hint="eastAsia" w:hAnsi="宋体"/>
                <w:color w:val="auto"/>
                <w:sz w:val="24"/>
              </w:rPr>
              <w:t>本次评价要求企业对进厂原料严把关，坚决杜绝有毒有害尾矿（第Ⅱ类一般工业固废以及危险废物）进厂，严禁路面沥青混凝土、危险固废、各类工业企业生产过程中产生的一般工业固废等进厂，从源头控制原料质量，其分类满足</w:t>
            </w:r>
            <w:r>
              <w:rPr>
                <w:rFonts w:hint="eastAsia" w:hAnsi="宋体"/>
                <w:color w:val="auto"/>
                <w:sz w:val="24"/>
                <w:highlight w:val="none"/>
              </w:rPr>
              <w:t>《固体废物鉴别标准 通则》（GB34330-20</w:t>
            </w:r>
            <w:r>
              <w:rPr>
                <w:rFonts w:hint="eastAsia" w:hAnsi="宋体"/>
                <w:color w:val="auto"/>
                <w:sz w:val="24"/>
                <w:highlight w:val="none"/>
                <w:lang w:val="en-US" w:eastAsia="zh-CN"/>
              </w:rPr>
              <w:t>25</w:t>
            </w:r>
            <w:r>
              <w:rPr>
                <w:rFonts w:hint="eastAsia" w:hAnsi="宋体"/>
                <w:color w:val="auto"/>
                <w:sz w:val="24"/>
                <w:highlight w:val="none"/>
              </w:rPr>
              <w:t>）中</w:t>
            </w:r>
            <w:r>
              <w:rPr>
                <w:rFonts w:hint="eastAsia" w:hAnsi="宋体"/>
                <w:color w:val="auto"/>
                <w:sz w:val="24"/>
              </w:rPr>
              <w:t>4.2生产过程中产生的副产物：i）在建筑、工程等施工和作业过程中产生的报废料、残余物质等建筑废物。根据企业提供的资料，原料由第三方渣土运输公司采用</w:t>
            </w:r>
            <w:r>
              <w:rPr>
                <w:rFonts w:hint="eastAsia" w:hAnsi="宋体"/>
                <w:color w:val="auto"/>
                <w:sz w:val="24"/>
                <w:lang w:val="en-US" w:eastAsia="zh-CN"/>
              </w:rPr>
              <w:t>箱式</w:t>
            </w:r>
            <w:r>
              <w:rPr>
                <w:rFonts w:hint="eastAsia" w:hAnsi="宋体"/>
                <w:color w:val="auto"/>
                <w:sz w:val="24"/>
              </w:rPr>
              <w:t>汽车运</w:t>
            </w:r>
            <w:r>
              <w:rPr>
                <w:rFonts w:hint="eastAsia" w:hAnsi="宋体"/>
                <w:color w:val="auto"/>
                <w:sz w:val="24"/>
                <w:lang w:val="en-US" w:eastAsia="zh-CN"/>
              </w:rPr>
              <w:t>送</w:t>
            </w:r>
            <w:r>
              <w:rPr>
                <w:rFonts w:hint="eastAsia" w:hAnsi="宋体"/>
                <w:color w:val="auto"/>
                <w:sz w:val="24"/>
              </w:rPr>
              <w:t>至</w:t>
            </w:r>
            <w:r>
              <w:rPr>
                <w:rFonts w:hint="eastAsia" w:hAnsi="宋体"/>
                <w:color w:val="auto"/>
                <w:sz w:val="24"/>
                <w:lang w:val="en-US" w:eastAsia="zh-CN"/>
              </w:rPr>
              <w:t>厂区生产车间内</w:t>
            </w:r>
            <w:r>
              <w:rPr>
                <w:rFonts w:hint="eastAsia" w:hAnsi="宋体"/>
                <w:color w:val="auto"/>
                <w:sz w:val="24"/>
              </w:rPr>
              <w:t>原料</w:t>
            </w:r>
            <w:r>
              <w:rPr>
                <w:rFonts w:hint="eastAsia" w:hAnsi="宋体"/>
                <w:color w:val="auto"/>
                <w:sz w:val="24"/>
                <w:lang w:val="en-US" w:eastAsia="zh-CN"/>
              </w:rPr>
              <w:t>堆放区，原料入厂前已进行预处理，入厂后不再进行预处理及</w:t>
            </w:r>
            <w:r>
              <w:rPr>
                <w:rFonts w:hint="eastAsia" w:hAnsi="宋体"/>
                <w:color w:val="auto"/>
                <w:sz w:val="24"/>
              </w:rPr>
              <w:t>不设分类</w:t>
            </w:r>
            <w:r>
              <w:rPr>
                <w:rFonts w:hint="eastAsia" w:hAnsi="宋体"/>
                <w:color w:val="auto"/>
                <w:sz w:val="24"/>
                <w:lang w:val="en-US" w:eastAsia="zh-CN"/>
              </w:rPr>
              <w:t>工序</w:t>
            </w:r>
            <w:r>
              <w:rPr>
                <w:rFonts w:hint="eastAsia" w:hAnsi="宋体"/>
                <w:color w:val="auto"/>
                <w:sz w:val="24"/>
                <w:lang w:eastAsia="zh-CN"/>
              </w:rPr>
              <w:t>，</w:t>
            </w:r>
            <w:r>
              <w:rPr>
                <w:rFonts w:hint="eastAsia" w:hAnsi="宋体"/>
                <w:color w:val="auto"/>
                <w:sz w:val="24"/>
                <w:lang w:val="en-US" w:eastAsia="zh-CN"/>
              </w:rPr>
              <w:t>原料经破碎后设有除铁工序去除废铁屑</w:t>
            </w:r>
            <w:r>
              <w:rPr>
                <w:rFonts w:hint="eastAsia" w:hAnsi="宋体"/>
                <w:color w:val="auto"/>
                <w:sz w:val="24"/>
              </w:rPr>
              <w:t>。</w:t>
            </w:r>
          </w:p>
          <w:p w14:paraId="501E4C0C">
            <w:pPr>
              <w:keepNext w:val="0"/>
              <w:keepLines w:val="0"/>
              <w:suppressLineNumbers w:val="0"/>
              <w:spacing w:before="0" w:beforeAutospacing="0" w:after="0" w:afterAutospacing="0" w:line="480" w:lineRule="exact"/>
              <w:ind w:left="0" w:right="0" w:firstLine="480" w:firstLineChars="200"/>
              <w:rPr>
                <w:rFonts w:hint="eastAsia" w:hAnsi="宋体"/>
                <w:color w:val="auto"/>
                <w:sz w:val="24"/>
              </w:rPr>
            </w:pPr>
            <w:r>
              <w:rPr>
                <w:rFonts w:hint="eastAsia" w:hAnsi="宋体"/>
                <w:color w:val="auto"/>
                <w:sz w:val="24"/>
                <w:lang w:val="en-US" w:eastAsia="zh-CN"/>
              </w:rPr>
              <w:t>本项目建筑垃圾</w:t>
            </w:r>
            <w:r>
              <w:rPr>
                <w:rFonts w:hint="default" w:hAnsi="宋体"/>
                <w:color w:val="auto"/>
                <w:sz w:val="24"/>
              </w:rPr>
              <w:t>其主要成分见下表2-</w:t>
            </w:r>
            <w:r>
              <w:rPr>
                <w:rFonts w:hint="eastAsia" w:hAnsi="宋体"/>
                <w:color w:val="auto"/>
                <w:sz w:val="24"/>
                <w:lang w:val="en-US" w:eastAsia="zh-CN"/>
              </w:rPr>
              <w:t>15</w:t>
            </w:r>
            <w:r>
              <w:rPr>
                <w:rFonts w:hint="eastAsia" w:hAnsi="宋体"/>
                <w:color w:val="auto"/>
                <w:sz w:val="24"/>
              </w:rPr>
              <w:t>。</w:t>
            </w:r>
          </w:p>
          <w:p w14:paraId="1C03A15A">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建筑垃圾主要成分一览表</w:t>
            </w:r>
          </w:p>
          <w:tbl>
            <w:tblPr>
              <w:tblStyle w:val="28"/>
              <w:tblW w:w="8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726"/>
              <w:gridCol w:w="768"/>
              <w:gridCol w:w="755"/>
              <w:gridCol w:w="633"/>
              <w:gridCol w:w="696"/>
              <w:gridCol w:w="622"/>
              <w:gridCol w:w="718"/>
              <w:gridCol w:w="616"/>
              <w:gridCol w:w="723"/>
            </w:tblGrid>
            <w:tr w14:paraId="4B6C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0"/>
                  <w:vAlign w:val="center"/>
                </w:tcPr>
                <w:p w14:paraId="2E228AB5">
                  <w:pPr>
                    <w:keepNext w:val="0"/>
                    <w:keepLines w:val="0"/>
                    <w:suppressLineNumbers w:val="0"/>
                    <w:spacing w:before="0" w:beforeAutospacing="0" w:after="0" w:afterAutospacing="0"/>
                    <w:ind w:left="0" w:right="0"/>
                    <w:jc w:val="center"/>
                    <w:rPr>
                      <w:rFonts w:hint="default"/>
                      <w:b/>
                      <w:bCs w:val="0"/>
                      <w:color w:val="auto"/>
                    </w:rPr>
                  </w:pPr>
                  <w:r>
                    <w:rPr>
                      <w:rFonts w:hint="default" w:hAnsi="宋体"/>
                      <w:b/>
                      <w:bCs w:val="0"/>
                      <w:color w:val="auto"/>
                    </w:rPr>
                    <w:t>成分</w:t>
                  </w:r>
                </w:p>
              </w:tc>
              <w:tc>
                <w:tcPr>
                  <w:tcW w:w="451" w:type="pct"/>
                  <w:tcBorders>
                    <w:tl2br w:val="nil"/>
                    <w:tr2bl w:val="nil"/>
                  </w:tcBorders>
                  <w:noWrap w:val="0"/>
                  <w:vAlign w:val="center"/>
                </w:tcPr>
                <w:p w14:paraId="39F70164">
                  <w:pPr>
                    <w:keepNext w:val="0"/>
                    <w:keepLines w:val="0"/>
                    <w:suppressLineNumbers w:val="0"/>
                    <w:spacing w:before="0" w:beforeAutospacing="0" w:after="0" w:afterAutospacing="0"/>
                    <w:ind w:left="0" w:right="0"/>
                    <w:jc w:val="center"/>
                    <w:rPr>
                      <w:rFonts w:hint="default"/>
                      <w:color w:val="auto"/>
                    </w:rPr>
                  </w:pPr>
                  <w:r>
                    <w:rPr>
                      <w:rFonts w:hint="default"/>
                      <w:color w:val="auto"/>
                    </w:rPr>
                    <w:t>SiO</w:t>
                  </w:r>
                  <w:r>
                    <w:rPr>
                      <w:rFonts w:hint="default"/>
                      <w:color w:val="auto"/>
                      <w:vertAlign w:val="subscript"/>
                    </w:rPr>
                    <w:t>2</w:t>
                  </w:r>
                </w:p>
              </w:tc>
              <w:tc>
                <w:tcPr>
                  <w:tcW w:w="477" w:type="pct"/>
                  <w:tcBorders>
                    <w:tl2br w:val="nil"/>
                    <w:tr2bl w:val="nil"/>
                  </w:tcBorders>
                  <w:noWrap w:val="0"/>
                  <w:vAlign w:val="center"/>
                </w:tcPr>
                <w:p w14:paraId="6BD6AA59">
                  <w:pPr>
                    <w:keepNext w:val="0"/>
                    <w:keepLines w:val="0"/>
                    <w:suppressLineNumbers w:val="0"/>
                    <w:spacing w:before="0" w:beforeAutospacing="0" w:after="0" w:afterAutospacing="0"/>
                    <w:ind w:left="0" w:right="0"/>
                    <w:jc w:val="center"/>
                    <w:rPr>
                      <w:rFonts w:hint="default"/>
                      <w:color w:val="auto"/>
                    </w:rPr>
                  </w:pPr>
                  <w:r>
                    <w:rPr>
                      <w:rFonts w:hint="default"/>
                      <w:color w:val="auto"/>
                    </w:rPr>
                    <w:t>AI</w:t>
                  </w:r>
                  <w:r>
                    <w:rPr>
                      <w:rFonts w:hint="default"/>
                      <w:color w:val="auto"/>
                      <w:vertAlign w:val="subscript"/>
                    </w:rPr>
                    <w:t>2</w:t>
                  </w:r>
                  <w:r>
                    <w:rPr>
                      <w:rFonts w:hint="default"/>
                      <w:color w:val="auto"/>
                    </w:rPr>
                    <w:t>O</w:t>
                  </w:r>
                  <w:r>
                    <w:rPr>
                      <w:rFonts w:hint="default"/>
                      <w:color w:val="auto"/>
                      <w:vertAlign w:val="subscript"/>
                    </w:rPr>
                    <w:t>3</w:t>
                  </w:r>
                </w:p>
              </w:tc>
              <w:tc>
                <w:tcPr>
                  <w:tcW w:w="469" w:type="pct"/>
                  <w:tcBorders>
                    <w:tl2br w:val="nil"/>
                    <w:tr2bl w:val="nil"/>
                  </w:tcBorders>
                  <w:noWrap w:val="0"/>
                  <w:vAlign w:val="center"/>
                </w:tcPr>
                <w:p w14:paraId="4928A0CB">
                  <w:pPr>
                    <w:keepNext w:val="0"/>
                    <w:keepLines w:val="0"/>
                    <w:suppressLineNumbers w:val="0"/>
                    <w:spacing w:before="0" w:beforeAutospacing="0" w:after="0" w:afterAutospacing="0"/>
                    <w:ind w:left="0" w:right="0"/>
                    <w:jc w:val="center"/>
                    <w:rPr>
                      <w:rFonts w:hint="default"/>
                      <w:color w:val="auto"/>
                    </w:rPr>
                  </w:pPr>
                  <w:r>
                    <w:rPr>
                      <w:rFonts w:hint="default"/>
                      <w:color w:val="auto"/>
                    </w:rPr>
                    <w:t>Fe</w:t>
                  </w:r>
                  <w:r>
                    <w:rPr>
                      <w:rFonts w:hint="default"/>
                      <w:color w:val="auto"/>
                      <w:vertAlign w:val="subscript"/>
                    </w:rPr>
                    <w:t>2</w:t>
                  </w:r>
                  <w:r>
                    <w:rPr>
                      <w:rFonts w:hint="default"/>
                      <w:color w:val="auto"/>
                    </w:rPr>
                    <w:t>O</w:t>
                  </w:r>
                  <w:r>
                    <w:rPr>
                      <w:rFonts w:hint="default"/>
                      <w:color w:val="auto"/>
                      <w:vertAlign w:val="subscript"/>
                    </w:rPr>
                    <w:t>3</w:t>
                  </w:r>
                </w:p>
              </w:tc>
              <w:tc>
                <w:tcPr>
                  <w:tcW w:w="393" w:type="pct"/>
                  <w:tcBorders>
                    <w:tl2br w:val="nil"/>
                    <w:tr2bl w:val="nil"/>
                  </w:tcBorders>
                  <w:noWrap w:val="0"/>
                  <w:vAlign w:val="center"/>
                </w:tcPr>
                <w:p w14:paraId="5B0DF4AA">
                  <w:pPr>
                    <w:keepNext w:val="0"/>
                    <w:keepLines w:val="0"/>
                    <w:suppressLineNumbers w:val="0"/>
                    <w:spacing w:before="0" w:beforeAutospacing="0" w:after="0" w:afterAutospacing="0"/>
                    <w:ind w:left="0" w:right="0"/>
                    <w:jc w:val="center"/>
                    <w:rPr>
                      <w:rFonts w:hint="default"/>
                      <w:color w:val="auto"/>
                    </w:rPr>
                  </w:pPr>
                  <w:r>
                    <w:rPr>
                      <w:rFonts w:hint="default"/>
                      <w:color w:val="auto"/>
                    </w:rPr>
                    <w:t>CaO</w:t>
                  </w:r>
                </w:p>
              </w:tc>
              <w:tc>
                <w:tcPr>
                  <w:tcW w:w="432" w:type="pct"/>
                  <w:tcBorders>
                    <w:tl2br w:val="nil"/>
                    <w:tr2bl w:val="nil"/>
                  </w:tcBorders>
                  <w:noWrap w:val="0"/>
                  <w:vAlign w:val="center"/>
                </w:tcPr>
                <w:p w14:paraId="08A465AF">
                  <w:pPr>
                    <w:keepNext w:val="0"/>
                    <w:keepLines w:val="0"/>
                    <w:suppressLineNumbers w:val="0"/>
                    <w:spacing w:before="0" w:beforeAutospacing="0" w:after="0" w:afterAutospacing="0"/>
                    <w:ind w:left="0" w:right="0"/>
                    <w:jc w:val="center"/>
                    <w:rPr>
                      <w:rFonts w:hint="default"/>
                      <w:color w:val="auto"/>
                    </w:rPr>
                  </w:pPr>
                  <w:r>
                    <w:rPr>
                      <w:rFonts w:hint="default"/>
                      <w:color w:val="auto"/>
                    </w:rPr>
                    <w:t>MgO</w:t>
                  </w:r>
                </w:p>
              </w:tc>
              <w:tc>
                <w:tcPr>
                  <w:tcW w:w="386" w:type="pct"/>
                  <w:tcBorders>
                    <w:tl2br w:val="nil"/>
                    <w:tr2bl w:val="nil"/>
                  </w:tcBorders>
                  <w:noWrap w:val="0"/>
                  <w:vAlign w:val="center"/>
                </w:tcPr>
                <w:p w14:paraId="084F6F34">
                  <w:pPr>
                    <w:keepNext w:val="0"/>
                    <w:keepLines w:val="0"/>
                    <w:suppressLineNumbers w:val="0"/>
                    <w:spacing w:before="0" w:beforeAutospacing="0" w:after="0" w:afterAutospacing="0"/>
                    <w:ind w:left="0" w:right="0"/>
                    <w:jc w:val="center"/>
                    <w:rPr>
                      <w:rFonts w:hint="default"/>
                      <w:color w:val="auto"/>
                    </w:rPr>
                  </w:pPr>
                  <w:r>
                    <w:rPr>
                      <w:rFonts w:hint="default"/>
                      <w:color w:val="auto"/>
                    </w:rPr>
                    <w:t>K</w:t>
                  </w:r>
                  <w:r>
                    <w:rPr>
                      <w:rFonts w:hint="default"/>
                      <w:color w:val="auto"/>
                      <w:vertAlign w:val="subscript"/>
                    </w:rPr>
                    <w:t>2</w:t>
                  </w:r>
                  <w:r>
                    <w:rPr>
                      <w:rFonts w:hint="default"/>
                      <w:color w:val="auto"/>
                    </w:rPr>
                    <w:t>O</w:t>
                  </w:r>
                </w:p>
              </w:tc>
              <w:tc>
                <w:tcPr>
                  <w:tcW w:w="446" w:type="pct"/>
                  <w:tcBorders>
                    <w:tl2br w:val="nil"/>
                    <w:tr2bl w:val="nil"/>
                  </w:tcBorders>
                  <w:noWrap w:val="0"/>
                  <w:vAlign w:val="center"/>
                </w:tcPr>
                <w:p w14:paraId="35BD8B3D">
                  <w:pPr>
                    <w:keepNext w:val="0"/>
                    <w:keepLines w:val="0"/>
                    <w:suppressLineNumbers w:val="0"/>
                    <w:spacing w:before="0" w:beforeAutospacing="0" w:after="0" w:afterAutospacing="0"/>
                    <w:ind w:left="0" w:right="0"/>
                    <w:jc w:val="center"/>
                    <w:rPr>
                      <w:rFonts w:hint="default"/>
                      <w:color w:val="auto"/>
                    </w:rPr>
                  </w:pPr>
                  <w:r>
                    <w:rPr>
                      <w:rFonts w:hint="default"/>
                      <w:color w:val="auto"/>
                    </w:rPr>
                    <w:t>Na</w:t>
                  </w:r>
                  <w:r>
                    <w:rPr>
                      <w:rFonts w:hint="default"/>
                      <w:color w:val="auto"/>
                      <w:vertAlign w:val="subscript"/>
                    </w:rPr>
                    <w:t>2</w:t>
                  </w:r>
                  <w:r>
                    <w:rPr>
                      <w:rFonts w:hint="default"/>
                      <w:color w:val="auto"/>
                    </w:rPr>
                    <w:t>O</w:t>
                  </w:r>
                </w:p>
              </w:tc>
              <w:tc>
                <w:tcPr>
                  <w:tcW w:w="382" w:type="pct"/>
                  <w:tcBorders>
                    <w:tl2br w:val="nil"/>
                    <w:tr2bl w:val="nil"/>
                  </w:tcBorders>
                  <w:noWrap w:val="0"/>
                  <w:vAlign w:val="center"/>
                </w:tcPr>
                <w:p w14:paraId="460559E7">
                  <w:pPr>
                    <w:keepNext w:val="0"/>
                    <w:keepLines w:val="0"/>
                    <w:suppressLineNumbers w:val="0"/>
                    <w:spacing w:before="0" w:beforeAutospacing="0" w:after="0" w:afterAutospacing="0"/>
                    <w:ind w:left="0" w:right="0"/>
                    <w:jc w:val="center"/>
                    <w:rPr>
                      <w:rFonts w:hint="default"/>
                      <w:color w:val="auto"/>
                    </w:rPr>
                  </w:pPr>
                  <w:r>
                    <w:rPr>
                      <w:rFonts w:hint="default"/>
                      <w:color w:val="auto"/>
                    </w:rPr>
                    <w:t>SO</w:t>
                  </w:r>
                  <w:r>
                    <w:rPr>
                      <w:rFonts w:hint="default"/>
                      <w:color w:val="auto"/>
                      <w:vertAlign w:val="subscript"/>
                    </w:rPr>
                    <w:t>3</w:t>
                  </w:r>
                </w:p>
              </w:tc>
              <w:tc>
                <w:tcPr>
                  <w:tcW w:w="448" w:type="pct"/>
                  <w:tcBorders>
                    <w:tl2br w:val="nil"/>
                    <w:tr2bl w:val="nil"/>
                  </w:tcBorders>
                  <w:noWrap w:val="0"/>
                  <w:vAlign w:val="center"/>
                </w:tcPr>
                <w:p w14:paraId="4B284321">
                  <w:pPr>
                    <w:keepNext w:val="0"/>
                    <w:keepLines w:val="0"/>
                    <w:suppressLineNumbers w:val="0"/>
                    <w:spacing w:before="0" w:beforeAutospacing="0" w:after="0" w:afterAutospacing="0"/>
                    <w:ind w:left="0" w:right="0"/>
                    <w:jc w:val="center"/>
                    <w:rPr>
                      <w:rFonts w:hint="default"/>
                      <w:color w:val="auto"/>
                    </w:rPr>
                  </w:pPr>
                  <w:r>
                    <w:rPr>
                      <w:rFonts w:hint="default" w:hAnsi="宋体"/>
                      <w:color w:val="auto"/>
                    </w:rPr>
                    <w:t>其它</w:t>
                  </w:r>
                </w:p>
              </w:tc>
            </w:tr>
            <w:tr w14:paraId="28A0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pct"/>
                  <w:tcBorders>
                    <w:tl2br w:val="nil"/>
                    <w:tr2bl w:val="nil"/>
                  </w:tcBorders>
                  <w:noWrap w:val="0"/>
                  <w:vAlign w:val="center"/>
                </w:tcPr>
                <w:p w14:paraId="2C7E0362">
                  <w:pPr>
                    <w:keepNext w:val="0"/>
                    <w:keepLines w:val="0"/>
                    <w:suppressLineNumbers w:val="0"/>
                    <w:spacing w:before="0" w:beforeAutospacing="0" w:after="0" w:afterAutospacing="0"/>
                    <w:ind w:left="0" w:right="0"/>
                    <w:jc w:val="center"/>
                    <w:rPr>
                      <w:rFonts w:hint="default"/>
                      <w:b/>
                      <w:bCs w:val="0"/>
                      <w:color w:val="auto"/>
                    </w:rPr>
                  </w:pPr>
                  <w:r>
                    <w:rPr>
                      <w:rFonts w:hint="default" w:hAnsi="宋体"/>
                      <w:b/>
                      <w:bCs w:val="0"/>
                      <w:color w:val="auto"/>
                    </w:rPr>
                    <w:t>质量分数（</w:t>
                  </w:r>
                  <w:r>
                    <w:rPr>
                      <w:rFonts w:hint="default"/>
                      <w:b/>
                      <w:bCs w:val="0"/>
                      <w:color w:val="auto"/>
                    </w:rPr>
                    <w:t>%</w:t>
                  </w:r>
                  <w:r>
                    <w:rPr>
                      <w:rFonts w:hint="default" w:hAnsi="宋体"/>
                      <w:b/>
                      <w:bCs w:val="0"/>
                      <w:color w:val="auto"/>
                    </w:rPr>
                    <w:t>）</w:t>
                  </w:r>
                </w:p>
              </w:tc>
              <w:tc>
                <w:tcPr>
                  <w:tcW w:w="451" w:type="pct"/>
                  <w:tcBorders>
                    <w:tl2br w:val="nil"/>
                    <w:tr2bl w:val="nil"/>
                  </w:tcBorders>
                  <w:noWrap w:val="0"/>
                  <w:vAlign w:val="center"/>
                </w:tcPr>
                <w:p w14:paraId="4BF04B53">
                  <w:pPr>
                    <w:keepNext w:val="0"/>
                    <w:keepLines w:val="0"/>
                    <w:suppressLineNumbers w:val="0"/>
                    <w:spacing w:before="0" w:beforeAutospacing="0" w:after="0" w:afterAutospacing="0"/>
                    <w:ind w:left="0" w:right="0"/>
                    <w:jc w:val="center"/>
                    <w:rPr>
                      <w:rFonts w:hint="default"/>
                      <w:color w:val="auto"/>
                    </w:rPr>
                  </w:pPr>
                  <w:r>
                    <w:rPr>
                      <w:rFonts w:hint="eastAsia"/>
                      <w:color w:val="auto"/>
                    </w:rPr>
                    <w:t>70.53</w:t>
                  </w:r>
                </w:p>
              </w:tc>
              <w:tc>
                <w:tcPr>
                  <w:tcW w:w="477" w:type="pct"/>
                  <w:tcBorders>
                    <w:tl2br w:val="nil"/>
                    <w:tr2bl w:val="nil"/>
                  </w:tcBorders>
                  <w:noWrap w:val="0"/>
                  <w:vAlign w:val="center"/>
                </w:tcPr>
                <w:p w14:paraId="275FA566">
                  <w:pPr>
                    <w:keepNext w:val="0"/>
                    <w:keepLines w:val="0"/>
                    <w:suppressLineNumbers w:val="0"/>
                    <w:spacing w:before="0" w:beforeAutospacing="0" w:after="0" w:afterAutospacing="0"/>
                    <w:ind w:left="0" w:right="0"/>
                    <w:jc w:val="center"/>
                    <w:rPr>
                      <w:rFonts w:hint="default"/>
                      <w:color w:val="auto"/>
                    </w:rPr>
                  </w:pPr>
                  <w:r>
                    <w:rPr>
                      <w:rFonts w:hint="eastAsia"/>
                      <w:color w:val="auto"/>
                    </w:rPr>
                    <w:t>15.86</w:t>
                  </w:r>
                </w:p>
              </w:tc>
              <w:tc>
                <w:tcPr>
                  <w:tcW w:w="469" w:type="pct"/>
                  <w:tcBorders>
                    <w:tl2br w:val="nil"/>
                    <w:tr2bl w:val="nil"/>
                  </w:tcBorders>
                  <w:noWrap w:val="0"/>
                  <w:vAlign w:val="center"/>
                </w:tcPr>
                <w:p w14:paraId="1CF2376F">
                  <w:pPr>
                    <w:keepNext w:val="0"/>
                    <w:keepLines w:val="0"/>
                    <w:suppressLineNumbers w:val="0"/>
                    <w:spacing w:before="0" w:beforeAutospacing="0" w:after="0" w:afterAutospacing="0"/>
                    <w:ind w:left="0" w:right="0"/>
                    <w:jc w:val="center"/>
                    <w:rPr>
                      <w:rFonts w:hint="default"/>
                      <w:color w:val="auto"/>
                    </w:rPr>
                  </w:pPr>
                  <w:r>
                    <w:rPr>
                      <w:rFonts w:hint="eastAsia"/>
                      <w:color w:val="auto"/>
                    </w:rPr>
                    <w:t>5.54</w:t>
                  </w:r>
                </w:p>
              </w:tc>
              <w:tc>
                <w:tcPr>
                  <w:tcW w:w="393" w:type="pct"/>
                  <w:tcBorders>
                    <w:tl2br w:val="nil"/>
                    <w:tr2bl w:val="nil"/>
                  </w:tcBorders>
                  <w:noWrap w:val="0"/>
                  <w:vAlign w:val="center"/>
                </w:tcPr>
                <w:p w14:paraId="19153B8B">
                  <w:pPr>
                    <w:keepNext w:val="0"/>
                    <w:keepLines w:val="0"/>
                    <w:suppressLineNumbers w:val="0"/>
                    <w:spacing w:before="0" w:beforeAutospacing="0" w:after="0" w:afterAutospacing="0"/>
                    <w:ind w:left="0" w:right="0"/>
                    <w:jc w:val="center"/>
                    <w:rPr>
                      <w:rFonts w:hint="default"/>
                      <w:color w:val="auto"/>
                    </w:rPr>
                  </w:pPr>
                  <w:r>
                    <w:rPr>
                      <w:rFonts w:hint="eastAsia"/>
                      <w:color w:val="auto"/>
                    </w:rPr>
                    <w:t>0.67</w:t>
                  </w:r>
                </w:p>
              </w:tc>
              <w:tc>
                <w:tcPr>
                  <w:tcW w:w="432" w:type="pct"/>
                  <w:tcBorders>
                    <w:tl2br w:val="nil"/>
                    <w:tr2bl w:val="nil"/>
                  </w:tcBorders>
                  <w:noWrap w:val="0"/>
                  <w:vAlign w:val="center"/>
                </w:tcPr>
                <w:p w14:paraId="32AAA7AD">
                  <w:pPr>
                    <w:keepNext w:val="0"/>
                    <w:keepLines w:val="0"/>
                    <w:suppressLineNumbers w:val="0"/>
                    <w:spacing w:before="0" w:beforeAutospacing="0" w:after="0" w:afterAutospacing="0"/>
                    <w:ind w:left="0" w:right="0"/>
                    <w:jc w:val="center"/>
                    <w:rPr>
                      <w:rFonts w:hint="default"/>
                      <w:color w:val="auto"/>
                    </w:rPr>
                  </w:pPr>
                  <w:r>
                    <w:rPr>
                      <w:rFonts w:hint="eastAsia"/>
                      <w:color w:val="auto"/>
                    </w:rPr>
                    <w:t>1.59</w:t>
                  </w:r>
                </w:p>
              </w:tc>
              <w:tc>
                <w:tcPr>
                  <w:tcW w:w="386" w:type="pct"/>
                  <w:tcBorders>
                    <w:tl2br w:val="nil"/>
                    <w:tr2bl w:val="nil"/>
                  </w:tcBorders>
                  <w:noWrap w:val="0"/>
                  <w:vAlign w:val="center"/>
                </w:tcPr>
                <w:p w14:paraId="72CBA8B2">
                  <w:pPr>
                    <w:keepNext w:val="0"/>
                    <w:keepLines w:val="0"/>
                    <w:suppressLineNumbers w:val="0"/>
                    <w:spacing w:before="0" w:beforeAutospacing="0" w:after="0" w:afterAutospacing="0"/>
                    <w:ind w:left="0" w:right="0"/>
                    <w:jc w:val="center"/>
                    <w:rPr>
                      <w:rFonts w:hint="default"/>
                      <w:color w:val="auto"/>
                    </w:rPr>
                  </w:pPr>
                  <w:r>
                    <w:rPr>
                      <w:rFonts w:hint="eastAsia"/>
                      <w:color w:val="auto"/>
                    </w:rPr>
                    <w:t>3.70</w:t>
                  </w:r>
                </w:p>
              </w:tc>
              <w:tc>
                <w:tcPr>
                  <w:tcW w:w="446" w:type="pct"/>
                  <w:tcBorders>
                    <w:tl2br w:val="nil"/>
                    <w:tr2bl w:val="nil"/>
                  </w:tcBorders>
                  <w:noWrap w:val="0"/>
                  <w:vAlign w:val="center"/>
                </w:tcPr>
                <w:p w14:paraId="3EBE169C">
                  <w:pPr>
                    <w:keepNext w:val="0"/>
                    <w:keepLines w:val="0"/>
                    <w:suppressLineNumbers w:val="0"/>
                    <w:spacing w:before="0" w:beforeAutospacing="0" w:after="0" w:afterAutospacing="0"/>
                    <w:ind w:left="0" w:right="0"/>
                    <w:jc w:val="center"/>
                    <w:rPr>
                      <w:rFonts w:hint="default"/>
                      <w:color w:val="auto"/>
                    </w:rPr>
                  </w:pPr>
                  <w:r>
                    <w:rPr>
                      <w:rFonts w:hint="eastAsia"/>
                      <w:color w:val="auto"/>
                    </w:rPr>
                    <w:t>0.86</w:t>
                  </w:r>
                </w:p>
              </w:tc>
              <w:tc>
                <w:tcPr>
                  <w:tcW w:w="382" w:type="pct"/>
                  <w:tcBorders>
                    <w:tl2br w:val="nil"/>
                    <w:tr2bl w:val="nil"/>
                  </w:tcBorders>
                  <w:noWrap w:val="0"/>
                  <w:vAlign w:val="center"/>
                </w:tcPr>
                <w:p w14:paraId="2121CCB1">
                  <w:pPr>
                    <w:keepNext w:val="0"/>
                    <w:keepLines w:val="0"/>
                    <w:suppressLineNumbers w:val="0"/>
                    <w:spacing w:before="0" w:beforeAutospacing="0" w:after="0" w:afterAutospacing="0"/>
                    <w:ind w:left="0" w:right="0"/>
                    <w:jc w:val="center"/>
                    <w:rPr>
                      <w:rFonts w:hint="default"/>
                      <w:color w:val="auto"/>
                    </w:rPr>
                  </w:pPr>
                  <w:r>
                    <w:rPr>
                      <w:rFonts w:hint="eastAsia"/>
                      <w:color w:val="auto"/>
                    </w:rPr>
                    <w:t>0.23</w:t>
                  </w:r>
                </w:p>
              </w:tc>
              <w:tc>
                <w:tcPr>
                  <w:tcW w:w="448" w:type="pct"/>
                  <w:tcBorders>
                    <w:tl2br w:val="nil"/>
                    <w:tr2bl w:val="nil"/>
                  </w:tcBorders>
                  <w:noWrap w:val="0"/>
                  <w:vAlign w:val="center"/>
                </w:tcPr>
                <w:p w14:paraId="57E328A7">
                  <w:pPr>
                    <w:keepNext w:val="0"/>
                    <w:keepLines w:val="0"/>
                    <w:suppressLineNumbers w:val="0"/>
                    <w:spacing w:before="0" w:beforeAutospacing="0" w:after="0" w:afterAutospacing="0"/>
                    <w:ind w:left="0" w:right="0"/>
                    <w:jc w:val="center"/>
                    <w:rPr>
                      <w:rFonts w:hint="default"/>
                      <w:color w:val="auto"/>
                    </w:rPr>
                  </w:pPr>
                  <w:r>
                    <w:rPr>
                      <w:rFonts w:hint="eastAsia"/>
                      <w:color w:val="auto"/>
                    </w:rPr>
                    <w:t>1.02</w:t>
                  </w:r>
                </w:p>
              </w:tc>
            </w:tr>
          </w:tbl>
          <w:p w14:paraId="7441E33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cs="Times New Roman"/>
                <w:b/>
                <w:bCs/>
                <w:color w:val="auto"/>
                <w:spacing w:val="0"/>
                <w:kern w:val="2"/>
                <w:sz w:val="24"/>
                <w:szCs w:val="24"/>
                <w:highlight w:val="none"/>
                <w:lang w:val="en-US" w:eastAsia="zh-CN" w:bidi="ar-SA"/>
              </w:rPr>
            </w:pPr>
            <w:r>
              <w:rPr>
                <w:rFonts w:hint="eastAsia" w:cs="Times New Roman"/>
                <w:b/>
                <w:bCs/>
                <w:color w:val="auto"/>
                <w:spacing w:val="0"/>
                <w:kern w:val="2"/>
                <w:sz w:val="24"/>
                <w:szCs w:val="24"/>
                <w:highlight w:val="none"/>
                <w:lang w:val="en-US" w:eastAsia="zh-CN" w:bidi="ar-SA"/>
              </w:rPr>
              <w:t>六、物料平衡</w:t>
            </w:r>
          </w:p>
          <w:p w14:paraId="4F62F1C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本项目</w:t>
            </w:r>
            <w:r>
              <w:rPr>
                <w:rFonts w:hint="eastAsia" w:cs="Times New Roman"/>
                <w:color w:val="auto"/>
                <w:spacing w:val="0"/>
                <w:sz w:val="24"/>
                <w:highlight w:val="none"/>
                <w:lang w:val="en-US" w:eastAsia="zh-CN"/>
              </w:rPr>
              <w:t>全厂</w:t>
            </w:r>
            <w:r>
              <w:rPr>
                <w:rFonts w:hint="eastAsia" w:ascii="Times New Roman" w:hAnsi="Times New Roman" w:eastAsia="宋体" w:cs="Times New Roman"/>
                <w:color w:val="auto"/>
                <w:spacing w:val="0"/>
                <w:sz w:val="24"/>
                <w:highlight w:val="none"/>
                <w:lang w:val="en-US" w:eastAsia="zh-CN"/>
              </w:rPr>
              <w:t>物料平衡见表2-</w:t>
            </w:r>
            <w:r>
              <w:rPr>
                <w:rFonts w:hint="eastAsia" w:cs="Times New Roman"/>
                <w:color w:val="auto"/>
                <w:spacing w:val="0"/>
                <w:sz w:val="24"/>
                <w:highlight w:val="none"/>
                <w:lang w:val="en-US" w:eastAsia="zh-CN"/>
              </w:rPr>
              <w:t>1</w:t>
            </w:r>
            <w:r>
              <w:rPr>
                <w:rFonts w:hint="eastAsia" w:ascii="Times New Roman" w:hAnsi="Times New Roman" w:eastAsia="宋体" w:cs="Times New Roman"/>
                <w:color w:val="auto"/>
                <w:spacing w:val="0"/>
                <w:sz w:val="24"/>
                <w:highlight w:val="none"/>
                <w:lang w:val="en-US" w:eastAsia="zh-CN"/>
              </w:rPr>
              <w:t>6。</w:t>
            </w:r>
          </w:p>
          <w:p w14:paraId="0BA6A0A3">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6  物料平衡</w:t>
            </w:r>
            <w:r>
              <w:rPr>
                <w:rFonts w:hint="default" w:ascii="Times New Roman" w:hAnsi="Times New Roman" w:eastAsia="宋体" w:cs="Times New Roman"/>
                <w:b/>
                <w:bCs/>
                <w:color w:val="auto"/>
                <w:sz w:val="21"/>
                <w:szCs w:val="21"/>
                <w:highlight w:val="none"/>
                <w:lang w:val="en-US" w:eastAsia="zh-CN"/>
              </w:rPr>
              <w:t>表</w:t>
            </w:r>
          </w:p>
          <w:tbl>
            <w:tblPr>
              <w:tblStyle w:val="28"/>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606"/>
              <w:gridCol w:w="2918"/>
              <w:gridCol w:w="1773"/>
            </w:tblGrid>
            <w:tr w14:paraId="5FA4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dxa"/>
                  <w:gridSpan w:val="2"/>
                  <w:tcBorders>
                    <w:tl2br w:val="nil"/>
                    <w:tr2bl w:val="nil"/>
                  </w:tcBorders>
                  <w:vAlign w:val="center"/>
                </w:tcPr>
                <w:p w14:paraId="0E4D9F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auto"/>
                      <w:kern w:val="0"/>
                      <w:szCs w:val="21"/>
                      <w:highlight w:val="none"/>
                      <w:lang w:eastAsia="zh-CN"/>
                    </w:rPr>
                  </w:pPr>
                  <w:r>
                    <w:rPr>
                      <w:rFonts w:hint="eastAsia" w:cs="Times New Roman"/>
                      <w:b/>
                      <w:bCs/>
                      <w:color w:val="auto"/>
                      <w:kern w:val="0"/>
                      <w:szCs w:val="21"/>
                      <w:highlight w:val="none"/>
                      <w:lang w:val="en-US" w:eastAsia="zh-CN"/>
                    </w:rPr>
                    <w:t>进料（t/a）</w:t>
                  </w:r>
                </w:p>
              </w:tc>
              <w:tc>
                <w:tcPr>
                  <w:tcW w:w="4691" w:type="dxa"/>
                  <w:gridSpan w:val="2"/>
                  <w:tcBorders>
                    <w:tl2br w:val="nil"/>
                    <w:tr2bl w:val="nil"/>
                  </w:tcBorders>
                  <w:vAlign w:val="center"/>
                </w:tcPr>
                <w:p w14:paraId="04C90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出料（t/a）</w:t>
                  </w:r>
                </w:p>
              </w:tc>
            </w:tr>
            <w:tr w14:paraId="4DEB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dxa"/>
                  <w:vMerge w:val="restart"/>
                  <w:tcBorders>
                    <w:tl2br w:val="nil"/>
                    <w:tr2bl w:val="nil"/>
                  </w:tcBorders>
                  <w:vAlign w:val="center"/>
                </w:tcPr>
                <w:p w14:paraId="404F9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olor w:val="auto"/>
                      <w:sz w:val="21"/>
                      <w:szCs w:val="21"/>
                      <w:highlight w:val="none"/>
                      <w:lang w:val="en-US" w:eastAsia="zh-CN"/>
                    </w:rPr>
                    <w:t>建筑垃圾</w:t>
                  </w:r>
                </w:p>
              </w:tc>
              <w:tc>
                <w:tcPr>
                  <w:tcW w:w="1606" w:type="dxa"/>
                  <w:vMerge w:val="restart"/>
                  <w:tcBorders>
                    <w:tl2br w:val="nil"/>
                    <w:tr2bl w:val="nil"/>
                  </w:tcBorders>
                  <w:vAlign w:val="center"/>
                </w:tcPr>
                <w:p w14:paraId="6ECF4A55">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olor w:val="auto"/>
                      <w:sz w:val="21"/>
                      <w:szCs w:val="21"/>
                      <w:highlight w:val="none"/>
                      <w:vertAlign w:val="baseline"/>
                      <w:lang w:val="en-US" w:eastAsia="zh-CN"/>
                    </w:rPr>
                    <w:t>300000</w:t>
                  </w:r>
                </w:p>
              </w:tc>
              <w:tc>
                <w:tcPr>
                  <w:tcW w:w="2918" w:type="dxa"/>
                  <w:tcBorders>
                    <w:tl2br w:val="nil"/>
                    <w:tr2bl w:val="nil"/>
                  </w:tcBorders>
                  <w:vAlign w:val="center"/>
                </w:tcPr>
                <w:p w14:paraId="4F750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石子（10-20mm）</w:t>
                  </w:r>
                </w:p>
              </w:tc>
              <w:tc>
                <w:tcPr>
                  <w:tcW w:w="1773" w:type="dxa"/>
                  <w:tcBorders>
                    <w:tl2br w:val="nil"/>
                    <w:tr2bl w:val="nil"/>
                  </w:tcBorders>
                  <w:vAlign w:val="center"/>
                </w:tcPr>
                <w:p w14:paraId="74D9AD24">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200417.332</w:t>
                  </w:r>
                </w:p>
              </w:tc>
            </w:tr>
            <w:tr w14:paraId="233A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dxa"/>
                  <w:vMerge w:val="continue"/>
                  <w:tcBorders>
                    <w:tl2br w:val="nil"/>
                    <w:tr2bl w:val="nil"/>
                  </w:tcBorders>
                  <w:vAlign w:val="center"/>
                </w:tcPr>
                <w:p w14:paraId="54FAB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kern w:val="0"/>
                      <w:szCs w:val="21"/>
                      <w:highlight w:val="none"/>
                    </w:rPr>
                  </w:pPr>
                </w:p>
              </w:tc>
              <w:tc>
                <w:tcPr>
                  <w:tcW w:w="1606" w:type="dxa"/>
                  <w:vMerge w:val="continue"/>
                  <w:tcBorders>
                    <w:tl2br w:val="nil"/>
                    <w:tr2bl w:val="nil"/>
                  </w:tcBorders>
                  <w:vAlign w:val="center"/>
                </w:tcPr>
                <w:p w14:paraId="3014FD67">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kern w:val="0"/>
                      <w:szCs w:val="21"/>
                      <w:highlight w:val="none"/>
                      <w:lang w:val="en-US"/>
                    </w:rPr>
                  </w:pPr>
                </w:p>
              </w:tc>
              <w:tc>
                <w:tcPr>
                  <w:tcW w:w="2918" w:type="dxa"/>
                  <w:tcBorders>
                    <w:tl2br w:val="nil"/>
                    <w:tr2bl w:val="nil"/>
                  </w:tcBorders>
                  <w:vAlign w:val="center"/>
                </w:tcPr>
                <w:p w14:paraId="5937D4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机制砂（0-4.75mm）</w:t>
                  </w:r>
                </w:p>
              </w:tc>
              <w:tc>
                <w:tcPr>
                  <w:tcW w:w="1773" w:type="dxa"/>
                  <w:tcBorders>
                    <w:tl2br w:val="nil"/>
                    <w:tr2bl w:val="nil"/>
                  </w:tcBorders>
                  <w:vAlign w:val="center"/>
                </w:tcPr>
                <w:p w14:paraId="3F8CE0CA">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99062.385</w:t>
                  </w:r>
                </w:p>
              </w:tc>
            </w:tr>
            <w:tr w14:paraId="2D13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dxa"/>
                  <w:vMerge w:val="continue"/>
                  <w:tcBorders>
                    <w:tl2br w:val="nil"/>
                    <w:tr2bl w:val="nil"/>
                  </w:tcBorders>
                  <w:vAlign w:val="center"/>
                </w:tcPr>
                <w:p w14:paraId="3743C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kern w:val="0"/>
                      <w:szCs w:val="21"/>
                      <w:highlight w:val="none"/>
                    </w:rPr>
                  </w:pPr>
                </w:p>
              </w:tc>
              <w:tc>
                <w:tcPr>
                  <w:tcW w:w="1606" w:type="dxa"/>
                  <w:vMerge w:val="continue"/>
                  <w:tcBorders>
                    <w:tl2br w:val="nil"/>
                    <w:tr2bl w:val="nil"/>
                  </w:tcBorders>
                  <w:vAlign w:val="center"/>
                </w:tcPr>
                <w:p w14:paraId="6A71FE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Cs w:val="21"/>
                      <w:highlight w:val="none"/>
                      <w:lang w:val="en-US" w:eastAsia="zh-CN"/>
                    </w:rPr>
                  </w:pPr>
                </w:p>
              </w:tc>
              <w:tc>
                <w:tcPr>
                  <w:tcW w:w="2918" w:type="dxa"/>
                  <w:tcBorders>
                    <w:tl2br w:val="nil"/>
                    <w:tr2bl w:val="nil"/>
                  </w:tcBorders>
                  <w:vAlign w:val="center"/>
                </w:tcPr>
                <w:p w14:paraId="69070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无组织颗粒物</w:t>
                  </w:r>
                </w:p>
              </w:tc>
              <w:tc>
                <w:tcPr>
                  <w:tcW w:w="1773" w:type="dxa"/>
                  <w:tcBorders>
                    <w:tl2br w:val="nil"/>
                    <w:tr2bl w:val="nil"/>
                  </w:tcBorders>
                  <w:vAlign w:val="center"/>
                </w:tcPr>
                <w:p w14:paraId="56B7E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0.98</w:t>
                  </w:r>
                </w:p>
              </w:tc>
            </w:tr>
            <w:tr w14:paraId="05B6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dxa"/>
                  <w:vMerge w:val="continue"/>
                  <w:tcBorders>
                    <w:tl2br w:val="nil"/>
                    <w:tr2bl w:val="nil"/>
                  </w:tcBorders>
                  <w:vAlign w:val="center"/>
                </w:tcPr>
                <w:p w14:paraId="6AFA6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color w:val="auto"/>
                      <w:sz w:val="21"/>
                      <w:szCs w:val="21"/>
                      <w:highlight w:val="none"/>
                      <w:lang w:val="en-US" w:eastAsia="zh-CN"/>
                    </w:rPr>
                  </w:pPr>
                </w:p>
              </w:tc>
              <w:tc>
                <w:tcPr>
                  <w:tcW w:w="1606" w:type="dxa"/>
                  <w:vMerge w:val="continue"/>
                  <w:tcBorders>
                    <w:tl2br w:val="nil"/>
                    <w:tr2bl w:val="nil"/>
                  </w:tcBorders>
                  <w:vAlign w:val="center"/>
                </w:tcPr>
                <w:p w14:paraId="4915C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 w:val="21"/>
                      <w:szCs w:val="21"/>
                      <w:highlight w:val="none"/>
                      <w:vertAlign w:val="baseline"/>
                      <w:lang w:val="en-US" w:eastAsia="zh-CN"/>
                    </w:rPr>
                  </w:pPr>
                </w:p>
              </w:tc>
              <w:tc>
                <w:tcPr>
                  <w:tcW w:w="2918" w:type="dxa"/>
                  <w:tcBorders>
                    <w:tl2br w:val="nil"/>
                    <w:tr2bl w:val="nil"/>
                  </w:tcBorders>
                  <w:vAlign w:val="center"/>
                </w:tcPr>
                <w:p w14:paraId="1C039D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有组织颗粒物</w:t>
                  </w:r>
                </w:p>
              </w:tc>
              <w:tc>
                <w:tcPr>
                  <w:tcW w:w="1773" w:type="dxa"/>
                  <w:tcBorders>
                    <w:tl2br w:val="nil"/>
                    <w:tr2bl w:val="nil"/>
                  </w:tcBorders>
                  <w:vAlign w:val="center"/>
                </w:tcPr>
                <w:p w14:paraId="2B6BE2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2.003</w:t>
                  </w:r>
                </w:p>
              </w:tc>
            </w:tr>
            <w:tr w14:paraId="5103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dxa"/>
                  <w:vMerge w:val="continue"/>
                  <w:tcBorders>
                    <w:tl2br w:val="nil"/>
                    <w:tr2bl w:val="nil"/>
                  </w:tcBorders>
                  <w:vAlign w:val="center"/>
                </w:tcPr>
                <w:p w14:paraId="07928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color w:val="auto"/>
                      <w:sz w:val="21"/>
                      <w:szCs w:val="21"/>
                      <w:highlight w:val="none"/>
                      <w:lang w:val="en-US" w:eastAsia="zh-CN"/>
                    </w:rPr>
                  </w:pPr>
                </w:p>
              </w:tc>
              <w:tc>
                <w:tcPr>
                  <w:tcW w:w="1606" w:type="dxa"/>
                  <w:vMerge w:val="continue"/>
                  <w:tcBorders>
                    <w:tl2br w:val="nil"/>
                    <w:tr2bl w:val="nil"/>
                  </w:tcBorders>
                  <w:vAlign w:val="center"/>
                </w:tcPr>
                <w:p w14:paraId="581970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 w:val="21"/>
                      <w:szCs w:val="21"/>
                      <w:highlight w:val="none"/>
                      <w:vertAlign w:val="baseline"/>
                      <w:lang w:val="en-US" w:eastAsia="zh-CN"/>
                    </w:rPr>
                  </w:pPr>
                </w:p>
              </w:tc>
              <w:tc>
                <w:tcPr>
                  <w:tcW w:w="2918" w:type="dxa"/>
                  <w:tcBorders>
                    <w:tl2br w:val="nil"/>
                    <w:tr2bl w:val="nil"/>
                  </w:tcBorders>
                  <w:vAlign w:val="center"/>
                </w:tcPr>
                <w:p w14:paraId="2D2B22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除尘灰</w:t>
                  </w:r>
                </w:p>
              </w:tc>
              <w:tc>
                <w:tcPr>
                  <w:tcW w:w="1773" w:type="dxa"/>
                  <w:tcBorders>
                    <w:tl2br w:val="nil"/>
                    <w:tr2bl w:val="nil"/>
                  </w:tcBorders>
                  <w:vAlign w:val="center"/>
                </w:tcPr>
                <w:p w14:paraId="2D49C9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217.3</w:t>
                  </w:r>
                </w:p>
              </w:tc>
            </w:tr>
            <w:tr w14:paraId="48EE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dxa"/>
                  <w:vMerge w:val="continue"/>
                  <w:tcBorders>
                    <w:tl2br w:val="nil"/>
                    <w:tr2bl w:val="nil"/>
                  </w:tcBorders>
                  <w:vAlign w:val="center"/>
                </w:tcPr>
                <w:p w14:paraId="2942E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color w:val="auto"/>
                      <w:sz w:val="21"/>
                      <w:szCs w:val="21"/>
                      <w:highlight w:val="none"/>
                      <w:lang w:val="en-US" w:eastAsia="zh-CN"/>
                    </w:rPr>
                  </w:pPr>
                </w:p>
              </w:tc>
              <w:tc>
                <w:tcPr>
                  <w:tcW w:w="1606" w:type="dxa"/>
                  <w:vMerge w:val="continue"/>
                  <w:tcBorders>
                    <w:tl2br w:val="nil"/>
                    <w:tr2bl w:val="nil"/>
                  </w:tcBorders>
                  <w:vAlign w:val="center"/>
                </w:tcPr>
                <w:p w14:paraId="06EF6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 w:val="21"/>
                      <w:szCs w:val="21"/>
                      <w:highlight w:val="none"/>
                      <w:vertAlign w:val="baseline"/>
                      <w:lang w:val="en-US" w:eastAsia="zh-CN"/>
                    </w:rPr>
                  </w:pPr>
                </w:p>
              </w:tc>
              <w:tc>
                <w:tcPr>
                  <w:tcW w:w="2918" w:type="dxa"/>
                  <w:tcBorders>
                    <w:tl2br w:val="nil"/>
                    <w:tr2bl w:val="nil"/>
                  </w:tcBorders>
                  <w:vAlign w:val="center"/>
                </w:tcPr>
                <w:p w14:paraId="7FEA55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废铁屑</w:t>
                  </w:r>
                </w:p>
              </w:tc>
              <w:tc>
                <w:tcPr>
                  <w:tcW w:w="1773" w:type="dxa"/>
                  <w:tcBorders>
                    <w:tl2br w:val="nil"/>
                    <w:tr2bl w:val="nil"/>
                  </w:tcBorders>
                  <w:vAlign w:val="center"/>
                </w:tcPr>
                <w:p w14:paraId="1148C7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300</w:t>
                  </w:r>
                </w:p>
              </w:tc>
            </w:tr>
            <w:tr w14:paraId="14A1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dxa"/>
                  <w:tcBorders>
                    <w:tl2br w:val="nil"/>
                    <w:tr2bl w:val="nil"/>
                  </w:tcBorders>
                  <w:vAlign w:val="center"/>
                </w:tcPr>
                <w:p w14:paraId="603E2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合计</w:t>
                  </w:r>
                </w:p>
              </w:tc>
              <w:tc>
                <w:tcPr>
                  <w:tcW w:w="1606" w:type="dxa"/>
                  <w:tcBorders>
                    <w:tl2br w:val="nil"/>
                    <w:tr2bl w:val="nil"/>
                  </w:tcBorders>
                  <w:vAlign w:val="center"/>
                </w:tcPr>
                <w:p w14:paraId="224C0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300000</w:t>
                  </w:r>
                </w:p>
              </w:tc>
              <w:tc>
                <w:tcPr>
                  <w:tcW w:w="2918" w:type="dxa"/>
                  <w:tcBorders>
                    <w:tl2br w:val="nil"/>
                    <w:tr2bl w:val="nil"/>
                  </w:tcBorders>
                  <w:vAlign w:val="center"/>
                </w:tcPr>
                <w:p w14:paraId="468640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合计</w:t>
                  </w:r>
                </w:p>
              </w:tc>
              <w:tc>
                <w:tcPr>
                  <w:tcW w:w="1773" w:type="dxa"/>
                  <w:tcBorders>
                    <w:tl2br w:val="nil"/>
                    <w:tr2bl w:val="nil"/>
                  </w:tcBorders>
                  <w:vAlign w:val="center"/>
                </w:tcPr>
                <w:p w14:paraId="3CF698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30</w:t>
                  </w:r>
                  <w:r>
                    <w:rPr>
                      <w:rFonts w:hint="eastAsia" w:ascii="Times New Roman" w:hAnsi="Times New Roman" w:eastAsia="宋体" w:cs="Times New Roman"/>
                      <w:color w:val="auto"/>
                      <w:kern w:val="0"/>
                      <w:szCs w:val="21"/>
                      <w:highlight w:val="none"/>
                      <w:lang w:val="en-US" w:eastAsia="zh-CN"/>
                    </w:rPr>
                    <w:t>0000</w:t>
                  </w:r>
                </w:p>
              </w:tc>
            </w:tr>
          </w:tbl>
          <w:p w14:paraId="0909320A">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cs="Times New Roman"/>
                <w:b/>
                <w:bCs/>
                <w:color w:val="auto"/>
                <w:spacing w:val="0"/>
                <w:kern w:val="2"/>
                <w:sz w:val="24"/>
                <w:szCs w:val="24"/>
                <w:highlight w:val="none"/>
                <w:lang w:val="en-US" w:eastAsia="zh-CN" w:bidi="ar-SA"/>
              </w:rPr>
              <w:t>七、</w:t>
            </w:r>
            <w:r>
              <w:rPr>
                <w:rFonts w:hint="default" w:ascii="Times New Roman" w:hAnsi="Times New Roman" w:eastAsia="宋体" w:cs="Times New Roman"/>
                <w:b/>
                <w:bCs w:val="0"/>
                <w:color w:val="auto"/>
                <w:spacing w:val="0"/>
                <w:sz w:val="24"/>
                <w:szCs w:val="24"/>
                <w:highlight w:val="none"/>
                <w:lang w:val="en-US" w:eastAsia="zh-CN"/>
              </w:rPr>
              <w:t>劳动定员及工作制度</w:t>
            </w:r>
          </w:p>
          <w:p w14:paraId="504137FA">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eastAsia" w:hAnsi="宋体"/>
                <w:color w:val="auto"/>
                <w:kern w:val="0"/>
                <w:sz w:val="24"/>
                <w:lang w:eastAsia="zh-CN"/>
              </w:rPr>
            </w:pPr>
            <w:r>
              <w:rPr>
                <w:rFonts w:hint="eastAsia" w:hAnsi="宋体"/>
                <w:color w:val="auto"/>
                <w:kern w:val="0"/>
                <w:sz w:val="24"/>
              </w:rPr>
              <w:t>本项目</w:t>
            </w:r>
            <w:r>
              <w:rPr>
                <w:rFonts w:hint="eastAsia" w:hAnsi="宋体"/>
                <w:color w:val="auto"/>
                <w:kern w:val="0"/>
                <w:sz w:val="24"/>
                <w:lang w:val="en-US" w:eastAsia="zh-CN"/>
              </w:rPr>
              <w:t>劳动</w:t>
            </w:r>
            <w:r>
              <w:rPr>
                <w:rFonts w:hint="eastAsia" w:hAnsi="宋体"/>
                <w:color w:val="auto"/>
                <w:kern w:val="0"/>
                <w:sz w:val="24"/>
              </w:rPr>
              <w:t>定员10人，其中管理人员2人，生产线工作人员8人</w:t>
            </w:r>
            <w:r>
              <w:rPr>
                <w:rFonts w:hint="eastAsia" w:hAnsi="宋体"/>
                <w:color w:val="auto"/>
                <w:kern w:val="0"/>
                <w:sz w:val="24"/>
                <w:lang w:eastAsia="zh-CN"/>
              </w:rPr>
              <w:t>。</w:t>
            </w:r>
          </w:p>
          <w:p w14:paraId="43D2DD87">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eastAsia" w:eastAsia="宋体"/>
                <w:snapToGrid w:val="0"/>
                <w:color w:val="auto"/>
                <w:kern w:val="0"/>
                <w:sz w:val="24"/>
                <w:lang w:val="en-US" w:eastAsia="zh-CN"/>
              </w:rPr>
            </w:pPr>
            <w:r>
              <w:rPr>
                <w:rFonts w:hint="eastAsia" w:hAnsi="宋体"/>
                <w:color w:val="auto"/>
                <w:kern w:val="0"/>
                <w:sz w:val="24"/>
              </w:rPr>
              <w:t>本项目年工作天数为3</w:t>
            </w:r>
            <w:r>
              <w:rPr>
                <w:rFonts w:hint="eastAsia" w:hAnsi="宋体"/>
                <w:color w:val="auto"/>
                <w:kern w:val="0"/>
                <w:sz w:val="24"/>
                <w:lang w:val="en-US" w:eastAsia="zh-CN"/>
              </w:rPr>
              <w:t>3</w:t>
            </w:r>
            <w:r>
              <w:rPr>
                <w:rFonts w:hint="eastAsia" w:hAnsi="宋体"/>
                <w:color w:val="auto"/>
                <w:kern w:val="0"/>
                <w:sz w:val="24"/>
              </w:rPr>
              <w:t>0天，每天</w:t>
            </w:r>
            <w:r>
              <w:rPr>
                <w:rFonts w:hint="eastAsia" w:hAnsi="宋体"/>
                <w:color w:val="auto"/>
                <w:kern w:val="0"/>
                <w:sz w:val="24"/>
                <w:lang w:val="en-US" w:eastAsia="zh-CN"/>
              </w:rPr>
              <w:t>2</w:t>
            </w:r>
            <w:r>
              <w:rPr>
                <w:rFonts w:hint="eastAsia" w:hAnsi="宋体"/>
                <w:color w:val="auto"/>
                <w:kern w:val="0"/>
                <w:sz w:val="24"/>
              </w:rPr>
              <w:t>班、每班8小时</w:t>
            </w:r>
            <w:r>
              <w:rPr>
                <w:rFonts w:hint="eastAsia" w:hAnsi="宋体"/>
                <w:color w:val="auto"/>
                <w:kern w:val="0"/>
                <w:sz w:val="24"/>
                <w:lang w:eastAsia="zh-CN"/>
              </w:rPr>
              <w:t>，</w:t>
            </w:r>
            <w:r>
              <w:rPr>
                <w:rFonts w:hint="eastAsia" w:hAnsi="宋体"/>
                <w:color w:val="auto"/>
                <w:kern w:val="0"/>
                <w:sz w:val="24"/>
                <w:lang w:val="en-US" w:eastAsia="zh-CN"/>
              </w:rPr>
              <w:t>年工作5280h</w:t>
            </w:r>
            <w:r>
              <w:rPr>
                <w:rFonts w:hint="eastAsia" w:hAnsi="宋体"/>
                <w:color w:val="auto"/>
                <w:kern w:val="0"/>
                <w:sz w:val="24"/>
              </w:rPr>
              <w:t>。</w:t>
            </w:r>
            <w:r>
              <w:rPr>
                <w:rFonts w:hint="default" w:ascii="Times New Roman" w:hAnsi="Times New Roman" w:eastAsia="宋体" w:cs="Times New Roman"/>
                <w:color w:val="auto"/>
                <w:sz w:val="24"/>
              </w:rPr>
              <w:t>本项目职工为</w:t>
            </w:r>
            <w:r>
              <w:rPr>
                <w:rFonts w:hint="default" w:ascii="Times New Roman" w:hAnsi="Times New Roman" w:eastAsia="宋体" w:cs="Times New Roman"/>
                <w:color w:val="auto"/>
                <w:sz w:val="24"/>
                <w:lang w:val="en-US" w:eastAsia="zh-CN"/>
              </w:rPr>
              <w:t>附近</w:t>
            </w:r>
            <w:r>
              <w:rPr>
                <w:rFonts w:hint="default" w:ascii="Times New Roman" w:hAnsi="Times New Roman" w:eastAsia="宋体" w:cs="Times New Roman"/>
                <w:color w:val="auto"/>
                <w:sz w:val="24"/>
              </w:rPr>
              <w:t>村庄的村民，不在厂区内住宿、</w:t>
            </w:r>
            <w:r>
              <w:rPr>
                <w:rFonts w:hint="eastAsia" w:cs="Times New Roman"/>
                <w:color w:val="auto"/>
                <w:sz w:val="24"/>
                <w:lang w:val="en-US" w:eastAsia="zh-CN"/>
              </w:rPr>
              <w:t>洗浴。</w:t>
            </w:r>
          </w:p>
          <w:p w14:paraId="6EFAE52B">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八、建设地点</w:t>
            </w:r>
          </w:p>
          <w:p w14:paraId="7C5C58F4">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 w:val="0"/>
                <w:bCs/>
                <w:color w:val="auto"/>
                <w:spacing w:val="0"/>
                <w:sz w:val="24"/>
                <w:szCs w:val="24"/>
                <w:highlight w:val="none"/>
                <w:vertAlign w:val="baseline"/>
                <w:lang w:val="en-US" w:eastAsia="zh-CN"/>
              </w:rPr>
            </w:pPr>
            <w:r>
              <w:rPr>
                <w:rFonts w:hint="eastAsia" w:cs="Times New Roman"/>
                <w:b w:val="0"/>
                <w:bCs/>
                <w:color w:val="auto"/>
                <w:spacing w:val="0"/>
                <w:sz w:val="24"/>
                <w:szCs w:val="24"/>
                <w:highlight w:val="none"/>
                <w:lang w:val="en-US" w:eastAsia="zh-CN"/>
              </w:rPr>
              <w:t>本项目拟建于长治市屯留区李高乡西酪余村北，</w:t>
            </w:r>
            <w:r>
              <w:rPr>
                <w:rFonts w:hint="eastAsia" w:cs="Times New Roman"/>
                <w:b w:val="0"/>
                <w:bCs/>
                <w:color w:val="auto"/>
                <w:spacing w:val="0"/>
                <w:sz w:val="24"/>
                <w:szCs w:val="24"/>
                <w:highlight w:val="none"/>
                <w:vertAlign w:val="baseline"/>
                <w:lang w:val="en-US" w:eastAsia="zh-CN"/>
              </w:rPr>
              <w:t>占地类型为工业用地，本项目与</w:t>
            </w:r>
            <w:r>
              <w:rPr>
                <w:rFonts w:hint="eastAsia" w:cs="Times New Roman"/>
                <w:color w:val="auto"/>
                <w:sz w:val="24"/>
                <w:szCs w:val="24"/>
                <w:highlight w:val="none"/>
                <w:lang w:val="en-US" w:eastAsia="zh-CN"/>
              </w:rPr>
              <w:t>屯留县锦泰工贸有限公司签订了土地租赁协议，本项目占地面积为6336.5m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。根据山西九州汇通项目管理有限公司出具的《土地勘测定界技术报告书》（2026年4月20日），勘测定界实测用地面积为7953.77</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，本项目占地为北侧用地（占地面积</w:t>
            </w:r>
            <w:r>
              <w:rPr>
                <w:rFonts w:hint="eastAsia" w:cs="Times New Roman"/>
                <w:color w:val="auto"/>
                <w:sz w:val="24"/>
                <w:szCs w:val="24"/>
                <w:highlight w:val="none"/>
                <w:lang w:val="en-US" w:eastAsia="zh-CN"/>
              </w:rPr>
              <w:t>6336.5m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），南侧为预留用地（占地面积</w:t>
            </w:r>
            <w:r>
              <w:rPr>
                <w:rFonts w:hint="eastAsia" w:cs="Times New Roman"/>
                <w:color w:val="auto"/>
                <w:sz w:val="24"/>
                <w:szCs w:val="24"/>
                <w:highlight w:val="none"/>
                <w:lang w:val="en-US" w:eastAsia="zh-CN"/>
              </w:rPr>
              <w:t>1617.27m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），租赁合同、</w:t>
            </w:r>
            <w:r>
              <w:rPr>
                <w:rFonts w:hint="eastAsia" w:cs="Times New Roman"/>
                <w:b w:val="0"/>
                <w:bCs/>
                <w:color w:val="auto"/>
                <w:spacing w:val="0"/>
                <w:sz w:val="24"/>
                <w:szCs w:val="24"/>
                <w:highlight w:val="none"/>
                <w:vertAlign w:val="baseline"/>
                <w:lang w:val="en-US" w:eastAsia="zh-CN"/>
              </w:rPr>
              <w:t>勘界报告见附件4。</w:t>
            </w:r>
          </w:p>
          <w:p w14:paraId="517A9F26">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 w:val="0"/>
                <w:bCs/>
                <w:color w:val="auto"/>
                <w:spacing w:val="0"/>
                <w:sz w:val="24"/>
                <w:szCs w:val="24"/>
                <w:highlight w:val="none"/>
                <w:vertAlign w:val="baseline"/>
                <w:lang w:val="en-US" w:eastAsia="zh-CN"/>
              </w:rPr>
            </w:pPr>
            <w:r>
              <w:rPr>
                <w:rFonts w:hint="eastAsia" w:cs="Times New Roman"/>
                <w:b w:val="0"/>
                <w:bCs/>
                <w:color w:val="auto"/>
                <w:spacing w:val="0"/>
                <w:sz w:val="24"/>
                <w:szCs w:val="24"/>
                <w:highlight w:val="none"/>
                <w:lang w:val="en-US" w:eastAsia="zh-CN"/>
              </w:rPr>
              <w:t>本项目厂区西侧和南侧为乡村道路，北侧和东侧为空地</w:t>
            </w:r>
            <w:r>
              <w:rPr>
                <w:rFonts w:hint="eastAsia" w:cs="Times New Roman"/>
                <w:b w:val="0"/>
                <w:bCs/>
                <w:color w:val="auto"/>
                <w:spacing w:val="0"/>
                <w:sz w:val="24"/>
                <w:szCs w:val="24"/>
                <w:highlight w:val="none"/>
                <w:vertAlign w:val="baseline"/>
                <w:lang w:val="en-US" w:eastAsia="zh-CN"/>
              </w:rPr>
              <w:t>。</w:t>
            </w:r>
          </w:p>
          <w:p w14:paraId="2EEE43B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olor w:val="auto"/>
                <w:sz w:val="24"/>
              </w:rPr>
            </w:pPr>
            <w:r>
              <w:rPr>
                <w:rFonts w:hint="default"/>
                <w:color w:val="auto"/>
                <w:sz w:val="24"/>
              </w:rPr>
              <w:t>本项目地理位置图见附图</w:t>
            </w:r>
            <w:r>
              <w:rPr>
                <w:rFonts w:hint="eastAsia"/>
                <w:color w:val="auto"/>
                <w:sz w:val="24"/>
              </w:rPr>
              <w:t>1，项目四邻关系</w:t>
            </w:r>
            <w:r>
              <w:rPr>
                <w:rFonts w:hint="eastAsia"/>
                <w:color w:val="auto"/>
                <w:sz w:val="24"/>
                <w:lang w:val="en-US" w:eastAsia="zh-CN"/>
              </w:rPr>
              <w:t>和环保目标</w:t>
            </w:r>
            <w:r>
              <w:rPr>
                <w:rFonts w:hint="eastAsia"/>
                <w:color w:val="auto"/>
                <w:sz w:val="24"/>
              </w:rPr>
              <w:t>图见附图2。</w:t>
            </w:r>
          </w:p>
          <w:p w14:paraId="7FBA1C28">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cs="Times New Roman"/>
                <w:b/>
                <w:bCs w:val="0"/>
                <w:color w:val="auto"/>
                <w:spacing w:val="0"/>
                <w:sz w:val="24"/>
                <w:szCs w:val="24"/>
                <w:highlight w:val="none"/>
                <w:lang w:val="en-US" w:eastAsia="zh-CN"/>
              </w:rPr>
              <w:t>九、厂区</w:t>
            </w:r>
            <w:r>
              <w:rPr>
                <w:rFonts w:hint="default" w:ascii="Times New Roman" w:hAnsi="Times New Roman" w:eastAsia="宋体" w:cs="Times New Roman"/>
                <w:b/>
                <w:bCs w:val="0"/>
                <w:color w:val="auto"/>
                <w:spacing w:val="0"/>
                <w:sz w:val="24"/>
                <w:szCs w:val="24"/>
                <w:highlight w:val="none"/>
                <w:lang w:val="en-US" w:eastAsia="zh-CN"/>
              </w:rPr>
              <w:t>平面布置</w:t>
            </w:r>
          </w:p>
          <w:p w14:paraId="6EF8C6F9">
            <w:pPr>
              <w:keepNext w:val="0"/>
              <w:keepLines w:val="0"/>
              <w:suppressLineNumbers w:val="0"/>
              <w:autoSpaceDE w:val="0"/>
              <w:autoSpaceDN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pacing w:val="0"/>
                <w:sz w:val="24"/>
                <w:highlight w:val="none"/>
                <w:lang w:val="en-US" w:eastAsia="zh-CN"/>
              </w:rPr>
            </w:pPr>
            <w:r>
              <w:rPr>
                <w:rFonts w:hint="eastAsia" w:cs="Times New Roman"/>
                <w:b w:val="0"/>
                <w:bCs/>
                <w:color w:val="auto"/>
                <w:spacing w:val="0"/>
                <w:sz w:val="24"/>
                <w:szCs w:val="24"/>
                <w:highlight w:val="none"/>
                <w:lang w:val="en-US" w:eastAsia="zh-CN"/>
              </w:rPr>
              <w:t>本项目位于长治市屯留区李高乡西酪余村北，出入口位于厂区西侧，成品库位于厂区西北侧，成品库南侧为办公区，办公区东侧为全封闭生产车间，危废贮存点位于生产车间内东南侧，磅房和洗车平台均位于厂区出入口，初期雨水收集池位于厂区东南侧。</w:t>
            </w:r>
            <w:r>
              <w:rPr>
                <w:rFonts w:hint="eastAsia" w:cs="Times New Roman"/>
                <w:color w:val="auto"/>
                <w:spacing w:val="0"/>
                <w:sz w:val="24"/>
                <w:highlight w:val="none"/>
                <w:lang w:val="en-US" w:eastAsia="zh-CN"/>
              </w:rPr>
              <w:t>本项目厂区平面布置和车间布置见附图3。</w:t>
            </w:r>
          </w:p>
          <w:p w14:paraId="09FCE73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十、</w:t>
            </w:r>
            <w:r>
              <w:rPr>
                <w:rFonts w:hint="default" w:ascii="Times New Roman" w:hAnsi="Times New Roman" w:eastAsia="宋体" w:cs="Times New Roman"/>
                <w:b/>
                <w:bCs/>
                <w:color w:val="auto"/>
                <w:spacing w:val="0"/>
                <w:sz w:val="24"/>
                <w:szCs w:val="24"/>
                <w:highlight w:val="none"/>
                <w:lang w:val="en-US" w:eastAsia="zh-CN"/>
              </w:rPr>
              <w:t>公用工程</w:t>
            </w:r>
          </w:p>
          <w:p w14:paraId="7ABE0628">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（1）</w:t>
            </w:r>
            <w:r>
              <w:rPr>
                <w:rFonts w:hint="default" w:ascii="Times New Roman" w:hAnsi="Times New Roman" w:eastAsia="宋体" w:cs="Times New Roman"/>
                <w:b w:val="0"/>
                <w:bCs/>
                <w:color w:val="auto"/>
                <w:spacing w:val="0"/>
                <w:sz w:val="24"/>
                <w:szCs w:val="24"/>
                <w:highlight w:val="none"/>
                <w:lang w:val="en-US" w:eastAsia="zh-CN"/>
              </w:rPr>
              <w:t>给排水</w:t>
            </w:r>
          </w:p>
          <w:p w14:paraId="4C9A32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给水：</w:t>
            </w:r>
          </w:p>
          <w:p w14:paraId="6B6693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本项目用水由罐车从西酪余村拉水</w:t>
            </w:r>
            <w:r>
              <w:rPr>
                <w:rFonts w:hint="default" w:ascii="Times New Roman" w:hAnsi="Times New Roman" w:cs="Times New Roman"/>
                <w:color w:val="auto"/>
                <w:sz w:val="24"/>
                <w:szCs w:val="24"/>
              </w:rPr>
              <w:t>，能满足本项目正常生产、生活需要。</w:t>
            </w:r>
          </w:p>
          <w:p w14:paraId="1A905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①职工生活用水</w:t>
            </w:r>
          </w:p>
          <w:p w14:paraId="206F16A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cs="Times New Roman"/>
                <w:color w:val="auto"/>
                <w:sz w:val="24"/>
                <w:szCs w:val="24"/>
              </w:rPr>
              <w:t>本项目劳动定员</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人，职工均为当附近的村民，且厂区内不设职工食堂及浴室，因此本项目生活用水主要为职工的少量洗漱用水。</w:t>
            </w:r>
            <w:r>
              <w:rPr>
                <w:rFonts w:hint="default" w:ascii="Times New Roman" w:hAnsi="Times New Roman" w:cs="Times New Roman"/>
                <w:bCs/>
                <w:color w:val="auto"/>
                <w:sz w:val="24"/>
                <w:szCs w:val="24"/>
              </w:rPr>
              <w:t>职工生活用水</w:t>
            </w:r>
            <w:r>
              <w:rPr>
                <w:rFonts w:hint="eastAsia" w:ascii="Times New Roman" w:hAnsi="Times New Roman" w:cs="Times New Roman"/>
                <w:bCs/>
                <w:color w:val="auto"/>
                <w:sz w:val="24"/>
                <w:szCs w:val="24"/>
                <w:lang w:val="en-US" w:eastAsia="zh-CN"/>
              </w:rPr>
              <w:t>参照《山西省用水定额第4部分:居民生活用水定额》（DB 14/T 1049.4-202</w:t>
            </w:r>
            <w:r>
              <w:rPr>
                <w:rFonts w:hint="eastAsia" w:cs="Times New Roman"/>
                <w:bCs/>
                <w:color w:val="auto"/>
                <w:sz w:val="24"/>
                <w:szCs w:val="24"/>
                <w:lang w:val="en-US" w:eastAsia="zh-CN"/>
              </w:rPr>
              <w:t>5</w:t>
            </w:r>
            <w:r>
              <w:rPr>
                <w:rFonts w:hint="eastAsia" w:ascii="Times New Roman" w:hAnsi="Times New Roman" w:cs="Times New Roman"/>
                <w:bCs/>
                <w:color w:val="auto"/>
                <w:sz w:val="24"/>
                <w:szCs w:val="24"/>
                <w:lang w:val="en-US" w:eastAsia="zh-CN"/>
              </w:rPr>
              <w:t>）--“农村分散式供水”，</w:t>
            </w:r>
            <w:r>
              <w:rPr>
                <w:rFonts w:hint="default" w:ascii="Times New Roman" w:hAnsi="Times New Roman" w:cs="Times New Roman"/>
                <w:bCs/>
                <w:color w:val="auto"/>
                <w:sz w:val="24"/>
                <w:szCs w:val="24"/>
                <w:highlight w:val="none"/>
              </w:rPr>
              <w:t>用水量按</w:t>
            </w:r>
            <w:r>
              <w:rPr>
                <w:rFonts w:hint="eastAsia" w:cs="Times New Roman"/>
                <w:bCs/>
                <w:color w:val="auto"/>
                <w:sz w:val="24"/>
                <w:szCs w:val="24"/>
                <w:highlight w:val="none"/>
                <w:lang w:val="en-US" w:eastAsia="zh-CN"/>
              </w:rPr>
              <w:t>8</w:t>
            </w:r>
            <w:r>
              <w:rPr>
                <w:rFonts w:hint="default" w:ascii="Times New Roman" w:hAnsi="Times New Roman" w:cs="Times New Roman"/>
                <w:bCs/>
                <w:color w:val="auto"/>
                <w:sz w:val="24"/>
                <w:szCs w:val="24"/>
                <w:highlight w:val="none"/>
              </w:rPr>
              <w:t>0L/人·d计，</w:t>
            </w:r>
            <w:r>
              <w:rPr>
                <w:rFonts w:hint="eastAsia" w:cs="Times New Roman"/>
                <w:bCs/>
                <w:color w:val="auto"/>
                <w:sz w:val="24"/>
                <w:szCs w:val="24"/>
                <w:highlight w:val="none"/>
                <w:lang w:val="en-US" w:eastAsia="zh-CN"/>
              </w:rPr>
              <w:t>年工作330天，</w:t>
            </w:r>
            <w:r>
              <w:rPr>
                <w:rFonts w:hint="default" w:ascii="Times New Roman" w:hAnsi="Times New Roman" w:cs="Times New Roman"/>
                <w:bCs/>
                <w:color w:val="auto"/>
                <w:sz w:val="24"/>
                <w:szCs w:val="24"/>
                <w:highlight w:val="none"/>
              </w:rPr>
              <w:t>则</w:t>
            </w:r>
            <w:r>
              <w:rPr>
                <w:rFonts w:hint="default" w:ascii="Times New Roman" w:hAnsi="Times New Roman" w:cs="Times New Roman"/>
                <w:bCs/>
                <w:color w:val="auto"/>
                <w:sz w:val="24"/>
                <w:szCs w:val="24"/>
              </w:rPr>
              <w:t>本项目职工生活</w:t>
            </w:r>
            <w:r>
              <w:rPr>
                <w:rFonts w:hint="default" w:ascii="Times New Roman" w:hAnsi="Times New Roman" w:cs="Times New Roman"/>
                <w:color w:val="auto"/>
                <w:sz w:val="24"/>
                <w:szCs w:val="24"/>
              </w:rPr>
              <w:t>用水量为0.</w:t>
            </w:r>
            <w:r>
              <w:rPr>
                <w:rFonts w:hint="eastAsia" w:cs="Times New Roman"/>
                <w:color w:val="auto"/>
                <w:sz w:val="24"/>
                <w:szCs w:val="24"/>
                <w:lang w:val="en-US" w:eastAsia="zh-CN"/>
              </w:rPr>
              <w:t>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2</w:t>
            </w:r>
            <w:r>
              <w:rPr>
                <w:rFonts w:hint="eastAsia" w:cs="Times New Roman"/>
                <w:color w:val="auto"/>
                <w:sz w:val="24"/>
                <w:szCs w:val="24"/>
                <w:lang w:val="en-US" w:eastAsia="zh-CN"/>
              </w:rPr>
              <w:t>64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p>
          <w:p w14:paraId="455D9086">
            <w:pPr>
              <w:keepNext w:val="0"/>
              <w:keepLines w:val="0"/>
              <w:pageBreakBefore w:val="0"/>
              <w:widowControl w:val="0"/>
              <w:suppressLineNumbers w:val="0"/>
              <w:tabs>
                <w:tab w:val="left" w:pos="0"/>
              </w:tabs>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lang w:val="en-US" w:eastAsia="zh-CN"/>
              </w:rPr>
              <w:t>生产用水</w:t>
            </w:r>
          </w:p>
          <w:p w14:paraId="0ABC3C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1）洗车用水</w:t>
            </w:r>
          </w:p>
          <w:p w14:paraId="52589259">
            <w:pPr>
              <w:keepNext w:val="0"/>
              <w:keepLines w:val="0"/>
              <w:suppressLineNumbers w:val="0"/>
              <w:adjustRightInd w:val="0"/>
              <w:snapToGrid w:val="0"/>
              <w:spacing w:before="0" w:beforeAutospacing="0" w:after="0" w:afterAutospacing="0" w:line="480" w:lineRule="exact"/>
              <w:ind w:left="0" w:right="0" w:firstLine="480" w:firstLineChars="200"/>
              <w:rPr>
                <w:rFonts w:hint="eastAsia"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车辆冲洗用水参照《山西省用水定额》（DB14/T1049-2021），载重汽车循环用水冲洗用水量按40L/（辆·次）计算。本项目</w:t>
            </w:r>
            <w:r>
              <w:rPr>
                <w:rFonts w:hint="eastAsia" w:cs="Times New Roman"/>
                <w:color w:val="auto"/>
                <w:sz w:val="24"/>
                <w:highlight w:val="none"/>
                <w:lang w:val="en-US" w:eastAsia="zh-CN"/>
              </w:rPr>
              <w:t>年生产330天，</w:t>
            </w:r>
            <w:r>
              <w:rPr>
                <w:rFonts w:hint="eastAsia" w:ascii="Times New Roman" w:hAnsi="Times New Roman" w:cs="Times New Roman"/>
                <w:color w:val="auto"/>
                <w:sz w:val="24"/>
                <w:highlight w:val="none"/>
                <w:lang w:val="en-US" w:eastAsia="zh-CN"/>
              </w:rPr>
              <w:t>汽车载重量按</w:t>
            </w:r>
            <w:r>
              <w:rPr>
                <w:rFonts w:hint="eastAsia" w:cs="Times New Roman"/>
                <w:color w:val="auto"/>
                <w:sz w:val="24"/>
                <w:highlight w:val="none"/>
                <w:lang w:val="en-US" w:eastAsia="zh-CN"/>
              </w:rPr>
              <w:t>40</w:t>
            </w:r>
            <w:r>
              <w:rPr>
                <w:rFonts w:hint="eastAsia" w:ascii="Times New Roman" w:hAnsi="Times New Roman" w:cs="Times New Roman"/>
                <w:color w:val="auto"/>
                <w:sz w:val="24"/>
                <w:highlight w:val="none"/>
                <w:lang w:val="en-US" w:eastAsia="zh-CN"/>
              </w:rPr>
              <w:t>吨计算，</w:t>
            </w:r>
            <w:r>
              <w:rPr>
                <w:rFonts w:hint="eastAsia" w:cs="Times New Roman"/>
                <w:color w:val="auto"/>
                <w:sz w:val="24"/>
                <w:highlight w:val="none"/>
                <w:lang w:val="en-US" w:eastAsia="zh-CN"/>
              </w:rPr>
              <w:t>年运输量约60万吨，每天进出车辆约45辆，</w:t>
            </w:r>
            <w:r>
              <w:rPr>
                <w:rFonts w:hint="eastAsia" w:ascii="Times New Roman" w:hAnsi="Times New Roman" w:cs="Times New Roman"/>
                <w:color w:val="auto"/>
                <w:sz w:val="24"/>
                <w:highlight w:val="none"/>
                <w:lang w:val="en-US" w:eastAsia="zh-CN"/>
              </w:rPr>
              <w:t>则本项目洗车用水量</w:t>
            </w:r>
            <w:r>
              <w:rPr>
                <w:rFonts w:hint="eastAsia" w:cs="Times New Roman"/>
                <w:color w:val="auto"/>
                <w:sz w:val="24"/>
                <w:highlight w:val="none"/>
                <w:lang w:val="en-US" w:eastAsia="zh-CN"/>
              </w:rPr>
              <w:t>为1.8</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w:t>
            </w:r>
            <w:r>
              <w:rPr>
                <w:rFonts w:hint="default"/>
                <w:color w:val="auto"/>
                <w:sz w:val="24"/>
                <w:highlight w:val="none"/>
              </w:rPr>
              <w:t>废水产生量按0.</w:t>
            </w:r>
            <w:r>
              <w:rPr>
                <w:rFonts w:hint="eastAsia"/>
                <w:color w:val="auto"/>
                <w:sz w:val="24"/>
                <w:highlight w:val="none"/>
                <w:lang w:val="en-US" w:eastAsia="zh-CN"/>
              </w:rPr>
              <w:t>8</w:t>
            </w:r>
            <w:r>
              <w:rPr>
                <w:rFonts w:hint="default"/>
                <w:color w:val="auto"/>
                <w:sz w:val="24"/>
                <w:highlight w:val="none"/>
              </w:rPr>
              <w:t>计，则废水量为</w:t>
            </w:r>
            <w:r>
              <w:rPr>
                <w:rFonts w:hint="eastAsia"/>
                <w:color w:val="auto"/>
                <w:sz w:val="24"/>
                <w:highlight w:val="none"/>
                <w:lang w:val="en-US" w:eastAsia="zh-CN"/>
              </w:rPr>
              <w:t>1.44</w:t>
            </w:r>
            <w:r>
              <w:rPr>
                <w:rFonts w:hint="default"/>
                <w:color w:val="auto"/>
                <w:sz w:val="24"/>
                <w:highlight w:val="none"/>
              </w:rPr>
              <w:t>m</w:t>
            </w:r>
            <w:r>
              <w:rPr>
                <w:rFonts w:hint="eastAsia"/>
                <w:color w:val="auto"/>
                <w:sz w:val="24"/>
                <w:highlight w:val="none"/>
                <w:vertAlign w:val="superscript"/>
                <w:lang w:val="en-US" w:eastAsia="zh-CN"/>
              </w:rPr>
              <w:t>3</w:t>
            </w:r>
            <w:r>
              <w:rPr>
                <w:rFonts w:hint="default"/>
                <w:color w:val="auto"/>
                <w:sz w:val="24"/>
                <w:highlight w:val="none"/>
              </w:rPr>
              <w:t>/d，经一座</w:t>
            </w:r>
            <w:r>
              <w:rPr>
                <w:rFonts w:hint="eastAsia"/>
                <w:color w:val="auto"/>
                <w:sz w:val="24"/>
                <w:highlight w:val="none"/>
                <w:lang w:val="en-US" w:eastAsia="zh-CN"/>
              </w:rPr>
              <w:t>15</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沉淀池沉淀后循环使用，补水量按照总用水量的</w:t>
            </w:r>
            <w:r>
              <w:rPr>
                <w:rFonts w:hint="eastAsia"/>
                <w:color w:val="auto"/>
                <w:sz w:val="24"/>
                <w:highlight w:val="none"/>
                <w:lang w:val="en-US" w:eastAsia="zh-CN"/>
              </w:rPr>
              <w:t>2</w:t>
            </w:r>
            <w:r>
              <w:rPr>
                <w:rFonts w:hint="default"/>
                <w:color w:val="auto"/>
                <w:sz w:val="24"/>
                <w:highlight w:val="none"/>
              </w:rPr>
              <w:t>0%计，则补水量为</w:t>
            </w:r>
            <w:r>
              <w:rPr>
                <w:rFonts w:hint="eastAsia"/>
                <w:color w:val="auto"/>
                <w:sz w:val="24"/>
                <w:highlight w:val="none"/>
              </w:rPr>
              <w:t>0.</w:t>
            </w:r>
            <w:r>
              <w:rPr>
                <w:rFonts w:hint="eastAsia"/>
                <w:color w:val="auto"/>
                <w:sz w:val="24"/>
                <w:highlight w:val="none"/>
                <w:lang w:val="en-US" w:eastAsia="zh-CN"/>
              </w:rPr>
              <w:t>36</w:t>
            </w:r>
            <w:r>
              <w:rPr>
                <w:rFonts w:hint="default"/>
                <w:color w:val="auto"/>
                <w:sz w:val="24"/>
                <w:highlight w:val="none"/>
              </w:rPr>
              <w:t>m</w:t>
            </w:r>
            <w:r>
              <w:rPr>
                <w:rFonts w:hint="eastAsia"/>
                <w:color w:val="auto"/>
                <w:sz w:val="24"/>
                <w:highlight w:val="none"/>
                <w:vertAlign w:val="superscript"/>
                <w:lang w:val="en-US" w:eastAsia="zh-CN"/>
              </w:rPr>
              <w:t>3</w:t>
            </w:r>
            <w:r>
              <w:rPr>
                <w:rFonts w:hint="default"/>
                <w:color w:val="auto"/>
                <w:sz w:val="24"/>
                <w:highlight w:val="none"/>
              </w:rPr>
              <w:t>/d</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18.8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color w:val="auto"/>
                <w:sz w:val="24"/>
                <w:highlight w:val="none"/>
              </w:rPr>
              <w:t>。</w:t>
            </w:r>
          </w:p>
          <w:p w14:paraId="5F143C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textAlignment w:val="auto"/>
              <w:rPr>
                <w:rFonts w:hint="default"/>
                <w:bCs/>
                <w:color w:val="auto"/>
                <w:sz w:val="24"/>
              </w:rPr>
            </w:pPr>
            <w:r>
              <w:rPr>
                <w:rFonts w:hint="default" w:ascii="Times New Roman" w:hAnsi="Times New Roman" w:eastAsia="宋体" w:cs="Times New Roman"/>
                <w:bCs/>
                <w:color w:val="auto"/>
                <w:kern w:val="2"/>
                <w:sz w:val="24"/>
                <w:szCs w:val="24"/>
                <w:lang w:val="en-US" w:eastAsia="zh-CN" w:bidi="ar-SA"/>
              </w:rPr>
              <w:t>2）</w:t>
            </w:r>
            <w:r>
              <w:rPr>
                <w:rFonts w:hint="eastAsia"/>
                <w:color w:val="auto"/>
                <w:sz w:val="24"/>
                <w:lang w:val="en-US" w:eastAsia="zh-CN"/>
              </w:rPr>
              <w:t>喷淋</w:t>
            </w:r>
            <w:r>
              <w:rPr>
                <w:rFonts w:hint="default"/>
                <w:color w:val="auto"/>
                <w:sz w:val="24"/>
              </w:rPr>
              <w:t>用水</w:t>
            </w:r>
          </w:p>
          <w:p w14:paraId="7F48DF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olor w:val="auto"/>
                <w:sz w:val="24"/>
              </w:rPr>
            </w:pPr>
            <w:r>
              <w:rPr>
                <w:rFonts w:hint="default"/>
                <w:color w:val="auto"/>
                <w:sz w:val="24"/>
              </w:rPr>
              <w:t>为减少</w:t>
            </w:r>
            <w:r>
              <w:rPr>
                <w:rFonts w:hint="eastAsia"/>
                <w:color w:val="auto"/>
                <w:sz w:val="24"/>
              </w:rPr>
              <w:t>物料</w:t>
            </w:r>
            <w:r>
              <w:rPr>
                <w:rFonts w:hint="default"/>
                <w:color w:val="auto"/>
                <w:sz w:val="24"/>
              </w:rPr>
              <w:t>在生产过程中粉尘的产生，</w:t>
            </w:r>
            <w:r>
              <w:rPr>
                <w:rFonts w:hint="eastAsia"/>
                <w:color w:val="auto"/>
                <w:sz w:val="24"/>
              </w:rPr>
              <w:t>生产</w:t>
            </w:r>
            <w:r>
              <w:rPr>
                <w:rFonts w:hint="default"/>
                <w:color w:val="auto"/>
                <w:sz w:val="24"/>
              </w:rPr>
              <w:t>车间内部采用洒水抑尘等措施，面积按</w:t>
            </w:r>
            <w:r>
              <w:rPr>
                <w:rFonts w:hint="eastAsia"/>
                <w:color w:val="auto"/>
                <w:sz w:val="24"/>
                <w:lang w:val="en-US" w:eastAsia="zh-CN"/>
              </w:rPr>
              <w:t>22</w:t>
            </w:r>
            <w:r>
              <w:rPr>
                <w:rFonts w:hint="eastAsia"/>
                <w:color w:val="auto"/>
                <w:sz w:val="24"/>
              </w:rPr>
              <w:t>00</w:t>
            </w:r>
            <w:r>
              <w:rPr>
                <w:rFonts w:hint="default"/>
                <w:color w:val="auto"/>
                <w:sz w:val="24"/>
              </w:rPr>
              <w:t>m</w:t>
            </w:r>
            <w:r>
              <w:rPr>
                <w:rFonts w:hint="default"/>
                <w:color w:val="auto"/>
                <w:sz w:val="24"/>
                <w:vertAlign w:val="superscript"/>
              </w:rPr>
              <w:t>2</w:t>
            </w:r>
            <w:r>
              <w:rPr>
                <w:rFonts w:hint="default"/>
                <w:color w:val="auto"/>
                <w:sz w:val="24"/>
              </w:rPr>
              <w:t>计，喷雾指标</w:t>
            </w:r>
            <w:r>
              <w:rPr>
                <w:rFonts w:hint="eastAsia"/>
                <w:color w:val="auto"/>
                <w:sz w:val="24"/>
                <w:lang w:val="en-US" w:eastAsia="zh-CN"/>
              </w:rPr>
              <w:t>类比同类型项目</w:t>
            </w:r>
            <w:r>
              <w:rPr>
                <w:rFonts w:hint="default"/>
                <w:color w:val="auto"/>
                <w:sz w:val="24"/>
              </w:rPr>
              <w:t>按1.0L/m</w:t>
            </w:r>
            <w:r>
              <w:rPr>
                <w:rFonts w:hint="default"/>
                <w:color w:val="auto"/>
                <w:sz w:val="24"/>
                <w:vertAlign w:val="superscript"/>
              </w:rPr>
              <w:t>2</w:t>
            </w:r>
            <w:r>
              <w:rPr>
                <w:rFonts w:hint="default"/>
                <w:color w:val="auto"/>
                <w:sz w:val="24"/>
              </w:rPr>
              <w:t>·</w:t>
            </w:r>
            <w:r>
              <w:rPr>
                <w:rFonts w:hint="eastAsia"/>
                <w:color w:val="auto"/>
                <w:sz w:val="24"/>
                <w:lang w:val="en-US" w:eastAsia="zh-CN"/>
              </w:rPr>
              <w:t>d</w:t>
            </w:r>
            <w:r>
              <w:rPr>
                <w:rFonts w:hint="default"/>
                <w:color w:val="auto"/>
                <w:sz w:val="24"/>
              </w:rPr>
              <w:t>次计，</w:t>
            </w:r>
            <w:r>
              <w:rPr>
                <w:rFonts w:hint="eastAsia"/>
                <w:color w:val="auto"/>
                <w:sz w:val="24"/>
                <w:lang w:val="en-US" w:eastAsia="zh-CN"/>
              </w:rPr>
              <w:t>喷淋用水</w:t>
            </w:r>
            <w:r>
              <w:rPr>
                <w:rFonts w:hint="default"/>
                <w:bCs/>
                <w:color w:val="auto"/>
                <w:sz w:val="24"/>
              </w:rPr>
              <w:t>量为</w:t>
            </w:r>
            <w:r>
              <w:rPr>
                <w:rFonts w:hint="eastAsia"/>
                <w:bCs/>
                <w:color w:val="auto"/>
                <w:sz w:val="24"/>
                <w:lang w:val="en-US" w:eastAsia="zh-CN"/>
              </w:rPr>
              <w:t>2.2</w:t>
            </w:r>
            <w:r>
              <w:rPr>
                <w:rFonts w:hint="default"/>
                <w:bCs/>
                <w:color w:val="auto"/>
                <w:sz w:val="24"/>
              </w:rPr>
              <w:t>m</w:t>
            </w:r>
            <w:r>
              <w:rPr>
                <w:rFonts w:hint="default"/>
                <w:bCs/>
                <w:color w:val="auto"/>
                <w:sz w:val="24"/>
                <w:vertAlign w:val="superscript"/>
              </w:rPr>
              <w:t>3</w:t>
            </w:r>
            <w:r>
              <w:rPr>
                <w:rFonts w:hint="eastAsia"/>
                <w:bCs/>
                <w:color w:val="auto"/>
                <w:sz w:val="24"/>
                <w:vertAlign w:val="baseline"/>
                <w:lang w:val="en-US" w:eastAsia="zh-CN"/>
              </w:rPr>
              <w:t>/d</w:t>
            </w:r>
            <w:r>
              <w:rPr>
                <w:rFonts w:hint="default" w:ascii="Times New Roman" w:hAnsi="Times New Roman" w:cs="Times New Roman"/>
                <w:color w:val="auto"/>
                <w:sz w:val="24"/>
                <w:szCs w:val="24"/>
              </w:rPr>
              <w:t>（</w:t>
            </w:r>
            <w:r>
              <w:rPr>
                <w:rFonts w:hint="eastAsia" w:cs="Times New Roman"/>
                <w:color w:val="auto"/>
                <w:sz w:val="24"/>
                <w:szCs w:val="24"/>
                <w:lang w:val="en-US" w:eastAsia="zh-CN"/>
              </w:rPr>
              <w:t>726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eastAsia"/>
                <w:bCs/>
                <w:color w:val="auto"/>
                <w:sz w:val="24"/>
                <w:szCs w:val="20"/>
                <w:lang w:val="en-US" w:eastAsia="zh-CN"/>
              </w:rPr>
              <w:t>自动喷淋系统抑尘用水全部蒸发损耗</w:t>
            </w:r>
            <w:r>
              <w:rPr>
                <w:rFonts w:hint="default"/>
                <w:color w:val="auto"/>
                <w:sz w:val="24"/>
              </w:rPr>
              <w:t>。</w:t>
            </w:r>
          </w:p>
          <w:p w14:paraId="2FF20A50">
            <w:pPr>
              <w:keepNext w:val="0"/>
              <w:keepLines w:val="0"/>
              <w:suppressLineNumbers w:val="0"/>
              <w:spacing w:before="0" w:beforeAutospacing="0" w:after="0" w:afterAutospacing="0" w:line="480" w:lineRule="exact"/>
              <w:ind w:left="0" w:right="0" w:firstLine="470" w:firstLineChars="196"/>
              <w:rPr>
                <w:rFonts w:hint="eastAsia"/>
                <w:bCs/>
                <w:color w:val="auto"/>
                <w:sz w:val="24"/>
              </w:rPr>
            </w:pPr>
            <w:r>
              <w:rPr>
                <w:rFonts w:hint="eastAsia"/>
                <w:bCs/>
                <w:color w:val="auto"/>
                <w:sz w:val="24"/>
              </w:rPr>
              <w:t>企业拟采用2台远程雾炮机在装卸、生产过程中运行，每台用水定额0.1m</w:t>
            </w:r>
            <w:r>
              <w:rPr>
                <w:rFonts w:hint="eastAsia"/>
                <w:bCs/>
                <w:color w:val="auto"/>
                <w:sz w:val="24"/>
                <w:vertAlign w:val="superscript"/>
              </w:rPr>
              <w:t>3</w:t>
            </w:r>
            <w:r>
              <w:rPr>
                <w:rFonts w:hint="eastAsia"/>
                <w:bCs/>
                <w:color w:val="auto"/>
                <w:sz w:val="24"/>
              </w:rPr>
              <w:t>/h，每日运行约</w:t>
            </w:r>
            <w:r>
              <w:rPr>
                <w:rFonts w:hint="eastAsia"/>
                <w:bCs/>
                <w:color w:val="auto"/>
                <w:sz w:val="24"/>
                <w:lang w:val="en-US" w:eastAsia="zh-CN"/>
              </w:rPr>
              <w:t>5</w:t>
            </w:r>
            <w:r>
              <w:rPr>
                <w:rFonts w:hint="eastAsia"/>
                <w:bCs/>
                <w:color w:val="auto"/>
                <w:sz w:val="24"/>
              </w:rPr>
              <w:t>h，则雾炮机用水量为</w:t>
            </w:r>
            <w:r>
              <w:rPr>
                <w:rFonts w:hint="eastAsia"/>
                <w:bCs/>
                <w:color w:val="auto"/>
                <w:sz w:val="24"/>
                <w:lang w:val="en-US" w:eastAsia="zh-CN"/>
              </w:rPr>
              <w:t>1</w:t>
            </w:r>
            <w:r>
              <w:rPr>
                <w:rFonts w:hint="eastAsia"/>
                <w:bCs/>
                <w:color w:val="auto"/>
                <w:sz w:val="24"/>
              </w:rPr>
              <w:t>m</w:t>
            </w:r>
            <w:r>
              <w:rPr>
                <w:rFonts w:hint="eastAsia"/>
                <w:bCs/>
                <w:color w:val="auto"/>
                <w:sz w:val="24"/>
                <w:vertAlign w:val="superscript"/>
              </w:rPr>
              <w:t>3</w:t>
            </w:r>
            <w:r>
              <w:rPr>
                <w:rFonts w:hint="eastAsia"/>
                <w:bCs/>
                <w:color w:val="auto"/>
                <w:sz w:val="24"/>
              </w:rPr>
              <w:t>/d</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eastAsia"/>
                <w:color w:val="auto"/>
                <w:sz w:val="24"/>
                <w:lang w:val="en-US" w:eastAsia="zh-CN"/>
              </w:rPr>
              <w:t>雾炮喷淋</w:t>
            </w:r>
            <w:r>
              <w:rPr>
                <w:rFonts w:hint="eastAsia"/>
                <w:bCs/>
                <w:color w:val="auto"/>
                <w:sz w:val="24"/>
                <w:szCs w:val="20"/>
                <w:lang w:val="en-US" w:eastAsia="zh-CN"/>
              </w:rPr>
              <w:t>抑尘用水全部蒸发损耗</w:t>
            </w:r>
            <w:r>
              <w:rPr>
                <w:rFonts w:hint="eastAsia"/>
                <w:bCs/>
                <w:color w:val="auto"/>
                <w:sz w:val="24"/>
              </w:rPr>
              <w:t>。</w:t>
            </w:r>
          </w:p>
          <w:p w14:paraId="105C95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③道路</w:t>
            </w:r>
            <w:r>
              <w:rPr>
                <w:rFonts w:hint="eastAsia" w:cs="Times New Roman"/>
                <w:color w:val="auto"/>
                <w:sz w:val="24"/>
                <w:szCs w:val="24"/>
                <w:lang w:val="en-US" w:eastAsia="zh-CN"/>
              </w:rPr>
              <w:t>洒</w:t>
            </w:r>
            <w:r>
              <w:rPr>
                <w:rFonts w:hint="eastAsia" w:ascii="Times New Roman" w:hAnsi="Times New Roman" w:cs="Times New Roman"/>
                <w:color w:val="auto"/>
                <w:sz w:val="24"/>
                <w:szCs w:val="24"/>
                <w:lang w:val="en-US" w:eastAsia="zh-CN"/>
              </w:rPr>
              <w:t>水</w:t>
            </w:r>
          </w:p>
          <w:p w14:paraId="4BF21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厂区道路面积约为</w:t>
            </w:r>
            <w:r>
              <w:rPr>
                <w:rFonts w:hint="eastAsia" w:cs="Times New Roman"/>
                <w:color w:val="auto"/>
                <w:sz w:val="24"/>
                <w:szCs w:val="24"/>
                <w:lang w:val="en-US" w:eastAsia="zh-CN"/>
              </w:rPr>
              <w:t>8</w:t>
            </w:r>
            <w:r>
              <w:rPr>
                <w:rFonts w:hint="eastAsia" w:ascii="Times New Roman" w:hAnsi="Times New Roman" w:cs="Times New Roman"/>
                <w:color w:val="auto"/>
                <w:sz w:val="24"/>
                <w:szCs w:val="24"/>
                <w:lang w:val="en-US" w:eastAsia="zh-CN"/>
              </w:rPr>
              <w:t>00m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，根据《山西省用水定额 第3部分：服务业用水定额》（DB141049.3-2021），道路洒水按</w:t>
            </w:r>
            <w:r>
              <w:rPr>
                <w:rFonts w:hint="eastAsia" w:cs="Times New Roman"/>
                <w:color w:val="auto"/>
                <w:sz w:val="24"/>
                <w:szCs w:val="24"/>
                <w:lang w:val="en-US" w:eastAsia="zh-CN"/>
              </w:rPr>
              <w:t>1.</w:t>
            </w:r>
            <w:r>
              <w:rPr>
                <w:rFonts w:hint="eastAsia" w:ascii="Times New Roman" w:hAnsi="Times New Roman" w:cs="Times New Roman"/>
                <w:color w:val="auto"/>
                <w:sz w:val="24"/>
                <w:szCs w:val="24"/>
                <w:lang w:val="en-US" w:eastAsia="zh-CN"/>
              </w:rPr>
              <w:t>5L/m</w:t>
            </w:r>
            <w:r>
              <w:rPr>
                <w:rFonts w:hint="eastAsia" w:ascii="Times New Roman" w:hAnsi="Times New Roman" w:cs="Times New Roman"/>
                <w:color w:val="auto"/>
                <w:sz w:val="24"/>
                <w:szCs w:val="24"/>
                <w:vertAlign w:val="superscript"/>
                <w:lang w:val="en-US" w:eastAsia="zh-CN"/>
              </w:rPr>
              <w:t>2</w:t>
            </w:r>
            <w:r>
              <w:rPr>
                <w:rFonts w:hint="default"/>
                <w:color w:val="auto"/>
                <w:sz w:val="24"/>
              </w:rPr>
              <w:t>·</w:t>
            </w:r>
            <w:r>
              <w:rPr>
                <w:rFonts w:hint="eastAsia"/>
                <w:color w:val="auto"/>
                <w:sz w:val="24"/>
                <w:lang w:val="en-US" w:eastAsia="zh-CN"/>
              </w:rPr>
              <w:t>d</w:t>
            </w:r>
            <w:r>
              <w:rPr>
                <w:rFonts w:hint="eastAsia" w:ascii="Times New Roman" w:hAnsi="Times New Roman" w:cs="Times New Roman"/>
                <w:color w:val="auto"/>
                <w:sz w:val="24"/>
                <w:szCs w:val="24"/>
                <w:lang w:val="en-US" w:eastAsia="zh-CN"/>
              </w:rPr>
              <w:t>，则道路洒水量为</w:t>
            </w:r>
            <w:r>
              <w:rPr>
                <w:rFonts w:hint="eastAsia" w:cs="Times New Roman"/>
                <w:color w:val="auto"/>
                <w:sz w:val="24"/>
                <w:szCs w:val="24"/>
                <w:lang w:val="en-US" w:eastAsia="zh-CN"/>
              </w:rPr>
              <w:t>1.2</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rPr>
              <w:t>（</w:t>
            </w:r>
            <w:r>
              <w:rPr>
                <w:rFonts w:hint="eastAsia" w:cs="Times New Roman"/>
                <w:color w:val="auto"/>
                <w:sz w:val="24"/>
                <w:szCs w:val="24"/>
                <w:lang w:val="en-US" w:eastAsia="zh-CN"/>
              </w:rPr>
              <w:t>396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color w:val="auto"/>
                <w:sz w:val="24"/>
              </w:rPr>
              <w:t>。</w:t>
            </w:r>
          </w:p>
          <w:p w14:paraId="4BDFD4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rPr>
              <w:t>排水</w:t>
            </w:r>
            <w:r>
              <w:rPr>
                <w:rFonts w:hint="default" w:ascii="Times New Roman" w:hAnsi="Times New Roman" w:cs="Times New Roman"/>
                <w:b w:val="0"/>
                <w:bCs w:val="0"/>
                <w:color w:val="auto"/>
                <w:sz w:val="24"/>
                <w:szCs w:val="24"/>
                <w:lang w:eastAsia="zh-CN"/>
              </w:rPr>
              <w:t>：</w:t>
            </w:r>
          </w:p>
          <w:p w14:paraId="641DB69C">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厂区实行雨污分流</w:t>
            </w:r>
            <w:r>
              <w:rPr>
                <w:rFonts w:hint="eastAsia" w:ascii="Times New Roman" w:hAnsi="Times New Roman" w:cs="Times New Roman"/>
                <w:color w:val="auto"/>
                <w:sz w:val="24"/>
                <w:szCs w:val="24"/>
                <w:lang w:val="en-US" w:eastAsia="zh-CN"/>
              </w:rPr>
              <w:t>，初期雨水随地势流入初期雨水收集池，后期雨水随地势流入厂外排水沟</w:t>
            </w:r>
            <w:r>
              <w:rPr>
                <w:rFonts w:hint="eastAsia" w:cs="Times New Roman"/>
                <w:color w:val="auto"/>
                <w:sz w:val="24"/>
                <w:szCs w:val="24"/>
                <w:lang w:val="en-US" w:eastAsia="zh-CN"/>
              </w:rPr>
              <w:t>。</w:t>
            </w:r>
            <w:r>
              <w:rPr>
                <w:rFonts w:hint="default" w:ascii="Times New Roman" w:hAnsi="Times New Roman" w:cs="Times New Roman"/>
                <w:color w:val="auto"/>
                <w:sz w:val="24"/>
                <w:szCs w:val="24"/>
              </w:rPr>
              <w:t>生活污水排放量按照用水量的80%计，则生活污水排放量为0.</w:t>
            </w:r>
            <w:r>
              <w:rPr>
                <w:rFonts w:hint="eastAsia" w:cs="Times New Roman"/>
                <w:color w:val="auto"/>
                <w:sz w:val="24"/>
                <w:szCs w:val="24"/>
                <w:lang w:val="en-US" w:eastAsia="zh-CN"/>
              </w:rPr>
              <w:t>64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211.2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cs="Times New Roman"/>
                <w:color w:val="auto"/>
                <w:sz w:val="24"/>
                <w:szCs w:val="24"/>
                <w:lang w:val="en-US" w:eastAsia="zh-CN"/>
              </w:rPr>
              <w:t>排入旱厕，定时清掏，不外排</w:t>
            </w:r>
            <w:r>
              <w:rPr>
                <w:rFonts w:hint="default" w:ascii="Times New Roman" w:hAnsi="Times New Roman" w:cs="Times New Roman"/>
                <w:color w:val="auto"/>
                <w:sz w:val="24"/>
                <w:szCs w:val="24"/>
              </w:rPr>
              <w:t>；</w:t>
            </w:r>
            <w:r>
              <w:rPr>
                <w:rFonts w:hint="default" w:ascii="Times New Roman" w:hAnsi="Times New Roman" w:eastAsia="宋体" w:cs="Times New Roman"/>
                <w:b w:val="0"/>
                <w:bCs/>
                <w:color w:val="auto"/>
                <w:sz w:val="24"/>
                <w:szCs w:val="24"/>
              </w:rPr>
              <w:t>洗车废水沉淀处理后循环使用，不外排</w:t>
            </w:r>
            <w:r>
              <w:rPr>
                <w:rFonts w:hint="default" w:ascii="Times New Roman" w:hAnsi="Times New Roman" w:cs="Times New Roman"/>
                <w:color w:val="auto"/>
                <w:sz w:val="24"/>
                <w:szCs w:val="24"/>
              </w:rPr>
              <w:t>。</w:t>
            </w:r>
          </w:p>
          <w:p w14:paraId="3E4CAD32">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本项目用水量及废水产生量见下表。项目水平衡图见图2-1。</w:t>
            </w:r>
          </w:p>
          <w:p w14:paraId="0B7F5980">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default"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 xml:space="preserve">7  </w:t>
            </w:r>
            <w:r>
              <w:rPr>
                <w:rFonts w:hint="eastAsia" w:cs="Times New Roman"/>
                <w:b/>
                <w:bCs/>
                <w:color w:val="auto"/>
                <w:sz w:val="21"/>
                <w:szCs w:val="21"/>
                <w:lang w:val="en-US" w:eastAsia="zh-CN"/>
              </w:rPr>
              <w:t>本项目</w:t>
            </w:r>
            <w:r>
              <w:rPr>
                <w:rFonts w:hint="eastAsia" w:ascii="Times New Roman" w:hAnsi="Times New Roman" w:eastAsia="宋体" w:cs="Times New Roman"/>
                <w:b/>
                <w:bCs/>
                <w:color w:val="auto"/>
                <w:sz w:val="21"/>
                <w:szCs w:val="21"/>
                <w:lang w:val="en-US" w:eastAsia="zh-CN"/>
              </w:rPr>
              <w:t>用水量及废水产生量一览表</w:t>
            </w:r>
          </w:p>
          <w:tbl>
            <w:tblPr>
              <w:tblStyle w:val="28"/>
              <w:tblW w:w="7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320"/>
              <w:gridCol w:w="1200"/>
              <w:gridCol w:w="1170"/>
              <w:gridCol w:w="1110"/>
              <w:gridCol w:w="2043"/>
            </w:tblGrid>
            <w:tr w14:paraId="0C28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3" w:type="dxa"/>
                  <w:tcBorders>
                    <w:tl2br w:val="nil"/>
                    <w:tr2bl w:val="nil"/>
                  </w:tcBorders>
                  <w:noWrap w:val="0"/>
                  <w:vAlign w:val="center"/>
                </w:tcPr>
                <w:p w14:paraId="5C4D3F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用水类型</w:t>
                  </w:r>
                </w:p>
              </w:tc>
              <w:tc>
                <w:tcPr>
                  <w:tcW w:w="1320" w:type="dxa"/>
                  <w:tcBorders>
                    <w:tl2br w:val="nil"/>
                    <w:tr2bl w:val="nil"/>
                  </w:tcBorders>
                  <w:noWrap w:val="0"/>
                  <w:vAlign w:val="center"/>
                </w:tcPr>
                <w:p w14:paraId="60A845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用水量指标</w:t>
                  </w:r>
                </w:p>
              </w:tc>
              <w:tc>
                <w:tcPr>
                  <w:tcW w:w="1200" w:type="dxa"/>
                  <w:tcBorders>
                    <w:tl2br w:val="nil"/>
                    <w:tr2bl w:val="nil"/>
                  </w:tcBorders>
                  <w:noWrap w:val="0"/>
                  <w:vAlign w:val="center"/>
                </w:tcPr>
                <w:p w14:paraId="1C0046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数量</w:t>
                  </w:r>
                </w:p>
              </w:tc>
              <w:tc>
                <w:tcPr>
                  <w:tcW w:w="1170" w:type="dxa"/>
                  <w:tcBorders>
                    <w:tl2br w:val="nil"/>
                    <w:tr2bl w:val="nil"/>
                  </w:tcBorders>
                  <w:noWrap w:val="0"/>
                  <w:vAlign w:val="center"/>
                </w:tcPr>
                <w:p w14:paraId="79A8A0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用水量</w:t>
                  </w:r>
                  <w:r>
                    <w:rPr>
                      <w:rFonts w:hint="eastAsia" w:cs="Times New Roman"/>
                      <w:b/>
                      <w:bCs/>
                      <w:color w:val="auto"/>
                      <w:sz w:val="21"/>
                      <w:szCs w:val="21"/>
                      <w:lang w:val="en-US" w:eastAsia="zh-CN"/>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1110" w:type="dxa"/>
                  <w:tcBorders>
                    <w:tl2br w:val="nil"/>
                    <w:tr2bl w:val="nil"/>
                  </w:tcBorders>
                  <w:noWrap w:val="0"/>
                  <w:vAlign w:val="center"/>
                </w:tcPr>
                <w:p w14:paraId="5802A3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废水量</w:t>
                  </w:r>
                  <w:r>
                    <w:rPr>
                      <w:rFonts w:hint="eastAsia" w:cs="Times New Roman"/>
                      <w:b/>
                      <w:bCs/>
                      <w:color w:val="auto"/>
                      <w:sz w:val="21"/>
                      <w:szCs w:val="21"/>
                      <w:lang w:val="en-US" w:eastAsia="zh-CN"/>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2043" w:type="dxa"/>
                  <w:tcBorders>
                    <w:tl2br w:val="nil"/>
                    <w:tr2bl w:val="nil"/>
                  </w:tcBorders>
                  <w:noWrap w:val="0"/>
                  <w:vAlign w:val="center"/>
                </w:tcPr>
                <w:p w14:paraId="05BDB0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14:paraId="26EF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3" w:type="dxa"/>
                  <w:tcBorders>
                    <w:tl2br w:val="nil"/>
                    <w:tr2bl w:val="nil"/>
                  </w:tcBorders>
                  <w:noWrap w:val="0"/>
                  <w:vAlign w:val="center"/>
                </w:tcPr>
                <w:p w14:paraId="13E814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生活用水</w:t>
                  </w:r>
                </w:p>
              </w:tc>
              <w:tc>
                <w:tcPr>
                  <w:tcW w:w="1320" w:type="dxa"/>
                  <w:tcBorders>
                    <w:tl2br w:val="nil"/>
                    <w:tr2bl w:val="nil"/>
                  </w:tcBorders>
                  <w:noWrap w:val="0"/>
                  <w:vAlign w:val="center"/>
                </w:tcPr>
                <w:p w14:paraId="2FB8FD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8</w:t>
                  </w:r>
                  <w:r>
                    <w:rPr>
                      <w:rFonts w:hint="default" w:ascii="Times New Roman" w:hAnsi="Times New Roman" w:eastAsia="宋体" w:cs="Times New Roman"/>
                      <w:bCs/>
                      <w:color w:val="auto"/>
                      <w:sz w:val="21"/>
                      <w:szCs w:val="21"/>
                    </w:rPr>
                    <w:t>0L/人·d</w:t>
                  </w:r>
                </w:p>
              </w:tc>
              <w:tc>
                <w:tcPr>
                  <w:tcW w:w="1200" w:type="dxa"/>
                  <w:tcBorders>
                    <w:tl2br w:val="nil"/>
                    <w:tr2bl w:val="nil"/>
                  </w:tcBorders>
                  <w:noWrap w:val="0"/>
                  <w:vAlign w:val="center"/>
                </w:tcPr>
                <w:p w14:paraId="459D3D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10人</w:t>
                  </w:r>
                </w:p>
              </w:tc>
              <w:tc>
                <w:tcPr>
                  <w:tcW w:w="1170" w:type="dxa"/>
                  <w:tcBorders>
                    <w:tl2br w:val="nil"/>
                    <w:tr2bl w:val="nil"/>
                  </w:tcBorders>
                  <w:noWrap w:val="0"/>
                  <w:vAlign w:val="center"/>
                </w:tcPr>
                <w:p w14:paraId="379469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8</w:t>
                  </w:r>
                </w:p>
              </w:tc>
              <w:tc>
                <w:tcPr>
                  <w:tcW w:w="1110" w:type="dxa"/>
                  <w:tcBorders>
                    <w:tl2br w:val="nil"/>
                    <w:tr2bl w:val="nil"/>
                  </w:tcBorders>
                  <w:noWrap w:val="0"/>
                  <w:vAlign w:val="center"/>
                </w:tcPr>
                <w:p w14:paraId="393EDC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64</w:t>
                  </w:r>
                </w:p>
              </w:tc>
              <w:tc>
                <w:tcPr>
                  <w:tcW w:w="2043" w:type="dxa"/>
                  <w:tcBorders>
                    <w:tl2br w:val="nil"/>
                    <w:tr2bl w:val="nil"/>
                  </w:tcBorders>
                  <w:noWrap w:val="0"/>
                  <w:vAlign w:val="center"/>
                </w:tcPr>
                <w:p w14:paraId="13BB46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排入旱厕，不外排</w:t>
                  </w:r>
                </w:p>
              </w:tc>
            </w:tr>
            <w:tr w14:paraId="37A8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3" w:type="dxa"/>
                  <w:tcBorders>
                    <w:tl2br w:val="nil"/>
                    <w:tr2bl w:val="nil"/>
                  </w:tcBorders>
                  <w:noWrap w:val="0"/>
                  <w:vAlign w:val="center"/>
                </w:tcPr>
                <w:p w14:paraId="16B06D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洗车用水</w:t>
                  </w:r>
                </w:p>
              </w:tc>
              <w:tc>
                <w:tcPr>
                  <w:tcW w:w="1320" w:type="dxa"/>
                  <w:tcBorders>
                    <w:tl2br w:val="nil"/>
                    <w:tr2bl w:val="nil"/>
                  </w:tcBorders>
                  <w:noWrap w:val="0"/>
                  <w:vAlign w:val="center"/>
                </w:tcPr>
                <w:p w14:paraId="75C2A4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40L/(辆·次)</w:t>
                  </w:r>
                </w:p>
              </w:tc>
              <w:tc>
                <w:tcPr>
                  <w:tcW w:w="1200" w:type="dxa"/>
                  <w:tcBorders>
                    <w:tl2br w:val="nil"/>
                    <w:tr2bl w:val="nil"/>
                  </w:tcBorders>
                  <w:noWrap w:val="0"/>
                  <w:vAlign w:val="center"/>
                </w:tcPr>
                <w:p w14:paraId="129664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45</w:t>
                  </w:r>
                  <w:r>
                    <w:rPr>
                      <w:rFonts w:hint="default" w:ascii="Times New Roman" w:hAnsi="Times New Roman" w:eastAsia="宋体" w:cs="Times New Roman"/>
                      <w:color w:val="auto"/>
                      <w:sz w:val="21"/>
                      <w:szCs w:val="21"/>
                      <w:lang w:val="en-US" w:eastAsia="zh-CN"/>
                    </w:rPr>
                    <w:t>辆</w:t>
                  </w:r>
                </w:p>
              </w:tc>
              <w:tc>
                <w:tcPr>
                  <w:tcW w:w="1170" w:type="dxa"/>
                  <w:tcBorders>
                    <w:tl2br w:val="nil"/>
                    <w:tr2bl w:val="nil"/>
                  </w:tcBorders>
                  <w:noWrap w:val="0"/>
                  <w:vAlign w:val="center"/>
                </w:tcPr>
                <w:p w14:paraId="6F5852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1.8</w:t>
                  </w:r>
                </w:p>
              </w:tc>
              <w:tc>
                <w:tcPr>
                  <w:tcW w:w="1110" w:type="dxa"/>
                  <w:tcBorders>
                    <w:tl2br w:val="nil"/>
                    <w:tr2bl w:val="nil"/>
                  </w:tcBorders>
                  <w:noWrap w:val="0"/>
                  <w:vAlign w:val="center"/>
                </w:tcPr>
                <w:p w14:paraId="64EDE3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1.44</w:t>
                  </w:r>
                </w:p>
              </w:tc>
              <w:tc>
                <w:tcPr>
                  <w:tcW w:w="2043" w:type="dxa"/>
                  <w:tcBorders>
                    <w:tl2br w:val="nil"/>
                    <w:tr2bl w:val="nil"/>
                  </w:tcBorders>
                  <w:noWrap w:val="0"/>
                  <w:vAlign w:val="center"/>
                </w:tcPr>
                <w:p w14:paraId="20140E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循环使用，不外排</w:t>
                  </w:r>
                </w:p>
              </w:tc>
            </w:tr>
            <w:tr w14:paraId="0AA7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3" w:type="dxa"/>
                  <w:vMerge w:val="restart"/>
                  <w:tcBorders>
                    <w:tl2br w:val="nil"/>
                    <w:tr2bl w:val="nil"/>
                  </w:tcBorders>
                  <w:shd w:val="clear" w:color="auto" w:fill="auto"/>
                  <w:noWrap w:val="0"/>
                  <w:vAlign w:val="center"/>
                </w:tcPr>
                <w:p w14:paraId="3322ED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喷淋用水</w:t>
                  </w:r>
                </w:p>
              </w:tc>
              <w:tc>
                <w:tcPr>
                  <w:tcW w:w="1320" w:type="dxa"/>
                  <w:tcBorders>
                    <w:tl2br w:val="nil"/>
                    <w:tr2bl w:val="nil"/>
                  </w:tcBorders>
                  <w:shd w:val="clear" w:color="auto" w:fill="auto"/>
                  <w:noWrap w:val="0"/>
                  <w:vAlign w:val="center"/>
                </w:tcPr>
                <w:p w14:paraId="5054AE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Cs w:val="21"/>
                    </w:rPr>
                    <w:t>1.</w:t>
                  </w:r>
                  <w:r>
                    <w:rPr>
                      <w:rFonts w:hint="eastAsia"/>
                      <w:color w:val="auto"/>
                      <w:szCs w:val="21"/>
                    </w:rPr>
                    <w:t>0</w:t>
                  </w:r>
                  <w:r>
                    <w:rPr>
                      <w:rFonts w:hint="default"/>
                      <w:color w:val="auto"/>
                      <w:szCs w:val="21"/>
                    </w:rPr>
                    <w:t>L/m</w:t>
                  </w:r>
                  <w:r>
                    <w:rPr>
                      <w:rFonts w:hint="default"/>
                      <w:color w:val="auto"/>
                      <w:szCs w:val="21"/>
                      <w:vertAlign w:val="superscript"/>
                    </w:rPr>
                    <w:t>2</w:t>
                  </w:r>
                  <w:r>
                    <w:rPr>
                      <w:rFonts w:hint="default"/>
                      <w:color w:val="auto"/>
                      <w:szCs w:val="21"/>
                    </w:rPr>
                    <w:t>·d</w:t>
                  </w:r>
                </w:p>
              </w:tc>
              <w:tc>
                <w:tcPr>
                  <w:tcW w:w="1200" w:type="dxa"/>
                  <w:tcBorders>
                    <w:tl2br w:val="nil"/>
                    <w:tr2bl w:val="nil"/>
                  </w:tcBorders>
                  <w:noWrap w:val="0"/>
                  <w:vAlign w:val="center"/>
                </w:tcPr>
                <w:p w14:paraId="6713E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2200m</w:t>
                  </w:r>
                  <w:r>
                    <w:rPr>
                      <w:rFonts w:hint="eastAsia"/>
                      <w:color w:val="auto"/>
                      <w:sz w:val="21"/>
                      <w:szCs w:val="21"/>
                      <w:vertAlign w:val="superscript"/>
                      <w:lang w:val="en-US" w:eastAsia="zh-CN"/>
                    </w:rPr>
                    <w:t>2</w:t>
                  </w:r>
                </w:p>
              </w:tc>
              <w:tc>
                <w:tcPr>
                  <w:tcW w:w="1170" w:type="dxa"/>
                  <w:tcBorders>
                    <w:tl2br w:val="nil"/>
                    <w:tr2bl w:val="nil"/>
                  </w:tcBorders>
                  <w:noWrap w:val="0"/>
                  <w:vAlign w:val="center"/>
                </w:tcPr>
                <w:p w14:paraId="50D0B3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1110" w:type="dxa"/>
                  <w:tcBorders>
                    <w:tl2br w:val="nil"/>
                    <w:tr2bl w:val="nil"/>
                  </w:tcBorders>
                  <w:noWrap w:val="0"/>
                  <w:vAlign w:val="center"/>
                </w:tcPr>
                <w:p w14:paraId="78A5E1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2043" w:type="dxa"/>
                  <w:vMerge w:val="restart"/>
                  <w:tcBorders>
                    <w:tl2br w:val="nil"/>
                    <w:tr2bl w:val="nil"/>
                  </w:tcBorders>
                  <w:noWrap w:val="0"/>
                  <w:vAlign w:val="center"/>
                </w:tcPr>
                <w:p w14:paraId="57B802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全部损耗</w:t>
                  </w:r>
                </w:p>
              </w:tc>
            </w:tr>
            <w:tr w14:paraId="2FAE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3" w:type="dxa"/>
                  <w:vMerge w:val="continue"/>
                  <w:tcBorders>
                    <w:tl2br w:val="nil"/>
                    <w:tr2bl w:val="nil"/>
                  </w:tcBorders>
                  <w:noWrap w:val="0"/>
                  <w:vAlign w:val="center"/>
                </w:tcPr>
                <w:p w14:paraId="27C9F1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1320" w:type="dxa"/>
                  <w:tcBorders>
                    <w:tl2br w:val="nil"/>
                    <w:tr2bl w:val="nil"/>
                  </w:tcBorders>
                  <w:noWrap w:val="0"/>
                  <w:vAlign w:val="center"/>
                </w:tcPr>
                <w:p w14:paraId="561F9C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 w:val="21"/>
                      <w:szCs w:val="21"/>
                      <w:lang w:val="en-US" w:eastAsia="zh-CN"/>
                    </w:rPr>
                  </w:pPr>
                  <w:r>
                    <w:rPr>
                      <w:rFonts w:hint="eastAsia"/>
                      <w:bCs/>
                      <w:color w:val="auto"/>
                      <w:sz w:val="21"/>
                      <w:szCs w:val="21"/>
                    </w:rPr>
                    <w:t>0.1m</w:t>
                  </w:r>
                  <w:r>
                    <w:rPr>
                      <w:rFonts w:hint="eastAsia"/>
                      <w:bCs/>
                      <w:color w:val="auto"/>
                      <w:sz w:val="21"/>
                      <w:szCs w:val="21"/>
                      <w:vertAlign w:val="superscript"/>
                    </w:rPr>
                    <w:t>3</w:t>
                  </w:r>
                  <w:r>
                    <w:rPr>
                      <w:rFonts w:hint="eastAsia"/>
                      <w:bCs/>
                      <w:color w:val="auto"/>
                      <w:sz w:val="21"/>
                      <w:szCs w:val="21"/>
                    </w:rPr>
                    <w:t>/h</w:t>
                  </w:r>
                  <w:r>
                    <w:rPr>
                      <w:rFonts w:hint="default"/>
                      <w:color w:val="auto"/>
                      <w:szCs w:val="21"/>
                    </w:rPr>
                    <w:t>·</w:t>
                  </w:r>
                  <w:r>
                    <w:rPr>
                      <w:rFonts w:hint="eastAsia"/>
                      <w:color w:val="auto"/>
                      <w:szCs w:val="21"/>
                      <w:lang w:val="en-US" w:eastAsia="zh-CN"/>
                    </w:rPr>
                    <w:t>台</w:t>
                  </w:r>
                </w:p>
              </w:tc>
              <w:tc>
                <w:tcPr>
                  <w:tcW w:w="1200" w:type="dxa"/>
                  <w:tcBorders>
                    <w:tl2br w:val="nil"/>
                    <w:tr2bl w:val="nil"/>
                  </w:tcBorders>
                  <w:noWrap w:val="0"/>
                  <w:vAlign w:val="center"/>
                </w:tcPr>
                <w:p w14:paraId="2CC9AB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5h，2台</w:t>
                  </w:r>
                </w:p>
              </w:tc>
              <w:tc>
                <w:tcPr>
                  <w:tcW w:w="1170" w:type="dxa"/>
                  <w:tcBorders>
                    <w:tl2br w:val="nil"/>
                    <w:tr2bl w:val="nil"/>
                  </w:tcBorders>
                  <w:noWrap w:val="0"/>
                  <w:vAlign w:val="center"/>
                </w:tcPr>
                <w:p w14:paraId="742E31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110" w:type="dxa"/>
                  <w:tcBorders>
                    <w:tl2br w:val="nil"/>
                    <w:tr2bl w:val="nil"/>
                  </w:tcBorders>
                  <w:noWrap w:val="0"/>
                  <w:vAlign w:val="center"/>
                </w:tcPr>
                <w:p w14:paraId="4C379E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2043" w:type="dxa"/>
                  <w:vMerge w:val="continue"/>
                  <w:tcBorders>
                    <w:tl2br w:val="nil"/>
                    <w:tr2bl w:val="nil"/>
                  </w:tcBorders>
                  <w:noWrap w:val="0"/>
                  <w:vAlign w:val="center"/>
                </w:tcPr>
                <w:p w14:paraId="0B5138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p>
              </w:tc>
            </w:tr>
            <w:tr w14:paraId="1B27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43" w:type="dxa"/>
                  <w:tcBorders>
                    <w:tl2br w:val="nil"/>
                    <w:tr2bl w:val="nil"/>
                  </w:tcBorders>
                  <w:noWrap w:val="0"/>
                  <w:vAlign w:val="center"/>
                </w:tcPr>
                <w:p w14:paraId="345D36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道路洒水</w:t>
                  </w:r>
                </w:p>
              </w:tc>
              <w:tc>
                <w:tcPr>
                  <w:tcW w:w="1320" w:type="dxa"/>
                  <w:tcBorders>
                    <w:tl2br w:val="nil"/>
                    <w:tr2bl w:val="nil"/>
                  </w:tcBorders>
                  <w:noWrap w:val="0"/>
                  <w:vAlign w:val="center"/>
                </w:tcPr>
                <w:p w14:paraId="14D840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5L/m</w:t>
                  </w:r>
                  <w:r>
                    <w:rPr>
                      <w:rFonts w:hint="eastAsia" w:ascii="Times New Roman" w:hAnsi="Times New Roman" w:cs="Times New Roman"/>
                      <w:color w:val="auto"/>
                      <w:sz w:val="21"/>
                      <w:szCs w:val="21"/>
                      <w:highlight w:val="none"/>
                      <w:vertAlign w:val="superscript"/>
                      <w:lang w:val="en-US" w:eastAsia="zh-CN"/>
                    </w:rPr>
                    <w:t>2</w:t>
                  </w:r>
                  <w:r>
                    <w:rPr>
                      <w:rFonts w:hint="default"/>
                      <w:color w:val="auto"/>
                      <w:szCs w:val="21"/>
                    </w:rPr>
                    <w:t>·d</w:t>
                  </w:r>
                </w:p>
              </w:tc>
              <w:tc>
                <w:tcPr>
                  <w:tcW w:w="1200" w:type="dxa"/>
                  <w:tcBorders>
                    <w:tl2br w:val="nil"/>
                    <w:tr2bl w:val="nil"/>
                  </w:tcBorders>
                  <w:noWrap w:val="0"/>
                  <w:vAlign w:val="center"/>
                </w:tcPr>
                <w:p w14:paraId="092622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800m</w:t>
                  </w:r>
                  <w:r>
                    <w:rPr>
                      <w:rFonts w:hint="eastAsia"/>
                      <w:color w:val="auto"/>
                      <w:sz w:val="21"/>
                      <w:szCs w:val="21"/>
                      <w:vertAlign w:val="superscript"/>
                      <w:lang w:val="en-US" w:eastAsia="zh-CN"/>
                    </w:rPr>
                    <w:t>2</w:t>
                  </w:r>
                </w:p>
              </w:tc>
              <w:tc>
                <w:tcPr>
                  <w:tcW w:w="1170" w:type="dxa"/>
                  <w:tcBorders>
                    <w:tl2br w:val="nil"/>
                    <w:tr2bl w:val="nil"/>
                  </w:tcBorders>
                  <w:noWrap w:val="0"/>
                  <w:vAlign w:val="center"/>
                </w:tcPr>
                <w:p w14:paraId="378CFE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1110" w:type="dxa"/>
                  <w:tcBorders>
                    <w:tl2br w:val="nil"/>
                    <w:tr2bl w:val="nil"/>
                  </w:tcBorders>
                  <w:noWrap w:val="0"/>
                  <w:vAlign w:val="center"/>
                </w:tcPr>
                <w:p w14:paraId="36CA3C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2043" w:type="dxa"/>
                  <w:tcBorders>
                    <w:tl2br w:val="nil"/>
                    <w:tr2bl w:val="nil"/>
                  </w:tcBorders>
                  <w:noWrap w:val="0"/>
                  <w:vAlign w:val="center"/>
                </w:tcPr>
                <w:p w14:paraId="620D70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全部损耗</w:t>
                  </w:r>
                </w:p>
              </w:tc>
            </w:tr>
            <w:tr w14:paraId="1BAA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663" w:type="dxa"/>
                  <w:gridSpan w:val="3"/>
                  <w:tcBorders>
                    <w:tl2br w:val="nil"/>
                    <w:tr2bl w:val="nil"/>
                  </w:tcBorders>
                  <w:noWrap w:val="0"/>
                  <w:vAlign w:val="center"/>
                </w:tcPr>
                <w:p w14:paraId="433979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合</w:t>
                  </w:r>
                  <w:r>
                    <w:rPr>
                      <w:rFonts w:hint="default" w:ascii="Times New Roman" w:hAnsi="Times New Roman" w:cs="Times New Roman"/>
                      <w:color w:val="auto"/>
                      <w:sz w:val="21"/>
                      <w:szCs w:val="21"/>
                    </w:rPr>
                    <w:t>计</w:t>
                  </w:r>
                </w:p>
              </w:tc>
              <w:tc>
                <w:tcPr>
                  <w:tcW w:w="1170" w:type="dxa"/>
                  <w:tcBorders>
                    <w:tl2br w:val="nil"/>
                    <w:tr2bl w:val="nil"/>
                  </w:tcBorders>
                  <w:noWrap w:val="0"/>
                  <w:vAlign w:val="center"/>
                </w:tcPr>
                <w:p w14:paraId="00F287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1110" w:type="dxa"/>
                  <w:tcBorders>
                    <w:tl2br w:val="nil"/>
                    <w:tr2bl w:val="nil"/>
                  </w:tcBorders>
                  <w:noWrap w:val="0"/>
                  <w:vAlign w:val="center"/>
                </w:tcPr>
                <w:p w14:paraId="29BE5F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2.08</w:t>
                  </w:r>
                </w:p>
              </w:tc>
              <w:tc>
                <w:tcPr>
                  <w:tcW w:w="2043" w:type="dxa"/>
                  <w:tcBorders>
                    <w:tl2br w:val="nil"/>
                    <w:tr2bl w:val="nil"/>
                  </w:tcBorders>
                  <w:noWrap w:val="0"/>
                  <w:vAlign w:val="center"/>
                </w:tcPr>
                <w:p w14:paraId="357563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14:paraId="054238A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color w:val="auto"/>
              </w:rPr>
              <w:drawing>
                <wp:anchor distT="0" distB="0" distL="114300" distR="114300" simplePos="0" relativeHeight="251664384" behindDoc="1" locked="0" layoutInCell="1" allowOverlap="1">
                  <wp:simplePos x="0" y="0"/>
                  <wp:positionH relativeFrom="column">
                    <wp:posOffset>301625</wp:posOffset>
                  </wp:positionH>
                  <wp:positionV relativeFrom="paragraph">
                    <wp:posOffset>67945</wp:posOffset>
                  </wp:positionV>
                  <wp:extent cx="4520565" cy="3263265"/>
                  <wp:effectExtent l="0" t="0" r="0"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rcRect t="5150" r="238"/>
                          <a:stretch>
                            <a:fillRect/>
                          </a:stretch>
                        </pic:blipFill>
                        <pic:spPr>
                          <a:xfrm>
                            <a:off x="0" y="0"/>
                            <a:ext cx="4520565" cy="3263265"/>
                          </a:xfrm>
                          <a:prstGeom prst="rect">
                            <a:avLst/>
                          </a:prstGeom>
                          <a:noFill/>
                          <a:ln>
                            <a:noFill/>
                          </a:ln>
                        </pic:spPr>
                      </pic:pic>
                    </a:graphicData>
                  </a:graphic>
                </wp:anchor>
              </w:drawing>
            </w:r>
          </w:p>
          <w:p w14:paraId="68C4B818">
            <w:pPr>
              <w:pStyle w:val="6"/>
              <w:suppressLineNumbers w:val="0"/>
              <w:spacing w:beforeAutospacing="0" w:after="0" w:afterAutospacing="0"/>
              <w:ind w:left="0" w:right="0"/>
              <w:rPr>
                <w:rFonts w:hint="default"/>
                <w:color w:val="auto"/>
                <w:lang w:val="en-US" w:eastAsia="zh-CN"/>
              </w:rPr>
            </w:pPr>
          </w:p>
          <w:p w14:paraId="67CC6731">
            <w:pPr>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pacing w:val="0"/>
                <w:sz w:val="24"/>
                <w:szCs w:val="24"/>
                <w:highlight w:val="none"/>
                <w:lang w:val="en-US" w:eastAsia="zh-CN"/>
              </w:rPr>
            </w:pPr>
          </w:p>
          <w:p w14:paraId="02F3AFAD">
            <w:pPr>
              <w:pStyle w:val="6"/>
              <w:suppressLineNumbers w:val="0"/>
              <w:spacing w:beforeAutospacing="0" w:after="0" w:afterAutospacing="0"/>
              <w:ind w:left="0" w:right="0"/>
              <w:rPr>
                <w:rFonts w:hint="default"/>
                <w:color w:val="auto"/>
                <w:lang w:val="en-US" w:eastAsia="zh-CN"/>
              </w:rPr>
            </w:pPr>
          </w:p>
          <w:p w14:paraId="61347264">
            <w:pPr>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pacing w:val="0"/>
                <w:sz w:val="24"/>
                <w:szCs w:val="24"/>
                <w:highlight w:val="none"/>
                <w:lang w:val="en-US" w:eastAsia="zh-CN"/>
              </w:rPr>
            </w:pPr>
          </w:p>
          <w:p w14:paraId="1C29B92E">
            <w:pPr>
              <w:pStyle w:val="6"/>
              <w:suppressLineNumbers w:val="0"/>
              <w:spacing w:beforeAutospacing="0" w:after="0" w:afterAutospacing="0"/>
              <w:ind w:left="0" w:right="0"/>
              <w:rPr>
                <w:rFonts w:hint="default"/>
                <w:color w:val="auto"/>
                <w:lang w:val="en-US" w:eastAsia="zh-CN"/>
              </w:rPr>
            </w:pPr>
          </w:p>
          <w:p w14:paraId="21DF0436">
            <w:pPr>
              <w:keepNext w:val="0"/>
              <w:keepLines w:val="0"/>
              <w:suppressLineNumbers w:val="0"/>
              <w:spacing w:before="0" w:beforeAutospacing="0" w:after="0" w:afterAutospacing="0"/>
              <w:ind w:left="0" w:right="0"/>
              <w:rPr>
                <w:rFonts w:hint="default"/>
                <w:color w:val="auto"/>
                <w:lang w:val="en-US" w:eastAsia="zh-CN"/>
              </w:rPr>
            </w:pPr>
          </w:p>
          <w:p w14:paraId="37DA499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p>
          <w:p w14:paraId="7E1D9CF9">
            <w:pPr>
              <w:pStyle w:val="6"/>
              <w:suppressLineNumbers w:val="0"/>
              <w:spacing w:beforeAutospacing="0" w:after="0" w:afterAutospacing="0"/>
              <w:ind w:left="0" w:right="0"/>
              <w:rPr>
                <w:rFonts w:hint="default"/>
                <w:color w:val="auto"/>
                <w:lang w:val="en-US" w:eastAsia="zh-CN"/>
              </w:rPr>
            </w:pPr>
          </w:p>
          <w:p w14:paraId="199ADB7F">
            <w:pPr>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pacing w:val="0"/>
                <w:sz w:val="24"/>
                <w:szCs w:val="24"/>
                <w:highlight w:val="none"/>
                <w:lang w:val="en-US" w:eastAsia="zh-CN"/>
              </w:rPr>
            </w:pPr>
          </w:p>
          <w:p w14:paraId="55CF7A55">
            <w:pPr>
              <w:pStyle w:val="6"/>
              <w:suppressLineNumbers w:val="0"/>
              <w:spacing w:beforeAutospacing="0" w:after="0" w:afterAutospacing="0"/>
              <w:ind w:left="0" w:right="0"/>
              <w:rPr>
                <w:rFonts w:hint="default"/>
                <w:color w:val="auto"/>
                <w:lang w:val="en-US" w:eastAsia="zh-CN"/>
              </w:rPr>
            </w:pPr>
          </w:p>
          <w:p w14:paraId="51F599B8">
            <w:pPr>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pacing w:val="0"/>
                <w:sz w:val="24"/>
                <w:szCs w:val="24"/>
                <w:highlight w:val="none"/>
                <w:lang w:val="en-US" w:eastAsia="zh-CN"/>
              </w:rPr>
            </w:pPr>
          </w:p>
          <w:p w14:paraId="4045CBF0">
            <w:pPr>
              <w:pStyle w:val="6"/>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480" w:lineRule="exact"/>
              <w:ind w:left="0" w:right="0"/>
              <w:jc w:val="center"/>
              <w:textAlignment w:val="auto"/>
              <w:rPr>
                <w:rFonts w:hint="default" w:ascii="Times New Roman" w:hAnsi="Times New Roman" w:eastAsia="宋体" w:cs="Times New Roman"/>
                <w:b/>
                <w:bCs w:val="0"/>
                <w:color w:val="auto"/>
                <w:lang w:val="en-US" w:eastAsia="zh-CN"/>
              </w:rPr>
            </w:pPr>
          </w:p>
          <w:p w14:paraId="69D3FBC3">
            <w:pPr>
              <w:pStyle w:val="6"/>
              <w:keepNext/>
              <w:keepLines/>
              <w:pageBreakBefore w:val="0"/>
              <w:widowControl/>
              <w:suppressLineNumbers w:val="0"/>
              <w:kinsoku/>
              <w:wordWrap/>
              <w:overflowPunct/>
              <w:topLinePunct w:val="0"/>
              <w:autoSpaceDE/>
              <w:autoSpaceDN/>
              <w:bidi w:val="0"/>
              <w:adjustRightInd/>
              <w:snapToGrid/>
              <w:spacing w:before="157" w:beforeLines="50" w:beforeAutospacing="0" w:after="0" w:afterAutospacing="0" w:line="480" w:lineRule="exact"/>
              <w:ind w:left="0" w:right="0"/>
              <w:jc w:val="center"/>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sz w:val="21"/>
                <w:szCs w:val="21"/>
                <w:lang w:val="en-US" w:eastAsia="zh-CN"/>
              </w:rPr>
              <w:t>图2-1  项目水平衡图（单位：</w:t>
            </w:r>
            <w:r>
              <w:rPr>
                <w:rFonts w:hint="default" w:ascii="Times New Roman" w:hAnsi="Times New Roman" w:eastAsia="宋体" w:cs="Times New Roman"/>
                <w:b/>
                <w:bCs w:val="0"/>
                <w:color w:val="auto"/>
                <w:sz w:val="21"/>
                <w:szCs w:val="21"/>
              </w:rPr>
              <w:t>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r>
              <w:rPr>
                <w:rFonts w:hint="default" w:ascii="Times New Roman" w:hAnsi="Times New Roman" w:eastAsia="宋体" w:cs="Times New Roman"/>
                <w:b/>
                <w:bCs w:val="0"/>
                <w:color w:val="auto"/>
                <w:sz w:val="21"/>
                <w:szCs w:val="21"/>
                <w:lang w:val="en-US" w:eastAsia="zh-CN"/>
              </w:rPr>
              <w:t>）</w:t>
            </w:r>
          </w:p>
          <w:p w14:paraId="1385DF6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（2）</w:t>
            </w:r>
            <w:r>
              <w:rPr>
                <w:rFonts w:hint="default" w:ascii="Times New Roman" w:hAnsi="Times New Roman" w:eastAsia="宋体" w:cs="Times New Roman"/>
                <w:b w:val="0"/>
                <w:bCs/>
                <w:color w:val="auto"/>
                <w:spacing w:val="0"/>
                <w:sz w:val="24"/>
                <w:szCs w:val="24"/>
                <w:highlight w:val="none"/>
                <w:lang w:val="en-US" w:eastAsia="zh-CN"/>
              </w:rPr>
              <w:t>供电</w:t>
            </w:r>
          </w:p>
          <w:p w14:paraId="26BFF41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eastAsia" w:cs="Times New Roman"/>
                <w:bCs/>
                <w:color w:val="auto"/>
                <w:spacing w:val="0"/>
                <w:sz w:val="24"/>
                <w:szCs w:val="24"/>
                <w:highlight w:val="none"/>
                <w:lang w:val="en-US" w:eastAsia="zh-CN"/>
              </w:rPr>
              <w:t>从西酪余村就近接入，厂区内设置1台500KVA变压器，能满足供电需求</w:t>
            </w:r>
            <w:r>
              <w:rPr>
                <w:rFonts w:hint="eastAsia" w:ascii="Times New Roman" w:hAnsi="Times New Roman" w:eastAsia="宋体" w:cs="Times New Roman"/>
                <w:bCs/>
                <w:color w:val="auto"/>
                <w:spacing w:val="0"/>
                <w:sz w:val="24"/>
                <w:szCs w:val="24"/>
                <w:highlight w:val="none"/>
                <w:lang w:val="en-US" w:eastAsia="zh-CN"/>
              </w:rPr>
              <w:t>。</w:t>
            </w:r>
          </w:p>
          <w:p w14:paraId="0B6F3E6F">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（3）供</w:t>
            </w:r>
            <w:r>
              <w:rPr>
                <w:rFonts w:hint="default" w:ascii="Times New Roman" w:hAnsi="Times New Roman" w:eastAsia="宋体" w:cs="Times New Roman"/>
                <w:b w:val="0"/>
                <w:bCs/>
                <w:color w:val="auto"/>
                <w:spacing w:val="0"/>
                <w:sz w:val="24"/>
                <w:szCs w:val="24"/>
                <w:highlight w:val="none"/>
                <w:lang w:val="en-US" w:eastAsia="zh-CN"/>
              </w:rPr>
              <w:t>暖</w:t>
            </w:r>
          </w:p>
          <w:p w14:paraId="10F3BBB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pacing w:val="0"/>
                <w:sz w:val="24"/>
                <w:szCs w:val="24"/>
                <w:highlight w:val="none"/>
                <w:lang w:val="en-US" w:eastAsia="zh-CN"/>
              </w:rPr>
              <w:t>生产区冬季不采暖，生活区采暖使用电采暖</w:t>
            </w:r>
            <w:r>
              <w:rPr>
                <w:rFonts w:hint="eastAsia" w:cs="Times New Roman"/>
                <w:color w:val="auto"/>
                <w:spacing w:val="0"/>
                <w:sz w:val="24"/>
                <w:szCs w:val="24"/>
                <w:highlight w:val="none"/>
                <w:lang w:val="en-US" w:eastAsia="zh-CN"/>
              </w:rPr>
              <w:t>。</w:t>
            </w:r>
          </w:p>
        </w:tc>
      </w:tr>
      <w:tr w14:paraId="05B73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77" w:type="dxa"/>
            <w:vAlign w:val="center"/>
          </w:tcPr>
          <w:p w14:paraId="31895067">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br w:type="page"/>
            </w:r>
            <w:r>
              <w:rPr>
                <w:rFonts w:hint="default" w:ascii="Times New Roman" w:hAnsi="Times New Roman" w:cs="Times New Roman"/>
                <w:color w:val="auto"/>
                <w:sz w:val="21"/>
                <w:szCs w:val="21"/>
                <w:highlight w:val="none"/>
              </w:rPr>
              <w:t>工艺流程和产排污环节</w:t>
            </w:r>
          </w:p>
        </w:tc>
        <w:tc>
          <w:tcPr>
            <w:tcW w:w="8307" w:type="dxa"/>
          </w:tcPr>
          <w:p w14:paraId="019EA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一、运营期</w:t>
            </w:r>
            <w:r>
              <w:rPr>
                <w:rFonts w:hint="default" w:ascii="Times New Roman" w:hAnsi="Times New Roman" w:eastAsia="宋体" w:cs="Times New Roman"/>
                <w:b/>
                <w:bCs/>
                <w:color w:val="auto"/>
                <w:sz w:val="24"/>
                <w:szCs w:val="24"/>
              </w:rPr>
              <w:t>工艺流程简述（图示）：</w:t>
            </w:r>
          </w:p>
          <w:p w14:paraId="39FF9C7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pacing w:val="0"/>
                <w:sz w:val="24"/>
                <w:szCs w:val="20"/>
                <w:highlight w:val="none"/>
                <w:lang w:val="en-US" w:eastAsia="zh-CN"/>
              </w:rPr>
            </w:pPr>
            <w:r>
              <w:rPr>
                <w:rFonts w:hint="eastAsia" w:cs="Times New Roman"/>
                <w:color w:val="auto"/>
                <w:spacing w:val="0"/>
                <w:sz w:val="24"/>
                <w:szCs w:val="20"/>
                <w:highlight w:val="none"/>
                <w:lang w:val="en-US" w:eastAsia="zh-CN"/>
              </w:rPr>
              <w:t>1.原料储存</w:t>
            </w:r>
          </w:p>
          <w:p w14:paraId="474B616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pacing w:val="0"/>
                <w:sz w:val="24"/>
                <w:szCs w:val="20"/>
                <w:highlight w:val="none"/>
                <w:lang w:val="en-US" w:eastAsia="zh-CN"/>
              </w:rPr>
            </w:pPr>
            <w:r>
              <w:rPr>
                <w:rFonts w:hint="default" w:cs="Times New Roman"/>
                <w:color w:val="auto"/>
                <w:spacing w:val="0"/>
                <w:sz w:val="24"/>
                <w:szCs w:val="20"/>
                <w:highlight w:val="none"/>
                <w:lang w:val="en-US" w:eastAsia="zh-CN"/>
              </w:rPr>
              <w:t>本项目原料为</w:t>
            </w:r>
            <w:r>
              <w:rPr>
                <w:rFonts w:hint="eastAsia" w:cs="Times New Roman"/>
                <w:color w:val="auto"/>
                <w:spacing w:val="0"/>
                <w:sz w:val="24"/>
                <w:szCs w:val="20"/>
                <w:highlight w:val="none"/>
                <w:lang w:val="en-US" w:eastAsia="zh-CN"/>
              </w:rPr>
              <w:t>块状的</w:t>
            </w:r>
            <w:r>
              <w:rPr>
                <w:rFonts w:hint="default" w:cs="Times New Roman"/>
                <w:color w:val="auto"/>
                <w:spacing w:val="0"/>
                <w:sz w:val="24"/>
                <w:szCs w:val="20"/>
                <w:highlight w:val="none"/>
                <w:lang w:val="en-US" w:eastAsia="zh-CN"/>
              </w:rPr>
              <w:t>建筑垃圾，主要周边施工过程、拆除旧建筑过程以及水泥路面拆除过程中产生的废混凝土块、碎石块</w:t>
            </w:r>
            <w:r>
              <w:rPr>
                <w:rFonts w:hint="eastAsia" w:cs="Times New Roman"/>
                <w:color w:val="auto"/>
                <w:spacing w:val="0"/>
                <w:sz w:val="24"/>
                <w:szCs w:val="20"/>
                <w:highlight w:val="none"/>
                <w:lang w:val="en-US" w:eastAsia="zh-CN"/>
              </w:rPr>
              <w:t>等</w:t>
            </w:r>
            <w:r>
              <w:rPr>
                <w:rFonts w:hint="default" w:cs="Times New Roman"/>
                <w:color w:val="auto"/>
                <w:spacing w:val="0"/>
                <w:sz w:val="24"/>
                <w:szCs w:val="20"/>
                <w:highlight w:val="none"/>
                <w:lang w:val="en-US" w:eastAsia="zh-CN"/>
              </w:rPr>
              <w:t>，粒径＜</w:t>
            </w:r>
            <w:r>
              <w:rPr>
                <w:rFonts w:hint="eastAsia" w:cs="Times New Roman"/>
                <w:color w:val="auto"/>
                <w:spacing w:val="0"/>
                <w:sz w:val="24"/>
                <w:szCs w:val="20"/>
                <w:highlight w:val="none"/>
                <w:lang w:val="en-US" w:eastAsia="zh-CN"/>
              </w:rPr>
              <w:t>5</w:t>
            </w:r>
            <w:r>
              <w:rPr>
                <w:rFonts w:hint="default" w:cs="Times New Roman"/>
                <w:color w:val="auto"/>
                <w:spacing w:val="0"/>
                <w:sz w:val="24"/>
                <w:szCs w:val="20"/>
                <w:highlight w:val="none"/>
                <w:lang w:val="en-US" w:eastAsia="zh-CN"/>
              </w:rPr>
              <w:t>00</w:t>
            </w:r>
            <w:r>
              <w:rPr>
                <w:rFonts w:hint="eastAsia" w:cs="Times New Roman"/>
                <w:color w:val="auto"/>
                <w:spacing w:val="0"/>
                <w:sz w:val="24"/>
                <w:szCs w:val="20"/>
                <w:highlight w:val="none"/>
                <w:lang w:val="en-US" w:eastAsia="zh-CN"/>
              </w:rPr>
              <w:t>m</w:t>
            </w:r>
            <w:r>
              <w:rPr>
                <w:rFonts w:hint="default" w:cs="Times New Roman"/>
                <w:color w:val="auto"/>
                <w:spacing w:val="0"/>
                <w:sz w:val="24"/>
                <w:szCs w:val="20"/>
                <w:highlight w:val="none"/>
                <w:lang w:val="en-US" w:eastAsia="zh-CN"/>
              </w:rPr>
              <w:t>m，</w:t>
            </w:r>
            <w:r>
              <w:rPr>
                <w:rFonts w:hint="eastAsia" w:cs="Times New Roman"/>
                <w:color w:val="auto"/>
                <w:spacing w:val="0"/>
                <w:sz w:val="24"/>
                <w:szCs w:val="20"/>
                <w:highlight w:val="none"/>
                <w:lang w:val="en-US" w:eastAsia="zh-CN"/>
              </w:rPr>
              <w:t>由建筑垃圾供应第三方公司</w:t>
            </w:r>
            <w:r>
              <w:rPr>
                <w:rFonts w:hint="default" w:cs="Times New Roman"/>
                <w:color w:val="auto"/>
                <w:spacing w:val="0"/>
                <w:sz w:val="24"/>
                <w:szCs w:val="20"/>
                <w:highlight w:val="none"/>
                <w:lang w:val="en-US" w:eastAsia="zh-CN"/>
              </w:rPr>
              <w:t>采用40吨</w:t>
            </w:r>
            <w:r>
              <w:rPr>
                <w:rFonts w:hint="eastAsia" w:cs="Times New Roman"/>
                <w:color w:val="auto"/>
                <w:spacing w:val="0"/>
                <w:sz w:val="24"/>
                <w:szCs w:val="20"/>
                <w:highlight w:val="none"/>
                <w:lang w:val="en-US" w:eastAsia="zh-CN"/>
              </w:rPr>
              <w:t>厢式</w:t>
            </w:r>
            <w:r>
              <w:rPr>
                <w:rFonts w:hint="default" w:cs="Times New Roman"/>
                <w:color w:val="auto"/>
                <w:spacing w:val="0"/>
                <w:sz w:val="24"/>
                <w:szCs w:val="20"/>
                <w:highlight w:val="none"/>
                <w:lang w:val="en-US" w:eastAsia="zh-CN"/>
              </w:rPr>
              <w:t>卡车运输进入厂区，经电子磅称重计量后行驶至全封闭</w:t>
            </w:r>
            <w:r>
              <w:rPr>
                <w:rFonts w:hint="eastAsia" w:cs="Times New Roman"/>
                <w:color w:val="auto"/>
                <w:spacing w:val="0"/>
                <w:sz w:val="24"/>
                <w:szCs w:val="20"/>
                <w:highlight w:val="none"/>
                <w:lang w:val="en-US" w:eastAsia="zh-CN"/>
              </w:rPr>
              <w:t>生产车间</w:t>
            </w:r>
            <w:r>
              <w:rPr>
                <w:rFonts w:hint="default" w:cs="Times New Roman"/>
                <w:color w:val="auto"/>
                <w:spacing w:val="0"/>
                <w:sz w:val="24"/>
                <w:szCs w:val="20"/>
                <w:highlight w:val="none"/>
                <w:lang w:val="en-US" w:eastAsia="zh-CN"/>
              </w:rPr>
              <w:t>，在工作人员指引下自动卸车至原料储存区。</w:t>
            </w:r>
            <w:r>
              <w:rPr>
                <w:rFonts w:hint="default" w:ascii="Times New Roman" w:hAnsi="Times New Roman" w:eastAsia="宋体" w:cs="Times New Roman"/>
                <w:color w:val="auto"/>
                <w:sz w:val="24"/>
                <w:szCs w:val="24"/>
                <w:lang w:val="en-US" w:eastAsia="zh-CN"/>
              </w:rPr>
              <w:t>建筑垃圾进厂前已经进行了分拣和预处理，经预处理后</w:t>
            </w:r>
            <w:r>
              <w:rPr>
                <w:rFonts w:hint="eastAsia" w:cs="Times New Roman"/>
                <w:color w:val="auto"/>
                <w:sz w:val="24"/>
                <w:szCs w:val="24"/>
                <w:lang w:val="en-US" w:eastAsia="zh-CN"/>
              </w:rPr>
              <w:t>块状</w:t>
            </w:r>
            <w:r>
              <w:rPr>
                <w:rFonts w:hint="default" w:ascii="Times New Roman" w:hAnsi="Times New Roman" w:eastAsia="宋体" w:cs="Times New Roman"/>
                <w:color w:val="auto"/>
                <w:sz w:val="24"/>
                <w:szCs w:val="24"/>
                <w:lang w:val="en-US" w:eastAsia="zh-CN"/>
              </w:rPr>
              <w:t>建筑</w:t>
            </w:r>
            <w:r>
              <w:rPr>
                <w:rFonts w:hint="eastAsia" w:cs="Times New Roman"/>
                <w:color w:val="auto"/>
                <w:sz w:val="24"/>
                <w:szCs w:val="24"/>
                <w:lang w:val="en-US" w:eastAsia="zh-CN"/>
              </w:rPr>
              <w:t>垃圾</w:t>
            </w:r>
            <w:r>
              <w:rPr>
                <w:rFonts w:hint="default" w:ascii="Times New Roman" w:hAnsi="Times New Roman" w:eastAsia="宋体" w:cs="Times New Roman"/>
                <w:color w:val="auto"/>
                <w:sz w:val="24"/>
                <w:szCs w:val="24"/>
                <w:lang w:val="en-US" w:eastAsia="zh-CN"/>
              </w:rPr>
              <w:t>的粒径为＜</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00mm，且剔除了废钢筋、废铁丝等金属，并在进厂之前做好检查工作，防止废塑料、废木材以及生活垃圾混入。</w:t>
            </w:r>
            <w:r>
              <w:rPr>
                <w:rFonts w:hint="eastAsia" w:cs="Times New Roman"/>
                <w:color w:val="auto"/>
                <w:sz w:val="24"/>
                <w:szCs w:val="24"/>
                <w:lang w:val="en-US" w:eastAsia="zh-CN"/>
              </w:rPr>
              <w:t>本项目原料均为块状，不涉及粉状原料。</w:t>
            </w:r>
            <w:r>
              <w:rPr>
                <w:rFonts w:hint="eastAsia" w:cs="Times New Roman"/>
                <w:color w:val="auto"/>
                <w:spacing w:val="0"/>
                <w:sz w:val="24"/>
                <w:szCs w:val="20"/>
                <w:highlight w:val="none"/>
                <w:lang w:val="en-US" w:eastAsia="zh-CN"/>
              </w:rPr>
              <w:t>块状建筑垃圾</w:t>
            </w:r>
            <w:r>
              <w:rPr>
                <w:rFonts w:hint="default" w:cs="Times New Roman"/>
                <w:color w:val="auto"/>
                <w:spacing w:val="0"/>
                <w:sz w:val="24"/>
                <w:szCs w:val="20"/>
                <w:highlight w:val="none"/>
                <w:lang w:val="en-US" w:eastAsia="zh-CN"/>
              </w:rPr>
              <w:t>在全封闭原料</w:t>
            </w:r>
            <w:r>
              <w:rPr>
                <w:rFonts w:hint="eastAsia" w:cs="Times New Roman"/>
                <w:color w:val="auto"/>
                <w:spacing w:val="0"/>
                <w:sz w:val="24"/>
                <w:szCs w:val="20"/>
                <w:highlight w:val="none"/>
                <w:lang w:val="en-US" w:eastAsia="zh-CN"/>
              </w:rPr>
              <w:t>堆放区</w:t>
            </w:r>
            <w:r>
              <w:rPr>
                <w:rFonts w:hint="default" w:cs="Times New Roman"/>
                <w:color w:val="auto"/>
                <w:spacing w:val="0"/>
                <w:sz w:val="24"/>
                <w:szCs w:val="20"/>
                <w:highlight w:val="none"/>
                <w:lang w:val="en-US" w:eastAsia="zh-CN"/>
              </w:rPr>
              <w:t>内进行卸料，卸料过程中规范卸料，尽可能降低物料落差，卸料同时设置</w:t>
            </w:r>
            <w:r>
              <w:rPr>
                <w:rFonts w:hint="eastAsia" w:cs="Times New Roman"/>
                <w:color w:val="auto"/>
                <w:spacing w:val="0"/>
                <w:sz w:val="24"/>
                <w:szCs w:val="20"/>
                <w:highlight w:val="none"/>
                <w:lang w:val="en-US" w:eastAsia="zh-CN"/>
              </w:rPr>
              <w:t>2</w:t>
            </w:r>
            <w:r>
              <w:rPr>
                <w:rFonts w:hint="default" w:cs="Times New Roman"/>
                <w:color w:val="auto"/>
                <w:spacing w:val="0"/>
                <w:sz w:val="24"/>
                <w:szCs w:val="20"/>
                <w:highlight w:val="none"/>
                <w:lang w:val="en-US" w:eastAsia="zh-CN"/>
              </w:rPr>
              <w:t>台雾炮机进行喷雾洒水。</w:t>
            </w:r>
          </w:p>
          <w:p w14:paraId="53F167B5">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2.给料、破碎、制砂、筛分</w:t>
            </w:r>
          </w:p>
          <w:p w14:paraId="5089CC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pacing w:val="0"/>
                <w:kern w:val="0"/>
                <w:sz w:val="24"/>
                <w:szCs w:val="20"/>
                <w:highlight w:val="none"/>
                <w:lang w:val="en-US" w:eastAsia="zh-CN" w:bidi="ar-SA"/>
              </w:rPr>
            </w:pPr>
            <w:r>
              <w:rPr>
                <w:rFonts w:hint="eastAsia" w:ascii="Times New Roman" w:hAnsi="Times New Roman" w:eastAsia="宋体" w:cs="Times New Roman"/>
                <w:color w:val="auto"/>
                <w:spacing w:val="0"/>
                <w:kern w:val="0"/>
                <w:sz w:val="24"/>
                <w:szCs w:val="20"/>
                <w:highlight w:val="none"/>
                <w:lang w:val="en-US" w:eastAsia="zh-CN" w:bidi="ar-SA"/>
              </w:rPr>
              <w:t>使用铲车将原料送入振动给料机入料口，由给料机均匀地送入1台</w:t>
            </w:r>
            <w:r>
              <w:rPr>
                <w:rFonts w:hint="eastAsia" w:cs="Times New Roman"/>
                <w:color w:val="auto"/>
                <w:spacing w:val="0"/>
                <w:kern w:val="0"/>
                <w:sz w:val="24"/>
                <w:szCs w:val="20"/>
                <w:highlight w:val="none"/>
                <w:lang w:val="en-US" w:eastAsia="zh-CN" w:bidi="ar-SA"/>
              </w:rPr>
              <w:t>箱式</w:t>
            </w:r>
            <w:r>
              <w:rPr>
                <w:rFonts w:hint="eastAsia" w:ascii="Times New Roman" w:hAnsi="Times New Roman" w:eastAsia="宋体" w:cs="Times New Roman"/>
                <w:color w:val="auto"/>
                <w:spacing w:val="0"/>
                <w:kern w:val="0"/>
                <w:sz w:val="24"/>
                <w:szCs w:val="20"/>
                <w:highlight w:val="none"/>
                <w:lang w:val="en-US" w:eastAsia="zh-CN" w:bidi="ar-SA"/>
              </w:rPr>
              <w:t>破碎机进行破碎，破碎后的物料</w:t>
            </w:r>
            <w:r>
              <w:rPr>
                <w:rFonts w:hint="eastAsia" w:cs="Times New Roman"/>
                <w:color w:val="auto"/>
                <w:spacing w:val="0"/>
                <w:kern w:val="0"/>
                <w:sz w:val="24"/>
                <w:szCs w:val="20"/>
                <w:highlight w:val="none"/>
                <w:lang w:val="en-US" w:eastAsia="zh-CN" w:bidi="ar-SA"/>
              </w:rPr>
              <w:t>经除铁器去除废铁屑后由全封闭皮带输送至锤式制砂机进行制砂工序，制砂完成后再送入振动筛进行筛分，＞20mm物料由返料皮带输送机送入锤式制砂机重新制砂，≤20mm成品通过全封闭皮带输送至成品库，成品分为0-4.75mm机制砂、10-15mm石子、15-20mm石子。</w:t>
            </w:r>
          </w:p>
          <w:p w14:paraId="2EE199F1">
            <w:pPr>
              <w:keepNext w:val="0"/>
              <w:keepLines w:val="0"/>
              <w:suppressLineNumbers w:val="0"/>
              <w:spacing w:before="0" w:beforeAutospacing="0" w:after="0" w:afterAutospacing="0" w:line="480" w:lineRule="exact"/>
              <w:ind w:left="0" w:right="0" w:firstLine="480" w:firstLineChars="200"/>
              <w:rPr>
                <w:rFonts w:hint="eastAsia" w:cs="Times New Roman"/>
                <w:color w:val="auto"/>
                <w:spacing w:val="0"/>
                <w:kern w:val="0"/>
                <w:sz w:val="24"/>
                <w:szCs w:val="20"/>
                <w:highlight w:val="none"/>
                <w:lang w:val="en-US" w:eastAsia="zh-CN" w:bidi="ar-SA"/>
              </w:rPr>
            </w:pPr>
            <w:r>
              <w:rPr>
                <w:rFonts w:hint="eastAsia" w:cs="Times New Roman"/>
                <w:color w:val="auto"/>
                <w:sz w:val="24"/>
                <w:szCs w:val="24"/>
                <w:lang w:val="en-US" w:eastAsia="zh-CN"/>
              </w:rPr>
              <w:t>3、</w:t>
            </w:r>
            <w:r>
              <w:rPr>
                <w:rFonts w:hint="eastAsia" w:cs="Times New Roman"/>
                <w:color w:val="auto"/>
                <w:spacing w:val="0"/>
                <w:kern w:val="0"/>
                <w:sz w:val="24"/>
                <w:szCs w:val="20"/>
                <w:highlight w:val="none"/>
                <w:lang w:val="en-US" w:eastAsia="zh-CN" w:bidi="ar-SA"/>
              </w:rPr>
              <w:t>产品储存</w:t>
            </w:r>
          </w:p>
          <w:p w14:paraId="2A58415D">
            <w:pPr>
              <w:keepNext w:val="0"/>
              <w:keepLines w:val="0"/>
              <w:suppressLineNumbers w:val="0"/>
              <w:spacing w:before="0" w:beforeAutospacing="0" w:after="0" w:afterAutospacing="0" w:line="480" w:lineRule="exact"/>
              <w:ind w:left="0" w:right="0" w:firstLine="480" w:firstLineChars="200"/>
              <w:rPr>
                <w:rFonts w:hint="eastAsia" w:cs="Times New Roman"/>
                <w:color w:val="auto"/>
                <w:spacing w:val="0"/>
                <w:kern w:val="0"/>
                <w:sz w:val="24"/>
                <w:szCs w:val="20"/>
                <w:highlight w:val="none"/>
                <w:lang w:val="en-US" w:eastAsia="zh-CN" w:bidi="ar-SA"/>
              </w:rPr>
            </w:pPr>
            <w:r>
              <w:rPr>
                <w:rFonts w:hint="eastAsia" w:cs="Times New Roman"/>
                <w:color w:val="auto"/>
                <w:spacing w:val="0"/>
                <w:kern w:val="0"/>
                <w:sz w:val="24"/>
                <w:szCs w:val="20"/>
                <w:highlight w:val="none"/>
                <w:lang w:val="en-US" w:eastAsia="zh-CN" w:bidi="ar-SA"/>
              </w:rPr>
              <w:t>产品由全封闭皮带输送至成品库内相应粒径的成品库分区储存，需外运时，由铲车将各类产品装载至运输车辆，经过地磅称重后，在出口处冲洗轮胎及车身后，驶出厂区。装料在全封闭成品库内进行，装料过程中同样需要规范装料，尽可能降低物料落差，装料同时采用移动式雾炮机进行喷雾洒水。</w:t>
            </w:r>
          </w:p>
          <w:p w14:paraId="742B55D2">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bCs/>
                <w:color w:val="auto"/>
                <w:sz w:val="24"/>
                <w:szCs w:val="24"/>
                <w:highlight w:val="none"/>
                <w:lang w:val="en-US" w:eastAsia="zh-CN"/>
              </w:rPr>
            </w:pPr>
            <w:r>
              <w:rPr>
                <w:rFonts w:hint="eastAsia" w:cs="Times New Roman"/>
                <w:color w:val="auto"/>
                <w:sz w:val="24"/>
                <w:szCs w:val="24"/>
                <w:lang w:val="en-US" w:eastAsia="zh-CN"/>
              </w:rPr>
              <w:t>生产工</w:t>
            </w:r>
            <w:r>
              <w:rPr>
                <w:rFonts w:hint="eastAsia" w:ascii="Times New Roman" w:hAnsi="Times New Roman" w:eastAsia="宋体" w:cs="Times New Roman"/>
                <w:bCs/>
                <w:color w:val="auto"/>
                <w:sz w:val="24"/>
                <w:szCs w:val="24"/>
                <w:highlight w:val="none"/>
                <w:lang w:val="en-US" w:eastAsia="zh-CN"/>
              </w:rPr>
              <w:t>艺流程及污染节点见图2</w:t>
            </w:r>
            <w:r>
              <w:rPr>
                <w:rFonts w:hint="eastAsia"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w:t>
            </w:r>
          </w:p>
          <w:p w14:paraId="4B8C6E21">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2BC164FF">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7B9AD819">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412010D6">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641810AA">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5D0C15A0">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59BCC638">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4FA447E6">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20B5E22B">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5BC8F83C">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0DD1E0D3">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7E2E6A90">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75D2A269">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586AB13E">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27A6B86F">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2AC1E999">
            <w:pPr>
              <w:pStyle w:val="16"/>
              <w:keepNext w:val="0"/>
              <w:keepLines w:val="0"/>
              <w:suppressLineNumbers w:val="0"/>
              <w:spacing w:before="0" w:beforeAutospacing="0" w:after="0" w:afterAutospacing="0"/>
              <w:ind w:left="0" w:right="0"/>
              <w:rPr>
                <w:rFonts w:hint="eastAsia"/>
                <w:color w:val="auto"/>
                <w:lang w:val="en-US" w:eastAsia="zh-CN"/>
              </w:rPr>
            </w:pPr>
          </w:p>
          <w:p w14:paraId="3C7BAB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2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default"/>
                <w:color w:val="auto"/>
              </w:rPr>
              <w:drawing>
                <wp:anchor distT="0" distB="0" distL="114300" distR="114300" simplePos="0" relativeHeight="251665408" behindDoc="1" locked="0" layoutInCell="1" allowOverlap="1">
                  <wp:simplePos x="0" y="0"/>
                  <wp:positionH relativeFrom="column">
                    <wp:posOffset>655955</wp:posOffset>
                  </wp:positionH>
                  <wp:positionV relativeFrom="paragraph">
                    <wp:posOffset>41910</wp:posOffset>
                  </wp:positionV>
                  <wp:extent cx="3904615" cy="485330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rcRect t="1988" b="1228"/>
                          <a:stretch>
                            <a:fillRect/>
                          </a:stretch>
                        </pic:blipFill>
                        <pic:spPr>
                          <a:xfrm>
                            <a:off x="0" y="0"/>
                            <a:ext cx="3904615" cy="4853305"/>
                          </a:xfrm>
                          <a:prstGeom prst="rect">
                            <a:avLst/>
                          </a:prstGeom>
                          <a:noFill/>
                          <a:ln>
                            <a:noFill/>
                          </a:ln>
                        </pic:spPr>
                      </pic:pic>
                    </a:graphicData>
                  </a:graphic>
                </wp:anchor>
              </w:drawing>
            </w:r>
          </w:p>
          <w:p w14:paraId="5F4A32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p>
          <w:p w14:paraId="1847AA35">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5C5E17F1">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2CD06465">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522A1F8B">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03A43622">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27CE5C2F">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454C0B3E">
            <w:pPr>
              <w:pStyle w:val="16"/>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32B634BD">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566D892D">
            <w:pPr>
              <w:pStyle w:val="16"/>
              <w:keepNext w:val="0"/>
              <w:keepLines w:val="0"/>
              <w:suppressLineNumbers w:val="0"/>
              <w:spacing w:before="0" w:beforeAutospacing="0" w:after="0" w:afterAutospacing="0"/>
              <w:ind w:left="0" w:right="0"/>
              <w:rPr>
                <w:rFonts w:hint="eastAsia"/>
                <w:color w:val="auto"/>
                <w:lang w:val="en-US" w:eastAsia="zh-CN"/>
              </w:rPr>
            </w:pPr>
          </w:p>
          <w:p w14:paraId="5FD3C17B">
            <w:pPr>
              <w:pStyle w:val="6"/>
              <w:suppressLineNumbers w:val="0"/>
              <w:spacing w:beforeAutospacing="0" w:after="0" w:afterAutospacing="0"/>
              <w:ind w:left="0" w:right="0"/>
              <w:rPr>
                <w:rFonts w:hint="eastAsia"/>
                <w:color w:val="auto"/>
                <w:lang w:val="en-US" w:eastAsia="zh-CN"/>
              </w:rPr>
            </w:pPr>
          </w:p>
          <w:p w14:paraId="75F7BA94">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758908EC">
            <w:pPr>
              <w:pStyle w:val="6"/>
              <w:suppressLineNumbers w:val="0"/>
              <w:spacing w:beforeAutospacing="0" w:after="0" w:afterAutospacing="0"/>
              <w:ind w:left="0" w:right="0"/>
              <w:rPr>
                <w:rFonts w:hint="eastAsia"/>
                <w:color w:val="auto"/>
                <w:lang w:val="en-US" w:eastAsia="zh-CN"/>
              </w:rPr>
            </w:pPr>
          </w:p>
          <w:p w14:paraId="30210DA6">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34FA3E9F">
            <w:pPr>
              <w:pStyle w:val="6"/>
              <w:suppressLineNumbers w:val="0"/>
              <w:spacing w:beforeAutospacing="0" w:after="0" w:afterAutospacing="0"/>
              <w:ind w:left="0" w:right="0"/>
              <w:rPr>
                <w:rFonts w:hint="eastAsia"/>
                <w:color w:val="auto"/>
                <w:lang w:val="en-US" w:eastAsia="zh-CN"/>
              </w:rPr>
            </w:pPr>
          </w:p>
          <w:p w14:paraId="69BE7B5E">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41533E04">
            <w:pPr>
              <w:pStyle w:val="6"/>
              <w:suppressLineNumbers w:val="0"/>
              <w:spacing w:beforeAutospacing="0" w:after="0" w:afterAutospacing="0"/>
              <w:ind w:left="0" w:right="0"/>
              <w:rPr>
                <w:rFonts w:hint="eastAsia"/>
                <w:color w:val="auto"/>
                <w:lang w:val="en-US" w:eastAsia="zh-CN"/>
              </w:rPr>
            </w:pPr>
          </w:p>
          <w:p w14:paraId="28763C95">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lang w:val="en-US" w:eastAsia="zh-CN"/>
              </w:rPr>
            </w:pPr>
          </w:p>
          <w:p w14:paraId="3EAECFC5">
            <w:pPr>
              <w:pStyle w:val="6"/>
              <w:suppressLineNumbers w:val="0"/>
              <w:spacing w:beforeAutospacing="0" w:after="0" w:afterAutospacing="0"/>
              <w:ind w:left="0" w:right="0"/>
              <w:rPr>
                <w:rFonts w:hint="eastAsia"/>
                <w:color w:val="auto"/>
                <w:lang w:val="en-US" w:eastAsia="zh-CN"/>
              </w:rPr>
            </w:pPr>
          </w:p>
          <w:p w14:paraId="2604BF24">
            <w:pPr>
              <w:keepNext w:val="0"/>
              <w:keepLines w:val="0"/>
              <w:suppressLineNumbers w:val="0"/>
              <w:spacing w:before="0" w:beforeAutospacing="0" w:after="0" w:afterAutospacing="0"/>
              <w:ind w:left="0" w:right="0"/>
              <w:rPr>
                <w:rFonts w:hint="eastAsia"/>
                <w:color w:val="auto"/>
                <w:lang w:val="en-US" w:eastAsia="zh-CN"/>
              </w:rPr>
            </w:pPr>
          </w:p>
          <w:p w14:paraId="7454275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p>
          <w:p w14:paraId="295E88D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图2-2  生产工艺流程及产污环节图</w:t>
            </w:r>
          </w:p>
          <w:p w14:paraId="6BF059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val="0"/>
                <w:color w:val="auto"/>
                <w:sz w:val="24"/>
                <w:szCs w:val="24"/>
                <w:highlight w:val="none"/>
                <w:lang w:val="en-US" w:eastAsia="zh-CN"/>
              </w:rPr>
              <w:t>二、主要污染工序</w:t>
            </w:r>
          </w:p>
          <w:p w14:paraId="51861BB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szCs w:val="24"/>
                <w:highlight w:val="none"/>
                <w:lang w:val="en-US" w:eastAsia="zh-CN"/>
              </w:rPr>
              <w:t>1.废气</w:t>
            </w:r>
          </w:p>
          <w:p w14:paraId="5E490FE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eastAsia" w:cs="Times New Roman"/>
                <w:color w:val="auto"/>
                <w:sz w:val="24"/>
                <w:highlight w:val="none"/>
                <w:lang w:val="en-US" w:eastAsia="zh-CN"/>
              </w:rPr>
              <w:t>原料及成品运输产生的废气，主要污染物为颗粒物；</w:t>
            </w:r>
          </w:p>
          <w:p w14:paraId="7E1B79F7">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highlight w:val="none"/>
                <w:lang w:val="en-US" w:eastAsia="zh-CN"/>
              </w:rPr>
              <w:t>（2）原料及成品堆放、</w:t>
            </w:r>
            <w:r>
              <w:rPr>
                <w:rFonts w:hint="default"/>
                <w:bCs/>
                <w:color w:val="auto"/>
                <w:sz w:val="24"/>
              </w:rPr>
              <w:t>装卸产生的</w:t>
            </w:r>
            <w:r>
              <w:rPr>
                <w:rFonts w:hint="eastAsia" w:cs="Times New Roman"/>
                <w:color w:val="auto"/>
                <w:sz w:val="24"/>
                <w:highlight w:val="none"/>
                <w:lang w:val="en-US" w:eastAsia="zh-CN"/>
              </w:rPr>
              <w:t>废气</w:t>
            </w:r>
            <w:r>
              <w:rPr>
                <w:rFonts w:hint="eastAsia" w:ascii="Times New Roman" w:hAnsi="Times New Roman" w:cs="Times New Roman"/>
                <w:bCs/>
                <w:color w:val="auto"/>
                <w:sz w:val="24"/>
                <w:lang w:val="en-US" w:eastAsia="zh-CN"/>
              </w:rPr>
              <w:t>，</w:t>
            </w:r>
            <w:r>
              <w:rPr>
                <w:rFonts w:hint="eastAsia" w:ascii="Times New Roman" w:hAnsi="Times New Roman" w:cs="Times New Roman"/>
                <w:color w:val="auto"/>
                <w:sz w:val="24"/>
                <w:szCs w:val="24"/>
                <w:lang w:val="en-US" w:eastAsia="zh-CN"/>
              </w:rPr>
              <w:t>主要污染物为颗粒物</w:t>
            </w:r>
            <w:r>
              <w:rPr>
                <w:rFonts w:hint="default" w:ascii="Times New Roman" w:hAnsi="Times New Roman" w:eastAsia="宋体" w:cs="Times New Roman"/>
                <w:bCs/>
                <w:color w:val="auto"/>
                <w:sz w:val="24"/>
                <w:szCs w:val="24"/>
                <w:highlight w:val="none"/>
                <w:lang w:val="en-US" w:eastAsia="zh-CN"/>
              </w:rPr>
              <w:t>；</w:t>
            </w:r>
          </w:p>
          <w:p w14:paraId="23B61A7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default"/>
                <w:bCs/>
                <w:color w:val="auto"/>
                <w:sz w:val="24"/>
              </w:rPr>
              <w:t>给料、</w:t>
            </w:r>
            <w:r>
              <w:rPr>
                <w:rFonts w:hint="eastAsia"/>
                <w:bCs/>
                <w:color w:val="auto"/>
                <w:sz w:val="24"/>
                <w:lang w:val="en-US" w:eastAsia="zh-CN"/>
              </w:rPr>
              <w:t>破碎</w:t>
            </w:r>
            <w:r>
              <w:rPr>
                <w:rFonts w:hint="default"/>
                <w:bCs/>
                <w:color w:val="auto"/>
                <w:sz w:val="24"/>
              </w:rPr>
              <w:t>工序生产过程中产生的</w:t>
            </w:r>
            <w:r>
              <w:rPr>
                <w:rFonts w:hint="eastAsia" w:cs="Times New Roman"/>
                <w:color w:val="auto"/>
                <w:sz w:val="24"/>
                <w:highlight w:val="none"/>
                <w:lang w:val="en-US" w:eastAsia="zh-CN"/>
              </w:rPr>
              <w:t>废气</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主要污染物为颗粒物；</w:t>
            </w:r>
          </w:p>
          <w:p w14:paraId="50646DDF">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w:t>
            </w:r>
            <w:r>
              <w:rPr>
                <w:rFonts w:hint="eastAsia"/>
                <w:bCs/>
                <w:color w:val="auto"/>
                <w:sz w:val="24"/>
                <w:lang w:val="en-US" w:eastAsia="zh-CN"/>
              </w:rPr>
              <w:t>制砂、</w:t>
            </w:r>
            <w:r>
              <w:rPr>
                <w:rFonts w:hint="default"/>
                <w:bCs/>
                <w:color w:val="auto"/>
                <w:sz w:val="24"/>
              </w:rPr>
              <w:t>筛分工序生产过程中产生的</w:t>
            </w:r>
            <w:r>
              <w:rPr>
                <w:rFonts w:hint="eastAsia" w:cs="Times New Roman"/>
                <w:color w:val="auto"/>
                <w:sz w:val="24"/>
                <w:highlight w:val="none"/>
                <w:lang w:val="en-US" w:eastAsia="zh-CN"/>
              </w:rPr>
              <w:t>废气</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主要污染物为颗粒物；</w:t>
            </w:r>
          </w:p>
          <w:p w14:paraId="6E08E064">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w:t>
            </w:r>
            <w:r>
              <w:rPr>
                <w:rFonts w:hint="default"/>
                <w:bCs/>
                <w:color w:val="auto"/>
                <w:sz w:val="24"/>
              </w:rPr>
              <w:t>皮带运输及衔接转载产生的</w:t>
            </w:r>
            <w:r>
              <w:rPr>
                <w:rFonts w:hint="eastAsia" w:cs="Times New Roman"/>
                <w:color w:val="auto"/>
                <w:sz w:val="24"/>
                <w:highlight w:val="none"/>
                <w:lang w:val="en-US" w:eastAsia="zh-CN"/>
              </w:rPr>
              <w:t>废气</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主要污染物为颗粒物</w:t>
            </w:r>
            <w:r>
              <w:rPr>
                <w:rFonts w:hint="eastAsia" w:cs="Times New Roman"/>
                <w:color w:val="auto"/>
                <w:sz w:val="24"/>
                <w:highlight w:val="none"/>
                <w:lang w:val="en-US" w:eastAsia="zh-CN"/>
              </w:rPr>
              <w:t>。</w:t>
            </w:r>
          </w:p>
          <w:p w14:paraId="06E0BC3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2.废水</w:t>
            </w:r>
          </w:p>
          <w:p w14:paraId="4D0FDD3F">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（1）生活污水；</w:t>
            </w:r>
          </w:p>
          <w:p w14:paraId="0570DDBA">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洗车废水</w:t>
            </w:r>
            <w:r>
              <w:rPr>
                <w:rFonts w:hint="eastAsia" w:cs="Times New Roman"/>
                <w:bCs/>
                <w:color w:val="auto"/>
                <w:sz w:val="24"/>
                <w:szCs w:val="24"/>
                <w:highlight w:val="none"/>
                <w:lang w:val="en-US" w:eastAsia="zh-CN"/>
              </w:rPr>
              <w:t>；</w:t>
            </w:r>
          </w:p>
          <w:p w14:paraId="6CEDFFAE">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（3）初期雨水。</w:t>
            </w:r>
          </w:p>
          <w:p w14:paraId="6DA363D0">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噪声</w:t>
            </w:r>
          </w:p>
          <w:p w14:paraId="64BF77CE">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cs="Times New Roman"/>
                <w:color w:val="auto"/>
                <w:sz w:val="24"/>
                <w:szCs w:val="24"/>
              </w:rPr>
              <w:t>项目运营期噪声源主要是各种设备运行产生的噪声</w:t>
            </w:r>
            <w:r>
              <w:rPr>
                <w:rFonts w:hint="eastAsia" w:ascii="Times New Roman" w:hAnsi="Times New Roman" w:eastAsia="宋体" w:cs="Times New Roman"/>
                <w:bCs/>
                <w:color w:val="auto"/>
                <w:sz w:val="24"/>
                <w:szCs w:val="24"/>
                <w:highlight w:val="none"/>
                <w:lang w:val="en-US" w:eastAsia="zh-CN"/>
              </w:rPr>
              <w:t>。</w:t>
            </w:r>
          </w:p>
          <w:p w14:paraId="2801512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固体废物</w:t>
            </w:r>
          </w:p>
          <w:p w14:paraId="5036AEC9">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Cs/>
                <w:color w:val="auto"/>
                <w:sz w:val="24"/>
                <w:highlight w:val="none"/>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1</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除尘器</w:t>
            </w:r>
            <w:r>
              <w:rPr>
                <w:rFonts w:hint="default" w:ascii="Times New Roman" w:hAnsi="Times New Roman" w:cs="Times New Roman"/>
                <w:bCs/>
                <w:color w:val="auto"/>
                <w:sz w:val="24"/>
                <w:highlight w:val="none"/>
                <w:lang w:val="en-US" w:eastAsia="zh-CN"/>
              </w:rPr>
              <w:t>除尘灰</w:t>
            </w:r>
            <w:r>
              <w:rPr>
                <w:rFonts w:hint="default" w:ascii="Times New Roman" w:hAnsi="Times New Roman" w:cs="Times New Roman"/>
                <w:bCs/>
                <w:color w:val="auto"/>
                <w:sz w:val="24"/>
                <w:highlight w:val="none"/>
              </w:rPr>
              <w:t>；</w:t>
            </w:r>
          </w:p>
          <w:p w14:paraId="7D65F79A">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bCs/>
                <w:color w:val="auto"/>
                <w:sz w:val="24"/>
                <w:highlight w:val="none"/>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2</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生活垃圾；</w:t>
            </w:r>
          </w:p>
          <w:p w14:paraId="54A924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3</w:t>
            </w:r>
            <w:r>
              <w:rPr>
                <w:rFonts w:hint="eastAsia" w:cs="Times New Roman"/>
                <w:bCs/>
                <w:color w:val="auto"/>
                <w:sz w:val="24"/>
                <w:highlight w:val="none"/>
                <w:lang w:eastAsia="zh-CN"/>
              </w:rPr>
              <w:t>）</w:t>
            </w:r>
            <w:r>
              <w:rPr>
                <w:rFonts w:hint="eastAsia" w:cs="Times New Roman"/>
                <w:bCs/>
                <w:color w:val="auto"/>
                <w:sz w:val="24"/>
                <w:highlight w:val="none"/>
                <w:lang w:val="en-US" w:eastAsia="zh-CN"/>
              </w:rPr>
              <w:t>废铁屑；</w:t>
            </w:r>
          </w:p>
          <w:p w14:paraId="206E89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4</w:t>
            </w:r>
            <w:r>
              <w:rPr>
                <w:rFonts w:hint="eastAsia" w:cs="Times New Roman"/>
                <w:bCs/>
                <w:color w:val="auto"/>
                <w:sz w:val="24"/>
                <w:highlight w:val="none"/>
                <w:lang w:eastAsia="zh-CN"/>
              </w:rPr>
              <w:t>）</w:t>
            </w:r>
            <w:r>
              <w:rPr>
                <w:rFonts w:hint="eastAsia" w:cs="Times New Roman"/>
                <w:bCs/>
                <w:color w:val="auto"/>
                <w:sz w:val="24"/>
                <w:highlight w:val="none"/>
                <w:lang w:val="en-US" w:eastAsia="zh-CN"/>
              </w:rPr>
              <w:t>废布袋；</w:t>
            </w:r>
          </w:p>
          <w:p w14:paraId="27939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5</w:t>
            </w:r>
            <w:r>
              <w:rPr>
                <w:rFonts w:hint="eastAsia" w:cs="Times New Roman"/>
                <w:bCs/>
                <w:color w:val="auto"/>
                <w:sz w:val="24"/>
                <w:highlight w:val="none"/>
                <w:lang w:eastAsia="zh-CN"/>
              </w:rPr>
              <w:t>）</w:t>
            </w:r>
            <w:r>
              <w:rPr>
                <w:rFonts w:hint="default" w:ascii="Times New Roman" w:hAnsi="Times New Roman" w:cs="Times New Roman"/>
                <w:color w:val="auto"/>
                <w:sz w:val="24"/>
                <w:szCs w:val="24"/>
              </w:rPr>
              <w:t>设备维修使用产生的</w:t>
            </w:r>
            <w:r>
              <w:rPr>
                <w:rFonts w:hint="default" w:ascii="Times New Roman" w:hAnsi="Times New Roman" w:cs="Times New Roman"/>
                <w:bCs/>
                <w:color w:val="auto"/>
                <w:sz w:val="24"/>
                <w:highlight w:val="none"/>
                <w:lang w:val="en-US" w:eastAsia="zh-CN"/>
              </w:rPr>
              <w:t>废矿物油</w:t>
            </w:r>
            <w:r>
              <w:rPr>
                <w:rFonts w:hint="eastAsia" w:ascii="Times New Roman" w:hAnsi="Times New Roman" w:cs="Times New Roman"/>
                <w:bCs/>
                <w:color w:val="auto"/>
                <w:sz w:val="24"/>
                <w:highlight w:val="none"/>
                <w:lang w:val="en-US" w:eastAsia="zh-CN"/>
              </w:rPr>
              <w:t>、废油桶</w:t>
            </w:r>
            <w:r>
              <w:rPr>
                <w:rFonts w:hint="default" w:ascii="Times New Roman" w:hAnsi="Times New Roman" w:eastAsia="宋体" w:cs="Times New Roman"/>
                <w:bCs/>
                <w:color w:val="auto"/>
                <w:sz w:val="24"/>
                <w:szCs w:val="24"/>
                <w:highlight w:val="none"/>
                <w:lang w:val="en-US" w:eastAsia="zh-CN"/>
              </w:rPr>
              <w:t>。</w:t>
            </w:r>
          </w:p>
          <w:p w14:paraId="2EDBB613">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6AD281D">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C59BECC">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44B7EE5">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C38E953">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C23B5BF">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943BF31">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405D4BEC">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07D767C0">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8968950">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4A1C013">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561317A4">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208364D">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137E70B">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0857863">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078B970D">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A2DC716">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4A6F8D2A">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8B93ADA">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19FF718">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19AC0C4">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AF9307E">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2390D10">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37AA664">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275EBAF">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39FDB49">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DEF2C87">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C300FA3">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B268D25">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B50D0B2">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5F8EDEE7">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422CD2A3">
            <w:pPr>
              <w:pStyle w:val="1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8B89349">
            <w:pPr>
              <w:keepNext w:val="0"/>
              <w:keepLines w:val="0"/>
              <w:suppressLineNumbers w:val="0"/>
              <w:spacing w:before="0" w:beforeAutospacing="0" w:after="0" w:afterAutospacing="0"/>
              <w:ind w:left="0" w:right="0"/>
              <w:rPr>
                <w:rFonts w:hint="default"/>
                <w:color w:val="auto"/>
                <w:lang w:val="en-US" w:eastAsia="zh-CN"/>
              </w:rPr>
            </w:pPr>
          </w:p>
        </w:tc>
      </w:tr>
      <w:tr w14:paraId="243FD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1" w:hRule="atLeast"/>
          <w:jc w:val="center"/>
        </w:trPr>
        <w:tc>
          <w:tcPr>
            <w:tcW w:w="677" w:type="dxa"/>
            <w:vAlign w:val="center"/>
          </w:tcPr>
          <w:p w14:paraId="7E28612D">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bCs/>
                <w:color w:val="auto"/>
                <w:kern w:val="2"/>
                <w:sz w:val="21"/>
                <w:szCs w:val="21"/>
                <w:highlight w:val="none"/>
              </w:rPr>
              <w:t>与项目有关的原有环境污染问题</w:t>
            </w:r>
          </w:p>
        </w:tc>
        <w:tc>
          <w:tcPr>
            <w:tcW w:w="8307" w:type="dxa"/>
            <w:vAlign w:val="center"/>
          </w:tcPr>
          <w:p w14:paraId="4FC5DF6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1、场地现状</w:t>
            </w:r>
          </w:p>
          <w:p w14:paraId="153EE497">
            <w:pPr>
              <w:pStyle w:val="16"/>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rPr>
            </w:pPr>
            <w:r>
              <w:rPr>
                <w:rFonts w:hint="eastAsia" w:cs="Times New Roman"/>
                <w:b w:val="0"/>
                <w:bCs/>
                <w:color w:val="auto"/>
                <w:spacing w:val="0"/>
                <w:kern w:val="2"/>
                <w:sz w:val="24"/>
                <w:szCs w:val="24"/>
                <w:highlight w:val="none"/>
                <w:lang w:val="en-US" w:eastAsia="zh-CN" w:bidi="ar-SA"/>
              </w:rPr>
              <w:t>本</w:t>
            </w:r>
            <w:r>
              <w:rPr>
                <w:rFonts w:hint="eastAsia" w:cs="Times New Roman"/>
                <w:color w:val="auto"/>
                <w:sz w:val="24"/>
                <w:szCs w:val="24"/>
                <w:highlight w:val="none"/>
                <w:lang w:val="en-US" w:eastAsia="zh-CN"/>
              </w:rPr>
              <w:t>项目占地原为屯留县锦泰工贸有限公司30万m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/a商品混凝土搅拌站项目。2018年7月，屯留县锦泰工贸有限公司委托晋城市绿和环保技术咨询有限公司编制完成了《屯留县锦泰工贸有限公司30万m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/a商品混凝土搅拌站项目环境影响报告表》。2018年7月26日，原屯留县环境保护局以“屯环函[2018]82号”文出具了《屯留县锦泰工贸有限公司30万m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/a商品混凝土搅拌站项目环境影响报告表》的批复。</w:t>
            </w:r>
          </w:p>
          <w:p w14:paraId="24867B8D">
            <w:pPr>
              <w:pStyle w:val="16"/>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2019年3月14日，屯留县锦泰工贸有限公司取得了排污许可证，发证机关为原屯留县环境保护局，证书编号为91140424MA0GRK6J7R001P。</w:t>
            </w:r>
          </w:p>
          <w:p w14:paraId="5F8287D1">
            <w:pPr>
              <w:pStyle w:val="16"/>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2019年7月，屯留县锦泰工贸有限公司组织召开了“屯留县锦泰工贸有限公司30万m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/a商品混凝土搅拌站项目阶段性竣工环境保护验收会议”并通过了竣工验收，取得了《屯留县锦泰工贸有限公司30万m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/a商品混凝土搅拌站项目阶段性竣工环境保护验收意见》。</w:t>
            </w:r>
          </w:p>
          <w:p w14:paraId="0A4B15A7">
            <w:pPr>
              <w:pStyle w:val="16"/>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由于市场原因，该项目已不再投入生产，屯留县锦泰工贸有限公司将现有厂区租赁给长治市盛石工贸有限公司，建设年处理30万吨建筑垃圾项目。</w:t>
            </w:r>
          </w:p>
          <w:p w14:paraId="1AE2DBA8">
            <w:pPr>
              <w:pStyle w:val="16"/>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根据现场踏勘，</w:t>
            </w:r>
            <w:r>
              <w:rPr>
                <w:rFonts w:hint="eastAsia" w:cs="Times New Roman"/>
                <w:color w:val="auto"/>
                <w:spacing w:val="0"/>
                <w:sz w:val="24"/>
                <w:szCs w:val="20"/>
                <w:highlight w:val="none"/>
                <w:lang w:val="en-US" w:eastAsia="zh-CN"/>
              </w:rPr>
              <w:t>厂区内现有2座钢结构厂房、1座办公区、1座洗车平台和1座15m</w:t>
            </w:r>
            <w:r>
              <w:rPr>
                <w:rFonts w:hint="eastAsia" w:cs="Times New Roman"/>
                <w:color w:val="auto"/>
                <w:spacing w:val="0"/>
                <w:sz w:val="24"/>
                <w:szCs w:val="20"/>
                <w:highlight w:val="none"/>
                <w:vertAlign w:val="superscript"/>
                <w:lang w:val="en-US" w:eastAsia="zh-CN"/>
              </w:rPr>
              <w:t>3</w:t>
            </w:r>
            <w:r>
              <w:rPr>
                <w:rFonts w:hint="eastAsia" w:cs="Times New Roman"/>
                <w:color w:val="auto"/>
                <w:spacing w:val="0"/>
                <w:sz w:val="24"/>
                <w:szCs w:val="20"/>
                <w:highlight w:val="none"/>
                <w:vertAlign w:val="baseline"/>
                <w:lang w:val="en-US" w:eastAsia="zh-CN"/>
              </w:rPr>
              <w:t>的初期雨水收集池。</w:t>
            </w:r>
          </w:p>
          <w:p w14:paraId="17F9BF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cs="Times New Roman"/>
                <w:b w:val="0"/>
                <w:bCs/>
                <w:color w:val="auto"/>
                <w:spacing w:val="0"/>
                <w:kern w:val="2"/>
                <w:sz w:val="24"/>
                <w:szCs w:val="24"/>
                <w:highlight w:val="none"/>
                <w:lang w:val="en-US" w:eastAsia="zh-CN" w:bidi="ar-SA"/>
              </w:rPr>
            </w:pPr>
            <w:r>
              <w:rPr>
                <w:rFonts w:hint="default" w:cs="Times New Roman"/>
                <w:b w:val="0"/>
                <w:bCs/>
                <w:color w:val="auto"/>
                <w:spacing w:val="0"/>
                <w:kern w:val="2"/>
                <w:sz w:val="24"/>
                <w:szCs w:val="24"/>
                <w:highlight w:val="none"/>
                <w:lang w:val="en-US" w:eastAsia="zh-CN" w:bidi="ar-SA"/>
              </w:rPr>
              <w:t>2、存在的环境问题及整改措施</w:t>
            </w:r>
          </w:p>
          <w:p w14:paraId="059C3BA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（1）存在的问题：</w:t>
            </w:r>
          </w:p>
          <w:p w14:paraId="00BDFEB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eastAsia"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①厂区内部分道路破损；</w:t>
            </w:r>
          </w:p>
          <w:p w14:paraId="5E8126C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eastAsia"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②初期雨水收集池池底破损，容积较小不够容纳厂区前15分钟初期雨水；</w:t>
            </w:r>
          </w:p>
          <w:p w14:paraId="1A39AA0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eastAsia"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③洗车平台沉淀池池底破损且未设置保温措施。</w:t>
            </w:r>
          </w:p>
          <w:p w14:paraId="5BA560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④厂区内现露天堆放了原商砼搅拌站项目的原料建筑垃圾和少量生活垃圾。</w:t>
            </w:r>
          </w:p>
          <w:p w14:paraId="19BF12C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（2）整改措施</w:t>
            </w:r>
          </w:p>
          <w:p w14:paraId="64EA5C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eastAsia"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①厂区内部分道路需要重新硬化；</w:t>
            </w:r>
          </w:p>
          <w:p w14:paraId="5262AA5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eastAsia"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②在厂区地势最低处（东南侧）重新建设1座150m</w:t>
            </w:r>
            <w:r>
              <w:rPr>
                <w:rFonts w:hint="eastAsia" w:cs="Times New Roman"/>
                <w:b w:val="0"/>
                <w:bCs/>
                <w:color w:val="auto"/>
                <w:spacing w:val="0"/>
                <w:kern w:val="2"/>
                <w:sz w:val="24"/>
                <w:szCs w:val="24"/>
                <w:highlight w:val="none"/>
                <w:vertAlign w:val="superscript"/>
                <w:lang w:val="en-US" w:eastAsia="zh-CN" w:bidi="ar-SA"/>
              </w:rPr>
              <w:t>3</w:t>
            </w:r>
            <w:r>
              <w:rPr>
                <w:rFonts w:hint="eastAsia" w:cs="Times New Roman"/>
                <w:b w:val="0"/>
                <w:bCs/>
                <w:color w:val="auto"/>
                <w:spacing w:val="0"/>
                <w:kern w:val="2"/>
                <w:sz w:val="24"/>
                <w:szCs w:val="24"/>
                <w:highlight w:val="none"/>
                <w:lang w:val="en-US" w:eastAsia="zh-CN" w:bidi="ar-SA"/>
              </w:rPr>
              <w:t>初期雨水收集池。</w:t>
            </w:r>
          </w:p>
          <w:p w14:paraId="6BEF9E7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cs="Times New Roman"/>
                <w:b w:val="0"/>
                <w:bCs/>
                <w:color w:val="auto"/>
                <w:spacing w:val="0"/>
                <w:kern w:val="2"/>
                <w:sz w:val="24"/>
                <w:szCs w:val="24"/>
                <w:highlight w:val="none"/>
                <w:lang w:val="en-US" w:eastAsia="zh-CN" w:bidi="ar-SA"/>
              </w:rPr>
            </w:pPr>
            <w:r>
              <w:rPr>
                <w:rFonts w:hint="eastAsia" w:cs="Times New Roman"/>
                <w:b w:val="0"/>
                <w:bCs/>
                <w:color w:val="auto"/>
                <w:spacing w:val="0"/>
                <w:kern w:val="2"/>
                <w:sz w:val="24"/>
                <w:szCs w:val="24"/>
                <w:highlight w:val="none"/>
                <w:lang w:val="en-US" w:eastAsia="zh-CN" w:bidi="ar-SA"/>
              </w:rPr>
              <w:t>③拆除现有洗车平台，重新建设一座长15m、宽3m的全自动洗车平台，</w:t>
            </w:r>
            <w:r>
              <w:rPr>
                <w:rFonts w:hint="eastAsia" w:ascii="Times New Roman" w:hAnsi="Times New Roman" w:eastAsia="宋体" w:cs="Times New Roman"/>
                <w:b w:val="0"/>
                <w:bCs/>
                <w:color w:val="auto"/>
                <w:spacing w:val="0"/>
                <w:kern w:val="2"/>
                <w:sz w:val="24"/>
                <w:szCs w:val="24"/>
                <w:highlight w:val="none"/>
                <w:lang w:val="en-US" w:eastAsia="zh-CN" w:bidi="ar-SA"/>
              </w:rPr>
              <w:t>具有保温、烘干功能，平台两侧内壁及底部设高压喷淋水喷头，清洗水压高于1.0MPa，单台车辆冲洗时间不低于100s；并配套设置15m</w:t>
            </w:r>
            <w:r>
              <w:rPr>
                <w:rFonts w:hint="eastAsia" w:ascii="Times New Roman" w:hAnsi="Times New Roman" w:eastAsia="宋体" w:cs="Times New Roman"/>
                <w:b w:val="0"/>
                <w:bCs/>
                <w:color w:val="auto"/>
                <w:spacing w:val="0"/>
                <w:kern w:val="2"/>
                <w:sz w:val="24"/>
                <w:szCs w:val="24"/>
                <w:highlight w:val="none"/>
                <w:vertAlign w:val="superscript"/>
                <w:lang w:val="en-US" w:eastAsia="zh-CN" w:bidi="ar-SA"/>
              </w:rPr>
              <w:t>3</w:t>
            </w:r>
            <w:r>
              <w:rPr>
                <w:rFonts w:hint="eastAsia" w:ascii="Times New Roman" w:hAnsi="Times New Roman" w:eastAsia="宋体" w:cs="Times New Roman"/>
                <w:b w:val="0"/>
                <w:bCs/>
                <w:color w:val="auto"/>
                <w:spacing w:val="0"/>
                <w:kern w:val="2"/>
                <w:sz w:val="24"/>
                <w:szCs w:val="24"/>
                <w:highlight w:val="none"/>
                <w:lang w:val="en-US" w:eastAsia="zh-CN" w:bidi="ar-SA"/>
              </w:rPr>
              <w:t>三级沉淀池（混凝土结构），沉淀池池底和四周做防渗处理。</w:t>
            </w:r>
          </w:p>
          <w:p w14:paraId="01759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lang w:val="en-US" w:eastAsia="zh-CN"/>
              </w:rPr>
            </w:pPr>
          </w:p>
          <w:p w14:paraId="32448DC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lang w:val="en-US" w:eastAsia="zh-CN"/>
              </w:rPr>
            </w:pPr>
          </w:p>
          <w:p w14:paraId="5EAEF0DB">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7C3CFB1A">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269F2246">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7D006138">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40178961">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554210D3">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09EAF367">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75E4B5E2">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77D18A8B">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3E869ED5">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02CDD5C9">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026358B8">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22B59F37">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5A040E37">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024B37CE">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2D125459">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31D2BB5D">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680C9406">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433A2CAF">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424BD0D8">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127EBF1C">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6527E635">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2C680FBC">
            <w:pPr>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lang w:val="en-US" w:eastAsia="zh-CN"/>
              </w:rPr>
            </w:pPr>
          </w:p>
          <w:p w14:paraId="4EFC8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lang w:val="en-US" w:eastAsia="zh-CN"/>
              </w:rPr>
            </w:pPr>
          </w:p>
          <w:p w14:paraId="74CB2B3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olor w:val="auto"/>
                <w:lang w:val="en-US" w:eastAsia="zh-CN"/>
              </w:rPr>
            </w:pPr>
          </w:p>
          <w:p w14:paraId="6FDC3579">
            <w:pPr>
              <w:keepNext w:val="0"/>
              <w:keepLines w:val="0"/>
              <w:suppressLineNumbers w:val="0"/>
              <w:spacing w:before="0" w:beforeAutospacing="0" w:after="0" w:afterAutospacing="0"/>
              <w:ind w:left="0" w:right="0"/>
              <w:rPr>
                <w:rFonts w:hint="default"/>
                <w:color w:val="auto"/>
                <w:lang w:val="en-US" w:eastAsia="zh-CN"/>
              </w:rPr>
            </w:pPr>
          </w:p>
        </w:tc>
      </w:tr>
    </w:tbl>
    <w:p w14:paraId="788A9208">
      <w:pPr>
        <w:pStyle w:val="20"/>
        <w:jc w:val="center"/>
        <w:outlineLvl w:val="0"/>
        <w:rPr>
          <w:rFonts w:hint="default" w:ascii="Times New Roman" w:hAnsi="Times New Roman" w:eastAsia="黑体" w:cs="Times New Roman"/>
          <w:snapToGrid w:val="0"/>
          <w:color w:val="auto"/>
          <w:sz w:val="30"/>
          <w:szCs w:val="30"/>
          <w:highlight w:val="none"/>
        </w:rPr>
      </w:pPr>
      <w:bookmarkStart w:id="7" w:name="_Toc3155"/>
      <w:r>
        <w:rPr>
          <w:rFonts w:hint="default" w:ascii="Times New Roman" w:hAnsi="Times New Roman" w:eastAsia="黑体" w:cs="Times New Roman"/>
          <w:snapToGrid w:val="0"/>
          <w:color w:val="auto"/>
          <w:sz w:val="30"/>
          <w:szCs w:val="30"/>
          <w:highlight w:val="none"/>
        </w:rPr>
        <w:t>三、区域环境质量现状、环境保护目标及评价标准</w:t>
      </w:r>
      <w:bookmarkEnd w:id="7"/>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314"/>
      </w:tblGrid>
      <w:tr w14:paraId="236D6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776C5D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0"/>
                <w:kern w:val="0"/>
                <w:position w:val="0"/>
                <w:szCs w:val="21"/>
                <w:highlight w:val="none"/>
              </w:rPr>
            </w:pPr>
            <w:r>
              <w:rPr>
                <w:rFonts w:hint="default" w:ascii="Times New Roman" w:hAnsi="Times New Roman" w:cs="Times New Roman"/>
                <w:color w:val="auto"/>
                <w:spacing w:val="0"/>
                <w:kern w:val="0"/>
                <w:position w:val="0"/>
                <w:szCs w:val="21"/>
                <w:highlight w:val="none"/>
              </w:rPr>
              <w:t>区域环境质量现状</w:t>
            </w:r>
          </w:p>
        </w:tc>
        <w:tc>
          <w:tcPr>
            <w:tcW w:w="8314" w:type="dxa"/>
            <w:vAlign w:val="center"/>
          </w:tcPr>
          <w:p w14:paraId="408331B5">
            <w:pPr>
              <w:keepNext w:val="0"/>
              <w:keepLines w:val="0"/>
              <w:suppressLineNumbers w:val="0"/>
              <w:spacing w:before="0" w:beforeAutospacing="0" w:after="0" w:afterAutospacing="0" w:line="480" w:lineRule="exact"/>
              <w:ind w:left="0" w:right="0" w:firstLine="420" w:firstLineChars="200"/>
              <w:rPr>
                <w:rFonts w:hint="default" w:ascii="Times New Roman" w:hAnsi="Times New Roman" w:eastAsia="宋体" w:cs="Times New Roman"/>
                <w:color w:val="auto"/>
                <w:spacing w:val="0"/>
                <w:kern w:val="0"/>
                <w:position w:val="0"/>
                <w:szCs w:val="21"/>
                <w:highlight w:val="none"/>
                <w:lang w:val="en-US" w:eastAsia="zh-CN"/>
              </w:rPr>
            </w:pPr>
            <w:r>
              <w:rPr>
                <w:rFonts w:hint="eastAsia" w:cs="Times New Roman"/>
                <w:color w:val="auto"/>
                <w:spacing w:val="0"/>
                <w:kern w:val="0"/>
                <w:position w:val="0"/>
                <w:szCs w:val="21"/>
                <w:highlight w:val="none"/>
                <w:lang w:val="en-US" w:eastAsia="zh-CN"/>
              </w:rPr>
              <w:t>略</w:t>
            </w:r>
          </w:p>
        </w:tc>
      </w:tr>
      <w:tr w14:paraId="09B71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2244B6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0"/>
                <w:kern w:val="0"/>
                <w:position w:val="0"/>
                <w:szCs w:val="21"/>
                <w:highlight w:val="none"/>
              </w:rPr>
            </w:pPr>
            <w:r>
              <w:rPr>
                <w:rFonts w:hint="default" w:ascii="Times New Roman" w:hAnsi="Times New Roman" w:cs="Times New Roman"/>
                <w:color w:val="auto"/>
                <w:spacing w:val="0"/>
                <w:kern w:val="0"/>
                <w:position w:val="0"/>
                <w:szCs w:val="21"/>
                <w:highlight w:val="none"/>
              </w:rPr>
              <w:t>环境保护目标</w:t>
            </w:r>
          </w:p>
        </w:tc>
        <w:tc>
          <w:tcPr>
            <w:tcW w:w="8314" w:type="dxa"/>
            <w:vAlign w:val="center"/>
          </w:tcPr>
          <w:p w14:paraId="693B3429">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default"/>
                <w:color w:val="auto"/>
                <w:sz w:val="24"/>
                <w:highlight w:val="none"/>
              </w:rPr>
            </w:pPr>
            <w:r>
              <w:rPr>
                <w:rFonts w:hint="eastAsia"/>
                <w:bCs/>
                <w:color w:val="auto"/>
                <w:sz w:val="24"/>
                <w:highlight w:val="none"/>
              </w:rPr>
              <w:t>根据《建设项目环境影响报告表编制技术指南（污染影响类）》（试行）及现场调查，</w:t>
            </w:r>
            <w:r>
              <w:rPr>
                <w:rFonts w:hint="eastAsia"/>
                <w:color w:val="auto"/>
                <w:sz w:val="24"/>
                <w:highlight w:val="none"/>
              </w:rPr>
              <w:t>本项目环境保护目标如下。</w:t>
            </w:r>
          </w:p>
          <w:p w14:paraId="5C9C41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一、</w:t>
            </w:r>
            <w:r>
              <w:rPr>
                <w:rFonts w:hint="default" w:ascii="Times New Roman" w:hAnsi="Times New Roman" w:eastAsia="宋体" w:cs="Times New Roman"/>
                <w:b/>
                <w:bCs/>
                <w:color w:val="auto"/>
                <w:spacing w:val="0"/>
                <w:kern w:val="0"/>
                <w:position w:val="0"/>
                <w:sz w:val="24"/>
                <w:szCs w:val="24"/>
                <w:highlight w:val="none"/>
                <w:lang w:val="en-US" w:eastAsia="zh-CN"/>
              </w:rPr>
              <w:t>大气环境</w:t>
            </w:r>
          </w:p>
          <w:p w14:paraId="1082C7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szCs w:val="24"/>
                <w:highlight w:val="none"/>
                <w:lang w:val="en-US" w:eastAsia="zh-CN"/>
              </w:rPr>
              <w:t>根据调查，厂界外500m范围内有</w:t>
            </w:r>
            <w:r>
              <w:rPr>
                <w:rFonts w:hint="eastAsia" w:cs="Times New Roman"/>
                <w:color w:val="auto"/>
                <w:spacing w:val="0"/>
                <w:kern w:val="0"/>
                <w:position w:val="0"/>
                <w:sz w:val="24"/>
                <w:szCs w:val="24"/>
                <w:highlight w:val="none"/>
                <w:lang w:val="en-US" w:eastAsia="zh-CN"/>
              </w:rPr>
              <w:t>西酪余村</w:t>
            </w:r>
            <w:r>
              <w:rPr>
                <w:rFonts w:hint="default" w:ascii="Times New Roman" w:hAnsi="Times New Roman" w:eastAsia="宋体" w:cs="Times New Roman"/>
                <w:color w:val="auto"/>
                <w:spacing w:val="0"/>
                <w:kern w:val="0"/>
                <w:position w:val="0"/>
                <w:sz w:val="24"/>
                <w:szCs w:val="24"/>
                <w:highlight w:val="none"/>
                <w:lang w:val="en-US" w:eastAsia="zh-CN"/>
              </w:rPr>
              <w:t>。</w:t>
            </w:r>
          </w:p>
          <w:p w14:paraId="2553B0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二、</w:t>
            </w:r>
            <w:r>
              <w:rPr>
                <w:rFonts w:hint="default" w:ascii="Times New Roman" w:hAnsi="Times New Roman" w:eastAsia="宋体" w:cs="Times New Roman"/>
                <w:b/>
                <w:bCs/>
                <w:color w:val="auto"/>
                <w:spacing w:val="0"/>
                <w:kern w:val="0"/>
                <w:position w:val="0"/>
                <w:sz w:val="24"/>
                <w:szCs w:val="24"/>
                <w:highlight w:val="none"/>
                <w:lang w:val="en-US" w:eastAsia="zh-CN"/>
              </w:rPr>
              <w:t>声环境</w:t>
            </w:r>
          </w:p>
          <w:p w14:paraId="782297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本项目厂界外50m范围内</w:t>
            </w:r>
            <w:r>
              <w:rPr>
                <w:rFonts w:hint="eastAsia" w:cs="Times New Roman"/>
                <w:color w:val="auto"/>
                <w:kern w:val="2"/>
                <w:sz w:val="24"/>
                <w:szCs w:val="24"/>
                <w:highlight w:val="none"/>
                <w:lang w:val="en-US" w:eastAsia="zh-CN" w:bidi="ar"/>
              </w:rPr>
              <w:t>无</w:t>
            </w:r>
            <w:r>
              <w:rPr>
                <w:rFonts w:hint="default" w:ascii="Times New Roman" w:hAnsi="Times New Roman" w:eastAsia="宋体" w:cs="Times New Roman"/>
                <w:color w:val="auto"/>
                <w:kern w:val="2"/>
                <w:sz w:val="24"/>
                <w:szCs w:val="24"/>
                <w:highlight w:val="none"/>
                <w:lang w:val="en-US" w:eastAsia="zh-CN" w:bidi="ar"/>
              </w:rPr>
              <w:t>声环境敏感点</w:t>
            </w:r>
            <w:r>
              <w:rPr>
                <w:rFonts w:hint="default" w:ascii="Times New Roman" w:hAnsi="Times New Roman" w:eastAsia="宋体" w:cs="Times New Roman"/>
                <w:color w:val="auto"/>
                <w:spacing w:val="0"/>
                <w:kern w:val="0"/>
                <w:position w:val="0"/>
                <w:sz w:val="24"/>
                <w:szCs w:val="24"/>
                <w:highlight w:val="none"/>
                <w:lang w:val="en-US" w:eastAsia="zh-CN"/>
              </w:rPr>
              <w:t>。</w:t>
            </w:r>
          </w:p>
          <w:p w14:paraId="7579B6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三、</w:t>
            </w:r>
            <w:r>
              <w:rPr>
                <w:rFonts w:hint="default" w:ascii="Times New Roman" w:hAnsi="Times New Roman" w:eastAsia="宋体" w:cs="Times New Roman"/>
                <w:b/>
                <w:bCs/>
                <w:color w:val="auto"/>
                <w:spacing w:val="0"/>
                <w:kern w:val="0"/>
                <w:position w:val="0"/>
                <w:sz w:val="24"/>
                <w:szCs w:val="24"/>
                <w:highlight w:val="none"/>
                <w:lang w:val="en-US" w:eastAsia="zh-CN"/>
              </w:rPr>
              <w:t>地下水环境</w:t>
            </w:r>
          </w:p>
          <w:p w14:paraId="4E7FF7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szCs w:val="24"/>
                <w:highlight w:val="none"/>
                <w:lang w:val="en-US" w:eastAsia="zh-CN"/>
              </w:rPr>
              <w:t>厂界外500m范围内无地下水集中式饮用水水源和热水、矿泉水、温泉等特殊地下水资源。</w:t>
            </w:r>
          </w:p>
          <w:p w14:paraId="2D2F4F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四、</w:t>
            </w:r>
            <w:r>
              <w:rPr>
                <w:rFonts w:hint="default" w:ascii="Times New Roman" w:hAnsi="Times New Roman" w:eastAsia="宋体" w:cs="Times New Roman"/>
                <w:b/>
                <w:bCs/>
                <w:color w:val="auto"/>
                <w:spacing w:val="0"/>
                <w:kern w:val="0"/>
                <w:position w:val="0"/>
                <w:sz w:val="24"/>
                <w:szCs w:val="24"/>
                <w:highlight w:val="none"/>
                <w:lang w:val="en-US" w:eastAsia="zh-CN"/>
              </w:rPr>
              <w:t>生态环境</w:t>
            </w:r>
          </w:p>
          <w:p w14:paraId="652862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eastAsia"/>
                <w:bCs/>
                <w:color w:val="auto"/>
                <w:sz w:val="24"/>
              </w:rPr>
              <w:t>本项目用地范围内不涉及《环境影响评价技术导则—生态环境》（HJ19-2011）中规定的特殊生态敏感区和重要生态敏感区，属于一般区域，项目周围植被自然覆盖量少；区域内以小型动物和鸟类为主，无大型野生动物，无珍稀濒危动植物。其评价范围内未发现自然保护区或风景名胜区。生态环境质量一般</w:t>
            </w:r>
            <w:r>
              <w:rPr>
                <w:rFonts w:hint="default" w:ascii="Times New Roman" w:hAnsi="Times New Roman" w:eastAsia="宋体" w:cs="Times New Roman"/>
                <w:color w:val="auto"/>
                <w:spacing w:val="0"/>
                <w:kern w:val="0"/>
                <w:position w:val="0"/>
                <w:sz w:val="24"/>
                <w:szCs w:val="24"/>
                <w:highlight w:val="none"/>
                <w:lang w:val="en-US" w:eastAsia="zh-CN"/>
              </w:rPr>
              <w:t>。</w:t>
            </w:r>
          </w:p>
          <w:p w14:paraId="2F01F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pacing w:val="0"/>
                <w:position w:val="0"/>
                <w:sz w:val="21"/>
                <w:szCs w:val="16"/>
                <w:highlight w:val="none"/>
                <w:lang w:val="en-US" w:eastAsia="zh-CN"/>
              </w:rPr>
            </w:pPr>
            <w:r>
              <w:rPr>
                <w:rFonts w:hint="default" w:ascii="Times New Roman" w:hAnsi="Times New Roman" w:eastAsia="宋体" w:cs="Times New Roman"/>
                <w:b/>
                <w:bCs w:val="0"/>
                <w:color w:val="auto"/>
                <w:spacing w:val="0"/>
                <w:position w:val="0"/>
                <w:sz w:val="21"/>
                <w:szCs w:val="16"/>
                <w:highlight w:val="none"/>
                <w:lang w:val="en-US" w:eastAsia="zh-CN"/>
              </w:rPr>
              <w:t>表3</w:t>
            </w:r>
            <w:r>
              <w:rPr>
                <w:rFonts w:hint="eastAsia" w:ascii="Times New Roman" w:hAnsi="Times New Roman" w:eastAsia="宋体" w:cs="Times New Roman"/>
                <w:b/>
                <w:bCs w:val="0"/>
                <w:color w:val="auto"/>
                <w:spacing w:val="0"/>
                <w:position w:val="0"/>
                <w:sz w:val="21"/>
                <w:szCs w:val="16"/>
                <w:highlight w:val="none"/>
                <w:lang w:val="en-US" w:eastAsia="zh-CN"/>
              </w:rPr>
              <w:t>-</w:t>
            </w:r>
            <w:r>
              <w:rPr>
                <w:rFonts w:hint="eastAsia" w:cs="Times New Roman"/>
                <w:b/>
                <w:bCs w:val="0"/>
                <w:color w:val="auto"/>
                <w:spacing w:val="0"/>
                <w:position w:val="0"/>
                <w:sz w:val="21"/>
                <w:szCs w:val="16"/>
                <w:highlight w:val="none"/>
                <w:lang w:val="en-US" w:eastAsia="zh-CN"/>
              </w:rPr>
              <w:t>3</w:t>
            </w:r>
            <w:r>
              <w:rPr>
                <w:rFonts w:hint="default" w:ascii="Times New Roman" w:hAnsi="Times New Roman" w:eastAsia="宋体" w:cs="Times New Roman"/>
                <w:b/>
                <w:bCs w:val="0"/>
                <w:color w:val="auto"/>
                <w:spacing w:val="0"/>
                <w:position w:val="0"/>
                <w:sz w:val="21"/>
                <w:szCs w:val="16"/>
                <w:highlight w:val="none"/>
                <w:lang w:val="en-US" w:eastAsia="zh-CN"/>
              </w:rPr>
              <w:t xml:space="preserve">  环境</w:t>
            </w:r>
            <w:r>
              <w:rPr>
                <w:rFonts w:hint="eastAsia" w:ascii="Times New Roman" w:hAnsi="Times New Roman" w:eastAsia="宋体" w:cs="Times New Roman"/>
                <w:b/>
                <w:bCs w:val="0"/>
                <w:color w:val="auto"/>
                <w:spacing w:val="0"/>
                <w:position w:val="0"/>
                <w:sz w:val="21"/>
                <w:szCs w:val="16"/>
                <w:highlight w:val="none"/>
                <w:lang w:val="en-US" w:eastAsia="zh-CN"/>
              </w:rPr>
              <w:t>保护</w:t>
            </w:r>
            <w:r>
              <w:rPr>
                <w:rFonts w:hint="default" w:ascii="Times New Roman" w:hAnsi="Times New Roman" w:eastAsia="宋体" w:cs="Times New Roman"/>
                <w:b/>
                <w:bCs w:val="0"/>
                <w:color w:val="auto"/>
                <w:spacing w:val="0"/>
                <w:position w:val="0"/>
                <w:sz w:val="21"/>
                <w:szCs w:val="16"/>
                <w:highlight w:val="none"/>
                <w:lang w:val="en-US" w:eastAsia="zh-CN"/>
              </w:rPr>
              <w:t>目标</w:t>
            </w:r>
            <w:r>
              <w:rPr>
                <w:rFonts w:hint="eastAsia" w:ascii="Times New Roman" w:hAnsi="Times New Roman" w:eastAsia="宋体" w:cs="Times New Roman"/>
                <w:b/>
                <w:bCs w:val="0"/>
                <w:color w:val="auto"/>
                <w:spacing w:val="0"/>
                <w:position w:val="0"/>
                <w:sz w:val="21"/>
                <w:szCs w:val="16"/>
                <w:highlight w:val="none"/>
                <w:lang w:val="en-US" w:eastAsia="zh-CN"/>
              </w:rPr>
              <w:t>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186"/>
              <w:gridCol w:w="1105"/>
              <w:gridCol w:w="900"/>
              <w:gridCol w:w="722"/>
              <w:gridCol w:w="2847"/>
            </w:tblGrid>
            <w:tr w14:paraId="2F6E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7" w:type="dxa"/>
                  <w:tcBorders>
                    <w:tl2br w:val="nil"/>
                    <w:tr2bl w:val="nil"/>
                  </w:tcBorders>
                  <w:vAlign w:val="center"/>
                </w:tcPr>
                <w:p w14:paraId="0590C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类别</w:t>
                  </w:r>
                </w:p>
              </w:tc>
              <w:tc>
                <w:tcPr>
                  <w:tcW w:w="1186" w:type="dxa"/>
                  <w:tcBorders>
                    <w:tl2br w:val="nil"/>
                    <w:tr2bl w:val="nil"/>
                  </w:tcBorders>
                  <w:vAlign w:val="center"/>
                </w:tcPr>
                <w:p w14:paraId="4CA376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保护目标</w:t>
                  </w:r>
                </w:p>
              </w:tc>
              <w:tc>
                <w:tcPr>
                  <w:tcW w:w="1105" w:type="dxa"/>
                  <w:tcBorders>
                    <w:tl2br w:val="nil"/>
                    <w:tr2bl w:val="nil"/>
                  </w:tcBorders>
                  <w:vAlign w:val="center"/>
                </w:tcPr>
                <w:p w14:paraId="1095B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方位（相对厂区）</w:t>
                  </w:r>
                </w:p>
              </w:tc>
              <w:tc>
                <w:tcPr>
                  <w:tcW w:w="900" w:type="dxa"/>
                  <w:tcBorders>
                    <w:tl2br w:val="nil"/>
                    <w:tr2bl w:val="nil"/>
                  </w:tcBorders>
                  <w:vAlign w:val="center"/>
                </w:tcPr>
                <w:p w14:paraId="1E3B5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距离（m）</w:t>
                  </w:r>
                </w:p>
              </w:tc>
              <w:tc>
                <w:tcPr>
                  <w:tcW w:w="722" w:type="dxa"/>
                  <w:tcBorders>
                    <w:tl2br w:val="nil"/>
                    <w:tr2bl w:val="nil"/>
                  </w:tcBorders>
                  <w:vAlign w:val="center"/>
                </w:tcPr>
                <w:p w14:paraId="56D61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保护</w:t>
                  </w:r>
                  <w:r>
                    <w:rPr>
                      <w:rFonts w:hint="eastAsia" w:ascii="Times New Roman" w:hAnsi="Times New Roman" w:eastAsia="宋体" w:cs="Times New Roman"/>
                      <w:b/>
                      <w:bCs/>
                      <w:color w:val="auto"/>
                      <w:spacing w:val="0"/>
                      <w:position w:val="0"/>
                      <w:sz w:val="21"/>
                      <w:szCs w:val="21"/>
                      <w:highlight w:val="none"/>
                      <w:lang w:val="en-US" w:eastAsia="zh-CN"/>
                    </w:rPr>
                    <w:t>内容</w:t>
                  </w:r>
                </w:p>
              </w:tc>
              <w:tc>
                <w:tcPr>
                  <w:tcW w:w="2847" w:type="dxa"/>
                  <w:tcBorders>
                    <w:tl2br w:val="nil"/>
                    <w:tr2bl w:val="nil"/>
                  </w:tcBorders>
                  <w:vAlign w:val="center"/>
                </w:tcPr>
                <w:p w14:paraId="4BE47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保护级别</w:t>
                  </w:r>
                </w:p>
              </w:tc>
            </w:tr>
            <w:tr w14:paraId="2386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7" w:type="dxa"/>
                  <w:tcBorders>
                    <w:tl2br w:val="nil"/>
                    <w:tr2bl w:val="nil"/>
                  </w:tcBorders>
                  <w:vAlign w:val="center"/>
                </w:tcPr>
                <w:p w14:paraId="026333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环境空气</w:t>
                  </w:r>
                </w:p>
              </w:tc>
              <w:tc>
                <w:tcPr>
                  <w:tcW w:w="1186" w:type="dxa"/>
                  <w:tcBorders>
                    <w:tl2br w:val="nil"/>
                    <w:tr2bl w:val="nil"/>
                  </w:tcBorders>
                  <w:vAlign w:val="center"/>
                </w:tcPr>
                <w:p w14:paraId="595C41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西酪余村</w:t>
                  </w:r>
                </w:p>
              </w:tc>
              <w:tc>
                <w:tcPr>
                  <w:tcW w:w="1105" w:type="dxa"/>
                  <w:tcBorders>
                    <w:tl2br w:val="nil"/>
                    <w:tr2bl w:val="nil"/>
                  </w:tcBorders>
                  <w:vAlign w:val="center"/>
                </w:tcPr>
                <w:p w14:paraId="0DC05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N</w:t>
                  </w:r>
                  <w:r>
                    <w:rPr>
                      <w:rFonts w:hint="eastAsia" w:cs="Times New Roman"/>
                      <w:color w:val="auto"/>
                      <w:spacing w:val="0"/>
                      <w:position w:val="0"/>
                      <w:sz w:val="21"/>
                      <w:szCs w:val="21"/>
                      <w:highlight w:val="none"/>
                      <w:lang w:val="en-US" w:eastAsia="zh-CN"/>
                    </w:rPr>
                    <w:t>W</w:t>
                  </w:r>
                </w:p>
              </w:tc>
              <w:tc>
                <w:tcPr>
                  <w:tcW w:w="900" w:type="dxa"/>
                  <w:tcBorders>
                    <w:tl2br w:val="nil"/>
                    <w:tr2bl w:val="nil"/>
                  </w:tcBorders>
                  <w:vAlign w:val="center"/>
                </w:tcPr>
                <w:p w14:paraId="4208C3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362</w:t>
                  </w:r>
                </w:p>
              </w:tc>
              <w:tc>
                <w:tcPr>
                  <w:tcW w:w="722" w:type="dxa"/>
                  <w:tcBorders>
                    <w:tl2br w:val="nil"/>
                    <w:tr2bl w:val="nil"/>
                  </w:tcBorders>
                  <w:vAlign w:val="center"/>
                </w:tcPr>
                <w:p w14:paraId="17304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村庄</w:t>
                  </w:r>
                </w:p>
              </w:tc>
              <w:tc>
                <w:tcPr>
                  <w:tcW w:w="2847" w:type="dxa"/>
                  <w:tcBorders>
                    <w:tl2br w:val="nil"/>
                    <w:tr2bl w:val="nil"/>
                  </w:tcBorders>
                  <w:vAlign w:val="center"/>
                </w:tcPr>
                <w:p w14:paraId="685881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《环境空气质量标准》（GB3095-20</w:t>
                  </w:r>
                  <w:r>
                    <w:rPr>
                      <w:rFonts w:hint="eastAsia" w:cs="Times New Roman"/>
                      <w:color w:val="auto"/>
                      <w:spacing w:val="0"/>
                      <w:position w:val="0"/>
                      <w:sz w:val="21"/>
                      <w:szCs w:val="21"/>
                      <w:highlight w:val="none"/>
                      <w:lang w:val="en-US" w:eastAsia="zh-CN"/>
                    </w:rPr>
                    <w:t>26</w:t>
                  </w:r>
                  <w:r>
                    <w:rPr>
                      <w:rFonts w:hint="default" w:ascii="Times New Roman" w:hAnsi="Times New Roman" w:cs="Times New Roman"/>
                      <w:color w:val="auto"/>
                      <w:spacing w:val="0"/>
                      <w:position w:val="0"/>
                      <w:sz w:val="21"/>
                      <w:szCs w:val="21"/>
                      <w:highlight w:val="none"/>
                      <w:lang w:val="en-US" w:eastAsia="zh-CN"/>
                    </w:rPr>
                    <w:t>）中二级标准</w:t>
                  </w:r>
                </w:p>
              </w:tc>
            </w:tr>
            <w:tr w14:paraId="7024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77" w:type="dxa"/>
                  <w:tcBorders>
                    <w:tl2br w:val="nil"/>
                    <w:tr2bl w:val="nil"/>
                  </w:tcBorders>
                  <w:vAlign w:val="center"/>
                </w:tcPr>
                <w:p w14:paraId="64F3F2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地表水</w:t>
                  </w:r>
                </w:p>
              </w:tc>
              <w:tc>
                <w:tcPr>
                  <w:tcW w:w="1186" w:type="dxa"/>
                  <w:tcBorders>
                    <w:tl2br w:val="nil"/>
                    <w:tr2bl w:val="nil"/>
                  </w:tcBorders>
                  <w:vAlign w:val="center"/>
                </w:tcPr>
                <w:p w14:paraId="4E1BF0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绛河</w:t>
                  </w:r>
                </w:p>
              </w:tc>
              <w:tc>
                <w:tcPr>
                  <w:tcW w:w="1105" w:type="dxa"/>
                  <w:tcBorders>
                    <w:tl2br w:val="nil"/>
                    <w:tr2bl w:val="nil"/>
                  </w:tcBorders>
                  <w:vAlign w:val="center"/>
                </w:tcPr>
                <w:p w14:paraId="3942E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E</w:t>
                  </w:r>
                </w:p>
              </w:tc>
              <w:tc>
                <w:tcPr>
                  <w:tcW w:w="900" w:type="dxa"/>
                  <w:tcBorders>
                    <w:tl2br w:val="nil"/>
                    <w:tr2bl w:val="nil"/>
                  </w:tcBorders>
                  <w:vAlign w:val="center"/>
                </w:tcPr>
                <w:p w14:paraId="58DBFA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4000</w:t>
                  </w:r>
                </w:p>
              </w:tc>
              <w:tc>
                <w:tcPr>
                  <w:tcW w:w="722" w:type="dxa"/>
                  <w:tcBorders>
                    <w:tl2br w:val="nil"/>
                    <w:tr2bl w:val="nil"/>
                  </w:tcBorders>
                  <w:vAlign w:val="center"/>
                </w:tcPr>
                <w:p w14:paraId="1BE3A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水质</w:t>
                  </w:r>
                </w:p>
              </w:tc>
              <w:tc>
                <w:tcPr>
                  <w:tcW w:w="2847" w:type="dxa"/>
                  <w:tcBorders>
                    <w:tl2br w:val="nil"/>
                    <w:tr2bl w:val="nil"/>
                  </w:tcBorders>
                  <w:vAlign w:val="center"/>
                </w:tcPr>
                <w:p w14:paraId="377E05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《地表水环境质量标准》（GB3838-2002）中Ⅲ类</w:t>
                  </w:r>
                  <w:r>
                    <w:rPr>
                      <w:rFonts w:hint="eastAsia" w:ascii="Times New Roman" w:hAnsi="Times New Roman" w:cs="Times New Roman"/>
                      <w:color w:val="auto"/>
                      <w:spacing w:val="0"/>
                      <w:position w:val="0"/>
                      <w:sz w:val="21"/>
                      <w:szCs w:val="21"/>
                      <w:highlight w:val="none"/>
                      <w:lang w:val="en-US" w:eastAsia="zh-CN"/>
                    </w:rPr>
                    <w:t>标准</w:t>
                  </w:r>
                </w:p>
              </w:tc>
            </w:tr>
          </w:tbl>
          <w:p w14:paraId="3D799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default" w:ascii="Times New Roman" w:hAnsi="Times New Roman" w:eastAsia="宋体" w:cs="Times New Roman"/>
                <w:color w:val="auto"/>
                <w:spacing w:val="0"/>
                <w:kern w:val="0"/>
                <w:position w:val="0"/>
                <w:szCs w:val="21"/>
                <w:highlight w:val="none"/>
                <w:lang w:eastAsia="zh-CN"/>
              </w:rPr>
            </w:pPr>
          </w:p>
        </w:tc>
      </w:tr>
      <w:tr w14:paraId="0F503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Mar>
              <w:left w:w="28" w:type="dxa"/>
              <w:right w:w="28" w:type="dxa"/>
            </w:tcMar>
            <w:vAlign w:val="center"/>
          </w:tcPr>
          <w:p w14:paraId="6E9C2D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0"/>
                <w:kern w:val="0"/>
                <w:position w:val="0"/>
                <w:szCs w:val="21"/>
                <w:highlight w:val="none"/>
              </w:rPr>
            </w:pPr>
            <w:r>
              <w:rPr>
                <w:rFonts w:hint="default" w:ascii="Times New Roman" w:hAnsi="Times New Roman" w:cs="Times New Roman"/>
                <w:color w:val="auto"/>
                <w:spacing w:val="0"/>
                <w:kern w:val="0"/>
                <w:position w:val="0"/>
                <w:szCs w:val="21"/>
                <w:highlight w:val="none"/>
              </w:rPr>
              <w:t>污染物排放控制标准</w:t>
            </w:r>
          </w:p>
        </w:tc>
        <w:tc>
          <w:tcPr>
            <w:tcW w:w="8314" w:type="dxa"/>
            <w:vAlign w:val="center"/>
          </w:tcPr>
          <w:p w14:paraId="361B5B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一、</w:t>
            </w:r>
            <w:r>
              <w:rPr>
                <w:rFonts w:hint="default" w:ascii="Times New Roman" w:hAnsi="Times New Roman" w:eastAsia="宋体" w:cs="Times New Roman"/>
                <w:b/>
                <w:bCs/>
                <w:color w:val="auto"/>
                <w:spacing w:val="0"/>
                <w:kern w:val="0"/>
                <w:position w:val="0"/>
                <w:sz w:val="24"/>
                <w:szCs w:val="24"/>
                <w:highlight w:val="none"/>
                <w:lang w:val="en-US" w:eastAsia="zh-CN"/>
              </w:rPr>
              <w:t>废气</w:t>
            </w:r>
          </w:p>
          <w:p w14:paraId="5A553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spacing w:val="0"/>
                <w:position w:val="0"/>
                <w:sz w:val="24"/>
                <w:highlight w:val="none"/>
              </w:rPr>
              <w:t>本项目</w:t>
            </w:r>
            <w:r>
              <w:rPr>
                <w:rFonts w:hint="eastAsia" w:ascii="Times New Roman" w:hAnsi="Times New Roman" w:eastAsia="宋体" w:cs="Times New Roman"/>
                <w:color w:val="auto"/>
                <w:spacing w:val="0"/>
                <w:position w:val="0"/>
                <w:sz w:val="24"/>
                <w:highlight w:val="none"/>
                <w:lang w:val="en-US" w:eastAsia="zh-CN"/>
              </w:rPr>
              <w:t>有组织颗粒物</w:t>
            </w:r>
            <w:r>
              <w:rPr>
                <w:rFonts w:hint="default" w:ascii="Times New Roman" w:hAnsi="Times New Roman" w:eastAsia="宋体" w:cs="Times New Roman"/>
                <w:color w:val="auto"/>
                <w:spacing w:val="0"/>
                <w:position w:val="0"/>
                <w:sz w:val="24"/>
                <w:highlight w:val="none"/>
              </w:rPr>
              <w:t>排放浓度</w:t>
            </w:r>
            <w:r>
              <w:rPr>
                <w:rFonts w:hint="default" w:ascii="Times New Roman" w:hAnsi="Times New Roman" w:eastAsia="宋体" w:cs="Times New Roman"/>
                <w:color w:val="auto"/>
                <w:spacing w:val="0"/>
                <w:position w:val="0"/>
                <w:sz w:val="24"/>
                <w:highlight w:val="none"/>
                <w:lang w:val="en-US" w:eastAsia="zh-CN"/>
              </w:rPr>
              <w:t>执行《大气污染物综合排放标准》</w:t>
            </w:r>
            <w:r>
              <w:rPr>
                <w:rFonts w:hint="eastAsia" w:cs="Times New Roman"/>
                <w:color w:val="auto"/>
                <w:spacing w:val="0"/>
                <w:position w:val="0"/>
                <w:sz w:val="24"/>
                <w:highlight w:val="none"/>
                <w:lang w:val="en-US" w:eastAsia="zh-CN"/>
              </w:rPr>
              <w:t>（</w:t>
            </w:r>
            <w:r>
              <w:rPr>
                <w:rFonts w:hint="default" w:ascii="Times New Roman" w:hAnsi="Times New Roman" w:eastAsia="宋体" w:cs="Times New Roman"/>
                <w:color w:val="auto"/>
                <w:spacing w:val="0"/>
                <w:position w:val="0"/>
                <w:sz w:val="24"/>
                <w:highlight w:val="none"/>
                <w:lang w:val="en-US" w:eastAsia="zh-CN"/>
              </w:rPr>
              <w:t>GB16297-1996</w:t>
            </w:r>
            <w:r>
              <w:rPr>
                <w:rFonts w:hint="eastAsia" w:cs="Times New Roman"/>
                <w:color w:val="auto"/>
                <w:spacing w:val="0"/>
                <w:position w:val="0"/>
                <w:sz w:val="24"/>
                <w:highlight w:val="none"/>
                <w:lang w:val="en-US" w:eastAsia="zh-CN"/>
              </w:rPr>
              <w:t>）</w:t>
            </w:r>
            <w:r>
              <w:rPr>
                <w:rFonts w:hint="default" w:ascii="Times New Roman" w:hAnsi="Times New Roman" w:eastAsia="宋体" w:cs="Times New Roman"/>
                <w:color w:val="auto"/>
                <w:spacing w:val="0"/>
                <w:position w:val="0"/>
                <w:sz w:val="24"/>
                <w:highlight w:val="none"/>
                <w:lang w:val="en-US" w:eastAsia="zh-CN"/>
              </w:rPr>
              <w:t>表2新污染源大气污染物排放限值</w:t>
            </w:r>
            <w:r>
              <w:rPr>
                <w:rFonts w:hint="eastAsia" w:ascii="Times New Roman" w:hAnsi="Times New Roman" w:eastAsia="宋体" w:cs="Times New Roman"/>
                <w:color w:val="auto"/>
                <w:spacing w:val="0"/>
                <w:position w:val="0"/>
                <w:sz w:val="24"/>
                <w:highlight w:val="none"/>
                <w:lang w:val="en-US" w:eastAsia="zh-CN"/>
              </w:rPr>
              <w:t>；</w:t>
            </w:r>
          </w:p>
          <w:p w14:paraId="25048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pacing w:val="0"/>
                <w:position w:val="0"/>
                <w:sz w:val="24"/>
                <w:highlight w:val="none"/>
              </w:rPr>
            </w:pPr>
            <w:r>
              <w:rPr>
                <w:rFonts w:hint="eastAsia" w:cs="Times New Roman"/>
                <w:color w:val="auto"/>
                <w:spacing w:val="0"/>
                <w:position w:val="0"/>
                <w:sz w:val="24"/>
                <w:highlight w:val="none"/>
                <w:lang w:val="en-US" w:eastAsia="zh-CN"/>
              </w:rPr>
              <w:t>厂界无组织</w:t>
            </w:r>
            <w:r>
              <w:rPr>
                <w:rFonts w:hint="default" w:ascii="Times New Roman" w:hAnsi="Times New Roman" w:eastAsia="宋体" w:cs="Times New Roman"/>
                <w:color w:val="auto"/>
                <w:spacing w:val="0"/>
                <w:position w:val="0"/>
                <w:sz w:val="24"/>
                <w:highlight w:val="none"/>
                <w:lang w:val="en-US" w:eastAsia="zh-CN"/>
              </w:rPr>
              <w:t>颗粒物排放</w:t>
            </w:r>
            <w:r>
              <w:rPr>
                <w:rFonts w:hint="eastAsia" w:cs="Times New Roman"/>
                <w:color w:val="auto"/>
                <w:spacing w:val="0"/>
                <w:position w:val="0"/>
                <w:sz w:val="24"/>
                <w:highlight w:val="none"/>
                <w:lang w:val="en-US" w:eastAsia="zh-CN"/>
              </w:rPr>
              <w:t>浓度</w:t>
            </w:r>
            <w:r>
              <w:rPr>
                <w:rFonts w:hint="default" w:ascii="Times New Roman" w:hAnsi="Times New Roman" w:eastAsia="宋体" w:cs="Times New Roman"/>
                <w:color w:val="auto"/>
                <w:spacing w:val="0"/>
                <w:position w:val="0"/>
                <w:sz w:val="24"/>
                <w:highlight w:val="none"/>
                <w:lang w:val="en-US" w:eastAsia="zh-CN"/>
              </w:rPr>
              <w:t>执行《大气污染物综合排放标准》（GB16297-1996）表2新污染源大气污染物排放限值物排放限值</w:t>
            </w:r>
            <w:r>
              <w:rPr>
                <w:rFonts w:hint="eastAsia" w:ascii="Times New Roman" w:hAnsi="Times New Roman" w:eastAsia="宋体" w:cs="Times New Roman"/>
                <w:color w:val="auto"/>
                <w:spacing w:val="0"/>
                <w:position w:val="0"/>
                <w:sz w:val="24"/>
                <w:highlight w:val="none"/>
                <w:lang w:val="en-US" w:eastAsia="zh-CN"/>
              </w:rPr>
              <w:t>。</w:t>
            </w:r>
          </w:p>
          <w:p w14:paraId="40ED5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pacing w:val="0"/>
                <w:position w:val="0"/>
                <w:sz w:val="21"/>
                <w:szCs w:val="16"/>
                <w:highlight w:val="none"/>
                <w:lang w:val="en-US" w:eastAsia="zh-CN"/>
              </w:rPr>
            </w:pPr>
            <w:r>
              <w:rPr>
                <w:rFonts w:hint="default" w:ascii="Times New Roman" w:hAnsi="Times New Roman" w:eastAsia="宋体" w:cs="Times New Roman"/>
                <w:b/>
                <w:bCs w:val="0"/>
                <w:color w:val="auto"/>
                <w:spacing w:val="0"/>
                <w:position w:val="0"/>
                <w:sz w:val="21"/>
                <w:szCs w:val="16"/>
                <w:highlight w:val="none"/>
                <w:lang w:val="en-US" w:eastAsia="zh-CN"/>
              </w:rPr>
              <w:t>表3</w:t>
            </w:r>
            <w:r>
              <w:rPr>
                <w:rFonts w:hint="eastAsia" w:ascii="Times New Roman" w:hAnsi="Times New Roman" w:eastAsia="宋体" w:cs="Times New Roman"/>
                <w:b/>
                <w:bCs w:val="0"/>
                <w:color w:val="auto"/>
                <w:spacing w:val="0"/>
                <w:position w:val="0"/>
                <w:sz w:val="21"/>
                <w:szCs w:val="16"/>
                <w:highlight w:val="none"/>
                <w:lang w:val="en-US" w:eastAsia="zh-CN"/>
              </w:rPr>
              <w:t>-</w:t>
            </w:r>
            <w:r>
              <w:rPr>
                <w:rFonts w:hint="eastAsia" w:cs="Times New Roman"/>
                <w:b/>
                <w:bCs w:val="0"/>
                <w:color w:val="auto"/>
                <w:spacing w:val="0"/>
                <w:position w:val="0"/>
                <w:sz w:val="21"/>
                <w:szCs w:val="16"/>
                <w:highlight w:val="none"/>
                <w:lang w:val="en-US" w:eastAsia="zh-CN"/>
              </w:rPr>
              <w:t>4</w:t>
            </w:r>
            <w:r>
              <w:rPr>
                <w:rFonts w:hint="default" w:ascii="Times New Roman" w:hAnsi="Times New Roman" w:eastAsia="宋体" w:cs="Times New Roman"/>
                <w:b/>
                <w:bCs w:val="0"/>
                <w:color w:val="auto"/>
                <w:spacing w:val="0"/>
                <w:position w:val="0"/>
                <w:sz w:val="21"/>
                <w:szCs w:val="16"/>
                <w:highlight w:val="none"/>
                <w:lang w:val="en-US" w:eastAsia="zh-CN"/>
              </w:rPr>
              <w:t xml:space="preserve">  大气污染物排放限值标准</w:t>
            </w:r>
            <w:r>
              <w:rPr>
                <w:rFonts w:hint="eastAsia" w:ascii="Times New Roman" w:hAnsi="Times New Roman" w:eastAsia="宋体" w:cs="Times New Roman"/>
                <w:b/>
                <w:bCs w:val="0"/>
                <w:color w:val="auto"/>
                <w:spacing w:val="0"/>
                <w:position w:val="0"/>
                <w:sz w:val="21"/>
                <w:szCs w:val="16"/>
                <w:highlight w:val="none"/>
                <w:lang w:val="en-US" w:eastAsia="zh-CN"/>
              </w:rPr>
              <w:t>（国家标准）</w:t>
            </w:r>
          </w:p>
          <w:tbl>
            <w:tblPr>
              <w:tblStyle w:val="28"/>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3386"/>
              <w:gridCol w:w="2034"/>
              <w:gridCol w:w="1352"/>
            </w:tblGrid>
            <w:tr w14:paraId="647A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37" w:type="dxa"/>
                  <w:gridSpan w:val="4"/>
                  <w:tcBorders>
                    <w:tl2br w:val="nil"/>
                    <w:tr2bl w:val="nil"/>
                  </w:tcBorders>
                  <w:vAlign w:val="center"/>
                </w:tcPr>
                <w:p w14:paraId="0CE8F5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《大气污染物综合排放标准》（GB16297-1996）</w:t>
                  </w:r>
                </w:p>
              </w:tc>
            </w:tr>
            <w:tr w14:paraId="203C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5" w:type="dxa"/>
                  <w:tcBorders>
                    <w:tl2br w:val="nil"/>
                    <w:tr2bl w:val="nil"/>
                  </w:tcBorders>
                  <w:vAlign w:val="center"/>
                </w:tcPr>
                <w:p w14:paraId="6C0FD3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cs="Times New Roman"/>
                      <w:color w:val="auto"/>
                      <w:spacing w:val="0"/>
                      <w:position w:val="0"/>
                      <w:sz w:val="21"/>
                      <w:szCs w:val="21"/>
                      <w:highlight w:val="none"/>
                    </w:rPr>
                    <w:t>污染物</w:t>
                  </w:r>
                </w:p>
              </w:tc>
              <w:tc>
                <w:tcPr>
                  <w:tcW w:w="3386" w:type="dxa"/>
                  <w:tcBorders>
                    <w:tl2br w:val="nil"/>
                    <w:tr2bl w:val="nil"/>
                  </w:tcBorders>
                  <w:vAlign w:val="center"/>
                </w:tcPr>
                <w:p w14:paraId="33BCD8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color w:val="auto"/>
                      <w:spacing w:val="0"/>
                      <w:position w:val="0"/>
                      <w:sz w:val="21"/>
                      <w:szCs w:val="21"/>
                      <w:highlight w:val="none"/>
                      <w:lang w:val="en-US" w:eastAsia="zh-CN"/>
                    </w:rPr>
                    <w:t>最高允许</w:t>
                  </w:r>
                  <w:r>
                    <w:rPr>
                      <w:rFonts w:hint="default" w:ascii="Times New Roman" w:hAnsi="Times New Roman" w:cs="Times New Roman"/>
                      <w:color w:val="auto"/>
                      <w:spacing w:val="0"/>
                      <w:position w:val="0"/>
                      <w:sz w:val="21"/>
                      <w:szCs w:val="21"/>
                      <w:highlight w:val="none"/>
                      <w:lang w:val="en-US" w:eastAsia="zh-CN"/>
                    </w:rPr>
                    <w:t>排放浓度（mg/m</w:t>
                  </w:r>
                  <w:r>
                    <w:rPr>
                      <w:rFonts w:hint="default" w:ascii="Times New Roman" w:hAnsi="Times New Roman" w:cs="Times New Roman"/>
                      <w:color w:val="auto"/>
                      <w:spacing w:val="0"/>
                      <w:position w:val="0"/>
                      <w:sz w:val="21"/>
                      <w:szCs w:val="21"/>
                      <w:highlight w:val="none"/>
                      <w:vertAlign w:val="superscript"/>
                      <w:lang w:val="en-US" w:eastAsia="zh-CN"/>
                    </w:rPr>
                    <w:t>3</w:t>
                  </w:r>
                  <w:r>
                    <w:rPr>
                      <w:rFonts w:hint="default" w:ascii="Times New Roman" w:hAnsi="Times New Roman" w:cs="Times New Roman"/>
                      <w:color w:val="auto"/>
                      <w:spacing w:val="0"/>
                      <w:position w:val="0"/>
                      <w:sz w:val="21"/>
                      <w:szCs w:val="21"/>
                      <w:highlight w:val="none"/>
                      <w:lang w:val="en-US" w:eastAsia="zh-CN"/>
                    </w:rPr>
                    <w:t>）</w:t>
                  </w:r>
                </w:p>
              </w:tc>
              <w:tc>
                <w:tcPr>
                  <w:tcW w:w="3386" w:type="dxa"/>
                  <w:gridSpan w:val="2"/>
                  <w:tcBorders>
                    <w:tl2br w:val="nil"/>
                    <w:tr2bl w:val="nil"/>
                  </w:tcBorders>
                  <w:vAlign w:val="center"/>
                </w:tcPr>
                <w:p w14:paraId="5A25D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cs="Times New Roman"/>
                      <w:color w:val="auto"/>
                      <w:spacing w:val="0"/>
                      <w:position w:val="0"/>
                      <w:sz w:val="21"/>
                      <w:szCs w:val="21"/>
                      <w:highlight w:val="none"/>
                      <w:lang w:val="en-US" w:eastAsia="zh-CN"/>
                    </w:rPr>
                    <w:t>无组织排放监控浓度限值</w:t>
                  </w:r>
                  <w:r>
                    <w:rPr>
                      <w:rFonts w:hint="default" w:ascii="Times New Roman" w:hAnsi="Times New Roman" w:cs="Times New Roman"/>
                      <w:color w:val="auto"/>
                      <w:spacing w:val="0"/>
                      <w:position w:val="0"/>
                      <w:sz w:val="21"/>
                      <w:szCs w:val="21"/>
                      <w:highlight w:val="none"/>
                      <w:lang w:val="en-US" w:eastAsia="zh-CN"/>
                    </w:rPr>
                    <w:t>（mg/m</w:t>
                  </w:r>
                  <w:r>
                    <w:rPr>
                      <w:rFonts w:hint="default" w:ascii="Times New Roman" w:hAnsi="Times New Roman" w:cs="Times New Roman"/>
                      <w:color w:val="auto"/>
                      <w:spacing w:val="0"/>
                      <w:position w:val="0"/>
                      <w:sz w:val="21"/>
                      <w:szCs w:val="21"/>
                      <w:highlight w:val="none"/>
                      <w:vertAlign w:val="superscript"/>
                      <w:lang w:val="en-US" w:eastAsia="zh-CN"/>
                    </w:rPr>
                    <w:t>3</w:t>
                  </w:r>
                  <w:r>
                    <w:rPr>
                      <w:rFonts w:hint="default" w:ascii="Times New Roman" w:hAnsi="Times New Roman" w:cs="Times New Roman"/>
                      <w:color w:val="auto"/>
                      <w:spacing w:val="0"/>
                      <w:position w:val="0"/>
                      <w:sz w:val="21"/>
                      <w:szCs w:val="21"/>
                      <w:highlight w:val="none"/>
                      <w:lang w:val="en-US" w:eastAsia="zh-CN"/>
                    </w:rPr>
                    <w:t>）</w:t>
                  </w:r>
                </w:p>
              </w:tc>
            </w:tr>
            <w:tr w14:paraId="2E02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dxa"/>
                  <w:tcBorders>
                    <w:tl2br w:val="nil"/>
                    <w:tr2bl w:val="nil"/>
                  </w:tcBorders>
                  <w:vAlign w:val="center"/>
                </w:tcPr>
                <w:p w14:paraId="5DA43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
                      <w:position w:val="0"/>
                      <w:sz w:val="21"/>
                      <w:szCs w:val="21"/>
                      <w:highlight w:val="none"/>
                      <w:lang w:val="en-US" w:eastAsia="zh-CN" w:bidi="ar-SA"/>
                    </w:rPr>
                  </w:pPr>
                  <w:r>
                    <w:rPr>
                      <w:rFonts w:hint="default" w:ascii="Times New Roman" w:hAnsi="Times New Roman" w:cs="Times New Roman"/>
                      <w:color w:val="auto"/>
                      <w:spacing w:val="0"/>
                      <w:position w:val="0"/>
                      <w:sz w:val="21"/>
                      <w:szCs w:val="21"/>
                      <w:highlight w:val="none"/>
                    </w:rPr>
                    <w:t>颗粒物</w:t>
                  </w:r>
                </w:p>
              </w:tc>
              <w:tc>
                <w:tcPr>
                  <w:tcW w:w="3386" w:type="dxa"/>
                  <w:tcBorders>
                    <w:tl2br w:val="nil"/>
                    <w:tr2bl w:val="nil"/>
                  </w:tcBorders>
                  <w:vAlign w:val="center"/>
                </w:tcPr>
                <w:p w14:paraId="3A086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color w:val="auto"/>
                      <w:spacing w:val="0"/>
                      <w:kern w:val="2"/>
                      <w:position w:val="0"/>
                      <w:sz w:val="21"/>
                      <w:szCs w:val="21"/>
                      <w:highlight w:val="none"/>
                      <w:lang w:val="en-US" w:eastAsia="zh-CN" w:bidi="ar-SA"/>
                    </w:rPr>
                    <w:t>120</w:t>
                  </w:r>
                </w:p>
              </w:tc>
              <w:tc>
                <w:tcPr>
                  <w:tcW w:w="2034" w:type="dxa"/>
                  <w:tcBorders>
                    <w:tl2br w:val="nil"/>
                    <w:tr2bl w:val="nil"/>
                  </w:tcBorders>
                  <w:vAlign w:val="center"/>
                </w:tcPr>
                <w:p w14:paraId="4D8013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kern w:val="2"/>
                      <w:position w:val="0"/>
                      <w:sz w:val="21"/>
                      <w:szCs w:val="21"/>
                      <w:highlight w:val="none"/>
                      <w:lang w:val="en-US" w:eastAsia="zh-CN" w:bidi="ar-SA"/>
                    </w:rPr>
                    <w:t>周界外浓度最高点</w:t>
                  </w:r>
                </w:p>
              </w:tc>
              <w:tc>
                <w:tcPr>
                  <w:tcW w:w="1352" w:type="dxa"/>
                  <w:tcBorders>
                    <w:tl2br w:val="nil"/>
                    <w:tr2bl w:val="nil"/>
                  </w:tcBorders>
                  <w:vAlign w:val="center"/>
                </w:tcPr>
                <w:p w14:paraId="7E2C70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eastAsia"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1.0</w:t>
                  </w:r>
                </w:p>
              </w:tc>
            </w:tr>
          </w:tbl>
          <w:p w14:paraId="31F62C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pacing w:val="0"/>
                <w:position w:val="0"/>
                <w:sz w:val="24"/>
                <w:highlight w:val="none"/>
              </w:rPr>
            </w:pPr>
            <w:r>
              <w:rPr>
                <w:rFonts w:hint="eastAsia" w:ascii="Times New Roman" w:hAnsi="Times New Roman" w:eastAsia="宋体" w:cs="Times New Roman"/>
                <w:color w:val="auto"/>
                <w:spacing w:val="0"/>
                <w:position w:val="0"/>
                <w:sz w:val="24"/>
                <w:highlight w:val="none"/>
                <w:lang w:val="en-US" w:eastAsia="zh-CN"/>
              </w:rPr>
              <w:t>按照地方环境管理的要求，环评承诺更严格排放限值，有组织颗粒物</w:t>
            </w:r>
            <w:r>
              <w:rPr>
                <w:rFonts w:hint="eastAsia" w:cs="Times New Roman"/>
                <w:color w:val="auto"/>
                <w:spacing w:val="0"/>
                <w:position w:val="0"/>
                <w:sz w:val="24"/>
                <w:highlight w:val="none"/>
                <w:lang w:val="en-US" w:eastAsia="zh-CN"/>
              </w:rPr>
              <w:t>排放浓度</w:t>
            </w:r>
            <w:r>
              <w:rPr>
                <w:rFonts w:hint="default" w:ascii="Times New Roman" w:hAnsi="Times New Roman" w:eastAsia="宋体" w:cs="Times New Roman"/>
                <w:color w:val="auto"/>
                <w:spacing w:val="0"/>
                <w:position w:val="0"/>
                <w:sz w:val="24"/>
                <w:highlight w:val="none"/>
                <w:lang w:val="en-US" w:eastAsia="zh-CN"/>
              </w:rPr>
              <w:t>执行</w:t>
            </w:r>
            <w:r>
              <w:rPr>
                <w:rFonts w:hint="eastAsia" w:cs="Times New Roman"/>
                <w:color w:val="auto"/>
                <w:spacing w:val="0"/>
                <w:position w:val="0"/>
                <w:sz w:val="24"/>
                <w:highlight w:val="none"/>
                <w:lang w:val="en-US" w:eastAsia="zh-CN"/>
              </w:rPr>
              <w:t>“</w:t>
            </w:r>
            <w:r>
              <w:rPr>
                <w:rFonts w:hint="default" w:ascii="Times New Roman" w:hAnsi="Times New Roman" w:eastAsia="宋体" w:cs="Times New Roman"/>
                <w:color w:val="auto"/>
                <w:spacing w:val="0"/>
                <w:position w:val="0"/>
                <w:sz w:val="24"/>
                <w:highlight w:val="none"/>
                <w:lang w:val="en-US" w:eastAsia="zh-CN"/>
              </w:rPr>
              <w:t>长治市大气污染防治工作领导组办公室文件关于印发《长治市工业企业无组织排放治理实施方案》（长气防办[2019]9号）的通知</w:t>
            </w:r>
            <w:r>
              <w:rPr>
                <w:rFonts w:hint="eastAsia" w:cs="Times New Roman"/>
                <w:color w:val="auto"/>
                <w:spacing w:val="0"/>
                <w:position w:val="0"/>
                <w:sz w:val="24"/>
                <w:highlight w:val="none"/>
                <w:lang w:val="en-US" w:eastAsia="zh-CN"/>
              </w:rPr>
              <w:t>”</w:t>
            </w:r>
            <w:r>
              <w:rPr>
                <w:rFonts w:hint="default" w:ascii="Times New Roman" w:hAnsi="Times New Roman" w:eastAsia="宋体" w:cs="Times New Roman"/>
                <w:color w:val="auto"/>
                <w:spacing w:val="0"/>
                <w:position w:val="0"/>
                <w:sz w:val="24"/>
                <w:highlight w:val="none"/>
                <w:lang w:val="en-US" w:eastAsia="zh-CN"/>
              </w:rPr>
              <w:t>中的相关限值</w:t>
            </w:r>
            <w:r>
              <w:rPr>
                <w:rFonts w:hint="eastAsia" w:ascii="Times New Roman" w:hAnsi="Times New Roman" w:eastAsia="宋体" w:cs="Times New Roman"/>
                <w:color w:val="auto"/>
                <w:spacing w:val="0"/>
                <w:position w:val="0"/>
                <w:sz w:val="24"/>
                <w:highlight w:val="none"/>
                <w:lang w:val="en-US" w:eastAsia="zh-CN"/>
              </w:rPr>
              <w:t>。</w:t>
            </w:r>
          </w:p>
          <w:p w14:paraId="3DDF2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pacing w:val="0"/>
                <w:position w:val="0"/>
                <w:sz w:val="21"/>
                <w:szCs w:val="16"/>
                <w:highlight w:val="none"/>
                <w:lang w:val="en-US" w:eastAsia="zh-CN"/>
              </w:rPr>
            </w:pPr>
            <w:r>
              <w:rPr>
                <w:rFonts w:hint="default" w:ascii="Times New Roman" w:hAnsi="Times New Roman" w:eastAsia="宋体" w:cs="Times New Roman"/>
                <w:b/>
                <w:bCs w:val="0"/>
                <w:color w:val="auto"/>
                <w:spacing w:val="0"/>
                <w:position w:val="0"/>
                <w:sz w:val="21"/>
                <w:szCs w:val="16"/>
                <w:highlight w:val="none"/>
                <w:lang w:val="en-US" w:eastAsia="zh-CN"/>
              </w:rPr>
              <w:t>表3</w:t>
            </w:r>
            <w:r>
              <w:rPr>
                <w:rFonts w:hint="eastAsia" w:ascii="Times New Roman" w:hAnsi="Times New Roman" w:eastAsia="宋体" w:cs="Times New Roman"/>
                <w:b/>
                <w:bCs w:val="0"/>
                <w:color w:val="auto"/>
                <w:spacing w:val="0"/>
                <w:position w:val="0"/>
                <w:sz w:val="21"/>
                <w:szCs w:val="16"/>
                <w:highlight w:val="none"/>
                <w:lang w:val="en-US" w:eastAsia="zh-CN"/>
              </w:rPr>
              <w:t>-</w:t>
            </w:r>
            <w:r>
              <w:rPr>
                <w:rFonts w:hint="eastAsia" w:cs="Times New Roman"/>
                <w:b/>
                <w:bCs w:val="0"/>
                <w:color w:val="auto"/>
                <w:spacing w:val="0"/>
                <w:position w:val="0"/>
                <w:sz w:val="21"/>
                <w:szCs w:val="16"/>
                <w:highlight w:val="none"/>
                <w:lang w:val="en-US" w:eastAsia="zh-CN"/>
              </w:rPr>
              <w:t>5</w:t>
            </w:r>
            <w:r>
              <w:rPr>
                <w:rFonts w:hint="default" w:ascii="Times New Roman" w:hAnsi="Times New Roman" w:eastAsia="宋体" w:cs="Times New Roman"/>
                <w:b/>
                <w:bCs w:val="0"/>
                <w:color w:val="auto"/>
                <w:spacing w:val="0"/>
                <w:position w:val="0"/>
                <w:sz w:val="21"/>
                <w:szCs w:val="16"/>
                <w:highlight w:val="none"/>
                <w:lang w:val="en-US" w:eastAsia="zh-CN"/>
              </w:rPr>
              <w:t xml:space="preserve">  大气污染物排放限值标准</w:t>
            </w:r>
            <w:r>
              <w:rPr>
                <w:rFonts w:hint="eastAsia" w:ascii="Times New Roman" w:hAnsi="Times New Roman" w:eastAsia="宋体" w:cs="Times New Roman"/>
                <w:b/>
                <w:bCs w:val="0"/>
                <w:color w:val="auto"/>
                <w:spacing w:val="0"/>
                <w:position w:val="0"/>
                <w:sz w:val="21"/>
                <w:szCs w:val="16"/>
                <w:highlight w:val="none"/>
                <w:lang w:val="en-US" w:eastAsia="zh-CN"/>
              </w:rPr>
              <w:t>（地方环境管理要求）</w:t>
            </w:r>
          </w:p>
          <w:tbl>
            <w:tblPr>
              <w:tblStyle w:val="28"/>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897"/>
              <w:gridCol w:w="4578"/>
              <w:gridCol w:w="1594"/>
            </w:tblGrid>
            <w:tr w14:paraId="583A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5" w:type="dxa"/>
                  <w:gridSpan w:val="2"/>
                  <w:tcBorders>
                    <w:tl2br w:val="nil"/>
                    <w:tr2bl w:val="nil"/>
                  </w:tcBorders>
                  <w:vAlign w:val="center"/>
                </w:tcPr>
                <w:p w14:paraId="54A9D7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污染物</w:t>
                  </w:r>
                </w:p>
              </w:tc>
              <w:tc>
                <w:tcPr>
                  <w:tcW w:w="4578" w:type="dxa"/>
                  <w:tcBorders>
                    <w:tl2br w:val="nil"/>
                    <w:tr2bl w:val="nil"/>
                  </w:tcBorders>
                  <w:vAlign w:val="center"/>
                </w:tcPr>
                <w:p w14:paraId="08EF2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标准</w:t>
                  </w:r>
                </w:p>
              </w:tc>
              <w:tc>
                <w:tcPr>
                  <w:tcW w:w="1594" w:type="dxa"/>
                  <w:tcBorders>
                    <w:tl2br w:val="nil"/>
                    <w:tr2bl w:val="nil"/>
                  </w:tcBorders>
                  <w:vAlign w:val="center"/>
                </w:tcPr>
                <w:p w14:paraId="40E7B7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排放浓度</w:t>
                  </w:r>
                </w:p>
              </w:tc>
            </w:tr>
            <w:tr w14:paraId="64B2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tcBorders>
                    <w:tl2br w:val="nil"/>
                    <w:tr2bl w:val="nil"/>
                  </w:tcBorders>
                  <w:vAlign w:val="center"/>
                </w:tcPr>
                <w:p w14:paraId="50E05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
                      <w:position w:val="0"/>
                      <w:sz w:val="21"/>
                      <w:szCs w:val="21"/>
                      <w:highlight w:val="none"/>
                      <w:lang w:val="en-US" w:eastAsia="zh-CN" w:bidi="ar-SA"/>
                    </w:rPr>
                  </w:pPr>
                  <w:r>
                    <w:rPr>
                      <w:rFonts w:hint="default" w:ascii="Times New Roman" w:hAnsi="Times New Roman" w:cs="Times New Roman"/>
                      <w:color w:val="auto"/>
                      <w:spacing w:val="0"/>
                      <w:kern w:val="2"/>
                      <w:position w:val="0"/>
                      <w:sz w:val="21"/>
                      <w:szCs w:val="21"/>
                      <w:highlight w:val="none"/>
                      <w:lang w:val="en-US" w:eastAsia="zh-CN" w:bidi="ar-SA"/>
                    </w:rPr>
                    <w:t>有组织</w:t>
                  </w:r>
                </w:p>
              </w:tc>
              <w:tc>
                <w:tcPr>
                  <w:tcW w:w="897" w:type="dxa"/>
                  <w:tcBorders>
                    <w:tl2br w:val="nil"/>
                    <w:tr2bl w:val="nil"/>
                  </w:tcBorders>
                  <w:vAlign w:val="center"/>
                </w:tcPr>
                <w:p w14:paraId="5F614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
                      <w:position w:val="0"/>
                      <w:sz w:val="21"/>
                      <w:szCs w:val="21"/>
                      <w:highlight w:val="none"/>
                      <w:lang w:val="en-US" w:eastAsia="zh-CN" w:bidi="ar-SA"/>
                    </w:rPr>
                  </w:pPr>
                  <w:r>
                    <w:rPr>
                      <w:rFonts w:hint="default" w:ascii="Times New Roman" w:hAnsi="Times New Roman" w:cs="Times New Roman"/>
                      <w:color w:val="auto"/>
                      <w:spacing w:val="0"/>
                      <w:position w:val="0"/>
                      <w:sz w:val="21"/>
                      <w:szCs w:val="21"/>
                      <w:highlight w:val="none"/>
                    </w:rPr>
                    <w:t>颗粒物</w:t>
                  </w:r>
                </w:p>
              </w:tc>
              <w:tc>
                <w:tcPr>
                  <w:tcW w:w="4578" w:type="dxa"/>
                  <w:tcBorders>
                    <w:tl2br w:val="nil"/>
                    <w:tr2bl w:val="nil"/>
                  </w:tcBorders>
                  <w:vAlign w:val="center"/>
                </w:tcPr>
                <w:p w14:paraId="0F3C14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长治市大气污染防治工作领导组办公室文件关于印发《长治市工业企业无组织排放治理实施方案》（长气防办[2019]9号）的通知</w:t>
                  </w:r>
                </w:p>
              </w:tc>
              <w:tc>
                <w:tcPr>
                  <w:tcW w:w="1594" w:type="dxa"/>
                  <w:tcBorders>
                    <w:tl2br w:val="nil"/>
                    <w:tr2bl w:val="nil"/>
                  </w:tcBorders>
                  <w:vAlign w:val="center"/>
                </w:tcPr>
                <w:p w14:paraId="02E92F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b w:val="0"/>
                      <w:bCs w:val="0"/>
                      <w:color w:val="auto"/>
                      <w:spacing w:val="0"/>
                      <w:position w:val="0"/>
                      <w:sz w:val="21"/>
                      <w:szCs w:val="21"/>
                      <w:highlight w:val="none"/>
                      <w:lang w:val="en-US" w:eastAsia="zh-CN"/>
                    </w:rPr>
                    <w:t>10mg/m</w:t>
                  </w:r>
                  <w:r>
                    <w:rPr>
                      <w:rFonts w:hint="default" w:ascii="Times New Roman" w:hAnsi="Times New Roman" w:cs="Times New Roman"/>
                      <w:b w:val="0"/>
                      <w:bCs w:val="0"/>
                      <w:color w:val="auto"/>
                      <w:spacing w:val="0"/>
                      <w:position w:val="0"/>
                      <w:sz w:val="21"/>
                      <w:szCs w:val="21"/>
                      <w:highlight w:val="none"/>
                      <w:vertAlign w:val="superscript"/>
                      <w:lang w:val="en-US" w:eastAsia="zh-CN"/>
                    </w:rPr>
                    <w:t>3</w:t>
                  </w:r>
                </w:p>
              </w:tc>
            </w:tr>
          </w:tbl>
          <w:p w14:paraId="6C7EF6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二、</w:t>
            </w:r>
            <w:r>
              <w:rPr>
                <w:rFonts w:hint="default" w:ascii="Times New Roman" w:hAnsi="Times New Roman" w:eastAsia="宋体" w:cs="Times New Roman"/>
                <w:b/>
                <w:bCs/>
                <w:color w:val="auto"/>
                <w:spacing w:val="0"/>
                <w:kern w:val="0"/>
                <w:position w:val="0"/>
                <w:sz w:val="24"/>
                <w:szCs w:val="24"/>
                <w:highlight w:val="none"/>
                <w:lang w:val="en-US" w:eastAsia="zh-CN"/>
              </w:rPr>
              <w:t>噪声</w:t>
            </w:r>
          </w:p>
          <w:p w14:paraId="475145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lang w:eastAsia="zh-CN"/>
              </w:rPr>
            </w:pPr>
            <w:r>
              <w:rPr>
                <w:rFonts w:hint="default" w:ascii="Times New Roman" w:hAnsi="Times New Roman" w:cs="Times New Roman"/>
                <w:color w:val="auto"/>
                <w:sz w:val="24"/>
              </w:rPr>
              <w:t>项目施工期噪声执行《建筑施工场界环境噪声排放标准》（GB12523-20</w:t>
            </w:r>
            <w:r>
              <w:rPr>
                <w:rFonts w:hint="eastAsia" w:cs="Times New Roman"/>
                <w:color w:val="auto"/>
                <w:sz w:val="24"/>
                <w:lang w:val="en-US" w:eastAsia="zh-CN"/>
              </w:rPr>
              <w:t>25</w:t>
            </w:r>
            <w:r>
              <w:rPr>
                <w:rFonts w:hint="default" w:ascii="Times New Roman" w:hAnsi="Times New Roman" w:cs="Times New Roman"/>
                <w:color w:val="auto"/>
                <w:sz w:val="24"/>
              </w:rPr>
              <w:t>）噪声排放限值</w:t>
            </w:r>
            <w:r>
              <w:rPr>
                <w:rFonts w:hint="eastAsia" w:cs="Times New Roman"/>
                <w:color w:val="auto"/>
                <w:sz w:val="24"/>
                <w:lang w:eastAsia="zh-CN"/>
              </w:rPr>
              <w:t>。</w:t>
            </w:r>
          </w:p>
          <w:p w14:paraId="0C36E2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pacing w:val="0"/>
                <w:position w:val="0"/>
                <w:sz w:val="24"/>
                <w:highlight w:val="none"/>
                <w:lang w:val="en-US" w:eastAsia="zh-CN"/>
              </w:rPr>
            </w:pPr>
            <w:r>
              <w:rPr>
                <w:rFonts w:hint="eastAsia" w:cs="Times New Roman"/>
                <w:color w:val="auto"/>
                <w:sz w:val="24"/>
                <w:lang w:val="en-US" w:eastAsia="zh-CN"/>
              </w:rPr>
              <w:t>本项目运营期</w:t>
            </w:r>
            <w:r>
              <w:rPr>
                <w:rFonts w:hint="default" w:ascii="Times New Roman" w:hAnsi="Times New Roman" w:eastAsia="宋体" w:cs="Times New Roman"/>
                <w:color w:val="auto"/>
                <w:spacing w:val="0"/>
                <w:position w:val="0"/>
                <w:sz w:val="24"/>
                <w:highlight w:val="none"/>
                <w:lang w:val="en-US" w:eastAsia="zh-CN"/>
              </w:rPr>
              <w:t>厂界</w:t>
            </w:r>
            <w:r>
              <w:rPr>
                <w:rFonts w:hint="eastAsia" w:cs="Times New Roman"/>
                <w:color w:val="auto"/>
                <w:spacing w:val="0"/>
                <w:position w:val="0"/>
                <w:sz w:val="24"/>
                <w:highlight w:val="none"/>
                <w:lang w:val="en-US" w:eastAsia="zh-CN"/>
              </w:rPr>
              <w:t>四周</w:t>
            </w:r>
            <w:r>
              <w:rPr>
                <w:rFonts w:hint="default" w:ascii="Times New Roman" w:hAnsi="Times New Roman" w:eastAsia="宋体" w:cs="Times New Roman"/>
                <w:color w:val="auto"/>
                <w:spacing w:val="0"/>
                <w:position w:val="0"/>
                <w:sz w:val="24"/>
                <w:highlight w:val="none"/>
                <w:lang w:val="en-US" w:eastAsia="zh-CN"/>
              </w:rPr>
              <w:t>噪声执行《</w:t>
            </w:r>
            <w:r>
              <w:rPr>
                <w:rFonts w:hint="default" w:ascii="Times New Roman" w:hAnsi="Times New Roman" w:eastAsia="宋体" w:cs="Times New Roman"/>
                <w:color w:val="auto"/>
                <w:spacing w:val="0"/>
                <w:position w:val="0"/>
                <w:sz w:val="24"/>
                <w:highlight w:val="none"/>
                <w:lang w:val="en-US" w:eastAsia="zh-CN"/>
              </w:rPr>
              <w:fldChar w:fldCharType="begin"/>
            </w:r>
            <w:r>
              <w:rPr>
                <w:rFonts w:hint="default" w:ascii="Times New Roman" w:hAnsi="Times New Roman" w:eastAsia="宋体" w:cs="Times New Roman"/>
                <w:color w:val="auto"/>
                <w:spacing w:val="0"/>
                <w:position w:val="0"/>
                <w:sz w:val="24"/>
                <w:highlight w:val="none"/>
                <w:lang w:val="en-US" w:eastAsia="zh-CN"/>
              </w:rPr>
              <w:instrText xml:space="preserve"> HYPERLINK "http://www.mep.gov.cn/info/bgw/bgg/200809/W020081017399508921576.pdf" \t "_self" </w:instrText>
            </w:r>
            <w:r>
              <w:rPr>
                <w:rFonts w:hint="default" w:ascii="Times New Roman" w:hAnsi="Times New Roman" w:eastAsia="宋体" w:cs="Times New Roman"/>
                <w:color w:val="auto"/>
                <w:spacing w:val="0"/>
                <w:position w:val="0"/>
                <w:sz w:val="24"/>
                <w:highlight w:val="none"/>
                <w:lang w:val="en-US" w:eastAsia="zh-CN"/>
              </w:rPr>
              <w:fldChar w:fldCharType="separate"/>
            </w:r>
            <w:r>
              <w:rPr>
                <w:rFonts w:hint="default" w:ascii="Times New Roman" w:hAnsi="Times New Roman" w:eastAsia="宋体" w:cs="Times New Roman"/>
                <w:color w:val="auto"/>
                <w:spacing w:val="0"/>
                <w:position w:val="0"/>
                <w:sz w:val="24"/>
                <w:highlight w:val="none"/>
                <w:lang w:val="en-US" w:eastAsia="zh-CN"/>
              </w:rPr>
              <w:t>工业企业厂界环境噪声</w:t>
            </w:r>
            <w:r>
              <w:rPr>
                <w:rFonts w:hint="default" w:ascii="Times New Roman" w:hAnsi="Times New Roman" w:eastAsia="宋体" w:cs="Times New Roman"/>
                <w:color w:val="auto"/>
                <w:spacing w:val="0"/>
                <w:position w:val="0"/>
                <w:sz w:val="24"/>
                <w:highlight w:val="none"/>
                <w:lang w:val="en-US" w:eastAsia="zh-CN"/>
              </w:rPr>
              <w:fldChar w:fldCharType="end"/>
            </w:r>
            <w:r>
              <w:rPr>
                <w:rFonts w:hint="default" w:ascii="Times New Roman" w:hAnsi="Times New Roman" w:eastAsia="宋体" w:cs="Times New Roman"/>
                <w:color w:val="auto"/>
                <w:spacing w:val="0"/>
                <w:position w:val="0"/>
                <w:sz w:val="24"/>
                <w:highlight w:val="none"/>
                <w:lang w:val="en-US" w:eastAsia="zh-CN"/>
              </w:rPr>
              <w:t>排放标准》（GB12348-2008）中</w:t>
            </w:r>
            <w:r>
              <w:rPr>
                <w:rFonts w:hint="eastAsia" w:cs="Times New Roman"/>
                <w:color w:val="auto"/>
                <w:spacing w:val="0"/>
                <w:position w:val="0"/>
                <w:sz w:val="24"/>
                <w:highlight w:val="none"/>
                <w:lang w:val="en-US" w:eastAsia="zh-CN"/>
              </w:rPr>
              <w:t>2</w:t>
            </w:r>
            <w:r>
              <w:rPr>
                <w:rFonts w:hint="default" w:ascii="Times New Roman" w:hAnsi="Times New Roman" w:eastAsia="宋体" w:cs="Times New Roman"/>
                <w:color w:val="auto"/>
                <w:spacing w:val="0"/>
                <w:position w:val="0"/>
                <w:sz w:val="24"/>
                <w:highlight w:val="none"/>
                <w:lang w:val="en-US" w:eastAsia="zh-CN"/>
              </w:rPr>
              <w:t>类标准</w:t>
            </w:r>
            <w:r>
              <w:rPr>
                <w:rFonts w:hint="eastAsia" w:cs="Times New Roman"/>
                <w:color w:val="auto"/>
                <w:spacing w:val="0"/>
                <w:position w:val="0"/>
                <w:sz w:val="24"/>
                <w:highlight w:val="none"/>
                <w:lang w:val="en-US" w:eastAsia="zh-CN"/>
              </w:rPr>
              <w:t>，</w:t>
            </w:r>
            <w:r>
              <w:rPr>
                <w:rFonts w:hint="default" w:ascii="Times New Roman" w:hAnsi="Times New Roman" w:cs="Times New Roman"/>
                <w:color w:val="auto"/>
                <w:sz w:val="24"/>
              </w:rPr>
              <w:t>标准值见表</w:t>
            </w:r>
            <w:r>
              <w:rPr>
                <w:rFonts w:hint="default" w:ascii="Times New Roman" w:hAnsi="Times New Roman" w:cs="Times New Roman"/>
                <w:color w:val="auto"/>
                <w:sz w:val="24"/>
                <w:lang w:val="en-US" w:eastAsia="zh-CN"/>
              </w:rPr>
              <w:t>3-</w:t>
            </w:r>
            <w:r>
              <w:rPr>
                <w:rFonts w:hint="eastAsia" w:cs="Times New Roman"/>
                <w:color w:val="auto"/>
                <w:sz w:val="24"/>
                <w:lang w:val="en-US" w:eastAsia="zh-CN"/>
              </w:rPr>
              <w:t>6</w:t>
            </w:r>
            <w:r>
              <w:rPr>
                <w:rFonts w:hint="default" w:ascii="Times New Roman" w:hAnsi="Times New Roman" w:cs="Times New Roman"/>
                <w:color w:val="auto"/>
                <w:sz w:val="24"/>
              </w:rPr>
              <w:t>、表</w:t>
            </w:r>
            <w:r>
              <w:rPr>
                <w:rFonts w:hint="default" w:ascii="Times New Roman" w:hAnsi="Times New Roman" w:cs="Times New Roman"/>
                <w:color w:val="auto"/>
                <w:sz w:val="24"/>
                <w:lang w:val="en-US" w:eastAsia="zh-CN"/>
              </w:rPr>
              <w:t>3-</w:t>
            </w:r>
            <w:r>
              <w:rPr>
                <w:rFonts w:hint="eastAsia" w:cs="Times New Roman"/>
                <w:color w:val="auto"/>
                <w:sz w:val="24"/>
                <w:lang w:val="en-US" w:eastAsia="zh-CN"/>
              </w:rPr>
              <w:t>7</w:t>
            </w:r>
            <w:r>
              <w:rPr>
                <w:rFonts w:hint="default" w:ascii="Times New Roman" w:hAnsi="Times New Roman" w:eastAsia="宋体" w:cs="Times New Roman"/>
                <w:color w:val="auto"/>
                <w:spacing w:val="0"/>
                <w:position w:val="0"/>
                <w:sz w:val="24"/>
                <w:highlight w:val="none"/>
                <w:lang w:val="en-US" w:eastAsia="zh-CN"/>
              </w:rPr>
              <w:t>。</w:t>
            </w:r>
          </w:p>
          <w:p w14:paraId="476A3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pacing w:val="0"/>
                <w:position w:val="0"/>
                <w:sz w:val="21"/>
                <w:szCs w:val="16"/>
                <w:highlight w:val="none"/>
                <w:lang w:val="en-US" w:eastAsia="zh-CN"/>
              </w:rPr>
            </w:pPr>
            <w:r>
              <w:rPr>
                <w:rFonts w:hint="default" w:ascii="Times New Roman" w:hAnsi="Times New Roman" w:eastAsia="宋体" w:cs="Times New Roman"/>
                <w:b/>
                <w:bCs w:val="0"/>
                <w:color w:val="auto"/>
                <w:spacing w:val="0"/>
                <w:position w:val="0"/>
                <w:sz w:val="21"/>
                <w:szCs w:val="16"/>
                <w:highlight w:val="none"/>
                <w:lang w:val="en-US" w:eastAsia="zh-CN"/>
              </w:rPr>
              <w:t>表3</w:t>
            </w:r>
            <w:r>
              <w:rPr>
                <w:rFonts w:hint="eastAsia" w:ascii="Times New Roman" w:hAnsi="Times New Roman" w:eastAsia="宋体" w:cs="Times New Roman"/>
                <w:b/>
                <w:bCs w:val="0"/>
                <w:color w:val="auto"/>
                <w:spacing w:val="0"/>
                <w:position w:val="0"/>
                <w:sz w:val="21"/>
                <w:szCs w:val="16"/>
                <w:highlight w:val="none"/>
                <w:lang w:val="en-US" w:eastAsia="zh-CN"/>
              </w:rPr>
              <w:t>-</w:t>
            </w:r>
            <w:r>
              <w:rPr>
                <w:rFonts w:hint="eastAsia" w:cs="Times New Roman"/>
                <w:b/>
                <w:bCs w:val="0"/>
                <w:color w:val="auto"/>
                <w:spacing w:val="0"/>
                <w:position w:val="0"/>
                <w:sz w:val="21"/>
                <w:szCs w:val="16"/>
                <w:highlight w:val="none"/>
                <w:lang w:val="en-US" w:eastAsia="zh-CN"/>
              </w:rPr>
              <w:t>6</w:t>
            </w:r>
            <w:r>
              <w:rPr>
                <w:rFonts w:hint="default" w:ascii="Times New Roman" w:hAnsi="Times New Roman" w:eastAsia="宋体" w:cs="Times New Roman"/>
                <w:b/>
                <w:bCs w:val="0"/>
                <w:color w:val="auto"/>
                <w:spacing w:val="0"/>
                <w:position w:val="0"/>
                <w:sz w:val="21"/>
                <w:szCs w:val="16"/>
                <w:highlight w:val="none"/>
                <w:lang w:val="en-US" w:eastAsia="zh-CN"/>
              </w:rPr>
              <w:t xml:space="preserve">  </w:t>
            </w:r>
            <w:r>
              <w:rPr>
                <w:rFonts w:hint="eastAsia" w:ascii="Times New Roman" w:hAnsi="Times New Roman" w:eastAsia="宋体" w:cs="Times New Roman"/>
                <w:b/>
                <w:bCs w:val="0"/>
                <w:color w:val="auto"/>
                <w:spacing w:val="0"/>
                <w:position w:val="0"/>
                <w:sz w:val="21"/>
                <w:szCs w:val="16"/>
                <w:highlight w:val="none"/>
                <w:lang w:val="en-US" w:eastAsia="zh-CN"/>
              </w:rPr>
              <w:t>《</w:t>
            </w:r>
            <w:r>
              <w:rPr>
                <w:rFonts w:hint="default" w:ascii="Times New Roman" w:hAnsi="Times New Roman" w:eastAsia="宋体" w:cs="Times New Roman"/>
                <w:b/>
                <w:bCs w:val="0"/>
                <w:color w:val="auto"/>
                <w:spacing w:val="0"/>
                <w:position w:val="0"/>
                <w:sz w:val="21"/>
                <w:szCs w:val="16"/>
                <w:highlight w:val="none"/>
                <w:lang w:val="en-US" w:eastAsia="zh-CN"/>
              </w:rPr>
              <w:t>建筑施工场界环境噪声排放标准》（GB12523-20</w:t>
            </w:r>
            <w:r>
              <w:rPr>
                <w:rFonts w:hint="eastAsia" w:ascii="Times New Roman" w:hAnsi="Times New Roman" w:eastAsia="宋体" w:cs="Times New Roman"/>
                <w:b/>
                <w:bCs w:val="0"/>
                <w:color w:val="auto"/>
                <w:spacing w:val="0"/>
                <w:position w:val="0"/>
                <w:sz w:val="21"/>
                <w:szCs w:val="16"/>
                <w:highlight w:val="none"/>
                <w:lang w:val="en-US" w:eastAsia="zh-CN"/>
              </w:rPr>
              <w:t>25</w:t>
            </w:r>
            <w:r>
              <w:rPr>
                <w:rFonts w:hint="default" w:ascii="Times New Roman" w:hAnsi="Times New Roman" w:eastAsia="宋体" w:cs="Times New Roman"/>
                <w:b/>
                <w:bCs w:val="0"/>
                <w:color w:val="auto"/>
                <w:spacing w:val="0"/>
                <w:position w:val="0"/>
                <w:sz w:val="21"/>
                <w:szCs w:val="16"/>
                <w:highlight w:val="none"/>
                <w:lang w:val="en-US" w:eastAsia="zh-CN"/>
              </w:rPr>
              <w:t>）</w:t>
            </w:r>
          </w:p>
          <w:tbl>
            <w:tblPr>
              <w:tblStyle w:val="28"/>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6"/>
              <w:gridCol w:w="2646"/>
            </w:tblGrid>
            <w:tr w14:paraId="054B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46" w:type="dxa"/>
                  <w:tcBorders>
                    <w:tl2br w:val="nil"/>
                    <w:tr2bl w:val="nil"/>
                  </w:tcBorders>
                  <w:vAlign w:val="center"/>
                </w:tcPr>
                <w:p w14:paraId="6F2C8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auto"/>
                      <w:spacing w:val="0"/>
                      <w:position w:val="0"/>
                      <w:szCs w:val="21"/>
                      <w:highlight w:val="none"/>
                      <w:lang w:eastAsia="zh-CN"/>
                    </w:rPr>
                  </w:pPr>
                  <w:r>
                    <w:rPr>
                      <w:rFonts w:hint="eastAsia" w:cs="Times New Roman"/>
                      <w:b/>
                      <w:bCs w:val="0"/>
                      <w:color w:val="auto"/>
                      <w:spacing w:val="0"/>
                      <w:position w:val="0"/>
                      <w:szCs w:val="21"/>
                      <w:highlight w:val="none"/>
                      <w:lang w:val="en-US" w:eastAsia="zh-CN"/>
                    </w:rPr>
                    <w:t>时段</w:t>
                  </w:r>
                </w:p>
              </w:tc>
              <w:tc>
                <w:tcPr>
                  <w:tcW w:w="2646" w:type="dxa"/>
                  <w:tcBorders>
                    <w:tl2br w:val="nil"/>
                    <w:tr2bl w:val="nil"/>
                  </w:tcBorders>
                  <w:vAlign w:val="center"/>
                </w:tcPr>
                <w:p w14:paraId="142725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昼间dB</w:t>
                  </w:r>
                  <w:r>
                    <w:rPr>
                      <w:rFonts w:hint="eastAsia" w:cs="Times New Roman"/>
                      <w:b/>
                      <w:bCs w:val="0"/>
                      <w:color w:val="auto"/>
                      <w:spacing w:val="0"/>
                      <w:position w:val="0"/>
                      <w:szCs w:val="21"/>
                      <w:highlight w:val="none"/>
                      <w:lang w:eastAsia="zh-CN"/>
                    </w:rPr>
                    <w:t>（</w:t>
                  </w:r>
                  <w:r>
                    <w:rPr>
                      <w:rFonts w:hint="eastAsia" w:cs="Times New Roman"/>
                      <w:b/>
                      <w:bCs w:val="0"/>
                      <w:color w:val="auto"/>
                      <w:spacing w:val="0"/>
                      <w:position w:val="0"/>
                      <w:szCs w:val="21"/>
                      <w:highlight w:val="none"/>
                      <w:lang w:val="en-US" w:eastAsia="zh-CN"/>
                    </w:rPr>
                    <w:t>A</w:t>
                  </w:r>
                  <w:r>
                    <w:rPr>
                      <w:rFonts w:hint="eastAsia" w:cs="Times New Roman"/>
                      <w:b/>
                      <w:bCs w:val="0"/>
                      <w:color w:val="auto"/>
                      <w:spacing w:val="0"/>
                      <w:position w:val="0"/>
                      <w:szCs w:val="21"/>
                      <w:highlight w:val="none"/>
                      <w:lang w:eastAsia="zh-CN"/>
                    </w:rPr>
                    <w:t>）</w:t>
                  </w:r>
                </w:p>
              </w:tc>
              <w:tc>
                <w:tcPr>
                  <w:tcW w:w="2646" w:type="dxa"/>
                  <w:tcBorders>
                    <w:tl2br w:val="nil"/>
                    <w:tr2bl w:val="nil"/>
                  </w:tcBorders>
                  <w:vAlign w:val="center"/>
                </w:tcPr>
                <w:p w14:paraId="490FC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auto"/>
                      <w:spacing w:val="0"/>
                      <w:position w:val="0"/>
                      <w:szCs w:val="21"/>
                      <w:highlight w:val="none"/>
                      <w:lang w:eastAsia="zh-CN"/>
                    </w:rPr>
                  </w:pPr>
                  <w:r>
                    <w:rPr>
                      <w:rFonts w:hint="default" w:ascii="Times New Roman" w:hAnsi="Times New Roman" w:eastAsia="宋体" w:cs="Times New Roman"/>
                      <w:b/>
                      <w:bCs w:val="0"/>
                      <w:color w:val="auto"/>
                      <w:spacing w:val="0"/>
                      <w:position w:val="0"/>
                      <w:szCs w:val="21"/>
                      <w:highlight w:val="none"/>
                    </w:rPr>
                    <w:t>夜间dB</w:t>
                  </w:r>
                  <w:r>
                    <w:rPr>
                      <w:rFonts w:hint="eastAsia" w:cs="Times New Roman"/>
                      <w:b/>
                      <w:bCs w:val="0"/>
                      <w:color w:val="auto"/>
                      <w:spacing w:val="0"/>
                      <w:position w:val="0"/>
                      <w:szCs w:val="21"/>
                      <w:highlight w:val="none"/>
                      <w:lang w:eastAsia="zh-CN"/>
                    </w:rPr>
                    <w:t>（</w:t>
                  </w:r>
                  <w:r>
                    <w:rPr>
                      <w:rFonts w:hint="eastAsia" w:cs="Times New Roman"/>
                      <w:b/>
                      <w:bCs w:val="0"/>
                      <w:color w:val="auto"/>
                      <w:spacing w:val="0"/>
                      <w:position w:val="0"/>
                      <w:szCs w:val="21"/>
                      <w:highlight w:val="none"/>
                      <w:lang w:val="en-US" w:eastAsia="zh-CN"/>
                    </w:rPr>
                    <w:t>A</w:t>
                  </w:r>
                  <w:r>
                    <w:rPr>
                      <w:rFonts w:hint="eastAsia" w:cs="Times New Roman"/>
                      <w:b/>
                      <w:bCs w:val="0"/>
                      <w:color w:val="auto"/>
                      <w:spacing w:val="0"/>
                      <w:position w:val="0"/>
                      <w:szCs w:val="21"/>
                      <w:highlight w:val="none"/>
                      <w:lang w:eastAsia="zh-CN"/>
                    </w:rPr>
                    <w:t>）</w:t>
                  </w:r>
                </w:p>
              </w:tc>
            </w:tr>
            <w:tr w14:paraId="5E76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46" w:type="dxa"/>
                  <w:tcBorders>
                    <w:tl2br w:val="nil"/>
                    <w:tr2bl w:val="nil"/>
                  </w:tcBorders>
                  <w:vAlign w:val="center"/>
                </w:tcPr>
                <w:p w14:paraId="3DBE01AA">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Cs/>
                      <w:color w:val="auto"/>
                      <w:spacing w:val="0"/>
                      <w:position w:val="0"/>
                      <w:szCs w:val="21"/>
                      <w:highlight w:val="none"/>
                      <w:lang w:eastAsia="zh-CN"/>
                    </w:rPr>
                  </w:pPr>
                  <w:r>
                    <w:rPr>
                      <w:rFonts w:hint="default" w:ascii="Times New Roman" w:hAnsi="Times New Roman" w:cs="Times New Roman"/>
                      <w:bCs/>
                      <w:color w:val="auto"/>
                      <w:szCs w:val="21"/>
                    </w:rPr>
                    <w:t>噪声限值</w:t>
                  </w:r>
                </w:p>
              </w:tc>
              <w:tc>
                <w:tcPr>
                  <w:tcW w:w="2646" w:type="dxa"/>
                  <w:tcBorders>
                    <w:tl2br w:val="nil"/>
                    <w:tr2bl w:val="nil"/>
                  </w:tcBorders>
                  <w:vAlign w:val="center"/>
                </w:tcPr>
                <w:p w14:paraId="09CFDFF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Cs/>
                      <w:color w:val="auto"/>
                      <w:spacing w:val="0"/>
                      <w:position w:val="0"/>
                      <w:szCs w:val="21"/>
                      <w:highlight w:val="none"/>
                      <w:lang w:val="en-US" w:eastAsia="zh-CN"/>
                    </w:rPr>
                  </w:pPr>
                  <w:r>
                    <w:rPr>
                      <w:rFonts w:hint="default" w:ascii="Times New Roman" w:hAnsi="Times New Roman" w:cs="Times New Roman"/>
                      <w:bCs/>
                      <w:color w:val="auto"/>
                      <w:szCs w:val="21"/>
                    </w:rPr>
                    <w:t>70</w:t>
                  </w:r>
                </w:p>
              </w:tc>
              <w:tc>
                <w:tcPr>
                  <w:tcW w:w="2646" w:type="dxa"/>
                  <w:tcBorders>
                    <w:tl2br w:val="nil"/>
                    <w:tr2bl w:val="nil"/>
                  </w:tcBorders>
                  <w:vAlign w:val="center"/>
                </w:tcPr>
                <w:p w14:paraId="4731D22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Cs/>
                      <w:color w:val="auto"/>
                      <w:spacing w:val="0"/>
                      <w:position w:val="0"/>
                      <w:szCs w:val="21"/>
                      <w:highlight w:val="none"/>
                      <w:lang w:val="en-US" w:eastAsia="zh-CN"/>
                    </w:rPr>
                  </w:pPr>
                  <w:r>
                    <w:rPr>
                      <w:rFonts w:hint="default" w:ascii="Times New Roman" w:hAnsi="Times New Roman" w:cs="Times New Roman"/>
                      <w:bCs/>
                      <w:color w:val="auto"/>
                      <w:szCs w:val="21"/>
                    </w:rPr>
                    <w:t>55</w:t>
                  </w:r>
                </w:p>
              </w:tc>
            </w:tr>
          </w:tbl>
          <w:p w14:paraId="592B1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pacing w:val="0"/>
                <w:position w:val="0"/>
                <w:sz w:val="21"/>
                <w:szCs w:val="16"/>
                <w:highlight w:val="none"/>
                <w:lang w:val="en-US" w:eastAsia="zh-CN"/>
              </w:rPr>
            </w:pPr>
            <w:r>
              <w:rPr>
                <w:rFonts w:hint="default" w:ascii="Times New Roman" w:hAnsi="Times New Roman" w:eastAsia="宋体" w:cs="Times New Roman"/>
                <w:b/>
                <w:bCs w:val="0"/>
                <w:color w:val="auto"/>
                <w:spacing w:val="0"/>
                <w:position w:val="0"/>
                <w:sz w:val="21"/>
                <w:szCs w:val="16"/>
                <w:highlight w:val="none"/>
                <w:lang w:val="en-US" w:eastAsia="zh-CN"/>
              </w:rPr>
              <w:t>表3</w:t>
            </w:r>
            <w:r>
              <w:rPr>
                <w:rFonts w:hint="eastAsia" w:ascii="Times New Roman" w:hAnsi="Times New Roman" w:eastAsia="宋体" w:cs="Times New Roman"/>
                <w:b/>
                <w:bCs w:val="0"/>
                <w:color w:val="auto"/>
                <w:spacing w:val="0"/>
                <w:position w:val="0"/>
                <w:sz w:val="21"/>
                <w:szCs w:val="16"/>
                <w:highlight w:val="none"/>
                <w:lang w:val="en-US" w:eastAsia="zh-CN"/>
              </w:rPr>
              <w:t>-</w:t>
            </w:r>
            <w:r>
              <w:rPr>
                <w:rFonts w:hint="eastAsia" w:cs="Times New Roman"/>
                <w:b/>
                <w:bCs w:val="0"/>
                <w:color w:val="auto"/>
                <w:spacing w:val="0"/>
                <w:position w:val="0"/>
                <w:sz w:val="21"/>
                <w:szCs w:val="16"/>
                <w:highlight w:val="none"/>
                <w:lang w:val="en-US" w:eastAsia="zh-CN"/>
              </w:rPr>
              <w:t>7</w:t>
            </w:r>
            <w:r>
              <w:rPr>
                <w:rFonts w:hint="default" w:ascii="Times New Roman" w:hAnsi="Times New Roman" w:eastAsia="宋体" w:cs="Times New Roman"/>
                <w:b/>
                <w:bCs w:val="0"/>
                <w:color w:val="auto"/>
                <w:spacing w:val="0"/>
                <w:position w:val="0"/>
                <w:sz w:val="21"/>
                <w:szCs w:val="16"/>
                <w:highlight w:val="none"/>
                <w:lang w:val="en-US" w:eastAsia="zh-CN"/>
              </w:rPr>
              <w:t xml:space="preserve">  《</w:t>
            </w:r>
            <w:r>
              <w:rPr>
                <w:rFonts w:hint="default" w:ascii="Times New Roman" w:hAnsi="Times New Roman" w:eastAsia="宋体" w:cs="Times New Roman"/>
                <w:b/>
                <w:bCs w:val="0"/>
                <w:color w:val="auto"/>
                <w:spacing w:val="0"/>
                <w:position w:val="0"/>
                <w:sz w:val="21"/>
                <w:szCs w:val="16"/>
                <w:highlight w:val="none"/>
                <w:lang w:val="en-US" w:eastAsia="zh-CN"/>
              </w:rPr>
              <w:fldChar w:fldCharType="begin"/>
            </w:r>
            <w:r>
              <w:rPr>
                <w:rFonts w:hint="default" w:ascii="Times New Roman" w:hAnsi="Times New Roman" w:eastAsia="宋体" w:cs="Times New Roman"/>
                <w:b/>
                <w:bCs w:val="0"/>
                <w:color w:val="auto"/>
                <w:spacing w:val="0"/>
                <w:position w:val="0"/>
                <w:sz w:val="21"/>
                <w:szCs w:val="16"/>
                <w:highlight w:val="none"/>
                <w:lang w:val="en-US" w:eastAsia="zh-CN"/>
              </w:rPr>
              <w:instrText xml:space="preserve"> HYPERLINK "http://www.mep.gov.cn/info/bgw/bgg/200809/W020081017399508921576.pdf" \t "_self" </w:instrText>
            </w:r>
            <w:r>
              <w:rPr>
                <w:rFonts w:hint="default" w:ascii="Times New Roman" w:hAnsi="Times New Roman" w:eastAsia="宋体" w:cs="Times New Roman"/>
                <w:b/>
                <w:bCs w:val="0"/>
                <w:color w:val="auto"/>
                <w:spacing w:val="0"/>
                <w:position w:val="0"/>
                <w:sz w:val="21"/>
                <w:szCs w:val="16"/>
                <w:highlight w:val="none"/>
                <w:lang w:val="en-US" w:eastAsia="zh-CN"/>
              </w:rPr>
              <w:fldChar w:fldCharType="separate"/>
            </w:r>
            <w:r>
              <w:rPr>
                <w:rFonts w:hint="default" w:ascii="Times New Roman" w:hAnsi="Times New Roman" w:eastAsia="宋体" w:cs="Times New Roman"/>
                <w:b/>
                <w:bCs w:val="0"/>
                <w:color w:val="auto"/>
                <w:spacing w:val="0"/>
                <w:position w:val="0"/>
                <w:sz w:val="21"/>
                <w:szCs w:val="16"/>
                <w:highlight w:val="none"/>
                <w:lang w:val="en-US" w:eastAsia="zh-CN"/>
              </w:rPr>
              <w:t>工业企业厂界环境噪声</w:t>
            </w:r>
            <w:r>
              <w:rPr>
                <w:rFonts w:hint="default" w:ascii="Times New Roman" w:hAnsi="Times New Roman" w:eastAsia="宋体" w:cs="Times New Roman"/>
                <w:b/>
                <w:bCs w:val="0"/>
                <w:color w:val="auto"/>
                <w:spacing w:val="0"/>
                <w:position w:val="0"/>
                <w:sz w:val="21"/>
                <w:szCs w:val="16"/>
                <w:highlight w:val="none"/>
                <w:lang w:val="en-US" w:eastAsia="zh-CN"/>
              </w:rPr>
              <w:fldChar w:fldCharType="end"/>
            </w:r>
            <w:r>
              <w:rPr>
                <w:rFonts w:hint="default" w:ascii="Times New Roman" w:hAnsi="Times New Roman" w:eastAsia="宋体" w:cs="Times New Roman"/>
                <w:b/>
                <w:bCs w:val="0"/>
                <w:color w:val="auto"/>
                <w:spacing w:val="0"/>
                <w:position w:val="0"/>
                <w:sz w:val="21"/>
                <w:szCs w:val="16"/>
                <w:highlight w:val="none"/>
                <w:lang w:val="en-US" w:eastAsia="zh-CN"/>
              </w:rPr>
              <w:t>排放标准》（GB12348-2008）</w:t>
            </w:r>
          </w:p>
          <w:tbl>
            <w:tblPr>
              <w:tblStyle w:val="28"/>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6"/>
              <w:gridCol w:w="2646"/>
            </w:tblGrid>
            <w:tr w14:paraId="2255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46" w:type="dxa"/>
                  <w:tcBorders>
                    <w:tl2br w:val="nil"/>
                    <w:tr2bl w:val="nil"/>
                  </w:tcBorders>
                  <w:vAlign w:val="center"/>
                </w:tcPr>
                <w:p w14:paraId="1FBD8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类别</w:t>
                  </w:r>
                </w:p>
              </w:tc>
              <w:tc>
                <w:tcPr>
                  <w:tcW w:w="2646" w:type="dxa"/>
                  <w:tcBorders>
                    <w:tl2br w:val="nil"/>
                    <w:tr2bl w:val="nil"/>
                  </w:tcBorders>
                  <w:vAlign w:val="center"/>
                </w:tcPr>
                <w:p w14:paraId="238BFC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昼间dB</w:t>
                  </w:r>
                  <w:r>
                    <w:rPr>
                      <w:rFonts w:hint="eastAsia" w:cs="Times New Roman"/>
                      <w:b/>
                      <w:bCs w:val="0"/>
                      <w:color w:val="auto"/>
                      <w:spacing w:val="0"/>
                      <w:position w:val="0"/>
                      <w:szCs w:val="21"/>
                      <w:highlight w:val="none"/>
                      <w:lang w:eastAsia="zh-CN"/>
                    </w:rPr>
                    <w:t>（</w:t>
                  </w:r>
                  <w:r>
                    <w:rPr>
                      <w:rFonts w:hint="eastAsia" w:cs="Times New Roman"/>
                      <w:b/>
                      <w:bCs w:val="0"/>
                      <w:color w:val="auto"/>
                      <w:spacing w:val="0"/>
                      <w:position w:val="0"/>
                      <w:szCs w:val="21"/>
                      <w:highlight w:val="none"/>
                      <w:lang w:val="en-US" w:eastAsia="zh-CN"/>
                    </w:rPr>
                    <w:t>A</w:t>
                  </w:r>
                  <w:r>
                    <w:rPr>
                      <w:rFonts w:hint="eastAsia" w:cs="Times New Roman"/>
                      <w:b/>
                      <w:bCs w:val="0"/>
                      <w:color w:val="auto"/>
                      <w:spacing w:val="0"/>
                      <w:position w:val="0"/>
                      <w:szCs w:val="21"/>
                      <w:highlight w:val="none"/>
                      <w:lang w:eastAsia="zh-CN"/>
                    </w:rPr>
                    <w:t>）</w:t>
                  </w:r>
                </w:p>
              </w:tc>
              <w:tc>
                <w:tcPr>
                  <w:tcW w:w="2646" w:type="dxa"/>
                  <w:tcBorders>
                    <w:tl2br w:val="nil"/>
                    <w:tr2bl w:val="nil"/>
                  </w:tcBorders>
                  <w:vAlign w:val="center"/>
                </w:tcPr>
                <w:p w14:paraId="795747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auto"/>
                      <w:spacing w:val="0"/>
                      <w:position w:val="0"/>
                      <w:szCs w:val="21"/>
                      <w:highlight w:val="none"/>
                      <w:lang w:eastAsia="zh-CN"/>
                    </w:rPr>
                  </w:pPr>
                  <w:r>
                    <w:rPr>
                      <w:rFonts w:hint="default" w:ascii="Times New Roman" w:hAnsi="Times New Roman" w:eastAsia="宋体" w:cs="Times New Roman"/>
                      <w:b/>
                      <w:bCs w:val="0"/>
                      <w:color w:val="auto"/>
                      <w:spacing w:val="0"/>
                      <w:position w:val="0"/>
                      <w:szCs w:val="21"/>
                      <w:highlight w:val="none"/>
                    </w:rPr>
                    <w:t>夜间dB</w:t>
                  </w:r>
                  <w:r>
                    <w:rPr>
                      <w:rFonts w:hint="eastAsia" w:cs="Times New Roman"/>
                      <w:b/>
                      <w:bCs w:val="0"/>
                      <w:color w:val="auto"/>
                      <w:spacing w:val="0"/>
                      <w:position w:val="0"/>
                      <w:szCs w:val="21"/>
                      <w:highlight w:val="none"/>
                      <w:lang w:eastAsia="zh-CN"/>
                    </w:rPr>
                    <w:t>（</w:t>
                  </w:r>
                  <w:r>
                    <w:rPr>
                      <w:rFonts w:hint="eastAsia" w:cs="Times New Roman"/>
                      <w:b/>
                      <w:bCs w:val="0"/>
                      <w:color w:val="auto"/>
                      <w:spacing w:val="0"/>
                      <w:position w:val="0"/>
                      <w:szCs w:val="21"/>
                      <w:highlight w:val="none"/>
                      <w:lang w:val="en-US" w:eastAsia="zh-CN"/>
                    </w:rPr>
                    <w:t>A</w:t>
                  </w:r>
                  <w:r>
                    <w:rPr>
                      <w:rFonts w:hint="eastAsia" w:cs="Times New Roman"/>
                      <w:b/>
                      <w:bCs w:val="0"/>
                      <w:color w:val="auto"/>
                      <w:spacing w:val="0"/>
                      <w:position w:val="0"/>
                      <w:szCs w:val="21"/>
                      <w:highlight w:val="none"/>
                      <w:lang w:eastAsia="zh-CN"/>
                    </w:rPr>
                    <w:t>）</w:t>
                  </w:r>
                </w:p>
              </w:tc>
            </w:tr>
            <w:tr w14:paraId="5ED5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46" w:type="dxa"/>
                  <w:tcBorders>
                    <w:tl2br w:val="nil"/>
                    <w:tr2bl w:val="nil"/>
                  </w:tcBorders>
                  <w:vAlign w:val="center"/>
                </w:tcPr>
                <w:p w14:paraId="0471C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Cs/>
                      <w:color w:val="auto"/>
                      <w:spacing w:val="0"/>
                      <w:position w:val="0"/>
                      <w:szCs w:val="21"/>
                      <w:highlight w:val="none"/>
                      <w:lang w:eastAsia="zh-CN"/>
                    </w:rPr>
                  </w:pPr>
                  <w:r>
                    <w:rPr>
                      <w:rFonts w:hint="eastAsia" w:cs="Times New Roman"/>
                      <w:bCs/>
                      <w:color w:val="auto"/>
                      <w:spacing w:val="0"/>
                      <w:position w:val="0"/>
                      <w:szCs w:val="21"/>
                      <w:highlight w:val="none"/>
                      <w:lang w:val="en-US" w:eastAsia="zh-CN"/>
                    </w:rPr>
                    <w:t>2</w:t>
                  </w:r>
                </w:p>
              </w:tc>
              <w:tc>
                <w:tcPr>
                  <w:tcW w:w="2646" w:type="dxa"/>
                  <w:tcBorders>
                    <w:tl2br w:val="nil"/>
                    <w:tr2bl w:val="nil"/>
                  </w:tcBorders>
                  <w:vAlign w:val="center"/>
                </w:tcPr>
                <w:p w14:paraId="617BE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auto"/>
                      <w:spacing w:val="0"/>
                      <w:position w:val="0"/>
                      <w:szCs w:val="21"/>
                      <w:highlight w:val="none"/>
                      <w:lang w:val="en-US" w:eastAsia="zh-CN"/>
                    </w:rPr>
                  </w:pPr>
                  <w:r>
                    <w:rPr>
                      <w:rFonts w:hint="eastAsia" w:cs="Times New Roman"/>
                      <w:bCs/>
                      <w:color w:val="auto"/>
                      <w:spacing w:val="0"/>
                      <w:position w:val="0"/>
                      <w:szCs w:val="21"/>
                      <w:highlight w:val="none"/>
                      <w:lang w:val="en-US" w:eastAsia="zh-CN"/>
                    </w:rPr>
                    <w:t>60</w:t>
                  </w:r>
                </w:p>
              </w:tc>
              <w:tc>
                <w:tcPr>
                  <w:tcW w:w="2646" w:type="dxa"/>
                  <w:tcBorders>
                    <w:tl2br w:val="nil"/>
                    <w:tr2bl w:val="nil"/>
                  </w:tcBorders>
                  <w:vAlign w:val="center"/>
                </w:tcPr>
                <w:p w14:paraId="436A2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auto"/>
                      <w:spacing w:val="0"/>
                      <w:position w:val="0"/>
                      <w:szCs w:val="21"/>
                      <w:highlight w:val="none"/>
                      <w:lang w:val="en-US" w:eastAsia="zh-CN"/>
                    </w:rPr>
                  </w:pPr>
                  <w:r>
                    <w:rPr>
                      <w:rFonts w:hint="eastAsia" w:cs="Times New Roman"/>
                      <w:bCs/>
                      <w:color w:val="auto"/>
                      <w:spacing w:val="0"/>
                      <w:position w:val="0"/>
                      <w:szCs w:val="21"/>
                      <w:highlight w:val="none"/>
                      <w:lang w:val="en-US" w:eastAsia="zh-CN"/>
                    </w:rPr>
                    <w:t>50</w:t>
                  </w:r>
                </w:p>
              </w:tc>
            </w:tr>
          </w:tbl>
          <w:p w14:paraId="3F8E3B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三、</w:t>
            </w:r>
            <w:r>
              <w:rPr>
                <w:rFonts w:hint="default" w:ascii="Times New Roman" w:hAnsi="Times New Roman" w:eastAsia="宋体" w:cs="Times New Roman"/>
                <w:b/>
                <w:bCs/>
                <w:color w:val="auto"/>
                <w:spacing w:val="0"/>
                <w:kern w:val="0"/>
                <w:position w:val="0"/>
                <w:sz w:val="24"/>
                <w:szCs w:val="24"/>
                <w:highlight w:val="none"/>
                <w:lang w:val="en-US" w:eastAsia="zh-CN"/>
              </w:rPr>
              <w:t>固体废物</w:t>
            </w:r>
          </w:p>
          <w:p w14:paraId="4D0D11D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spacing w:val="0"/>
                <w:position w:val="0"/>
                <w:sz w:val="24"/>
                <w:highlight w:val="none"/>
                <w:lang w:val="en-US" w:eastAsia="zh-CN"/>
              </w:rPr>
              <w:t>一般固体废物执行《一般工业固体废物贮存和填埋污染控制标准》（GB18599-2020）中的有关规定；</w:t>
            </w:r>
          </w:p>
          <w:p w14:paraId="369EBAD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color w:val="auto"/>
                <w:lang w:eastAsia="zh-CN"/>
              </w:rPr>
            </w:pPr>
            <w:r>
              <w:rPr>
                <w:rFonts w:hint="default" w:ascii="Times New Roman" w:hAnsi="Times New Roman" w:eastAsia="宋体" w:cs="Times New Roman"/>
                <w:color w:val="auto"/>
                <w:spacing w:val="0"/>
                <w:position w:val="0"/>
                <w:sz w:val="24"/>
                <w:highlight w:val="none"/>
                <w:lang w:val="en-US" w:eastAsia="zh-CN"/>
              </w:rPr>
              <w:t>危险废物执行《危险废物贮存污染控制标准》（GB18597-2023）</w:t>
            </w:r>
            <w:r>
              <w:rPr>
                <w:rFonts w:hint="default" w:ascii="Times New Roman" w:hAnsi="Times New Roman" w:eastAsia="宋体" w:cs="Times New Roman"/>
                <w:color w:val="auto"/>
                <w:spacing w:val="0"/>
                <w:position w:val="0"/>
                <w:sz w:val="24"/>
                <w:highlight w:val="none"/>
              </w:rPr>
              <w:t>。</w:t>
            </w:r>
          </w:p>
        </w:tc>
      </w:tr>
      <w:tr w14:paraId="33C8B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4" w:hRule="atLeast"/>
          <w:jc w:val="center"/>
        </w:trPr>
        <w:tc>
          <w:tcPr>
            <w:tcW w:w="676" w:type="dxa"/>
            <w:vAlign w:val="center"/>
          </w:tcPr>
          <w:p w14:paraId="699F36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0"/>
                <w:kern w:val="0"/>
                <w:position w:val="0"/>
                <w:szCs w:val="21"/>
                <w:highlight w:val="none"/>
              </w:rPr>
            </w:pPr>
            <w:r>
              <w:rPr>
                <w:rFonts w:hint="default" w:ascii="Times New Roman" w:hAnsi="Times New Roman" w:cs="Times New Roman"/>
                <w:color w:val="auto"/>
                <w:spacing w:val="0"/>
                <w:kern w:val="0"/>
                <w:position w:val="0"/>
                <w:szCs w:val="21"/>
                <w:highlight w:val="none"/>
              </w:rPr>
              <w:t>总量控制指标</w:t>
            </w:r>
          </w:p>
        </w:tc>
        <w:tc>
          <w:tcPr>
            <w:tcW w:w="8314" w:type="dxa"/>
            <w:vAlign w:val="center"/>
          </w:tcPr>
          <w:p w14:paraId="3CA0159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20E07FA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58DC442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21A359C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130D33F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5B0F256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2941736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37FFDCA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rPr>
            </w:pPr>
          </w:p>
          <w:p w14:paraId="2EE4634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spacing w:val="0"/>
                <w:position w:val="0"/>
                <w:sz w:val="24"/>
                <w:highlight w:val="none"/>
              </w:rPr>
              <w:t>根据山西省</w:t>
            </w:r>
            <w:r>
              <w:rPr>
                <w:rFonts w:hint="default" w:ascii="Times New Roman" w:hAnsi="Times New Roman" w:eastAsia="宋体" w:cs="Times New Roman"/>
                <w:color w:val="auto"/>
                <w:spacing w:val="0"/>
                <w:position w:val="0"/>
                <w:sz w:val="24"/>
                <w:highlight w:val="none"/>
                <w:lang w:val="en-US" w:eastAsia="zh-CN"/>
              </w:rPr>
              <w:t>生态环境厅</w:t>
            </w:r>
            <w:r>
              <w:rPr>
                <w:rFonts w:hint="default" w:ascii="Times New Roman" w:hAnsi="Times New Roman" w:eastAsia="宋体" w:cs="Times New Roman"/>
                <w:color w:val="auto"/>
                <w:spacing w:val="0"/>
                <w:position w:val="0"/>
                <w:sz w:val="24"/>
                <w:highlight w:val="none"/>
              </w:rPr>
              <w:t>《建设项目主要污染物排放总量指标核定暂行办法》（晋环规[2023]1号）文规定，</w:t>
            </w:r>
            <w:r>
              <w:rPr>
                <w:rFonts w:hint="eastAsia"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实施排放总量控制的主要污染物包括氮氧化物、挥发性有机物、化学需氧量、氨氮等国家实施排放总量控制的主要污染物以及二氧化硫、颗粒物等山西省实施排放总量控制的主要污染物</w:t>
            </w:r>
            <w:r>
              <w:rPr>
                <w:rFonts w:hint="eastAsia"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w:t>
            </w:r>
          </w:p>
          <w:p w14:paraId="2FF1559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spacing w:val="0"/>
                <w:position w:val="0"/>
                <w:sz w:val="24"/>
                <w:highlight w:val="none"/>
                <w:lang w:val="en-US" w:eastAsia="zh-CN"/>
              </w:rPr>
              <w:t>本项目申请总量控制指标为：</w:t>
            </w:r>
            <w:r>
              <w:rPr>
                <w:rFonts w:hint="eastAsia" w:cs="Times New Roman"/>
                <w:color w:val="auto"/>
                <w:spacing w:val="0"/>
                <w:position w:val="0"/>
                <w:sz w:val="24"/>
                <w:highlight w:val="none"/>
                <w:lang w:val="en-US" w:eastAsia="zh-CN"/>
              </w:rPr>
              <w:t>有组织</w:t>
            </w:r>
            <w:r>
              <w:rPr>
                <w:rFonts w:hint="eastAsia" w:ascii="Times New Roman" w:hAnsi="Times New Roman" w:eastAsia="宋体" w:cs="Times New Roman"/>
                <w:color w:val="auto"/>
                <w:spacing w:val="0"/>
                <w:position w:val="0"/>
                <w:sz w:val="24"/>
                <w:highlight w:val="none"/>
                <w:lang w:val="en-US" w:eastAsia="zh-CN"/>
              </w:rPr>
              <w:t>颗粒物</w:t>
            </w:r>
            <w:r>
              <w:rPr>
                <w:rFonts w:hint="eastAsia" w:cs="Times New Roman"/>
                <w:color w:val="auto"/>
                <w:spacing w:val="0"/>
                <w:position w:val="0"/>
                <w:sz w:val="24"/>
                <w:highlight w:val="none"/>
                <w:lang w:val="en-US" w:eastAsia="zh-CN"/>
              </w:rPr>
              <w:t>2.003</w:t>
            </w:r>
            <w:r>
              <w:rPr>
                <w:rFonts w:hint="eastAsia" w:ascii="Times New Roman" w:hAnsi="Times New Roman" w:eastAsia="宋体" w:cs="Times New Roman"/>
                <w:color w:val="auto"/>
                <w:spacing w:val="0"/>
                <w:position w:val="0"/>
                <w:sz w:val="24"/>
                <w:highlight w:val="none"/>
                <w:lang w:val="en-US" w:eastAsia="zh-CN"/>
              </w:rPr>
              <w:t>t/a。</w:t>
            </w:r>
          </w:p>
          <w:p w14:paraId="41D7C056">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color w:val="auto"/>
                <w:sz w:val="24"/>
                <w:szCs w:val="22"/>
                <w:lang w:val="en-US" w:eastAsia="zh-CN"/>
              </w:rPr>
              <w:t>长治市生态环境局屯留分局以屯函环[2026]25号文出具了“关于</w:t>
            </w:r>
            <w:r>
              <w:rPr>
                <w:rFonts w:hint="default" w:ascii="Times New Roman" w:hAnsi="Times New Roman" w:cs="Times New Roman"/>
                <w:color w:val="auto"/>
                <w:sz w:val="24"/>
                <w:szCs w:val="24"/>
                <w:highlight w:val="none"/>
                <w:lang w:val="en-US" w:eastAsia="zh-CN"/>
              </w:rPr>
              <w:t>长治市盛石工贸有限公司年30万吨建筑垃圾回收再利用项目</w:t>
            </w:r>
            <w:r>
              <w:rPr>
                <w:rFonts w:hint="eastAsia" w:ascii="Times New Roman" w:hAnsi="Times New Roman" w:eastAsia="宋体" w:cs="Times New Roman"/>
                <w:color w:val="auto"/>
                <w:sz w:val="24"/>
                <w:szCs w:val="22"/>
                <w:lang w:val="en-US" w:eastAsia="zh-CN"/>
              </w:rPr>
              <w:t>大气污染物排放总量核定意见”（见附件8），核定本项目总量控制指标为：颗粒物2.003t/a。</w:t>
            </w:r>
          </w:p>
          <w:p w14:paraId="028C8A1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lang w:val="en-US" w:eastAsia="zh-CN"/>
              </w:rPr>
            </w:pPr>
          </w:p>
          <w:p w14:paraId="463EF70F">
            <w:pPr>
              <w:pStyle w:val="16"/>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textAlignment w:val="auto"/>
              <w:rPr>
                <w:rFonts w:hint="eastAsia" w:ascii="Times New Roman" w:hAnsi="Times New Roman" w:eastAsia="宋体" w:cs="Times New Roman"/>
                <w:color w:val="auto"/>
                <w:spacing w:val="0"/>
                <w:position w:val="0"/>
                <w:sz w:val="24"/>
                <w:highlight w:val="none"/>
                <w:lang w:val="en-US" w:eastAsia="zh-CN"/>
              </w:rPr>
            </w:pPr>
          </w:p>
          <w:p w14:paraId="0D3BDE5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p>
          <w:p w14:paraId="68850A3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p>
          <w:p w14:paraId="10947BB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p>
          <w:p w14:paraId="24AE4A44">
            <w:pPr>
              <w:pStyle w:val="16"/>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textAlignment w:val="auto"/>
              <w:rPr>
                <w:rFonts w:hint="eastAsia"/>
                <w:color w:val="auto"/>
                <w:lang w:val="en-US" w:eastAsia="zh-CN"/>
              </w:rPr>
            </w:pPr>
          </w:p>
          <w:p w14:paraId="0120B5C9">
            <w:pPr>
              <w:keepNext w:val="0"/>
              <w:keepLines w:val="0"/>
              <w:suppressLineNumbers w:val="0"/>
              <w:spacing w:before="0" w:beforeAutospacing="0" w:after="0" w:afterAutospacing="0"/>
              <w:ind w:left="0" w:right="0"/>
              <w:rPr>
                <w:rFonts w:hint="eastAsia"/>
                <w:color w:val="auto"/>
                <w:lang w:val="en-US" w:eastAsia="zh-CN"/>
              </w:rPr>
            </w:pPr>
          </w:p>
          <w:p w14:paraId="629EC6F2">
            <w:pPr>
              <w:keepNext w:val="0"/>
              <w:keepLines w:val="0"/>
              <w:suppressLineNumbers w:val="0"/>
              <w:spacing w:before="0" w:beforeAutospacing="0" w:after="0" w:afterAutospacing="0"/>
              <w:ind w:left="0" w:right="0"/>
              <w:rPr>
                <w:rFonts w:hint="eastAsia"/>
                <w:color w:val="auto"/>
                <w:lang w:val="en-US" w:eastAsia="zh-CN"/>
              </w:rPr>
            </w:pPr>
          </w:p>
          <w:p w14:paraId="7D8B3EB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p>
          <w:p w14:paraId="4E6DACB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p>
          <w:p w14:paraId="02A5B7F3">
            <w:pPr>
              <w:keepNext w:val="0"/>
              <w:keepLines w:val="0"/>
              <w:suppressLineNumbers w:val="0"/>
              <w:spacing w:before="0" w:beforeAutospacing="0" w:after="0" w:afterAutospacing="0"/>
              <w:ind w:left="0" w:right="0"/>
              <w:rPr>
                <w:rFonts w:hint="default"/>
                <w:color w:val="auto"/>
                <w:lang w:val="en-US" w:eastAsia="zh-CN"/>
              </w:rPr>
            </w:pPr>
          </w:p>
        </w:tc>
      </w:tr>
    </w:tbl>
    <w:p w14:paraId="40CC8E2A">
      <w:pPr>
        <w:pStyle w:val="2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bookmarkStart w:id="8" w:name="_Toc7234"/>
      <w:r>
        <w:rPr>
          <w:rFonts w:hint="default" w:ascii="Times New Roman" w:hAnsi="Times New Roman" w:eastAsia="黑体" w:cs="Times New Roman"/>
          <w:snapToGrid w:val="0"/>
          <w:color w:val="auto"/>
          <w:sz w:val="30"/>
          <w:szCs w:val="30"/>
          <w:highlight w:val="none"/>
        </w:rPr>
        <w:t>四、主要环境影响和保护措施</w:t>
      </w:r>
      <w:bookmarkEnd w:id="8"/>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277"/>
      </w:tblGrid>
      <w:tr w14:paraId="78DCC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tcMar>
              <w:left w:w="28" w:type="dxa"/>
              <w:right w:w="28" w:type="dxa"/>
            </w:tcMar>
            <w:vAlign w:val="center"/>
          </w:tcPr>
          <w:p w14:paraId="25117818">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施工期环境保护措施</w:t>
            </w:r>
          </w:p>
        </w:tc>
        <w:tc>
          <w:tcPr>
            <w:tcW w:w="8277" w:type="dxa"/>
            <w:vAlign w:val="center"/>
          </w:tcPr>
          <w:p w14:paraId="25CB5E8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根据现场踏勘，</w:t>
            </w:r>
            <w:r>
              <w:rPr>
                <w:rFonts w:hint="eastAsia" w:cs="Times New Roman"/>
                <w:color w:val="auto"/>
                <w:spacing w:val="0"/>
                <w:sz w:val="24"/>
                <w:szCs w:val="20"/>
                <w:highlight w:val="none"/>
                <w:lang w:val="en-US" w:eastAsia="zh-CN"/>
              </w:rPr>
              <w:t>厂区内现有2座钢结构厂房、1座办公区、1座全自动洗车平台和1座</w:t>
            </w:r>
            <w:r>
              <w:rPr>
                <w:rFonts w:hint="eastAsia" w:cs="Times New Roman"/>
                <w:color w:val="auto"/>
                <w:spacing w:val="0"/>
                <w:sz w:val="24"/>
                <w:szCs w:val="20"/>
                <w:highlight w:val="none"/>
                <w:vertAlign w:val="baseline"/>
                <w:lang w:val="en-US" w:eastAsia="zh-CN"/>
              </w:rPr>
              <w:t>初期雨水收集池，</w:t>
            </w:r>
            <w:r>
              <w:rPr>
                <w:rFonts w:hint="eastAsia" w:cs="Times New Roman"/>
                <w:color w:val="auto"/>
                <w:sz w:val="24"/>
                <w:szCs w:val="24"/>
                <w:highlight w:val="none"/>
                <w:lang w:val="en-US" w:eastAsia="zh-CN"/>
              </w:rPr>
              <w:t>厂房内生产设备均已拆除</w:t>
            </w:r>
            <w:r>
              <w:rPr>
                <w:rFonts w:hint="eastAsia" w:cs="Times New Roman"/>
                <w:color w:val="auto"/>
                <w:spacing w:val="0"/>
                <w:sz w:val="24"/>
                <w:szCs w:val="20"/>
                <w:highlight w:val="none"/>
                <w:vertAlign w:val="baseline"/>
                <w:lang w:val="en-US" w:eastAsia="zh-CN"/>
              </w:rPr>
              <w:t>。</w:t>
            </w:r>
          </w:p>
          <w:p w14:paraId="3A55D04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pacing w:val="0"/>
                <w:sz w:val="24"/>
                <w:szCs w:val="20"/>
                <w:highlight w:val="none"/>
                <w:lang w:val="en-US" w:eastAsia="zh-CN"/>
              </w:rPr>
            </w:pPr>
            <w:r>
              <w:rPr>
                <w:rFonts w:hint="eastAsia" w:cs="Times New Roman"/>
                <w:color w:val="auto"/>
                <w:spacing w:val="0"/>
                <w:sz w:val="24"/>
                <w:szCs w:val="20"/>
                <w:highlight w:val="none"/>
                <w:lang w:val="en-US" w:eastAsia="zh-CN"/>
              </w:rPr>
              <w:t>本项目施工期主要工程内容为新建1座初期雨水收集池、新建1座磅房、新建1座危废贮存点、厂区道路部分硬化及车间内生产设备、环保设施安装等内容。</w:t>
            </w:r>
            <w:r>
              <w:rPr>
                <w:rFonts w:hint="eastAsia"/>
                <w:color w:val="auto"/>
                <w:kern w:val="0"/>
                <w:sz w:val="24"/>
                <w:lang w:val="en-US" w:eastAsia="zh-CN"/>
              </w:rPr>
              <w:t>施工期</w:t>
            </w:r>
            <w:r>
              <w:rPr>
                <w:rFonts w:hint="default" w:ascii="Times New Roman" w:hAnsi="Times New Roman" w:eastAsia="宋体" w:cs="Times New Roman"/>
                <w:color w:val="auto"/>
                <w:sz w:val="24"/>
                <w:szCs w:val="24"/>
              </w:rPr>
              <w:t>主要环境问题产生于建筑材料运输、堆存、设备安装、地面硬化</w:t>
            </w:r>
            <w:r>
              <w:rPr>
                <w:rFonts w:hint="eastAsia" w:cs="Times New Roman"/>
                <w:color w:val="auto"/>
                <w:sz w:val="24"/>
                <w:szCs w:val="24"/>
                <w:lang w:val="en-US" w:eastAsia="zh-CN"/>
              </w:rPr>
              <w:t>等工程内容</w:t>
            </w:r>
            <w:r>
              <w:rPr>
                <w:rFonts w:hint="default" w:ascii="Times New Roman" w:hAnsi="Times New Roman" w:eastAsia="宋体" w:cs="Times New Roman"/>
                <w:color w:val="auto"/>
                <w:sz w:val="24"/>
                <w:szCs w:val="24"/>
              </w:rPr>
              <w:t>，产生的污染物主要有扬尘、噪声、废水、固体废物及施工生态影响等，工程施工影响范围主要为工程施工区域，限制在厂区占地范围内。</w:t>
            </w:r>
            <w:r>
              <w:rPr>
                <w:rFonts w:hint="default" w:ascii="Times New Roman" w:hAnsi="Times New Roman" w:cs="Times New Roman"/>
                <w:color w:val="auto"/>
                <w:kern w:val="2"/>
                <w:sz w:val="24"/>
                <w:szCs w:val="24"/>
                <w:highlight w:val="none"/>
                <w:lang w:val="en-US" w:eastAsia="zh-CN" w:bidi="ar-SA"/>
              </w:rPr>
              <w:t>针对</w:t>
            </w:r>
            <w:r>
              <w:rPr>
                <w:rFonts w:hint="default" w:ascii="Times New Roman" w:hAnsi="Times New Roman" w:eastAsia="宋体" w:cs="Times New Roman"/>
                <w:color w:val="auto"/>
                <w:kern w:val="2"/>
                <w:sz w:val="24"/>
                <w:szCs w:val="24"/>
                <w:highlight w:val="none"/>
                <w:lang w:val="en-US" w:eastAsia="zh-CN" w:bidi="ar-SA"/>
              </w:rPr>
              <w:t>施工过程对环境的影响</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拟采取的污染防治措施</w:t>
            </w:r>
            <w:r>
              <w:rPr>
                <w:rFonts w:hint="default" w:ascii="Times New Roman" w:hAnsi="Times New Roman" w:cs="Times New Roman"/>
                <w:color w:val="auto"/>
                <w:kern w:val="2"/>
                <w:sz w:val="24"/>
                <w:szCs w:val="24"/>
                <w:highlight w:val="none"/>
                <w:lang w:val="en-US" w:eastAsia="zh-CN" w:bidi="ar-SA"/>
              </w:rPr>
              <w:t>如下：</w:t>
            </w:r>
          </w:p>
          <w:p w14:paraId="5655C45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rPr>
            </w:pPr>
            <w:r>
              <w:rPr>
                <w:rFonts w:hint="eastAsia" w:cs="Times New Roman"/>
                <w:b/>
                <w:color w:val="auto"/>
                <w:spacing w:val="0"/>
                <w:sz w:val="24"/>
                <w:szCs w:val="24"/>
                <w:highlight w:val="none"/>
                <w:lang w:val="en-US" w:eastAsia="zh-CN"/>
              </w:rPr>
              <w:t>一、</w:t>
            </w:r>
            <w:r>
              <w:rPr>
                <w:rFonts w:hint="default" w:ascii="Times New Roman" w:hAnsi="Times New Roman" w:eastAsia="宋体" w:cs="Times New Roman"/>
                <w:b/>
                <w:color w:val="auto"/>
                <w:spacing w:val="0"/>
                <w:sz w:val="24"/>
                <w:szCs w:val="24"/>
                <w:highlight w:val="none"/>
              </w:rPr>
              <w:t>施工期大气环境污染防治措施</w:t>
            </w:r>
          </w:p>
          <w:p w14:paraId="53BEA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本项目施工期大气污染物主要为施工扬尘，扬尘主要来自场地开挖、建材堆存、道路运输等施工活动，主要表现为空气中的总悬浮粉尘浓度增大，尤其在天气干燥、风速较大时影响范围大，影响更显著。</w:t>
            </w:r>
          </w:p>
          <w:p w14:paraId="3D6C6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本次评价要求：严格落实施工扬尘“六个百分之百”规定，新增渣土车必须为新能源车，并对渣土运输车辆全面实行“全封闭”“全定位”“全监控”，强化施工单位源头管理责任。具体措施如下：</w:t>
            </w:r>
          </w:p>
          <w:p w14:paraId="6D9342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（1）施工区域四周全部设置围挡（高度≥2m），施工活动要严格控制在厂区内，做到施工工地周边100%围挡，严禁越界或跨界施工，避免对施工区外部环境的影响。</w:t>
            </w:r>
          </w:p>
          <w:p w14:paraId="4FF8E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（2）散装物料避免露天堆放，建设期所需的建筑材料及钢材全部堆存于拟建厂区内，并采用密目网进行苫盖，不得露天堆存；挖出的土方及时清运，不得在厂内堆存，减少堆存产尘，做到物料堆放100%覆盖。</w:t>
            </w:r>
          </w:p>
          <w:p w14:paraId="74CAB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3）委派专人定时对施工区及出厂道路进行洒水抑尘，加强对施工场地内和出厂道路积尘的收集和清理，减少起尘量；进行土方工程工程中采用雾炮机洒水抑尘，做到施工场地100%湿法作业；场地清理（包括建筑拆除）和土方开挖时要避开大风天气，重污染天气应停止一切室外施工活动。</w:t>
            </w:r>
          </w:p>
          <w:p w14:paraId="0AD8D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（4）加强厂区及周边道路硬化，保证施工区域内地面除绿化带外全部硬化，做到施工现场地面100%硬化。</w:t>
            </w:r>
          </w:p>
          <w:p w14:paraId="2929A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（5）厂区进出口设自动洗车平台对车辆轮胎及车身清洗，避免将泥土及灰尘带出施工区，做到出入厂车辆100%冲洗。</w:t>
            </w:r>
          </w:p>
          <w:p w14:paraId="0D99E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hAnsi="宋体"/>
                <w:color w:val="auto"/>
                <w:sz w:val="24"/>
              </w:rPr>
              <w:t>（6）施工建材（散装）及渣土运输必须采取封闭运输，运输车辆必须加盖篷布或采用封闭厢式车运输、不得超载，装卸时要轻装慢卸，做到渣土车辆100%密闭运输。</w:t>
            </w:r>
          </w:p>
          <w:p w14:paraId="121049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rPr>
            </w:pPr>
            <w:r>
              <w:rPr>
                <w:rFonts w:hint="eastAsia" w:cs="Times New Roman"/>
                <w:b/>
                <w:color w:val="auto"/>
                <w:spacing w:val="0"/>
                <w:sz w:val="24"/>
                <w:szCs w:val="24"/>
                <w:highlight w:val="none"/>
                <w:lang w:val="en-US" w:eastAsia="zh-CN"/>
              </w:rPr>
              <w:t>二、</w:t>
            </w:r>
            <w:r>
              <w:rPr>
                <w:rFonts w:hint="default" w:ascii="Times New Roman" w:hAnsi="Times New Roman" w:eastAsia="宋体" w:cs="Times New Roman"/>
                <w:b/>
                <w:color w:val="auto"/>
                <w:spacing w:val="0"/>
                <w:sz w:val="24"/>
                <w:szCs w:val="24"/>
                <w:highlight w:val="none"/>
              </w:rPr>
              <w:t>施工期水环境污染防治措施</w:t>
            </w:r>
          </w:p>
          <w:p w14:paraId="062F1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本项目施工期废水主要为施工设备冲洗产生的施工废水和施工人员产生的生活污水。</w:t>
            </w:r>
          </w:p>
          <w:p w14:paraId="1AE0E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评价要求采取如下废水处置措施：</w:t>
            </w:r>
          </w:p>
          <w:p w14:paraId="08DED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（1）加强施工用水的管理，减少废水产生；</w:t>
            </w:r>
          </w:p>
          <w:p w14:paraId="30717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（2）设备冲洗固定地点，冲洗废水收集后用于抑尘洒水，严禁废水任意流淌；</w:t>
            </w:r>
          </w:p>
          <w:p w14:paraId="6A005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（3）生活污水排入厂区现有旱厕，用于农田施肥。</w:t>
            </w:r>
          </w:p>
          <w:p w14:paraId="32CC36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cs="Times New Roman"/>
                <w:b/>
                <w:color w:val="auto"/>
                <w:spacing w:val="0"/>
                <w:sz w:val="24"/>
                <w:szCs w:val="24"/>
                <w:highlight w:val="none"/>
                <w:lang w:val="en-US" w:eastAsia="zh-CN"/>
              </w:rPr>
              <w:t>三、</w:t>
            </w:r>
            <w:r>
              <w:rPr>
                <w:rFonts w:hint="default" w:ascii="Times New Roman" w:hAnsi="Times New Roman" w:eastAsia="宋体" w:cs="Times New Roman"/>
                <w:b/>
                <w:color w:val="auto"/>
                <w:spacing w:val="0"/>
                <w:sz w:val="24"/>
                <w:szCs w:val="24"/>
                <w:highlight w:val="none"/>
                <w:lang w:val="en-US" w:eastAsia="zh-CN"/>
              </w:rPr>
              <w:t>施工期固体废物环境污染防治措施</w:t>
            </w:r>
          </w:p>
          <w:p w14:paraId="055FF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施工期的固体废物主要有场地清理产生的建筑垃圾和施工人员的生活垃圾。</w:t>
            </w:r>
          </w:p>
          <w:p w14:paraId="621E7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评价要求采取的固废处置措施：</w:t>
            </w:r>
          </w:p>
          <w:p w14:paraId="6F610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（1）施工期产生的建筑垃圾分类收集，可回收利用的要进行再利用或出售，无法利用的运输至屯留区指定建筑垃圾填埋场填埋处理。</w:t>
            </w:r>
          </w:p>
          <w:p w14:paraId="73F4A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hAnsi="宋体"/>
                <w:color w:val="auto"/>
                <w:sz w:val="24"/>
              </w:rPr>
            </w:pPr>
            <w:r>
              <w:rPr>
                <w:rFonts w:hint="eastAsia" w:hAnsi="宋体"/>
                <w:color w:val="auto"/>
                <w:sz w:val="24"/>
              </w:rPr>
              <w:t>（2）施工场地设置封闭垃圾收集桶，生活垃圾定点收集，定期清运至屯留区指定垃圾堆放点处置，严禁垃圾随意丢弃。</w:t>
            </w:r>
          </w:p>
          <w:p w14:paraId="3FF6F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cs="Times New Roman"/>
                <w:b/>
                <w:color w:val="auto"/>
                <w:spacing w:val="0"/>
                <w:sz w:val="24"/>
                <w:szCs w:val="24"/>
                <w:highlight w:val="none"/>
                <w:lang w:val="en-US" w:eastAsia="zh-CN"/>
              </w:rPr>
              <w:t>四、</w:t>
            </w:r>
            <w:r>
              <w:rPr>
                <w:rFonts w:hint="default" w:ascii="Times New Roman" w:hAnsi="Times New Roman" w:eastAsia="宋体" w:cs="Times New Roman"/>
                <w:b/>
                <w:color w:val="auto"/>
                <w:spacing w:val="0"/>
                <w:sz w:val="24"/>
                <w:szCs w:val="24"/>
                <w:highlight w:val="none"/>
                <w:lang w:val="en-US" w:eastAsia="zh-CN"/>
              </w:rPr>
              <w:t>施工期声环境污染防治措施</w:t>
            </w:r>
          </w:p>
          <w:p w14:paraId="6CCAA1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施工期主要噪声源为</w:t>
            </w:r>
            <w:r>
              <w:rPr>
                <w:rFonts w:hint="default" w:ascii="Times New Roman" w:hAnsi="Times New Roman" w:cs="Times New Roman"/>
                <w:bCs/>
                <w:color w:val="auto"/>
                <w:sz w:val="24"/>
                <w:highlight w:val="none"/>
                <w:lang w:val="en-US" w:eastAsia="zh-CN"/>
              </w:rPr>
              <w:t>施工场地噪声</w:t>
            </w:r>
            <w:r>
              <w:rPr>
                <w:rFonts w:hint="eastAsia" w:ascii="Times New Roman" w:hAnsi="Times New Roman" w:cs="Times New Roman"/>
                <w:bCs/>
                <w:color w:val="auto"/>
                <w:sz w:val="24"/>
                <w:highlight w:val="none"/>
                <w:lang w:val="en-US" w:eastAsia="zh-CN"/>
              </w:rPr>
              <w:t>以及建筑物料运输造成的交通噪声</w:t>
            </w:r>
            <w:r>
              <w:rPr>
                <w:rFonts w:hint="default" w:ascii="Times New Roman" w:hAnsi="Times New Roman" w:cs="Times New Roman"/>
                <w:bCs/>
                <w:color w:val="auto"/>
                <w:sz w:val="24"/>
                <w:highlight w:val="none"/>
              </w:rPr>
              <w:t>。</w:t>
            </w:r>
          </w:p>
          <w:p w14:paraId="50DCC3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pacing w:val="0"/>
                <w:sz w:val="24"/>
                <w:szCs w:val="20"/>
                <w:highlight w:val="none"/>
              </w:rPr>
            </w:pPr>
            <w:r>
              <w:rPr>
                <w:rFonts w:hint="default" w:ascii="Times New Roman" w:hAnsi="Times New Roman" w:eastAsia="宋体" w:cs="Times New Roman"/>
                <w:b w:val="0"/>
                <w:bCs w:val="0"/>
                <w:color w:val="auto"/>
                <w:spacing w:val="0"/>
                <w:sz w:val="24"/>
                <w:szCs w:val="20"/>
                <w:highlight w:val="none"/>
              </w:rPr>
              <w:t>为了避免施工噪声对周围环境造成影响，建设单位拟采取以下措施：</w:t>
            </w:r>
          </w:p>
          <w:p w14:paraId="55492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1）施工单位应使用符合国家标准的低噪声机械设备，并在施工中应有专人对其进行保养维护，施工单位应对现场使用设备的人员进行培训，严格按操作规范使用各类机械；保持设备处于良好的运转状态，闲置设备及时关闭，定时检修。</w:t>
            </w:r>
          </w:p>
          <w:p w14:paraId="6B7F6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（2）在施工的结构阶段和装修阶段，对建筑物的外部采用围挡，设置高噪声设备施工带减轻施工噪声对外环境的影响。</w:t>
            </w:r>
          </w:p>
          <w:p w14:paraId="7FFE3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3</w:t>
            </w:r>
            <w:r>
              <w:rPr>
                <w:rFonts w:hint="default" w:ascii="Times New Roman" w:hAnsi="Times New Roman" w:eastAsia="宋体" w:cs="Times New Roman"/>
                <w:color w:val="auto"/>
                <w:sz w:val="24"/>
                <w:szCs w:val="20"/>
                <w:highlight w:val="none"/>
                <w:lang w:val="en-US" w:eastAsia="zh-CN"/>
              </w:rPr>
              <w:t>）加强管理，文明施工，施工所需材料均为外购成品，严禁在施工营地和施工沿线进行材料加工，减轻对沿线敏感点居民造成的影响。</w:t>
            </w:r>
          </w:p>
          <w:p w14:paraId="16708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4</w:t>
            </w:r>
            <w:r>
              <w:rPr>
                <w:rFonts w:hint="default" w:ascii="Times New Roman" w:hAnsi="Times New Roman" w:eastAsia="宋体" w:cs="Times New Roman"/>
                <w:color w:val="auto"/>
                <w:sz w:val="24"/>
                <w:szCs w:val="20"/>
                <w:highlight w:val="none"/>
                <w:lang w:val="en-US" w:eastAsia="zh-CN"/>
              </w:rPr>
              <w:t>）施工活动均在昼间进行，严禁在夜间进行，不在同一时间集中使用大量的动力机械设备，期间若使用噪声值大的设备则分散使用，保证周边居民的正常休息。</w:t>
            </w:r>
          </w:p>
          <w:p w14:paraId="312D6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5</w:t>
            </w:r>
            <w:r>
              <w:rPr>
                <w:rFonts w:hint="default" w:ascii="Times New Roman" w:hAnsi="Times New Roman" w:eastAsia="宋体" w:cs="Times New Roman"/>
                <w:color w:val="auto"/>
                <w:sz w:val="24"/>
                <w:szCs w:val="20"/>
                <w:highlight w:val="none"/>
                <w:lang w:val="en-US" w:eastAsia="zh-CN"/>
              </w:rPr>
              <w:t>）对于运输建筑材料、土石方等物料的车辆，不在敏感时段运输，加强管理，车辆减速、不鸣笛，场地内运输车辆不长时间行驶</w:t>
            </w:r>
            <w:r>
              <w:rPr>
                <w:rFonts w:hint="default" w:ascii="Times New Roman" w:hAnsi="Times New Roman" w:eastAsia="宋体" w:cs="Times New Roman"/>
                <w:color w:val="auto"/>
                <w:sz w:val="24"/>
                <w:szCs w:val="20"/>
                <w:highlight w:val="none"/>
              </w:rPr>
              <w:t>。</w:t>
            </w:r>
          </w:p>
          <w:p w14:paraId="67469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2669F8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4F840A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36850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1A583B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77A316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3B1911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5951A9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5DE81F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265C4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383BC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5A5240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10ACB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1D8C5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p>
          <w:p w14:paraId="3A900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0" w:firstLineChars="200"/>
              <w:jc w:val="both"/>
              <w:textAlignment w:val="auto"/>
              <w:rPr>
                <w:rFonts w:hint="eastAsia" w:ascii="Times New Roman" w:hAnsi="Times New Roman" w:eastAsia="宋体" w:cs="Times New Roman"/>
                <w:bCs/>
                <w:color w:val="auto"/>
                <w:spacing w:val="-10"/>
                <w:sz w:val="24"/>
                <w:szCs w:val="24"/>
                <w:highlight w:val="none"/>
                <w:lang w:eastAsia="zh-CN"/>
              </w:rPr>
            </w:pPr>
          </w:p>
        </w:tc>
      </w:tr>
    </w:tbl>
    <w:p w14:paraId="6B2203F2">
      <w:pPr>
        <w:rPr>
          <w:color w:val="auto"/>
          <w:highlight w:val="none"/>
        </w:rPr>
        <w:sectPr>
          <w:headerReference r:id="rId7" w:type="default"/>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29"/>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4085"/>
      </w:tblGrid>
      <w:tr w14:paraId="3449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655" w:type="dxa"/>
            <w:vAlign w:val="center"/>
          </w:tcPr>
          <w:p w14:paraId="4FC53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val="0"/>
                <w:color w:val="auto"/>
                <w:spacing w:val="-10"/>
                <w:sz w:val="24"/>
                <w:szCs w:val="24"/>
                <w:highlight w:val="none"/>
                <w:vertAlign w:val="baseline"/>
                <w:lang w:val="en-US" w:eastAsia="zh-CN"/>
              </w:rPr>
            </w:pPr>
            <w:r>
              <w:rPr>
                <w:rFonts w:hint="default" w:ascii="Times New Roman" w:hAnsi="Times New Roman" w:eastAsia="宋体" w:cs="Times New Roman"/>
                <w:bCs/>
                <w:color w:val="auto"/>
                <w:szCs w:val="21"/>
                <w:highlight w:val="none"/>
                <w:lang w:val="en-US" w:eastAsia="zh-CN"/>
              </w:rPr>
              <w:t>运营期环境影响和保护措施</w:t>
            </w:r>
          </w:p>
        </w:tc>
        <w:tc>
          <w:tcPr>
            <w:tcW w:w="14085" w:type="dxa"/>
          </w:tcPr>
          <w:p w14:paraId="55E008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cs="Times New Roman"/>
                <w:b/>
                <w:color w:val="auto"/>
                <w:spacing w:val="0"/>
                <w:sz w:val="24"/>
                <w:szCs w:val="24"/>
                <w:highlight w:val="none"/>
                <w:lang w:val="en-US" w:eastAsia="zh-CN"/>
              </w:rPr>
              <w:t>一、</w:t>
            </w:r>
            <w:r>
              <w:rPr>
                <w:rFonts w:hint="eastAsia" w:ascii="Times New Roman" w:hAnsi="Times New Roman" w:eastAsia="宋体" w:cs="Times New Roman"/>
                <w:b/>
                <w:color w:val="auto"/>
                <w:spacing w:val="0"/>
                <w:sz w:val="24"/>
                <w:szCs w:val="24"/>
                <w:highlight w:val="none"/>
                <w:lang w:val="en-US" w:eastAsia="zh-CN"/>
              </w:rPr>
              <w:t>废气</w:t>
            </w:r>
          </w:p>
          <w:p w14:paraId="1876C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本项目大气污染源产生排放情况见表4-1。</w:t>
            </w:r>
          </w:p>
          <w:p w14:paraId="246003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z w:val="21"/>
                <w:szCs w:val="16"/>
                <w:highlight w:val="none"/>
                <w:lang w:val="en-US" w:eastAsia="zh-CN"/>
              </w:rPr>
            </w:pPr>
            <w:r>
              <w:rPr>
                <w:rFonts w:hint="default" w:ascii="Times New Roman" w:hAnsi="Times New Roman" w:eastAsia="宋体" w:cs="Times New Roman"/>
                <w:b/>
                <w:bCs w:val="0"/>
                <w:color w:val="auto"/>
                <w:sz w:val="21"/>
                <w:szCs w:val="16"/>
                <w:highlight w:val="none"/>
                <w:lang w:val="en-US" w:eastAsia="zh-CN"/>
              </w:rPr>
              <w:t>表4-1  大气污染源产生排放情况表</w:t>
            </w:r>
          </w:p>
          <w:tbl>
            <w:tblPr>
              <w:tblStyle w:val="28"/>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9"/>
              <w:gridCol w:w="1019"/>
              <w:gridCol w:w="882"/>
              <w:gridCol w:w="922"/>
              <w:gridCol w:w="852"/>
              <w:gridCol w:w="720"/>
              <w:gridCol w:w="1127"/>
              <w:gridCol w:w="647"/>
              <w:gridCol w:w="678"/>
              <w:gridCol w:w="971"/>
              <w:gridCol w:w="933"/>
              <w:gridCol w:w="892"/>
              <w:gridCol w:w="778"/>
              <w:gridCol w:w="849"/>
              <w:gridCol w:w="747"/>
              <w:gridCol w:w="726"/>
              <w:gridCol w:w="634"/>
            </w:tblGrid>
            <w:tr w14:paraId="5F0A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5" w:type="pct"/>
                  <w:vMerge w:val="restart"/>
                  <w:tcBorders>
                    <w:tl2br w:val="nil"/>
                    <w:tr2bl w:val="nil"/>
                  </w:tcBorders>
                  <w:vAlign w:val="center"/>
                </w:tcPr>
                <w:p w14:paraId="0C71606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368" w:type="pct"/>
                  <w:vMerge w:val="restart"/>
                  <w:tcBorders>
                    <w:tl2br w:val="nil"/>
                    <w:tr2bl w:val="nil"/>
                  </w:tcBorders>
                  <w:vAlign w:val="center"/>
                </w:tcPr>
                <w:p w14:paraId="585B831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产排污</w:t>
                  </w:r>
                </w:p>
                <w:p w14:paraId="236B111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环节</w:t>
                  </w:r>
                </w:p>
              </w:tc>
              <w:tc>
                <w:tcPr>
                  <w:tcW w:w="318" w:type="pct"/>
                  <w:vMerge w:val="restart"/>
                  <w:tcBorders>
                    <w:tl2br w:val="nil"/>
                    <w:tr2bl w:val="nil"/>
                  </w:tcBorders>
                  <w:vAlign w:val="center"/>
                </w:tcPr>
                <w:p w14:paraId="5A66653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w:t>
                  </w:r>
                </w:p>
                <w:p w14:paraId="3D3C1AC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种类</w:t>
                  </w:r>
                </w:p>
              </w:tc>
              <w:tc>
                <w:tcPr>
                  <w:tcW w:w="332" w:type="pct"/>
                  <w:vMerge w:val="restart"/>
                  <w:tcBorders>
                    <w:tl2br w:val="nil"/>
                    <w:tr2bl w:val="nil"/>
                  </w:tcBorders>
                  <w:vAlign w:val="center"/>
                </w:tcPr>
                <w:p w14:paraId="5FA6C6B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污染物产生浓度mg/m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308" w:type="pct"/>
                  <w:vMerge w:val="restart"/>
                  <w:tcBorders>
                    <w:tl2br w:val="nil"/>
                    <w:tr2bl w:val="nil"/>
                  </w:tcBorders>
                  <w:vAlign w:val="center"/>
                </w:tcPr>
                <w:p w14:paraId="0D4D798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污染物产生速率kg/h</w:t>
                  </w:r>
                </w:p>
              </w:tc>
              <w:tc>
                <w:tcPr>
                  <w:tcW w:w="260" w:type="pct"/>
                  <w:vMerge w:val="restart"/>
                  <w:tcBorders>
                    <w:tl2br w:val="nil"/>
                    <w:tr2bl w:val="nil"/>
                  </w:tcBorders>
                  <w:vAlign w:val="center"/>
                </w:tcPr>
                <w:p w14:paraId="16CADEE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w:t>
                  </w:r>
                </w:p>
                <w:p w14:paraId="4286D06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方式</w:t>
                  </w:r>
                </w:p>
              </w:tc>
              <w:tc>
                <w:tcPr>
                  <w:tcW w:w="1573" w:type="pct"/>
                  <w:gridSpan w:val="5"/>
                  <w:tcBorders>
                    <w:tl2br w:val="nil"/>
                    <w:tr2bl w:val="nil"/>
                  </w:tcBorders>
                  <w:vAlign w:val="center"/>
                </w:tcPr>
                <w:p w14:paraId="2C44AF6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治理设施</w:t>
                  </w:r>
                </w:p>
              </w:tc>
              <w:tc>
                <w:tcPr>
                  <w:tcW w:w="322" w:type="pct"/>
                  <w:vMerge w:val="restart"/>
                  <w:tcBorders>
                    <w:tl2br w:val="nil"/>
                    <w:tr2bl w:val="nil"/>
                  </w:tcBorders>
                  <w:vAlign w:val="center"/>
                </w:tcPr>
                <w:p w14:paraId="4495E3B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污染物排放浓度mg/m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281" w:type="pct"/>
                  <w:vMerge w:val="restart"/>
                  <w:tcBorders>
                    <w:tl2br w:val="nil"/>
                    <w:tr2bl w:val="nil"/>
                  </w:tcBorders>
                  <w:vAlign w:val="center"/>
                </w:tcPr>
                <w:p w14:paraId="28F3825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污染物排放速率kg/h</w:t>
                  </w:r>
                </w:p>
              </w:tc>
              <w:tc>
                <w:tcPr>
                  <w:tcW w:w="307" w:type="pct"/>
                  <w:vMerge w:val="restart"/>
                  <w:tcBorders>
                    <w:tl2br w:val="nil"/>
                    <w:tr2bl w:val="nil"/>
                  </w:tcBorders>
                  <w:vAlign w:val="center"/>
                </w:tcPr>
                <w:p w14:paraId="56228D0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年运行时间h</w:t>
                  </w:r>
                </w:p>
              </w:tc>
              <w:tc>
                <w:tcPr>
                  <w:tcW w:w="270" w:type="pct"/>
                  <w:vMerge w:val="restart"/>
                  <w:tcBorders>
                    <w:tl2br w:val="nil"/>
                    <w:tr2bl w:val="nil"/>
                  </w:tcBorders>
                  <w:vAlign w:val="center"/>
                </w:tcPr>
                <w:p w14:paraId="646D35F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污染物排放量t/a</w:t>
                  </w:r>
                </w:p>
              </w:tc>
              <w:tc>
                <w:tcPr>
                  <w:tcW w:w="262" w:type="pct"/>
                  <w:vMerge w:val="restart"/>
                  <w:tcBorders>
                    <w:tl2br w:val="nil"/>
                    <w:tr2bl w:val="nil"/>
                  </w:tcBorders>
                  <w:vAlign w:val="center"/>
                </w:tcPr>
                <w:p w14:paraId="20FDC56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排放口编号</w:t>
                  </w:r>
                </w:p>
              </w:tc>
              <w:tc>
                <w:tcPr>
                  <w:tcW w:w="229" w:type="pct"/>
                  <w:vMerge w:val="restart"/>
                  <w:tcBorders>
                    <w:tl2br w:val="nil"/>
                    <w:tr2bl w:val="nil"/>
                  </w:tcBorders>
                  <w:vAlign w:val="center"/>
                </w:tcPr>
                <w:p w14:paraId="2482D50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排放标准mg/m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r>
            <w:tr w14:paraId="169A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5" w:type="pct"/>
                  <w:vMerge w:val="continue"/>
                  <w:tcBorders>
                    <w:tl2br w:val="nil"/>
                    <w:tr2bl w:val="nil"/>
                  </w:tcBorders>
                  <w:vAlign w:val="center"/>
                </w:tcPr>
                <w:p w14:paraId="289252C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68" w:type="pct"/>
                  <w:vMerge w:val="continue"/>
                  <w:tcBorders>
                    <w:tl2br w:val="nil"/>
                    <w:tr2bl w:val="nil"/>
                  </w:tcBorders>
                  <w:vAlign w:val="center"/>
                </w:tcPr>
                <w:p w14:paraId="31D1195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8" w:type="pct"/>
                  <w:vMerge w:val="continue"/>
                  <w:tcBorders>
                    <w:tl2br w:val="nil"/>
                    <w:tr2bl w:val="nil"/>
                  </w:tcBorders>
                  <w:vAlign w:val="center"/>
                </w:tcPr>
                <w:p w14:paraId="79762AC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32" w:type="pct"/>
                  <w:vMerge w:val="continue"/>
                  <w:tcBorders>
                    <w:tl2br w:val="nil"/>
                    <w:tr2bl w:val="nil"/>
                  </w:tcBorders>
                  <w:vAlign w:val="center"/>
                </w:tcPr>
                <w:p w14:paraId="084BE67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08" w:type="pct"/>
                  <w:vMerge w:val="continue"/>
                  <w:tcBorders>
                    <w:tl2br w:val="nil"/>
                    <w:tr2bl w:val="nil"/>
                  </w:tcBorders>
                  <w:vAlign w:val="center"/>
                </w:tcPr>
                <w:p w14:paraId="0899FFB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0" w:type="pct"/>
                  <w:vMerge w:val="continue"/>
                  <w:tcBorders>
                    <w:tl2br w:val="nil"/>
                    <w:tr2bl w:val="nil"/>
                  </w:tcBorders>
                  <w:vAlign w:val="center"/>
                </w:tcPr>
                <w:p w14:paraId="4D942EB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407" w:type="pct"/>
                  <w:tcBorders>
                    <w:tl2br w:val="nil"/>
                    <w:tr2bl w:val="nil"/>
                  </w:tcBorders>
                  <w:vAlign w:val="center"/>
                </w:tcPr>
                <w:p w14:paraId="12EDC40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污染防治</w:t>
                  </w:r>
                </w:p>
                <w:p w14:paraId="01B9EB6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设施</w:t>
                  </w:r>
                </w:p>
              </w:tc>
              <w:tc>
                <w:tcPr>
                  <w:tcW w:w="233" w:type="pct"/>
                  <w:tcBorders>
                    <w:tl2br w:val="nil"/>
                    <w:tr2bl w:val="nil"/>
                  </w:tcBorders>
                  <w:vAlign w:val="center"/>
                </w:tcPr>
                <w:p w14:paraId="496AC74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风量</w:t>
                  </w:r>
                </w:p>
                <w:p w14:paraId="68F4F8D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/h</w:t>
                  </w:r>
                </w:p>
              </w:tc>
              <w:tc>
                <w:tcPr>
                  <w:tcW w:w="245" w:type="pct"/>
                  <w:tcBorders>
                    <w:tl2br w:val="nil"/>
                    <w:tr2bl w:val="nil"/>
                  </w:tcBorders>
                  <w:vAlign w:val="center"/>
                </w:tcPr>
                <w:p w14:paraId="2242466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收集效率</w:t>
                  </w:r>
                  <w:r>
                    <w:rPr>
                      <w:rFonts w:hint="default" w:ascii="Times New Roman" w:hAnsi="Times New Roman" w:eastAsia="宋体" w:cs="Times New Roman"/>
                      <w:b w:val="0"/>
                      <w:bCs w:val="0"/>
                      <w:color w:val="auto"/>
                      <w:kern w:val="2"/>
                      <w:sz w:val="21"/>
                      <w:szCs w:val="21"/>
                      <w:highlight w:val="none"/>
                      <w:lang w:val="en-US" w:eastAsia="zh-CN" w:bidi="ar-SA"/>
                    </w:rPr>
                    <w:t>%</w:t>
                  </w:r>
                </w:p>
              </w:tc>
              <w:tc>
                <w:tcPr>
                  <w:tcW w:w="350" w:type="pct"/>
                  <w:tcBorders>
                    <w:tl2br w:val="nil"/>
                    <w:tr2bl w:val="nil"/>
                  </w:tcBorders>
                  <w:vAlign w:val="center"/>
                </w:tcPr>
                <w:p w14:paraId="4D1422B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治理工艺去除率</w:t>
                  </w:r>
                  <w:r>
                    <w:rPr>
                      <w:rFonts w:hint="default" w:ascii="Times New Roman" w:hAnsi="Times New Roman" w:eastAsia="宋体" w:cs="Times New Roman"/>
                      <w:b w:val="0"/>
                      <w:bCs w:val="0"/>
                      <w:color w:val="auto"/>
                      <w:kern w:val="2"/>
                      <w:sz w:val="21"/>
                      <w:szCs w:val="21"/>
                      <w:highlight w:val="none"/>
                      <w:lang w:val="en-US" w:eastAsia="zh-CN" w:bidi="ar-SA"/>
                    </w:rPr>
                    <w:t>%</w:t>
                  </w:r>
                </w:p>
              </w:tc>
              <w:tc>
                <w:tcPr>
                  <w:tcW w:w="336" w:type="pct"/>
                  <w:tcBorders>
                    <w:tl2br w:val="nil"/>
                    <w:tr2bl w:val="nil"/>
                  </w:tcBorders>
                  <w:vAlign w:val="center"/>
                </w:tcPr>
                <w:p w14:paraId="29CEF90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是否为可行技术</w:t>
                  </w:r>
                </w:p>
              </w:tc>
              <w:tc>
                <w:tcPr>
                  <w:tcW w:w="322" w:type="pct"/>
                  <w:vMerge w:val="continue"/>
                  <w:tcBorders>
                    <w:tl2br w:val="nil"/>
                    <w:tr2bl w:val="nil"/>
                  </w:tcBorders>
                  <w:vAlign w:val="center"/>
                </w:tcPr>
                <w:p w14:paraId="0DF116C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81" w:type="pct"/>
                  <w:vMerge w:val="continue"/>
                  <w:tcBorders>
                    <w:tl2br w:val="nil"/>
                    <w:tr2bl w:val="nil"/>
                  </w:tcBorders>
                  <w:vAlign w:val="center"/>
                </w:tcPr>
                <w:p w14:paraId="65F8293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07" w:type="pct"/>
                  <w:vMerge w:val="continue"/>
                  <w:tcBorders>
                    <w:tl2br w:val="nil"/>
                    <w:tr2bl w:val="nil"/>
                  </w:tcBorders>
                  <w:vAlign w:val="center"/>
                </w:tcPr>
                <w:p w14:paraId="179717B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70" w:type="pct"/>
                  <w:vMerge w:val="continue"/>
                  <w:tcBorders>
                    <w:tl2br w:val="nil"/>
                    <w:tr2bl w:val="nil"/>
                  </w:tcBorders>
                  <w:vAlign w:val="center"/>
                </w:tcPr>
                <w:p w14:paraId="49F1EA3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2" w:type="pct"/>
                  <w:vMerge w:val="continue"/>
                  <w:tcBorders>
                    <w:tl2br w:val="nil"/>
                    <w:tr2bl w:val="nil"/>
                  </w:tcBorders>
                  <w:vAlign w:val="center"/>
                </w:tcPr>
                <w:p w14:paraId="7E06E16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29" w:type="pct"/>
                  <w:vMerge w:val="continue"/>
                  <w:tcBorders>
                    <w:tl2br w:val="nil"/>
                    <w:tr2bl w:val="nil"/>
                  </w:tcBorders>
                  <w:vAlign w:val="center"/>
                </w:tcPr>
                <w:p w14:paraId="6B75357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r w14:paraId="55B2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5" w:type="pct"/>
                  <w:tcBorders>
                    <w:tl2br w:val="nil"/>
                    <w:tr2bl w:val="nil"/>
                  </w:tcBorders>
                  <w:vAlign w:val="center"/>
                </w:tcPr>
                <w:p w14:paraId="4D94AF4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w:t>
                  </w:r>
                </w:p>
              </w:tc>
              <w:tc>
                <w:tcPr>
                  <w:tcW w:w="368" w:type="pct"/>
                  <w:tcBorders>
                    <w:tl2br w:val="nil"/>
                    <w:tr2bl w:val="nil"/>
                  </w:tcBorders>
                  <w:shd w:val="clear" w:color="auto" w:fill="auto"/>
                  <w:vAlign w:val="center"/>
                </w:tcPr>
                <w:p w14:paraId="24AEA59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运输废气</w:t>
                  </w:r>
                </w:p>
              </w:tc>
              <w:tc>
                <w:tcPr>
                  <w:tcW w:w="318" w:type="pct"/>
                  <w:tcBorders>
                    <w:tl2br w:val="nil"/>
                    <w:tr2bl w:val="nil"/>
                  </w:tcBorders>
                  <w:shd w:val="clear" w:color="auto" w:fill="auto"/>
                  <w:vAlign w:val="center"/>
                </w:tcPr>
                <w:p w14:paraId="5E5E35C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332" w:type="pct"/>
                  <w:tcBorders>
                    <w:tl2br w:val="nil"/>
                    <w:tr2bl w:val="nil"/>
                  </w:tcBorders>
                  <w:shd w:val="clear" w:color="auto" w:fill="auto"/>
                  <w:vAlign w:val="center"/>
                </w:tcPr>
                <w:p w14:paraId="2C177892">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w:t>
                  </w:r>
                </w:p>
              </w:tc>
              <w:tc>
                <w:tcPr>
                  <w:tcW w:w="308" w:type="pct"/>
                  <w:tcBorders>
                    <w:tl2br w:val="nil"/>
                    <w:tr2bl w:val="nil"/>
                  </w:tcBorders>
                  <w:shd w:val="clear" w:color="auto" w:fill="auto"/>
                  <w:vAlign w:val="center"/>
                </w:tcPr>
                <w:p w14:paraId="66DFA47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260" w:type="pct"/>
                  <w:tcBorders>
                    <w:tl2br w:val="nil"/>
                    <w:tr2bl w:val="nil"/>
                  </w:tcBorders>
                  <w:shd w:val="clear" w:color="auto" w:fill="auto"/>
                  <w:vAlign w:val="center"/>
                </w:tcPr>
                <w:p w14:paraId="7158B28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无组织</w:t>
                  </w:r>
                </w:p>
              </w:tc>
              <w:tc>
                <w:tcPr>
                  <w:tcW w:w="1236" w:type="pct"/>
                  <w:gridSpan w:val="4"/>
                  <w:tcBorders>
                    <w:tl2br w:val="nil"/>
                    <w:tr2bl w:val="nil"/>
                  </w:tcBorders>
                  <w:shd w:val="clear" w:color="auto" w:fill="auto"/>
                  <w:vAlign w:val="center"/>
                </w:tcPr>
                <w:p w14:paraId="288F32A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出入口设置全自动洗车平台，出厂对车辆轮胎清洗</w:t>
                  </w:r>
                  <w:r>
                    <w:rPr>
                      <w:rFonts w:hint="default" w:ascii="Times New Roman" w:hAnsi="Times New Roman" w:eastAsia="宋体" w:cs="Times New Roman"/>
                      <w:b w:val="0"/>
                      <w:bCs w:val="0"/>
                      <w:color w:val="auto"/>
                      <w:kern w:val="2"/>
                      <w:sz w:val="21"/>
                      <w:szCs w:val="21"/>
                      <w:highlight w:val="none"/>
                      <w:lang w:val="en-US" w:eastAsia="zh-CN" w:bidi="ar-SA"/>
                    </w:rPr>
                    <w:t>后方可上路</w:t>
                  </w:r>
                  <w:r>
                    <w:rPr>
                      <w:rFonts w:hint="default" w:ascii="Times New Roman" w:hAnsi="Times New Roman" w:cs="Times New Roman"/>
                      <w:b w:val="0"/>
                      <w:bCs w:val="0"/>
                      <w:color w:val="auto"/>
                      <w:sz w:val="21"/>
                      <w:szCs w:val="21"/>
                      <w:highlight w:val="none"/>
                      <w:lang w:eastAsia="zh-CN"/>
                    </w:rPr>
                    <w:t>；对厂区地面、道路全部进行硬化和厂界绿化，道路定时洒水；</w:t>
                  </w:r>
                  <w:r>
                    <w:rPr>
                      <w:rFonts w:hint="default" w:ascii="Times New Roman" w:hAnsi="Times New Roman" w:cs="Times New Roman"/>
                      <w:b w:val="0"/>
                      <w:bCs w:val="0"/>
                      <w:color w:val="auto"/>
                      <w:sz w:val="21"/>
                      <w:szCs w:val="21"/>
                      <w:highlight w:val="none"/>
                    </w:rPr>
                    <w:t>限制汽车超载，</w:t>
                  </w:r>
                  <w:r>
                    <w:rPr>
                      <w:rFonts w:hint="default" w:ascii="Times New Roman" w:hAnsi="Times New Roman" w:cs="Times New Roman"/>
                      <w:b w:val="0"/>
                      <w:bCs w:val="0"/>
                      <w:color w:val="auto"/>
                      <w:sz w:val="21"/>
                      <w:szCs w:val="21"/>
                      <w:highlight w:val="none"/>
                      <w:lang w:val="en-US" w:eastAsia="zh-CN"/>
                    </w:rPr>
                    <w:t>运输</w:t>
                  </w:r>
                  <w:r>
                    <w:rPr>
                      <w:rFonts w:hint="default" w:ascii="Times New Roman" w:hAnsi="Times New Roman" w:cs="Times New Roman"/>
                      <w:b w:val="0"/>
                      <w:bCs w:val="0"/>
                      <w:color w:val="auto"/>
                      <w:sz w:val="21"/>
                      <w:szCs w:val="21"/>
                      <w:highlight w:val="none"/>
                    </w:rPr>
                    <w:t>采用</w:t>
                  </w:r>
                  <w:r>
                    <w:rPr>
                      <w:rFonts w:hint="default" w:ascii="Times New Roman" w:hAnsi="Times New Roman" w:cs="Times New Roman"/>
                      <w:b w:val="0"/>
                      <w:bCs w:val="0"/>
                      <w:color w:val="auto"/>
                      <w:sz w:val="21"/>
                      <w:szCs w:val="21"/>
                      <w:highlight w:val="none"/>
                      <w:lang w:val="en-US" w:eastAsia="zh-CN"/>
                    </w:rPr>
                    <w:t>厢式车，篷布苫盖</w:t>
                  </w:r>
                </w:p>
              </w:tc>
              <w:tc>
                <w:tcPr>
                  <w:tcW w:w="336" w:type="pct"/>
                  <w:tcBorders>
                    <w:tl2br w:val="nil"/>
                    <w:tr2bl w:val="nil"/>
                  </w:tcBorders>
                  <w:shd w:val="clear" w:color="auto" w:fill="auto"/>
                  <w:vAlign w:val="center"/>
                </w:tcPr>
                <w:p w14:paraId="485438D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c>
                <w:tcPr>
                  <w:tcW w:w="322" w:type="pct"/>
                  <w:tcBorders>
                    <w:tl2br w:val="nil"/>
                    <w:tr2bl w:val="nil"/>
                  </w:tcBorders>
                  <w:shd w:val="clear" w:color="auto" w:fill="auto"/>
                  <w:vAlign w:val="center"/>
                </w:tcPr>
                <w:p w14:paraId="128135C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81" w:type="pct"/>
                  <w:tcBorders>
                    <w:tl2br w:val="nil"/>
                    <w:tr2bl w:val="nil"/>
                  </w:tcBorders>
                  <w:shd w:val="clear" w:color="auto" w:fill="auto"/>
                  <w:vAlign w:val="center"/>
                </w:tcPr>
                <w:p w14:paraId="6EA1F77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07" w:type="pct"/>
                  <w:tcBorders>
                    <w:tl2br w:val="nil"/>
                    <w:tr2bl w:val="nil"/>
                  </w:tcBorders>
                  <w:shd w:val="clear" w:color="auto" w:fill="auto"/>
                  <w:vAlign w:val="center"/>
                </w:tcPr>
                <w:p w14:paraId="680FE84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70" w:type="pct"/>
                  <w:tcBorders>
                    <w:tl2br w:val="nil"/>
                    <w:tr2bl w:val="nil"/>
                  </w:tcBorders>
                  <w:shd w:val="clear" w:color="auto" w:fill="auto"/>
                  <w:vAlign w:val="center"/>
                </w:tcPr>
                <w:p w14:paraId="1AE09A3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0.03</w:t>
                  </w:r>
                </w:p>
              </w:tc>
              <w:tc>
                <w:tcPr>
                  <w:tcW w:w="262" w:type="pct"/>
                  <w:tcBorders>
                    <w:tl2br w:val="nil"/>
                    <w:tr2bl w:val="nil"/>
                  </w:tcBorders>
                  <w:shd w:val="clear" w:color="auto" w:fill="auto"/>
                  <w:vAlign w:val="center"/>
                </w:tcPr>
                <w:p w14:paraId="648F302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29" w:type="pct"/>
                  <w:tcBorders>
                    <w:tl2br w:val="nil"/>
                    <w:tr2bl w:val="nil"/>
                  </w:tcBorders>
                  <w:shd w:val="clear" w:color="auto" w:fill="auto"/>
                  <w:vAlign w:val="center"/>
                </w:tcPr>
                <w:p w14:paraId="0200907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r>
            <w:tr w14:paraId="6FB7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5" w:type="pct"/>
                  <w:tcBorders>
                    <w:tl2br w:val="nil"/>
                    <w:tr2bl w:val="nil"/>
                  </w:tcBorders>
                  <w:vAlign w:val="center"/>
                </w:tcPr>
                <w:p w14:paraId="2DD5D20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w:t>
                  </w:r>
                </w:p>
              </w:tc>
              <w:tc>
                <w:tcPr>
                  <w:tcW w:w="368" w:type="pct"/>
                  <w:tcBorders>
                    <w:tl2br w:val="nil"/>
                    <w:tr2bl w:val="nil"/>
                  </w:tcBorders>
                  <w:shd w:val="clear" w:color="auto" w:fill="auto"/>
                  <w:vAlign w:val="center"/>
                </w:tcPr>
                <w:p w14:paraId="7816A11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原料及成品堆放、装卸废气</w:t>
                  </w:r>
                </w:p>
              </w:tc>
              <w:tc>
                <w:tcPr>
                  <w:tcW w:w="318" w:type="pct"/>
                  <w:tcBorders>
                    <w:tl2br w:val="nil"/>
                    <w:tr2bl w:val="nil"/>
                  </w:tcBorders>
                  <w:shd w:val="clear" w:color="auto" w:fill="auto"/>
                  <w:vAlign w:val="center"/>
                </w:tcPr>
                <w:p w14:paraId="23890DF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332" w:type="pct"/>
                  <w:tcBorders>
                    <w:tl2br w:val="nil"/>
                    <w:tr2bl w:val="nil"/>
                  </w:tcBorders>
                  <w:shd w:val="clear" w:color="auto" w:fill="auto"/>
                  <w:vAlign w:val="center"/>
                </w:tcPr>
                <w:p w14:paraId="6BD43734">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w:t>
                  </w:r>
                </w:p>
              </w:tc>
              <w:tc>
                <w:tcPr>
                  <w:tcW w:w="308" w:type="pct"/>
                  <w:tcBorders>
                    <w:tl2br w:val="nil"/>
                    <w:tr2bl w:val="nil"/>
                  </w:tcBorders>
                  <w:shd w:val="clear" w:color="auto" w:fill="auto"/>
                  <w:vAlign w:val="center"/>
                </w:tcPr>
                <w:p w14:paraId="4482EEE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260" w:type="pct"/>
                  <w:tcBorders>
                    <w:tl2br w:val="nil"/>
                    <w:tr2bl w:val="nil"/>
                  </w:tcBorders>
                  <w:shd w:val="clear" w:color="auto" w:fill="auto"/>
                  <w:vAlign w:val="center"/>
                </w:tcPr>
                <w:p w14:paraId="177A305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无组织</w:t>
                  </w:r>
                </w:p>
              </w:tc>
              <w:tc>
                <w:tcPr>
                  <w:tcW w:w="1236" w:type="pct"/>
                  <w:gridSpan w:val="4"/>
                  <w:tcBorders>
                    <w:tl2br w:val="nil"/>
                    <w:tr2bl w:val="nil"/>
                  </w:tcBorders>
                  <w:shd w:val="clear" w:color="auto" w:fill="auto"/>
                  <w:vAlign w:val="center"/>
                </w:tcPr>
                <w:p w14:paraId="51D0DF2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全封闭成品库、原料堆放区位于全封闭生产车间内，堆放区顶部设置喷雾洒水抑尘措施，装卸有固定区域，并设有移动式雾炮机抑尘</w:t>
                  </w:r>
                </w:p>
              </w:tc>
              <w:tc>
                <w:tcPr>
                  <w:tcW w:w="336" w:type="pct"/>
                  <w:tcBorders>
                    <w:tl2br w:val="nil"/>
                    <w:tr2bl w:val="nil"/>
                  </w:tcBorders>
                  <w:shd w:val="clear" w:color="auto" w:fill="auto"/>
                  <w:vAlign w:val="center"/>
                </w:tcPr>
                <w:p w14:paraId="2FBE0A2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c>
                <w:tcPr>
                  <w:tcW w:w="322" w:type="pct"/>
                  <w:tcBorders>
                    <w:tl2br w:val="nil"/>
                    <w:tr2bl w:val="nil"/>
                  </w:tcBorders>
                  <w:shd w:val="clear" w:color="auto" w:fill="auto"/>
                  <w:vAlign w:val="center"/>
                </w:tcPr>
                <w:p w14:paraId="09B5C82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81" w:type="pct"/>
                  <w:tcBorders>
                    <w:tl2br w:val="nil"/>
                    <w:tr2bl w:val="nil"/>
                  </w:tcBorders>
                  <w:shd w:val="clear" w:color="auto" w:fill="auto"/>
                  <w:vAlign w:val="center"/>
                </w:tcPr>
                <w:p w14:paraId="3F9BC94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07" w:type="pct"/>
                  <w:tcBorders>
                    <w:tl2br w:val="nil"/>
                    <w:tr2bl w:val="nil"/>
                  </w:tcBorders>
                  <w:shd w:val="clear" w:color="auto" w:fill="auto"/>
                  <w:vAlign w:val="center"/>
                </w:tcPr>
                <w:p w14:paraId="276C2A8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70" w:type="pct"/>
                  <w:tcBorders>
                    <w:tl2br w:val="nil"/>
                    <w:tr2bl w:val="nil"/>
                  </w:tcBorders>
                  <w:shd w:val="clear" w:color="auto" w:fill="auto"/>
                  <w:vAlign w:val="center"/>
                </w:tcPr>
                <w:p w14:paraId="09A5F45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0.95</w:t>
                  </w:r>
                </w:p>
              </w:tc>
              <w:tc>
                <w:tcPr>
                  <w:tcW w:w="262" w:type="pct"/>
                  <w:tcBorders>
                    <w:tl2br w:val="nil"/>
                    <w:tr2bl w:val="nil"/>
                  </w:tcBorders>
                  <w:shd w:val="clear" w:color="auto" w:fill="auto"/>
                  <w:vAlign w:val="center"/>
                </w:tcPr>
                <w:p w14:paraId="2007DAF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29" w:type="pct"/>
                  <w:tcBorders>
                    <w:tl2br w:val="nil"/>
                    <w:tr2bl w:val="nil"/>
                  </w:tcBorders>
                  <w:shd w:val="clear" w:color="auto" w:fill="auto"/>
                  <w:vAlign w:val="center"/>
                </w:tcPr>
                <w:p w14:paraId="02FAA69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r>
            <w:tr w14:paraId="0121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65" w:type="pct"/>
                  <w:vMerge w:val="restart"/>
                  <w:tcBorders>
                    <w:tl2br w:val="nil"/>
                    <w:tr2bl w:val="nil"/>
                  </w:tcBorders>
                  <w:shd w:val="clear" w:color="auto" w:fill="auto"/>
                  <w:vAlign w:val="center"/>
                </w:tcPr>
                <w:p w14:paraId="3A2E426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3</w:t>
                  </w:r>
                </w:p>
              </w:tc>
              <w:tc>
                <w:tcPr>
                  <w:tcW w:w="368" w:type="pct"/>
                  <w:tcBorders>
                    <w:tl2br w:val="nil"/>
                    <w:tr2bl w:val="nil"/>
                  </w:tcBorders>
                  <w:vAlign w:val="center"/>
                </w:tcPr>
                <w:p w14:paraId="743B0E1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给料废气</w:t>
                  </w:r>
                </w:p>
              </w:tc>
              <w:tc>
                <w:tcPr>
                  <w:tcW w:w="318" w:type="pct"/>
                  <w:vMerge w:val="restart"/>
                  <w:tcBorders>
                    <w:tl2br w:val="nil"/>
                    <w:tr2bl w:val="nil"/>
                  </w:tcBorders>
                  <w:vAlign w:val="center"/>
                </w:tcPr>
                <w:p w14:paraId="50712E6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332" w:type="pct"/>
                  <w:vMerge w:val="restart"/>
                  <w:tcBorders>
                    <w:tl2br w:val="nil"/>
                    <w:tr2bl w:val="nil"/>
                  </w:tcBorders>
                  <w:vAlign w:val="center"/>
                </w:tcPr>
                <w:p w14:paraId="0AF98E5B">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1338</w:t>
                  </w:r>
                </w:p>
              </w:tc>
              <w:tc>
                <w:tcPr>
                  <w:tcW w:w="308" w:type="pct"/>
                  <w:tcBorders>
                    <w:tl2br w:val="nil"/>
                    <w:tr2bl w:val="nil"/>
                  </w:tcBorders>
                  <w:vAlign w:val="center"/>
                </w:tcPr>
                <w:p w14:paraId="117B41F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5.7</w:t>
                  </w:r>
                </w:p>
              </w:tc>
              <w:tc>
                <w:tcPr>
                  <w:tcW w:w="260" w:type="pct"/>
                  <w:vMerge w:val="restart"/>
                  <w:tcBorders>
                    <w:tl2br w:val="nil"/>
                    <w:tr2bl w:val="nil"/>
                  </w:tcBorders>
                  <w:vAlign w:val="center"/>
                </w:tcPr>
                <w:p w14:paraId="295EE4B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有组织</w:t>
                  </w:r>
                </w:p>
              </w:tc>
              <w:tc>
                <w:tcPr>
                  <w:tcW w:w="407" w:type="pct"/>
                  <w:vMerge w:val="restart"/>
                  <w:tcBorders>
                    <w:tl2br w:val="nil"/>
                    <w:tr2bl w:val="nil"/>
                  </w:tcBorders>
                  <w:vAlign w:val="center"/>
                </w:tcPr>
                <w:p w14:paraId="5D1C787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袋式除尘器</w:t>
                  </w:r>
                </w:p>
              </w:tc>
              <w:tc>
                <w:tcPr>
                  <w:tcW w:w="233" w:type="pct"/>
                  <w:vMerge w:val="restart"/>
                  <w:tcBorders>
                    <w:tl2br w:val="nil"/>
                    <w:tr2bl w:val="nil"/>
                  </w:tcBorders>
                  <w:vAlign w:val="center"/>
                </w:tcPr>
                <w:p w14:paraId="4A37259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12776</w:t>
                  </w:r>
                </w:p>
              </w:tc>
              <w:tc>
                <w:tcPr>
                  <w:tcW w:w="245" w:type="pct"/>
                  <w:tcBorders>
                    <w:tl2br w:val="nil"/>
                    <w:tr2bl w:val="nil"/>
                  </w:tcBorders>
                  <w:vAlign w:val="center"/>
                </w:tcPr>
                <w:p w14:paraId="7D0BEA8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90</w:t>
                  </w:r>
                </w:p>
              </w:tc>
              <w:tc>
                <w:tcPr>
                  <w:tcW w:w="350" w:type="pct"/>
                  <w:vMerge w:val="restart"/>
                  <w:tcBorders>
                    <w:tl2br w:val="nil"/>
                    <w:tr2bl w:val="nil"/>
                  </w:tcBorders>
                  <w:vAlign w:val="center"/>
                </w:tcPr>
                <w:p w14:paraId="3EEEE05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99.2</w:t>
                  </w:r>
                </w:p>
              </w:tc>
              <w:tc>
                <w:tcPr>
                  <w:tcW w:w="336" w:type="pct"/>
                  <w:vMerge w:val="restart"/>
                  <w:tcBorders>
                    <w:tl2br w:val="nil"/>
                    <w:tr2bl w:val="nil"/>
                  </w:tcBorders>
                  <w:vAlign w:val="center"/>
                </w:tcPr>
                <w:p w14:paraId="481A6F1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c>
                <w:tcPr>
                  <w:tcW w:w="322" w:type="pct"/>
                  <w:vMerge w:val="restart"/>
                  <w:tcBorders>
                    <w:tl2br w:val="nil"/>
                    <w:tr2bl w:val="nil"/>
                  </w:tcBorders>
                  <w:vAlign w:val="center"/>
                </w:tcPr>
                <w:p w14:paraId="47CF927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rPr>
                    <w:t>10</w:t>
                  </w:r>
                </w:p>
              </w:tc>
              <w:tc>
                <w:tcPr>
                  <w:tcW w:w="281" w:type="pct"/>
                  <w:vMerge w:val="restart"/>
                  <w:tcBorders>
                    <w:tl2br w:val="nil"/>
                    <w:tr2bl w:val="nil"/>
                  </w:tcBorders>
                  <w:vAlign w:val="center"/>
                </w:tcPr>
                <w:p w14:paraId="60FBDFE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default" w:ascii="Times New Roman" w:hAnsi="Times New Roman" w:cs="Times New Roman"/>
                      <w:color w:val="auto"/>
                      <w:sz w:val="21"/>
                      <w:szCs w:val="21"/>
                      <w:lang w:val="en-US" w:eastAsia="zh-CN"/>
                    </w:rPr>
                    <w:t>0.13</w:t>
                  </w:r>
                </w:p>
              </w:tc>
              <w:tc>
                <w:tcPr>
                  <w:tcW w:w="307" w:type="pct"/>
                  <w:vMerge w:val="restart"/>
                  <w:tcBorders>
                    <w:tl2br w:val="nil"/>
                    <w:tr2bl w:val="nil"/>
                  </w:tcBorders>
                  <w:vAlign w:val="center"/>
                </w:tcPr>
                <w:p w14:paraId="4EAE7F9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default" w:ascii="Times New Roman" w:hAnsi="Times New Roman" w:cs="Times New Roman"/>
                      <w:b w:val="0"/>
                      <w:bCs w:val="0"/>
                      <w:color w:val="auto"/>
                      <w:kern w:val="2"/>
                      <w:sz w:val="21"/>
                      <w:szCs w:val="21"/>
                      <w:highlight w:val="none"/>
                      <w:u w:val="none"/>
                      <w:lang w:val="en-US" w:eastAsia="zh-CN"/>
                    </w:rPr>
                    <w:t>5280</w:t>
                  </w:r>
                </w:p>
              </w:tc>
              <w:tc>
                <w:tcPr>
                  <w:tcW w:w="270" w:type="pct"/>
                  <w:vMerge w:val="restart"/>
                  <w:tcBorders>
                    <w:tl2br w:val="nil"/>
                    <w:tr2bl w:val="nil"/>
                  </w:tcBorders>
                  <w:vAlign w:val="center"/>
                </w:tcPr>
                <w:p w14:paraId="6E6A58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bidi="ar-SA"/>
                    </w:rPr>
                  </w:pPr>
                  <w:r>
                    <w:rPr>
                      <w:rFonts w:hint="default" w:ascii="Times New Roman" w:hAnsi="Times New Roman" w:cs="Times New Roman"/>
                      <w:bCs/>
                      <w:color w:val="auto"/>
                      <w:sz w:val="21"/>
                      <w:szCs w:val="21"/>
                      <w:lang w:val="en-US" w:eastAsia="zh-CN"/>
                    </w:rPr>
                    <w:t>0.675</w:t>
                  </w:r>
                </w:p>
              </w:tc>
              <w:tc>
                <w:tcPr>
                  <w:tcW w:w="262" w:type="pct"/>
                  <w:vMerge w:val="restart"/>
                  <w:tcBorders>
                    <w:tl2br w:val="nil"/>
                    <w:tr2bl w:val="nil"/>
                  </w:tcBorders>
                  <w:vAlign w:val="center"/>
                </w:tcPr>
                <w:p w14:paraId="3BEBB9F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DA00</w:t>
                  </w:r>
                  <w:r>
                    <w:rPr>
                      <w:rFonts w:hint="default" w:ascii="Times New Roman" w:hAnsi="Times New Roman" w:cs="Times New Roman"/>
                      <w:b w:val="0"/>
                      <w:bCs w:val="0"/>
                      <w:color w:val="auto"/>
                      <w:kern w:val="2"/>
                      <w:sz w:val="21"/>
                      <w:szCs w:val="21"/>
                      <w:highlight w:val="none"/>
                      <w:lang w:val="en-US" w:eastAsia="zh-CN" w:bidi="ar-SA"/>
                    </w:rPr>
                    <w:t>1</w:t>
                  </w:r>
                </w:p>
              </w:tc>
              <w:tc>
                <w:tcPr>
                  <w:tcW w:w="229" w:type="pct"/>
                  <w:vMerge w:val="restart"/>
                  <w:tcBorders>
                    <w:tl2br w:val="nil"/>
                    <w:tr2bl w:val="nil"/>
                  </w:tcBorders>
                  <w:vAlign w:val="center"/>
                </w:tcPr>
                <w:p w14:paraId="2D91C51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rPr>
                    <w:t>10</w:t>
                  </w:r>
                </w:p>
              </w:tc>
            </w:tr>
            <w:tr w14:paraId="3FBA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65" w:type="pct"/>
                  <w:vMerge w:val="continue"/>
                  <w:tcBorders>
                    <w:tl2br w:val="nil"/>
                    <w:tr2bl w:val="nil"/>
                  </w:tcBorders>
                  <w:shd w:val="clear" w:color="auto" w:fill="auto"/>
                  <w:vAlign w:val="center"/>
                </w:tcPr>
                <w:p w14:paraId="1BEBB17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rPr>
                  </w:pPr>
                </w:p>
              </w:tc>
              <w:tc>
                <w:tcPr>
                  <w:tcW w:w="368" w:type="pct"/>
                  <w:tcBorders>
                    <w:tl2br w:val="nil"/>
                    <w:tr2bl w:val="nil"/>
                  </w:tcBorders>
                  <w:vAlign w:val="center"/>
                </w:tcPr>
                <w:p w14:paraId="78660A3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破碎</w:t>
                  </w:r>
                  <w:r>
                    <w:rPr>
                      <w:rFonts w:hint="default" w:ascii="Times New Roman" w:hAnsi="Times New Roman" w:cs="Times New Roman"/>
                      <w:b w:val="0"/>
                      <w:bCs w:val="0"/>
                      <w:color w:val="auto"/>
                      <w:kern w:val="2"/>
                      <w:sz w:val="21"/>
                      <w:szCs w:val="21"/>
                      <w:highlight w:val="none"/>
                      <w:lang w:val="en-US" w:eastAsia="zh-CN" w:bidi="ar-SA"/>
                    </w:rPr>
                    <w:t>废气</w:t>
                  </w:r>
                </w:p>
              </w:tc>
              <w:tc>
                <w:tcPr>
                  <w:tcW w:w="318" w:type="pct"/>
                  <w:vMerge w:val="continue"/>
                  <w:tcBorders>
                    <w:tl2br w:val="nil"/>
                    <w:tr2bl w:val="nil"/>
                  </w:tcBorders>
                  <w:vAlign w:val="center"/>
                </w:tcPr>
                <w:p w14:paraId="650161D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rPr>
                  </w:pPr>
                </w:p>
              </w:tc>
              <w:tc>
                <w:tcPr>
                  <w:tcW w:w="332" w:type="pct"/>
                  <w:vMerge w:val="continue"/>
                  <w:tcBorders>
                    <w:tl2br w:val="nil"/>
                    <w:tr2bl w:val="nil"/>
                  </w:tcBorders>
                  <w:vAlign w:val="center"/>
                </w:tcPr>
                <w:p w14:paraId="0585178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308" w:type="pct"/>
                  <w:tcBorders>
                    <w:tl2br w:val="nil"/>
                    <w:tr2bl w:val="nil"/>
                  </w:tcBorders>
                  <w:vAlign w:val="center"/>
                </w:tcPr>
                <w:p w14:paraId="2D1824B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11.4</w:t>
                  </w:r>
                </w:p>
              </w:tc>
              <w:tc>
                <w:tcPr>
                  <w:tcW w:w="260" w:type="pct"/>
                  <w:vMerge w:val="continue"/>
                  <w:tcBorders>
                    <w:tl2br w:val="nil"/>
                    <w:tr2bl w:val="nil"/>
                  </w:tcBorders>
                  <w:vAlign w:val="center"/>
                </w:tcPr>
                <w:p w14:paraId="5858E93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407" w:type="pct"/>
                  <w:vMerge w:val="continue"/>
                  <w:tcBorders>
                    <w:tl2br w:val="nil"/>
                    <w:tr2bl w:val="nil"/>
                  </w:tcBorders>
                  <w:vAlign w:val="center"/>
                </w:tcPr>
                <w:p w14:paraId="3D72E59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233" w:type="pct"/>
                  <w:vMerge w:val="continue"/>
                  <w:tcBorders>
                    <w:tl2br w:val="nil"/>
                    <w:tr2bl w:val="nil"/>
                  </w:tcBorders>
                  <w:vAlign w:val="center"/>
                </w:tcPr>
                <w:p w14:paraId="3786108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245" w:type="pct"/>
                  <w:tcBorders>
                    <w:tl2br w:val="nil"/>
                    <w:tr2bl w:val="nil"/>
                  </w:tcBorders>
                  <w:vAlign w:val="center"/>
                </w:tcPr>
                <w:p w14:paraId="7482DEA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100</w:t>
                  </w:r>
                </w:p>
              </w:tc>
              <w:tc>
                <w:tcPr>
                  <w:tcW w:w="350" w:type="pct"/>
                  <w:vMerge w:val="continue"/>
                  <w:tcBorders>
                    <w:tl2br w:val="nil"/>
                    <w:tr2bl w:val="nil"/>
                  </w:tcBorders>
                  <w:vAlign w:val="center"/>
                </w:tcPr>
                <w:p w14:paraId="2B2655F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336" w:type="pct"/>
                  <w:vMerge w:val="continue"/>
                  <w:tcBorders>
                    <w:tl2br w:val="nil"/>
                    <w:tr2bl w:val="nil"/>
                  </w:tcBorders>
                  <w:vAlign w:val="center"/>
                </w:tcPr>
                <w:p w14:paraId="0B63A7C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322" w:type="pct"/>
                  <w:vMerge w:val="continue"/>
                  <w:tcBorders>
                    <w:tl2br w:val="nil"/>
                    <w:tr2bl w:val="nil"/>
                  </w:tcBorders>
                  <w:vAlign w:val="center"/>
                </w:tcPr>
                <w:p w14:paraId="0C6D511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281" w:type="pct"/>
                  <w:vMerge w:val="continue"/>
                  <w:tcBorders>
                    <w:tl2br w:val="nil"/>
                    <w:tr2bl w:val="nil"/>
                  </w:tcBorders>
                  <w:vAlign w:val="center"/>
                </w:tcPr>
                <w:p w14:paraId="3C11FE5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307" w:type="pct"/>
                  <w:vMerge w:val="continue"/>
                  <w:tcBorders>
                    <w:tl2br w:val="nil"/>
                    <w:tr2bl w:val="nil"/>
                  </w:tcBorders>
                  <w:vAlign w:val="center"/>
                </w:tcPr>
                <w:p w14:paraId="7A719D1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270" w:type="pct"/>
                  <w:vMerge w:val="continue"/>
                  <w:tcBorders>
                    <w:tl2br w:val="nil"/>
                    <w:tr2bl w:val="nil"/>
                  </w:tcBorders>
                  <w:vAlign w:val="center"/>
                </w:tcPr>
                <w:p w14:paraId="5876C76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262" w:type="pct"/>
                  <w:vMerge w:val="continue"/>
                  <w:tcBorders>
                    <w:tl2br w:val="nil"/>
                    <w:tr2bl w:val="nil"/>
                  </w:tcBorders>
                  <w:vAlign w:val="center"/>
                </w:tcPr>
                <w:p w14:paraId="060A903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229" w:type="pct"/>
                  <w:vMerge w:val="continue"/>
                  <w:tcBorders>
                    <w:tl2br w:val="nil"/>
                    <w:tr2bl w:val="nil"/>
                  </w:tcBorders>
                  <w:vAlign w:val="center"/>
                </w:tcPr>
                <w:p w14:paraId="4440135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r>
            <w:tr w14:paraId="0FE0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 w:hRule="atLeast"/>
                <w:jc w:val="center"/>
              </w:trPr>
              <w:tc>
                <w:tcPr>
                  <w:tcW w:w="165" w:type="pct"/>
                  <w:vMerge w:val="restart"/>
                  <w:tcBorders>
                    <w:tl2br w:val="nil"/>
                    <w:tr2bl w:val="nil"/>
                  </w:tcBorders>
                  <w:shd w:val="clear" w:color="auto" w:fill="auto"/>
                  <w:vAlign w:val="center"/>
                </w:tcPr>
                <w:p w14:paraId="3F91D80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4</w:t>
                  </w:r>
                </w:p>
              </w:tc>
              <w:tc>
                <w:tcPr>
                  <w:tcW w:w="368" w:type="pct"/>
                  <w:tcBorders>
                    <w:tl2br w:val="nil"/>
                    <w:tr2bl w:val="nil"/>
                  </w:tcBorders>
                  <w:vAlign w:val="center"/>
                </w:tcPr>
                <w:p w14:paraId="54FE524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制砂废气</w:t>
                  </w:r>
                </w:p>
              </w:tc>
              <w:tc>
                <w:tcPr>
                  <w:tcW w:w="318" w:type="pct"/>
                  <w:vMerge w:val="restart"/>
                  <w:tcBorders>
                    <w:tl2br w:val="nil"/>
                    <w:tr2bl w:val="nil"/>
                  </w:tcBorders>
                  <w:vAlign w:val="center"/>
                </w:tcPr>
                <w:p w14:paraId="1F12753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332" w:type="pct"/>
                  <w:vMerge w:val="restart"/>
                  <w:tcBorders>
                    <w:tl2br w:val="nil"/>
                    <w:tr2bl w:val="nil"/>
                  </w:tcBorders>
                  <w:vAlign w:val="center"/>
                </w:tcPr>
                <w:p w14:paraId="4CC79EE9">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994</w:t>
                  </w:r>
                </w:p>
              </w:tc>
              <w:tc>
                <w:tcPr>
                  <w:tcW w:w="308" w:type="pct"/>
                  <w:tcBorders>
                    <w:tl2br w:val="nil"/>
                    <w:tr2bl w:val="nil"/>
                  </w:tcBorders>
                  <w:vAlign w:val="center"/>
                </w:tcPr>
                <w:p w14:paraId="0FAA1A0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12.5</w:t>
                  </w:r>
                </w:p>
              </w:tc>
              <w:tc>
                <w:tcPr>
                  <w:tcW w:w="260" w:type="pct"/>
                  <w:vMerge w:val="restart"/>
                  <w:tcBorders>
                    <w:tl2br w:val="nil"/>
                    <w:tr2bl w:val="nil"/>
                  </w:tcBorders>
                  <w:vAlign w:val="center"/>
                </w:tcPr>
                <w:p w14:paraId="7B835493">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有组织</w:t>
                  </w:r>
                </w:p>
              </w:tc>
              <w:tc>
                <w:tcPr>
                  <w:tcW w:w="407" w:type="pct"/>
                  <w:vMerge w:val="restart"/>
                  <w:tcBorders>
                    <w:tl2br w:val="nil"/>
                    <w:tr2bl w:val="nil"/>
                  </w:tcBorders>
                  <w:vAlign w:val="center"/>
                </w:tcPr>
                <w:p w14:paraId="091310D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袋式除尘器</w:t>
                  </w:r>
                </w:p>
              </w:tc>
              <w:tc>
                <w:tcPr>
                  <w:tcW w:w="233" w:type="pct"/>
                  <w:vMerge w:val="restart"/>
                  <w:tcBorders>
                    <w:tl2br w:val="nil"/>
                    <w:tr2bl w:val="nil"/>
                  </w:tcBorders>
                  <w:vAlign w:val="center"/>
                </w:tcPr>
                <w:p w14:paraId="6A59E2E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25160</w:t>
                  </w:r>
                </w:p>
              </w:tc>
              <w:tc>
                <w:tcPr>
                  <w:tcW w:w="245" w:type="pct"/>
                  <w:tcBorders>
                    <w:tl2br w:val="nil"/>
                    <w:tr2bl w:val="nil"/>
                  </w:tcBorders>
                  <w:vAlign w:val="center"/>
                </w:tcPr>
                <w:p w14:paraId="2C138A4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100</w:t>
                  </w:r>
                </w:p>
              </w:tc>
              <w:tc>
                <w:tcPr>
                  <w:tcW w:w="350" w:type="pct"/>
                  <w:vMerge w:val="restart"/>
                  <w:tcBorders>
                    <w:tl2br w:val="nil"/>
                    <w:tr2bl w:val="nil"/>
                  </w:tcBorders>
                  <w:vAlign w:val="center"/>
                </w:tcPr>
                <w:p w14:paraId="6BF7C91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99.0</w:t>
                  </w:r>
                </w:p>
              </w:tc>
              <w:tc>
                <w:tcPr>
                  <w:tcW w:w="336" w:type="pct"/>
                  <w:vMerge w:val="restart"/>
                  <w:tcBorders>
                    <w:tl2br w:val="nil"/>
                    <w:tr2bl w:val="nil"/>
                  </w:tcBorders>
                  <w:vAlign w:val="center"/>
                </w:tcPr>
                <w:p w14:paraId="6E2BCB6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c>
                <w:tcPr>
                  <w:tcW w:w="322" w:type="pct"/>
                  <w:vMerge w:val="restart"/>
                  <w:tcBorders>
                    <w:tl2br w:val="nil"/>
                    <w:tr2bl w:val="nil"/>
                  </w:tcBorders>
                  <w:vAlign w:val="center"/>
                </w:tcPr>
                <w:p w14:paraId="4C12AEF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default" w:ascii="Times New Roman" w:hAnsi="Times New Roman" w:eastAsia="宋体" w:cs="Times New Roman"/>
                      <w:b w:val="0"/>
                      <w:bCs w:val="0"/>
                      <w:color w:val="auto"/>
                      <w:kern w:val="2"/>
                      <w:sz w:val="21"/>
                      <w:szCs w:val="21"/>
                      <w:highlight w:val="none"/>
                      <w:u w:val="none"/>
                      <w:lang w:val="en-US" w:eastAsia="zh-CN"/>
                    </w:rPr>
                    <w:t>10</w:t>
                  </w:r>
                </w:p>
              </w:tc>
              <w:tc>
                <w:tcPr>
                  <w:tcW w:w="281" w:type="pct"/>
                  <w:vMerge w:val="restart"/>
                  <w:tcBorders>
                    <w:tl2br w:val="nil"/>
                    <w:tr2bl w:val="nil"/>
                  </w:tcBorders>
                  <w:vAlign w:val="center"/>
                </w:tcPr>
                <w:p w14:paraId="1FC15B2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highlight w:val="none"/>
                      <w:u w:val="none"/>
                      <w:lang w:val="en-US" w:eastAsia="zh-CN"/>
                    </w:rPr>
                  </w:pPr>
                  <w:r>
                    <w:rPr>
                      <w:rFonts w:hint="default" w:ascii="Times New Roman" w:hAnsi="Times New Roman" w:cs="Times New Roman"/>
                      <w:color w:val="auto"/>
                      <w:sz w:val="21"/>
                      <w:szCs w:val="21"/>
                      <w:lang w:val="en-US" w:eastAsia="zh-CN"/>
                    </w:rPr>
                    <w:t>0.25</w:t>
                  </w:r>
                </w:p>
              </w:tc>
              <w:tc>
                <w:tcPr>
                  <w:tcW w:w="307" w:type="pct"/>
                  <w:vMerge w:val="restart"/>
                  <w:tcBorders>
                    <w:tl2br w:val="nil"/>
                    <w:tr2bl w:val="nil"/>
                  </w:tcBorders>
                  <w:vAlign w:val="center"/>
                </w:tcPr>
                <w:p w14:paraId="2223113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highlight w:val="none"/>
                      <w:u w:val="none"/>
                      <w:lang w:val="en-US" w:eastAsia="zh-CN"/>
                    </w:rPr>
                  </w:pPr>
                  <w:r>
                    <w:rPr>
                      <w:rFonts w:hint="default" w:ascii="Times New Roman" w:hAnsi="Times New Roman" w:cs="Times New Roman"/>
                      <w:b w:val="0"/>
                      <w:bCs w:val="0"/>
                      <w:color w:val="auto"/>
                      <w:kern w:val="2"/>
                      <w:sz w:val="21"/>
                      <w:szCs w:val="21"/>
                      <w:highlight w:val="none"/>
                      <w:u w:val="none"/>
                      <w:lang w:val="en-US" w:eastAsia="zh-CN"/>
                    </w:rPr>
                    <w:t>5280</w:t>
                  </w:r>
                </w:p>
              </w:tc>
              <w:tc>
                <w:tcPr>
                  <w:tcW w:w="270" w:type="pct"/>
                  <w:vMerge w:val="restart"/>
                  <w:tcBorders>
                    <w:tl2br w:val="nil"/>
                    <w:tr2bl w:val="nil"/>
                  </w:tcBorders>
                  <w:vAlign w:val="center"/>
                </w:tcPr>
                <w:p w14:paraId="3F09B8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bidi="ar-SA"/>
                    </w:rPr>
                  </w:pPr>
                  <w:r>
                    <w:rPr>
                      <w:rFonts w:hint="default" w:ascii="Times New Roman" w:hAnsi="Times New Roman" w:cs="Times New Roman"/>
                      <w:bCs/>
                      <w:color w:val="auto"/>
                      <w:sz w:val="21"/>
                      <w:szCs w:val="21"/>
                      <w:lang w:val="en-US" w:eastAsia="zh-CN"/>
                    </w:rPr>
                    <w:t>1.328</w:t>
                  </w:r>
                </w:p>
              </w:tc>
              <w:tc>
                <w:tcPr>
                  <w:tcW w:w="262" w:type="pct"/>
                  <w:vMerge w:val="restart"/>
                  <w:tcBorders>
                    <w:tl2br w:val="nil"/>
                    <w:tr2bl w:val="nil"/>
                  </w:tcBorders>
                  <w:vAlign w:val="center"/>
                </w:tcPr>
                <w:p w14:paraId="2F1A36E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DA002</w:t>
                  </w:r>
                </w:p>
              </w:tc>
              <w:tc>
                <w:tcPr>
                  <w:tcW w:w="229" w:type="pct"/>
                  <w:vMerge w:val="restart"/>
                  <w:tcBorders>
                    <w:tl2br w:val="nil"/>
                    <w:tr2bl w:val="nil"/>
                  </w:tcBorders>
                  <w:vAlign w:val="center"/>
                </w:tcPr>
                <w:p w14:paraId="466C17B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default" w:ascii="Times New Roman" w:hAnsi="Times New Roman" w:eastAsia="宋体" w:cs="Times New Roman"/>
                      <w:b w:val="0"/>
                      <w:bCs w:val="0"/>
                      <w:color w:val="auto"/>
                      <w:kern w:val="2"/>
                      <w:sz w:val="21"/>
                      <w:szCs w:val="21"/>
                      <w:highlight w:val="none"/>
                      <w:u w:val="none"/>
                      <w:lang w:val="en-US" w:eastAsia="zh-CN"/>
                    </w:rPr>
                    <w:t>10</w:t>
                  </w:r>
                </w:p>
              </w:tc>
            </w:tr>
            <w:tr w14:paraId="5160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 w:hRule="atLeast"/>
                <w:jc w:val="center"/>
              </w:trPr>
              <w:tc>
                <w:tcPr>
                  <w:tcW w:w="165" w:type="pct"/>
                  <w:vMerge w:val="continue"/>
                  <w:tcBorders>
                    <w:tl2br w:val="nil"/>
                    <w:tr2bl w:val="nil"/>
                  </w:tcBorders>
                  <w:shd w:val="clear" w:color="auto" w:fill="auto"/>
                  <w:vAlign w:val="center"/>
                </w:tcPr>
                <w:p w14:paraId="5489933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368" w:type="pct"/>
                  <w:tcBorders>
                    <w:tl2br w:val="nil"/>
                    <w:tr2bl w:val="nil"/>
                  </w:tcBorders>
                  <w:vAlign w:val="center"/>
                </w:tcPr>
                <w:p w14:paraId="4A2C853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筛分废气</w:t>
                  </w:r>
                </w:p>
              </w:tc>
              <w:tc>
                <w:tcPr>
                  <w:tcW w:w="318" w:type="pct"/>
                  <w:vMerge w:val="continue"/>
                  <w:tcBorders>
                    <w:tl2br w:val="nil"/>
                    <w:tr2bl w:val="nil"/>
                  </w:tcBorders>
                  <w:vAlign w:val="center"/>
                </w:tcPr>
                <w:p w14:paraId="574CF4D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332" w:type="pct"/>
                  <w:vMerge w:val="continue"/>
                  <w:tcBorders>
                    <w:tl2br w:val="nil"/>
                    <w:tr2bl w:val="nil"/>
                  </w:tcBorders>
                  <w:vAlign w:val="center"/>
                </w:tcPr>
                <w:p w14:paraId="44A7341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308" w:type="pct"/>
                  <w:tcBorders>
                    <w:tl2br w:val="nil"/>
                    <w:tr2bl w:val="nil"/>
                  </w:tcBorders>
                  <w:vAlign w:val="center"/>
                </w:tcPr>
                <w:p w14:paraId="7896BA6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12.5</w:t>
                  </w:r>
                </w:p>
              </w:tc>
              <w:tc>
                <w:tcPr>
                  <w:tcW w:w="260" w:type="pct"/>
                  <w:vMerge w:val="continue"/>
                  <w:tcBorders>
                    <w:tl2br w:val="nil"/>
                    <w:tr2bl w:val="nil"/>
                  </w:tcBorders>
                  <w:vAlign w:val="center"/>
                </w:tcPr>
                <w:p w14:paraId="395864E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407" w:type="pct"/>
                  <w:vMerge w:val="continue"/>
                  <w:tcBorders>
                    <w:tl2br w:val="nil"/>
                    <w:tr2bl w:val="nil"/>
                  </w:tcBorders>
                  <w:vAlign w:val="center"/>
                </w:tcPr>
                <w:p w14:paraId="724931E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233" w:type="pct"/>
                  <w:vMerge w:val="continue"/>
                  <w:tcBorders>
                    <w:tl2br w:val="nil"/>
                    <w:tr2bl w:val="nil"/>
                  </w:tcBorders>
                  <w:vAlign w:val="center"/>
                </w:tcPr>
                <w:p w14:paraId="68EA6A3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245" w:type="pct"/>
                  <w:tcBorders>
                    <w:tl2br w:val="nil"/>
                    <w:tr2bl w:val="nil"/>
                  </w:tcBorders>
                  <w:vAlign w:val="center"/>
                </w:tcPr>
                <w:p w14:paraId="5AC4E07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100</w:t>
                  </w:r>
                </w:p>
              </w:tc>
              <w:tc>
                <w:tcPr>
                  <w:tcW w:w="350" w:type="pct"/>
                  <w:vMerge w:val="continue"/>
                  <w:tcBorders>
                    <w:tl2br w:val="nil"/>
                    <w:tr2bl w:val="nil"/>
                  </w:tcBorders>
                  <w:vAlign w:val="center"/>
                </w:tcPr>
                <w:p w14:paraId="7D4F1FF4">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336" w:type="pct"/>
                  <w:vMerge w:val="continue"/>
                  <w:tcBorders>
                    <w:tl2br w:val="nil"/>
                    <w:tr2bl w:val="nil"/>
                  </w:tcBorders>
                  <w:vAlign w:val="center"/>
                </w:tcPr>
                <w:p w14:paraId="3210504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322" w:type="pct"/>
                  <w:vMerge w:val="continue"/>
                  <w:tcBorders>
                    <w:tl2br w:val="nil"/>
                    <w:tr2bl w:val="nil"/>
                  </w:tcBorders>
                  <w:vAlign w:val="center"/>
                </w:tcPr>
                <w:p w14:paraId="00962C2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281" w:type="pct"/>
                  <w:vMerge w:val="continue"/>
                  <w:tcBorders>
                    <w:tl2br w:val="nil"/>
                    <w:tr2bl w:val="nil"/>
                  </w:tcBorders>
                  <w:vAlign w:val="center"/>
                </w:tcPr>
                <w:p w14:paraId="62D21CC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307" w:type="pct"/>
                  <w:vMerge w:val="continue"/>
                  <w:tcBorders>
                    <w:tl2br w:val="nil"/>
                    <w:tr2bl w:val="nil"/>
                  </w:tcBorders>
                  <w:vAlign w:val="center"/>
                </w:tcPr>
                <w:p w14:paraId="3DC3BA3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270" w:type="pct"/>
                  <w:vMerge w:val="continue"/>
                  <w:tcBorders>
                    <w:tl2br w:val="nil"/>
                    <w:tr2bl w:val="nil"/>
                  </w:tcBorders>
                  <w:vAlign w:val="center"/>
                </w:tcPr>
                <w:p w14:paraId="1123FE5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262" w:type="pct"/>
                  <w:vMerge w:val="continue"/>
                  <w:tcBorders>
                    <w:tl2br w:val="nil"/>
                    <w:tr2bl w:val="nil"/>
                  </w:tcBorders>
                  <w:vAlign w:val="center"/>
                </w:tcPr>
                <w:p w14:paraId="76A5F2B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c>
                <w:tcPr>
                  <w:tcW w:w="229" w:type="pct"/>
                  <w:vMerge w:val="continue"/>
                  <w:tcBorders>
                    <w:tl2br w:val="nil"/>
                    <w:tr2bl w:val="nil"/>
                  </w:tcBorders>
                  <w:vAlign w:val="center"/>
                </w:tcPr>
                <w:p w14:paraId="3BDC9911">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highlight w:val="none"/>
                      <w:lang w:val="en-US" w:eastAsia="zh-CN" w:bidi="ar-SA"/>
                    </w:rPr>
                  </w:pPr>
                </w:p>
              </w:tc>
            </w:tr>
            <w:tr w14:paraId="5E06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5" w:type="pct"/>
                  <w:tcBorders>
                    <w:tl2br w:val="nil"/>
                    <w:tr2bl w:val="nil"/>
                  </w:tcBorders>
                  <w:shd w:val="clear" w:color="auto" w:fill="auto"/>
                  <w:vAlign w:val="center"/>
                </w:tcPr>
                <w:p w14:paraId="3A7DA975">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w:t>
                  </w:r>
                </w:p>
              </w:tc>
              <w:tc>
                <w:tcPr>
                  <w:tcW w:w="368" w:type="pct"/>
                  <w:tcBorders>
                    <w:tl2br w:val="nil"/>
                    <w:tr2bl w:val="nil"/>
                  </w:tcBorders>
                  <w:vAlign w:val="center"/>
                </w:tcPr>
                <w:p w14:paraId="2421194C">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物料转载输送扬尘</w:t>
                  </w:r>
                </w:p>
              </w:tc>
              <w:tc>
                <w:tcPr>
                  <w:tcW w:w="318" w:type="pct"/>
                  <w:tcBorders>
                    <w:tl2br w:val="nil"/>
                    <w:tr2bl w:val="nil"/>
                  </w:tcBorders>
                  <w:vAlign w:val="center"/>
                </w:tcPr>
                <w:p w14:paraId="6F85D6A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332" w:type="pct"/>
                  <w:tcBorders>
                    <w:tl2br w:val="nil"/>
                    <w:tr2bl w:val="nil"/>
                  </w:tcBorders>
                  <w:vAlign w:val="center"/>
                </w:tcPr>
                <w:p w14:paraId="47D4812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08" w:type="pct"/>
                  <w:tcBorders>
                    <w:tl2br w:val="nil"/>
                    <w:tr2bl w:val="nil"/>
                  </w:tcBorders>
                  <w:vAlign w:val="center"/>
                </w:tcPr>
                <w:p w14:paraId="5790895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60" w:type="pct"/>
                  <w:tcBorders>
                    <w:tl2br w:val="nil"/>
                    <w:tr2bl w:val="nil"/>
                  </w:tcBorders>
                  <w:vAlign w:val="center"/>
                </w:tcPr>
                <w:p w14:paraId="066AEA3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有组织</w:t>
                  </w:r>
                </w:p>
              </w:tc>
              <w:tc>
                <w:tcPr>
                  <w:tcW w:w="1236" w:type="pct"/>
                  <w:gridSpan w:val="4"/>
                  <w:tcBorders>
                    <w:tl2br w:val="nil"/>
                    <w:tr2bl w:val="nil"/>
                  </w:tcBorders>
                  <w:vAlign w:val="center"/>
                </w:tcPr>
                <w:p w14:paraId="4BC0FC7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采用全封闭皮带</w:t>
                  </w:r>
                  <w:r>
                    <w:rPr>
                      <w:rFonts w:hint="default" w:ascii="Times New Roman" w:hAnsi="Times New Roman" w:cs="Times New Roman"/>
                      <w:b w:val="0"/>
                      <w:bCs w:val="0"/>
                      <w:color w:val="auto"/>
                      <w:kern w:val="2"/>
                      <w:sz w:val="21"/>
                      <w:szCs w:val="21"/>
                      <w:highlight w:val="none"/>
                      <w:lang w:val="en-US" w:eastAsia="zh-CN" w:bidi="ar-SA"/>
                    </w:rPr>
                    <w:t>输送，运输转载粉尘就近接入相应的除尘器中，皮带转运跌落点降低高度，并设置固定式雾化喷头</w:t>
                  </w:r>
                </w:p>
              </w:tc>
              <w:tc>
                <w:tcPr>
                  <w:tcW w:w="336" w:type="pct"/>
                  <w:tcBorders>
                    <w:tl2br w:val="nil"/>
                    <w:tr2bl w:val="nil"/>
                  </w:tcBorders>
                  <w:vAlign w:val="center"/>
                </w:tcPr>
                <w:p w14:paraId="1CCF794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c>
                <w:tcPr>
                  <w:tcW w:w="322" w:type="pct"/>
                  <w:tcBorders>
                    <w:tl2br w:val="nil"/>
                    <w:tr2bl w:val="nil"/>
                  </w:tcBorders>
                  <w:vAlign w:val="center"/>
                </w:tcPr>
                <w:p w14:paraId="753E5918">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81" w:type="pct"/>
                  <w:tcBorders>
                    <w:tl2br w:val="nil"/>
                    <w:tr2bl w:val="nil"/>
                  </w:tcBorders>
                  <w:vAlign w:val="center"/>
                </w:tcPr>
                <w:p w14:paraId="06E63300">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307" w:type="pct"/>
                  <w:tcBorders>
                    <w:tl2br w:val="nil"/>
                    <w:tr2bl w:val="nil"/>
                  </w:tcBorders>
                  <w:vAlign w:val="center"/>
                </w:tcPr>
                <w:p w14:paraId="1171AFC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70" w:type="pct"/>
                  <w:tcBorders>
                    <w:tl2br w:val="nil"/>
                    <w:tr2bl w:val="nil"/>
                  </w:tcBorders>
                  <w:vAlign w:val="center"/>
                </w:tcPr>
                <w:p w14:paraId="5D3D7A7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262" w:type="pct"/>
                  <w:tcBorders>
                    <w:tl2br w:val="nil"/>
                    <w:tr2bl w:val="nil"/>
                  </w:tcBorders>
                  <w:vAlign w:val="center"/>
                </w:tcPr>
                <w:p w14:paraId="3214944D">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229" w:type="pct"/>
                  <w:tcBorders>
                    <w:tl2br w:val="nil"/>
                    <w:tr2bl w:val="nil"/>
                  </w:tcBorders>
                  <w:vAlign w:val="center"/>
                </w:tcPr>
                <w:p w14:paraId="416F283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r>
          </w:tbl>
          <w:p w14:paraId="48CCB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eastAsia" w:ascii="Times New Roman" w:hAnsi="Times New Roman" w:eastAsia="宋体" w:cs="Times New Roman"/>
                <w:b/>
                <w:bCs w:val="0"/>
                <w:color w:val="auto"/>
                <w:spacing w:val="-10"/>
                <w:sz w:val="24"/>
                <w:szCs w:val="24"/>
                <w:highlight w:val="none"/>
                <w:vertAlign w:val="baseline"/>
                <w:lang w:val="en-US" w:eastAsia="zh-CN"/>
              </w:rPr>
            </w:pPr>
          </w:p>
        </w:tc>
      </w:tr>
    </w:tbl>
    <w:p w14:paraId="3B5FFFAE">
      <w:pPr>
        <w:rPr>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3"/>
        <w:gridCol w:w="8275"/>
      </w:tblGrid>
      <w:tr w14:paraId="36A56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dxa"/>
            <w:tcMar>
              <w:left w:w="28" w:type="dxa"/>
              <w:right w:w="28" w:type="dxa"/>
            </w:tcMar>
            <w:vAlign w:val="center"/>
          </w:tcPr>
          <w:p w14:paraId="4631D9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bCs/>
                <w:color w:val="auto"/>
                <w:szCs w:val="21"/>
                <w:highlight w:val="none"/>
              </w:rPr>
              <w:t>运</w:t>
            </w:r>
            <w:r>
              <w:rPr>
                <w:rFonts w:hint="default" w:ascii="Times New Roman" w:hAnsi="Times New Roman" w:eastAsia="宋体" w:cs="Times New Roman"/>
                <w:bCs/>
                <w:color w:val="auto"/>
                <w:szCs w:val="21"/>
                <w:highlight w:val="none"/>
              </w:rPr>
              <w:t>营期环境影响和保护措施</w:t>
            </w:r>
          </w:p>
        </w:tc>
        <w:tc>
          <w:tcPr>
            <w:tcW w:w="8275" w:type="dxa"/>
            <w:vAlign w:val="center"/>
          </w:tcPr>
          <w:p w14:paraId="02377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污染物源强计算及防治措施</w:t>
            </w:r>
          </w:p>
          <w:p w14:paraId="35D7A441">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eastAsia" w:cs="Times New Roman"/>
                <w:color w:val="auto"/>
                <w:sz w:val="24"/>
                <w:highlight w:val="none"/>
                <w:lang w:val="en-US" w:eastAsia="zh-CN"/>
              </w:rPr>
              <w:t>原料及成品运输废气</w:t>
            </w:r>
          </w:p>
          <w:p w14:paraId="7EAB4D3E">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运输扬尘采用上海港环境保护中心和武汉水运工程学院提出的经验公式进行估算：</w:t>
            </w:r>
          </w:p>
          <w:p w14:paraId="5F29E842">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rPr>
              <w:drawing>
                <wp:anchor distT="0" distB="0" distL="114300" distR="114300" simplePos="0" relativeHeight="251662336" behindDoc="0" locked="0" layoutInCell="1" allowOverlap="1">
                  <wp:simplePos x="0" y="0"/>
                  <wp:positionH relativeFrom="column">
                    <wp:posOffset>781050</wp:posOffset>
                  </wp:positionH>
                  <wp:positionV relativeFrom="paragraph">
                    <wp:posOffset>24130</wp:posOffset>
                  </wp:positionV>
                  <wp:extent cx="2505075" cy="514350"/>
                  <wp:effectExtent l="0" t="0" r="0" b="0"/>
                  <wp:wrapNone/>
                  <wp:docPr id="185" name="Object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Object 863"/>
                          <pic:cNvPicPr>
                            <a:picLocks noChangeAspect="1"/>
                          </pic:cNvPicPr>
                        </pic:nvPicPr>
                        <pic:blipFill>
                          <a:blip r:embed="rId14"/>
                          <a:stretch>
                            <a:fillRect/>
                          </a:stretch>
                        </pic:blipFill>
                        <pic:spPr>
                          <a:xfrm>
                            <a:off x="0" y="0"/>
                            <a:ext cx="2505075" cy="514350"/>
                          </a:xfrm>
                          <a:prstGeom prst="rect">
                            <a:avLst/>
                          </a:prstGeom>
                          <a:noFill/>
                          <a:ln>
                            <a:noFill/>
                          </a:ln>
                        </pic:spPr>
                      </pic:pic>
                    </a:graphicData>
                  </a:graphic>
                </wp:anchor>
              </w:drawing>
            </w:r>
          </w:p>
          <w:p w14:paraId="46A7D8E7">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rPr>
              <w:drawing>
                <wp:anchor distT="0" distB="0" distL="114300" distR="114300" simplePos="0" relativeHeight="251661312" behindDoc="0" locked="0" layoutInCell="1" allowOverlap="1">
                  <wp:simplePos x="0" y="0"/>
                  <wp:positionH relativeFrom="column">
                    <wp:posOffset>1294765</wp:posOffset>
                  </wp:positionH>
                  <wp:positionV relativeFrom="paragraph">
                    <wp:posOffset>221615</wp:posOffset>
                  </wp:positionV>
                  <wp:extent cx="1619885" cy="545465"/>
                  <wp:effectExtent l="0" t="0" r="0" b="0"/>
                  <wp:wrapNone/>
                  <wp:docPr id="184" name="对象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对象 1385"/>
                          <pic:cNvPicPr>
                            <a:picLocks noChangeAspect="1"/>
                          </pic:cNvPicPr>
                        </pic:nvPicPr>
                        <pic:blipFill>
                          <a:blip r:embed="rId15"/>
                          <a:stretch>
                            <a:fillRect/>
                          </a:stretch>
                        </pic:blipFill>
                        <pic:spPr>
                          <a:xfrm>
                            <a:off x="0" y="0"/>
                            <a:ext cx="1619885" cy="545465"/>
                          </a:xfrm>
                          <a:prstGeom prst="rect">
                            <a:avLst/>
                          </a:prstGeom>
                          <a:noFill/>
                          <a:ln>
                            <a:noFill/>
                          </a:ln>
                        </pic:spPr>
                      </pic:pic>
                    </a:graphicData>
                  </a:graphic>
                </wp:anchor>
              </w:drawing>
            </w:r>
          </w:p>
          <w:p w14:paraId="315B6A1A">
            <w:pPr>
              <w:pStyle w:val="5"/>
              <w:keepNext w:val="0"/>
              <w:keepLines w:val="0"/>
              <w:suppressLineNumbers w:val="0"/>
              <w:spacing w:before="0" w:beforeAutospacing="0" w:after="0" w:afterAutospacing="0" w:line="480" w:lineRule="exact"/>
              <w:ind w:left="0" w:right="0" w:firstLine="0" w:firstLineChars="0"/>
              <w:rPr>
                <w:rFonts w:hint="default" w:ascii="Times New Roman" w:hAnsi="Times New Roman"/>
                <w:color w:val="auto"/>
                <w:sz w:val="24"/>
                <w:lang w:eastAsia="zh-CN"/>
              </w:rPr>
            </w:pPr>
          </w:p>
          <w:p w14:paraId="5CE097FA">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式中：</w:t>
            </w:r>
          </w:p>
          <w:p w14:paraId="02F40195">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Qy——交通运输起尘量，kg/km·辆；</w:t>
            </w:r>
          </w:p>
          <w:p w14:paraId="3F275B00">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Qt——运输途中起尘量，t/a；</w:t>
            </w:r>
          </w:p>
          <w:p w14:paraId="56F7392F">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V——车辆行驶速度，20km/h；</w:t>
            </w:r>
          </w:p>
          <w:p w14:paraId="33A6D5ED">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P——路面状况，以每平方米路面灰尘覆盖率表示，0.05kg/m</w:t>
            </w:r>
            <w:r>
              <w:rPr>
                <w:rFonts w:hint="default" w:ascii="Times New Roman" w:hAnsi="Times New Roman"/>
                <w:color w:val="auto"/>
                <w:sz w:val="24"/>
                <w:vertAlign w:val="superscript"/>
                <w:lang w:eastAsia="zh-CN"/>
              </w:rPr>
              <w:t>2</w:t>
            </w:r>
            <w:r>
              <w:rPr>
                <w:rFonts w:hint="default" w:ascii="Times New Roman" w:hAnsi="Times New Roman"/>
                <w:color w:val="auto"/>
                <w:sz w:val="24"/>
                <w:lang w:eastAsia="zh-CN"/>
              </w:rPr>
              <w:t>；</w:t>
            </w:r>
          </w:p>
          <w:p w14:paraId="5F88987D">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M——汽车载重量，</w:t>
            </w:r>
            <w:r>
              <w:rPr>
                <w:rFonts w:hint="eastAsia"/>
                <w:color w:val="auto"/>
                <w:sz w:val="24"/>
                <w:lang w:val="en-US" w:eastAsia="zh-CN"/>
              </w:rPr>
              <w:t>4</w:t>
            </w:r>
            <w:r>
              <w:rPr>
                <w:rFonts w:hint="default" w:ascii="Times New Roman" w:hAnsi="Times New Roman"/>
                <w:color w:val="auto"/>
                <w:sz w:val="24"/>
                <w:lang w:eastAsia="zh-CN"/>
              </w:rPr>
              <w:t>0t/辆；</w:t>
            </w:r>
          </w:p>
          <w:p w14:paraId="7B019EE5">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L——运输距离，取</w:t>
            </w:r>
            <w:r>
              <w:rPr>
                <w:rFonts w:hint="eastAsia"/>
                <w:color w:val="auto"/>
                <w:sz w:val="24"/>
                <w:lang w:val="en-US" w:eastAsia="zh-CN"/>
              </w:rPr>
              <w:t>0.05</w:t>
            </w:r>
            <w:r>
              <w:rPr>
                <w:rFonts w:hint="default" w:ascii="Times New Roman" w:hAnsi="Times New Roman"/>
                <w:color w:val="auto"/>
                <w:sz w:val="24"/>
                <w:lang w:eastAsia="zh-CN"/>
              </w:rPr>
              <w:t>km；</w:t>
            </w:r>
          </w:p>
          <w:p w14:paraId="57BFF5AF">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eastAsia="zh-CN"/>
              </w:rPr>
            </w:pPr>
            <w:r>
              <w:rPr>
                <w:rFonts w:hint="default" w:ascii="Times New Roman" w:hAnsi="Times New Roman"/>
                <w:color w:val="auto"/>
                <w:sz w:val="24"/>
                <w:highlight w:val="none"/>
                <w:lang w:eastAsia="zh-CN"/>
              </w:rPr>
              <w:t>Q——运输量，</w:t>
            </w:r>
            <w:r>
              <w:rPr>
                <w:rFonts w:hint="eastAsia"/>
                <w:color w:val="auto"/>
                <w:sz w:val="24"/>
                <w:highlight w:val="none"/>
                <w:lang w:val="en-US" w:eastAsia="zh-CN"/>
              </w:rPr>
              <w:t>60</w:t>
            </w:r>
            <w:r>
              <w:rPr>
                <w:rFonts w:hint="default" w:ascii="Times New Roman" w:hAnsi="Times New Roman"/>
                <w:color w:val="auto"/>
                <w:sz w:val="24"/>
                <w:highlight w:val="none"/>
                <w:lang w:eastAsia="zh-CN"/>
              </w:rPr>
              <w:t>万t/a。</w:t>
            </w:r>
          </w:p>
          <w:p w14:paraId="2BD773E9">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综合考虑粒径、密度、硬度、风速、风频等因素，在露天堆放、不采取任何措施的情形下，运输</w:t>
            </w:r>
            <w:r>
              <w:rPr>
                <w:rFonts w:hint="eastAsia"/>
                <w:color w:val="auto"/>
                <w:sz w:val="24"/>
                <w:lang w:val="en-US" w:eastAsia="zh-CN"/>
              </w:rPr>
              <w:t>扬尘产生量</w:t>
            </w:r>
            <w:r>
              <w:rPr>
                <w:rFonts w:hint="default" w:ascii="Times New Roman" w:hAnsi="Times New Roman"/>
                <w:color w:val="auto"/>
                <w:sz w:val="24"/>
                <w:lang w:eastAsia="zh-CN"/>
              </w:rPr>
              <w:t>为</w:t>
            </w:r>
            <w:r>
              <w:rPr>
                <w:rFonts w:hint="eastAsia"/>
                <w:color w:val="auto"/>
                <w:sz w:val="24"/>
                <w:lang w:val="en-US" w:eastAsia="zh-CN"/>
              </w:rPr>
              <w:t>0.3</w:t>
            </w:r>
            <w:r>
              <w:rPr>
                <w:rFonts w:hint="default" w:ascii="Times New Roman" w:hAnsi="Times New Roman"/>
                <w:color w:val="auto"/>
                <w:sz w:val="24"/>
                <w:lang w:val="en-US" w:eastAsia="zh-CN"/>
              </w:rPr>
              <w:t>t</w:t>
            </w:r>
            <w:r>
              <w:rPr>
                <w:rFonts w:hint="default" w:ascii="Times New Roman" w:hAnsi="Times New Roman"/>
                <w:color w:val="auto"/>
                <w:sz w:val="24"/>
                <w:lang w:eastAsia="zh-CN"/>
              </w:rPr>
              <w:t>/a。</w:t>
            </w:r>
          </w:p>
          <w:p w14:paraId="267156F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eastAsia="宋体" w:cs="Times New Roman"/>
                <w:color w:val="auto"/>
                <w:sz w:val="24"/>
                <w:highlight w:val="none"/>
                <w:lang w:val="en-US" w:eastAsia="zh-CN"/>
              </w:rPr>
            </w:pPr>
            <w:r>
              <w:rPr>
                <w:rFonts w:hint="eastAsia" w:cs="Times New Roman"/>
                <w:color w:val="auto"/>
                <w:sz w:val="24"/>
                <w:highlight w:val="none"/>
                <w:lang w:val="en-US" w:eastAsia="zh-CN"/>
              </w:rPr>
              <w:t>原料建筑垃圾主要来源于屯留区附近区域，通过厂区北侧常庙线、南侧常黑线等乡村道路运输，</w:t>
            </w:r>
            <w:r>
              <w:rPr>
                <w:rFonts w:hint="default"/>
                <w:color w:val="auto"/>
                <w:sz w:val="24"/>
              </w:rPr>
              <w:t>运输</w:t>
            </w:r>
            <w:r>
              <w:rPr>
                <w:rFonts w:hint="eastAsia"/>
                <w:color w:val="auto"/>
                <w:sz w:val="24"/>
                <w:lang w:val="en-US" w:eastAsia="zh-CN"/>
              </w:rPr>
              <w:t>路线应尽量避让村庄，可能对沿路村庄造成影响主要为运输扬尘和运输噪声，环评提出以下防治措施：</w:t>
            </w:r>
          </w:p>
          <w:p w14:paraId="726A6A39">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eastAsia" w:ascii="宋体" w:hAnsi="宋体" w:cs="宋体"/>
                <w:color w:val="auto"/>
                <w:sz w:val="24"/>
                <w:lang w:eastAsia="zh-CN"/>
              </w:rPr>
              <w:t>①</w:t>
            </w:r>
            <w:r>
              <w:rPr>
                <w:rFonts w:hint="eastAsia"/>
                <w:color w:val="auto"/>
                <w:sz w:val="24"/>
                <w:lang w:val="en-US" w:eastAsia="zh-CN"/>
              </w:rPr>
              <w:t>厂区出入口处设置1座全自动</w:t>
            </w:r>
            <w:r>
              <w:rPr>
                <w:rFonts w:hint="default" w:ascii="Times New Roman" w:hAnsi="Times New Roman"/>
                <w:color w:val="auto"/>
                <w:sz w:val="24"/>
                <w:lang w:eastAsia="zh-CN"/>
              </w:rPr>
              <w:t>车辆清洗平台，对进出厂车辆轮胎及车身进行清洗；</w:t>
            </w:r>
          </w:p>
          <w:p w14:paraId="25DF0E2C">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eastAsia" w:ascii="宋体" w:hAnsi="宋体" w:cs="宋体"/>
                <w:color w:val="auto"/>
                <w:sz w:val="24"/>
                <w:lang w:eastAsia="zh-CN"/>
              </w:rPr>
              <w:t>②</w:t>
            </w:r>
            <w:r>
              <w:rPr>
                <w:rFonts w:hint="default" w:ascii="Times New Roman" w:hAnsi="Times New Roman"/>
                <w:color w:val="auto"/>
                <w:sz w:val="24"/>
                <w:lang w:eastAsia="zh-CN"/>
              </w:rPr>
              <w:t>对厂区地面、道路全部进行硬化和厂界绿化，对厂区内及周边道路定时洒水，厂区及</w:t>
            </w:r>
            <w:r>
              <w:rPr>
                <w:rFonts w:hint="eastAsia"/>
                <w:color w:val="auto"/>
                <w:sz w:val="24"/>
                <w:lang w:val="en-US" w:eastAsia="zh-CN"/>
              </w:rPr>
              <w:t>堆放区</w:t>
            </w:r>
            <w:r>
              <w:rPr>
                <w:rFonts w:hint="default" w:ascii="Times New Roman" w:hAnsi="Times New Roman"/>
                <w:color w:val="auto"/>
                <w:sz w:val="24"/>
                <w:lang w:eastAsia="zh-CN"/>
              </w:rPr>
              <w:t>地面积尘定期清理，减少二次扬尘；</w:t>
            </w:r>
          </w:p>
          <w:p w14:paraId="3BCE4DD6">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eastAsia" w:ascii="宋体" w:hAnsi="宋体" w:cs="宋体"/>
                <w:color w:val="auto"/>
                <w:sz w:val="24"/>
                <w:lang w:eastAsia="zh-CN"/>
              </w:rPr>
              <w:t>③</w:t>
            </w:r>
            <w:r>
              <w:rPr>
                <w:rFonts w:hint="default" w:ascii="Times New Roman" w:hAnsi="Times New Roman"/>
                <w:color w:val="auto"/>
                <w:sz w:val="24"/>
              </w:rPr>
              <w:t>限制汽车超载，采用</w:t>
            </w:r>
            <w:r>
              <w:rPr>
                <w:rFonts w:hint="eastAsia"/>
                <w:color w:val="auto"/>
                <w:sz w:val="24"/>
                <w:lang w:eastAsia="zh-CN"/>
              </w:rPr>
              <w:t>厢式车</w:t>
            </w:r>
            <w:r>
              <w:rPr>
                <w:rFonts w:hint="default" w:ascii="Times New Roman" w:hAnsi="Times New Roman"/>
                <w:color w:val="auto"/>
                <w:sz w:val="24"/>
                <w:lang w:eastAsia="zh-CN"/>
              </w:rPr>
              <w:t>，物料及产品运输车辆采用新能源车辆，</w:t>
            </w:r>
            <w:r>
              <w:rPr>
                <w:rFonts w:hint="eastAsia" w:ascii="Times New Roman" w:hAnsi="Times New Roman"/>
                <w:color w:val="auto"/>
                <w:sz w:val="24"/>
                <w:lang w:val="en-US" w:eastAsia="zh-CN"/>
              </w:rPr>
              <w:t>按照“长治市生态环境局关于贯彻落实《长治市大气和水污染物排放管控要求》的通知”（长环函〔2023〕106号），</w:t>
            </w:r>
            <w:r>
              <w:rPr>
                <w:rFonts w:hint="default" w:ascii="Times New Roman" w:hAnsi="Times New Roman"/>
                <w:color w:val="auto"/>
                <w:sz w:val="24"/>
                <w:lang w:eastAsia="zh-CN"/>
              </w:rPr>
              <w:t>厂区内非道路移动机械采用国</w:t>
            </w:r>
            <w:r>
              <w:rPr>
                <w:rFonts w:hint="eastAsia" w:ascii="Times New Roman" w:hAnsi="Times New Roman"/>
                <w:color w:val="auto"/>
                <w:sz w:val="24"/>
                <w:lang w:val="en-US" w:eastAsia="zh-CN"/>
              </w:rPr>
              <w:t>四</w:t>
            </w:r>
            <w:r>
              <w:rPr>
                <w:rFonts w:hint="default" w:ascii="Times New Roman" w:hAnsi="Times New Roman"/>
                <w:color w:val="auto"/>
                <w:sz w:val="24"/>
                <w:lang w:eastAsia="zh-CN"/>
              </w:rPr>
              <w:t>及以上标准或新能源机械。</w:t>
            </w:r>
            <w:r>
              <w:rPr>
                <w:rFonts w:hint="default" w:ascii="Times New Roman" w:hAnsi="Times New Roman"/>
                <w:color w:val="auto"/>
                <w:sz w:val="24"/>
                <w:lang w:val="en-US" w:eastAsia="zh-CN"/>
              </w:rPr>
              <w:t>运输车辆使用国六标准以上的运输车辆或新能源清洁燃料车辆。</w:t>
            </w:r>
          </w:p>
          <w:p w14:paraId="1361F392">
            <w:pPr>
              <w:pStyle w:val="5"/>
              <w:keepNext w:val="0"/>
              <w:keepLines w:val="0"/>
              <w:suppressLineNumbers w:val="0"/>
              <w:spacing w:before="0" w:beforeAutospacing="0" w:after="0" w:afterAutospacing="0" w:line="480" w:lineRule="exact"/>
              <w:ind w:left="0" w:right="0" w:firstLine="480"/>
              <w:rPr>
                <w:rFonts w:hint="eastAsia" w:cs="Times New Roman"/>
                <w:color w:val="auto"/>
                <w:sz w:val="24"/>
                <w:highlight w:val="none"/>
                <w:lang w:val="en-US" w:eastAsia="zh-CN"/>
              </w:rPr>
            </w:pPr>
            <w:r>
              <w:rPr>
                <w:rFonts w:hint="default" w:ascii="Times New Roman" w:hAnsi="Times New Roman"/>
                <w:color w:val="auto"/>
                <w:sz w:val="24"/>
                <w:lang w:val="en-US" w:eastAsia="zh-CN"/>
              </w:rPr>
              <w:t>采取以上措施，</w:t>
            </w:r>
            <w:r>
              <w:rPr>
                <w:rFonts w:hint="default" w:ascii="Times New Roman" w:hAnsi="Times New Roman"/>
                <w:color w:val="auto"/>
                <w:sz w:val="24"/>
                <w:lang w:eastAsia="zh-CN"/>
              </w:rPr>
              <w:t>抑尘效率</w:t>
            </w:r>
            <w:r>
              <w:rPr>
                <w:rFonts w:hint="default" w:ascii="Times New Roman" w:hAnsi="Times New Roman"/>
                <w:color w:val="auto"/>
                <w:sz w:val="24"/>
                <w:lang w:val="en-US" w:eastAsia="zh-CN"/>
              </w:rPr>
              <w:t>可达</w:t>
            </w:r>
            <w:r>
              <w:rPr>
                <w:rFonts w:hint="default" w:ascii="Times New Roman" w:hAnsi="Times New Roman"/>
                <w:color w:val="auto"/>
                <w:sz w:val="24"/>
                <w:lang w:eastAsia="zh-CN"/>
              </w:rPr>
              <w:t>90%以上，则</w:t>
            </w:r>
            <w:r>
              <w:rPr>
                <w:rFonts w:hint="eastAsia" w:cs="Times New Roman"/>
                <w:color w:val="auto"/>
                <w:sz w:val="24"/>
                <w:highlight w:val="none"/>
                <w:lang w:val="en-US" w:eastAsia="zh-CN"/>
              </w:rPr>
              <w:t>原料及成品运输无组织颗粒物</w:t>
            </w:r>
            <w:r>
              <w:rPr>
                <w:rFonts w:hint="default" w:ascii="Times New Roman" w:hAnsi="Times New Roman"/>
                <w:color w:val="auto"/>
                <w:sz w:val="24"/>
                <w:lang w:eastAsia="zh-CN"/>
              </w:rPr>
              <w:t>排放量约为</w:t>
            </w:r>
            <w:r>
              <w:rPr>
                <w:rFonts w:hint="eastAsia" w:ascii="Times New Roman" w:hAnsi="Times New Roman"/>
                <w:color w:val="auto"/>
                <w:sz w:val="24"/>
                <w:lang w:val="en-US" w:eastAsia="zh-CN"/>
              </w:rPr>
              <w:t>0.</w:t>
            </w:r>
            <w:r>
              <w:rPr>
                <w:rFonts w:hint="eastAsia"/>
                <w:color w:val="auto"/>
                <w:sz w:val="24"/>
                <w:lang w:val="en-US" w:eastAsia="zh-CN"/>
              </w:rPr>
              <w:t>03</w:t>
            </w:r>
            <w:r>
              <w:rPr>
                <w:rFonts w:hint="default" w:ascii="Times New Roman" w:hAnsi="Times New Roman"/>
                <w:color w:val="auto"/>
                <w:sz w:val="24"/>
                <w:lang w:eastAsia="zh-CN"/>
              </w:rPr>
              <w:t>t/a。</w:t>
            </w:r>
          </w:p>
          <w:p w14:paraId="67E8D91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highlight w:val="none"/>
                <w:lang w:val="en-US" w:eastAsia="zh-CN"/>
              </w:rPr>
              <w:t>（2）原料及成品堆放、</w:t>
            </w:r>
            <w:r>
              <w:rPr>
                <w:rFonts w:hint="default"/>
                <w:bCs/>
                <w:color w:val="auto"/>
                <w:sz w:val="24"/>
              </w:rPr>
              <w:t>装卸</w:t>
            </w:r>
            <w:r>
              <w:rPr>
                <w:rFonts w:hint="eastAsia" w:cs="Times New Roman"/>
                <w:color w:val="auto"/>
                <w:sz w:val="24"/>
                <w:highlight w:val="none"/>
                <w:lang w:val="en-US" w:eastAsia="zh-CN"/>
              </w:rPr>
              <w:t>废气</w:t>
            </w:r>
          </w:p>
          <w:p w14:paraId="5948BB67">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val="en-US" w:eastAsia="zh-CN"/>
              </w:rPr>
              <w:t>物料堆存、装卸粉尘产生量计算根据《固体物料堆存粉尘产排污核算系数手册》</w:t>
            </w:r>
            <w:r>
              <w:rPr>
                <w:rFonts w:hint="default" w:ascii="Times New Roman" w:hAnsi="Times New Roman"/>
                <w:color w:val="auto"/>
                <w:sz w:val="24"/>
                <w:lang w:eastAsia="zh-CN"/>
              </w:rPr>
              <w:t>，计算公式如下：</w:t>
            </w:r>
          </w:p>
          <w:p w14:paraId="5A96EB57">
            <w:pPr>
              <w:pStyle w:val="5"/>
              <w:keepNext w:val="0"/>
              <w:keepLines w:val="0"/>
              <w:suppressLineNumbers w:val="0"/>
              <w:spacing w:before="0" w:beforeAutospacing="0" w:after="0" w:afterAutospacing="0" w:line="480" w:lineRule="exact"/>
              <w:ind w:left="0" w:right="0" w:firstLine="0" w:firstLineChars="0"/>
              <w:jc w:val="center"/>
              <w:rPr>
                <w:rFonts w:hint="default" w:ascii="Times New Roman" w:hAnsi="Times New Roman"/>
                <w:color w:val="auto"/>
                <w:sz w:val="24"/>
                <w:lang w:val="en-US" w:eastAsia="zh-CN"/>
              </w:rPr>
            </w:pPr>
            <w:r>
              <w:rPr>
                <w:rFonts w:hint="default" w:ascii="Times New Roman" w:hAnsi="Times New Roman"/>
                <w:color w:val="auto"/>
                <w:sz w:val="24"/>
                <w:lang w:val="en-US" w:eastAsia="zh-CN"/>
              </w:rPr>
              <w:t>P=ZC</w:t>
            </w:r>
            <w:r>
              <w:rPr>
                <w:rFonts w:hint="default" w:ascii="Times New Roman" w:hAnsi="Times New Roman"/>
                <w:color w:val="auto"/>
                <w:sz w:val="24"/>
                <w:vertAlign w:val="subscript"/>
                <w:lang w:val="en-US" w:eastAsia="zh-CN"/>
              </w:rPr>
              <w:t>y</w:t>
            </w:r>
            <w:r>
              <w:rPr>
                <w:rFonts w:hint="default" w:ascii="Times New Roman" w:hAnsi="Times New Roman"/>
                <w:color w:val="auto"/>
                <w:sz w:val="24"/>
                <w:lang w:val="en-US" w:eastAsia="zh-CN"/>
              </w:rPr>
              <w:t>+FC</w:t>
            </w:r>
            <w:r>
              <w:rPr>
                <w:rFonts w:hint="default" w:ascii="Times New Roman" w:hAnsi="Times New Roman"/>
                <w:color w:val="auto"/>
                <w:sz w:val="24"/>
                <w:vertAlign w:val="subscript"/>
                <w:lang w:val="en-US" w:eastAsia="zh-CN"/>
              </w:rPr>
              <w:t>y</w:t>
            </w:r>
            <w:r>
              <w:rPr>
                <w:rFonts w:hint="default" w:ascii="Times New Roman" w:hAnsi="Times New Roman"/>
                <w:color w:val="auto"/>
                <w:sz w:val="24"/>
                <w:lang w:val="en-US" w:eastAsia="zh-CN"/>
              </w:rPr>
              <w:t>={N</w:t>
            </w:r>
            <w:r>
              <w:rPr>
                <w:rFonts w:hint="default" w:ascii="Times New Roman" w:hAnsi="Times New Roman"/>
                <w:color w:val="auto"/>
                <w:sz w:val="24"/>
                <w:vertAlign w:val="subscript"/>
                <w:lang w:val="en-US" w:eastAsia="zh-CN"/>
              </w:rPr>
              <w:t>c</w:t>
            </w:r>
            <w:r>
              <w:rPr>
                <w:rFonts w:hint="default" w:ascii="Times New Roman" w:hAnsi="Times New Roman"/>
                <w:color w:val="auto"/>
                <w:sz w:val="24"/>
                <w:lang w:val="en-US" w:eastAsia="zh-CN"/>
              </w:rPr>
              <w:t>×D×</w:t>
            </w:r>
            <w:r>
              <w:rPr>
                <w:rFonts w:hint="eastAsia"/>
                <w:color w:val="auto"/>
                <w:sz w:val="24"/>
                <w:lang w:val="en-US" w:eastAsia="zh-CN"/>
              </w:rPr>
              <w:t>（</w:t>
            </w:r>
            <w:r>
              <w:rPr>
                <w:rFonts w:hint="default" w:ascii="Times New Roman" w:hAnsi="Times New Roman"/>
                <w:color w:val="auto"/>
                <w:sz w:val="24"/>
                <w:lang w:val="en-US" w:eastAsia="zh-CN"/>
              </w:rPr>
              <w:t>a/b</w:t>
            </w:r>
            <w:r>
              <w:rPr>
                <w:rFonts w:hint="eastAsia"/>
                <w:color w:val="auto"/>
                <w:sz w:val="24"/>
                <w:lang w:val="en-US" w:eastAsia="zh-CN"/>
              </w:rPr>
              <w:t>）</w:t>
            </w:r>
            <w:r>
              <w:rPr>
                <w:rFonts w:hint="default" w:ascii="Times New Roman" w:hAnsi="Times New Roman"/>
                <w:color w:val="auto"/>
                <w:sz w:val="24"/>
                <w:lang w:val="en-US" w:eastAsia="zh-CN"/>
              </w:rPr>
              <w:t>+2×E</w:t>
            </w:r>
            <w:r>
              <w:rPr>
                <w:rFonts w:hint="default" w:ascii="Times New Roman" w:hAnsi="Times New Roman"/>
                <w:color w:val="auto"/>
                <w:sz w:val="24"/>
                <w:vertAlign w:val="subscript"/>
                <w:lang w:val="en-US" w:eastAsia="zh-CN"/>
              </w:rPr>
              <w:t>f</w:t>
            </w:r>
            <w:r>
              <w:rPr>
                <w:rFonts w:hint="default" w:ascii="Times New Roman" w:hAnsi="Times New Roman"/>
                <w:color w:val="auto"/>
                <w:sz w:val="24"/>
                <w:lang w:val="en-US" w:eastAsia="zh-CN"/>
              </w:rPr>
              <w:t>×S}×10</w:t>
            </w:r>
            <w:r>
              <w:rPr>
                <w:rFonts w:hint="default" w:ascii="Times New Roman" w:hAnsi="Times New Roman"/>
                <w:color w:val="auto"/>
                <w:sz w:val="24"/>
                <w:vertAlign w:val="superscript"/>
                <w:lang w:val="en-US" w:eastAsia="zh-CN"/>
              </w:rPr>
              <w:t>-3</w:t>
            </w:r>
          </w:p>
          <w:p w14:paraId="2BB9A7D3">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式中：</w:t>
            </w:r>
          </w:p>
          <w:p w14:paraId="33876326">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P—粉尘产生量，t/a；</w:t>
            </w:r>
          </w:p>
          <w:p w14:paraId="4D2539E2">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ZC</w:t>
            </w:r>
            <w:r>
              <w:rPr>
                <w:rFonts w:hint="default" w:ascii="Times New Roman" w:hAnsi="Times New Roman"/>
                <w:color w:val="auto"/>
                <w:sz w:val="24"/>
                <w:vertAlign w:val="subscript"/>
                <w:lang w:val="en-US" w:eastAsia="zh-CN"/>
              </w:rPr>
              <w:t>y</w:t>
            </w:r>
            <w:r>
              <w:rPr>
                <w:rFonts w:hint="default" w:ascii="Times New Roman" w:hAnsi="Times New Roman"/>
                <w:color w:val="auto"/>
                <w:sz w:val="24"/>
                <w:lang w:val="en-US" w:eastAsia="zh-CN"/>
              </w:rPr>
              <w:t>—装卸扬尘产生量，t/a；</w:t>
            </w:r>
          </w:p>
          <w:p w14:paraId="1E763E95">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FC</w:t>
            </w:r>
            <w:r>
              <w:rPr>
                <w:rFonts w:hint="default" w:ascii="Times New Roman" w:hAnsi="Times New Roman"/>
                <w:color w:val="auto"/>
                <w:sz w:val="24"/>
                <w:vertAlign w:val="subscript"/>
                <w:lang w:val="en-US" w:eastAsia="zh-CN"/>
              </w:rPr>
              <w:t>y</w:t>
            </w:r>
            <w:r>
              <w:rPr>
                <w:rFonts w:hint="default" w:ascii="Times New Roman" w:hAnsi="Times New Roman"/>
                <w:color w:val="auto"/>
                <w:sz w:val="24"/>
                <w:lang w:val="en-US" w:eastAsia="zh-CN"/>
              </w:rPr>
              <w:t>—风蚀扬尘产生量，t/a；</w:t>
            </w:r>
          </w:p>
          <w:p w14:paraId="502B6186">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N</w:t>
            </w:r>
            <w:r>
              <w:rPr>
                <w:rFonts w:hint="default" w:ascii="Times New Roman" w:hAnsi="Times New Roman"/>
                <w:color w:val="auto"/>
                <w:sz w:val="24"/>
                <w:vertAlign w:val="subscript"/>
                <w:lang w:val="en-US" w:eastAsia="zh-CN"/>
              </w:rPr>
              <w:t>c</w:t>
            </w:r>
            <w:r>
              <w:rPr>
                <w:rFonts w:hint="default" w:ascii="Times New Roman" w:hAnsi="Times New Roman"/>
                <w:color w:val="auto"/>
                <w:sz w:val="24"/>
                <w:lang w:val="en-US" w:eastAsia="zh-CN"/>
              </w:rPr>
              <w:t>—年物料运载车次，车；</w:t>
            </w:r>
          </w:p>
          <w:p w14:paraId="5926195F">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D—单车平均运载量，t/车；（N</w:t>
            </w:r>
            <w:r>
              <w:rPr>
                <w:rFonts w:hint="default" w:ascii="Times New Roman" w:hAnsi="Times New Roman"/>
                <w:color w:val="auto"/>
                <w:sz w:val="24"/>
                <w:vertAlign w:val="subscript"/>
                <w:lang w:val="en-US" w:eastAsia="zh-CN"/>
              </w:rPr>
              <w:t>c</w:t>
            </w:r>
            <w:r>
              <w:rPr>
                <w:rFonts w:hint="default" w:ascii="Times New Roman" w:hAnsi="Times New Roman"/>
                <w:color w:val="auto"/>
                <w:sz w:val="24"/>
                <w:lang w:val="en-US" w:eastAsia="zh-CN"/>
              </w:rPr>
              <w:t>×D）；</w:t>
            </w:r>
          </w:p>
          <w:p w14:paraId="00468434">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eastAsia"/>
                <w:color w:val="auto"/>
                <w:sz w:val="24"/>
                <w:lang w:val="en-US" w:eastAsia="zh-CN"/>
              </w:rPr>
              <w:t>（</w:t>
            </w:r>
            <w:r>
              <w:rPr>
                <w:rFonts w:hint="default" w:ascii="Times New Roman" w:hAnsi="Times New Roman"/>
                <w:color w:val="auto"/>
                <w:sz w:val="24"/>
                <w:lang w:val="en-US" w:eastAsia="zh-CN"/>
              </w:rPr>
              <w:t>a/b</w:t>
            </w:r>
            <w:r>
              <w:rPr>
                <w:rFonts w:hint="eastAsia"/>
                <w:color w:val="auto"/>
                <w:sz w:val="24"/>
                <w:lang w:val="en-US" w:eastAsia="zh-CN"/>
              </w:rPr>
              <w:t>）</w:t>
            </w:r>
            <w:r>
              <w:rPr>
                <w:rFonts w:hint="default" w:ascii="Times New Roman" w:hAnsi="Times New Roman"/>
                <w:color w:val="auto"/>
                <w:sz w:val="24"/>
                <w:lang w:val="en-US" w:eastAsia="zh-CN"/>
              </w:rPr>
              <w:t>—装卸扬尘概化系数，kg/m</w:t>
            </w:r>
            <w:r>
              <w:rPr>
                <w:rFonts w:hint="default" w:ascii="Times New Roman" w:hAnsi="Times New Roman"/>
                <w:color w:val="auto"/>
                <w:sz w:val="24"/>
                <w:vertAlign w:val="superscript"/>
                <w:lang w:val="en-US" w:eastAsia="zh-CN"/>
              </w:rPr>
              <w:t>2</w:t>
            </w:r>
            <w:r>
              <w:rPr>
                <w:rFonts w:hint="default" w:ascii="Times New Roman" w:hAnsi="Times New Roman"/>
                <w:color w:val="auto"/>
                <w:sz w:val="24"/>
                <w:lang w:val="en-US" w:eastAsia="zh-CN"/>
              </w:rPr>
              <w:t>；a取0.001，b取0.0049；</w:t>
            </w:r>
          </w:p>
          <w:p w14:paraId="1E92D6A8">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S—堆场占地面积，m</w:t>
            </w:r>
            <w:r>
              <w:rPr>
                <w:rFonts w:hint="default" w:ascii="Times New Roman" w:hAnsi="Times New Roman"/>
                <w:color w:val="auto"/>
                <w:sz w:val="24"/>
                <w:vertAlign w:val="superscript"/>
                <w:lang w:val="en-US" w:eastAsia="zh-CN"/>
              </w:rPr>
              <w:t>2</w:t>
            </w:r>
            <w:r>
              <w:rPr>
                <w:rFonts w:hint="default" w:ascii="Times New Roman" w:hAnsi="Times New Roman"/>
                <w:color w:val="auto"/>
                <w:sz w:val="24"/>
                <w:lang w:val="en-US" w:eastAsia="zh-CN"/>
              </w:rPr>
              <w:t>；</w:t>
            </w:r>
            <w:r>
              <w:rPr>
                <w:rFonts w:hint="eastAsia" w:ascii="Times New Roman" w:hAnsi="Times New Roman"/>
                <w:color w:val="auto"/>
                <w:sz w:val="24"/>
                <w:lang w:val="en-US" w:eastAsia="zh-CN"/>
              </w:rPr>
              <w:t>原料</w:t>
            </w:r>
            <w:r>
              <w:rPr>
                <w:rFonts w:hint="eastAsia"/>
                <w:color w:val="auto"/>
                <w:sz w:val="24"/>
                <w:lang w:val="en-US" w:eastAsia="zh-CN"/>
              </w:rPr>
              <w:t>堆放区面积约140</w:t>
            </w:r>
            <w:r>
              <w:rPr>
                <w:rFonts w:hint="default" w:ascii="Times New Roman" w:hAnsi="Times New Roman"/>
                <w:color w:val="auto"/>
                <w:sz w:val="24"/>
                <w:lang w:val="en-US" w:eastAsia="zh-CN"/>
              </w:rPr>
              <w:t>0m</w:t>
            </w:r>
            <w:r>
              <w:rPr>
                <w:rFonts w:hint="default" w:ascii="Times New Roman" w:hAnsi="Times New Roman"/>
                <w:color w:val="auto"/>
                <w:sz w:val="24"/>
                <w:vertAlign w:val="superscript"/>
                <w:lang w:val="en-US" w:eastAsia="zh-CN"/>
              </w:rPr>
              <w:t>2</w:t>
            </w:r>
            <w:r>
              <w:rPr>
                <w:rFonts w:hint="default" w:ascii="Times New Roman" w:hAnsi="Times New Roman"/>
                <w:color w:val="auto"/>
                <w:sz w:val="24"/>
                <w:lang w:val="en-US" w:eastAsia="zh-CN"/>
              </w:rPr>
              <w:t>，</w:t>
            </w:r>
            <w:r>
              <w:rPr>
                <w:rFonts w:hint="eastAsia" w:ascii="Times New Roman" w:hAnsi="Times New Roman"/>
                <w:color w:val="auto"/>
                <w:sz w:val="24"/>
                <w:lang w:val="en-US" w:eastAsia="zh-CN"/>
              </w:rPr>
              <w:t>成品</w:t>
            </w:r>
            <w:r>
              <w:rPr>
                <w:rFonts w:hint="eastAsia"/>
                <w:color w:val="auto"/>
                <w:sz w:val="24"/>
                <w:lang w:val="en-US" w:eastAsia="zh-CN"/>
              </w:rPr>
              <w:t>库面积约6</w:t>
            </w:r>
            <w:r>
              <w:rPr>
                <w:rFonts w:hint="default" w:ascii="Times New Roman" w:hAnsi="Times New Roman"/>
                <w:color w:val="auto"/>
                <w:sz w:val="24"/>
                <w:lang w:val="en-US" w:eastAsia="zh-CN"/>
              </w:rPr>
              <w:t>00m</w:t>
            </w:r>
            <w:r>
              <w:rPr>
                <w:rFonts w:hint="default" w:ascii="Times New Roman" w:hAnsi="Times New Roman"/>
                <w:color w:val="auto"/>
                <w:sz w:val="24"/>
                <w:vertAlign w:val="superscript"/>
                <w:lang w:val="en-US" w:eastAsia="zh-CN"/>
              </w:rPr>
              <w:t>2</w:t>
            </w:r>
            <w:r>
              <w:rPr>
                <w:rFonts w:hint="default" w:ascii="Times New Roman" w:hAnsi="Times New Roman"/>
                <w:color w:val="auto"/>
                <w:sz w:val="24"/>
                <w:lang w:val="en-US" w:eastAsia="zh-CN"/>
              </w:rPr>
              <w:t>；</w:t>
            </w:r>
          </w:p>
          <w:p w14:paraId="7D5B7B56">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vertAlign w:val="superscript"/>
                <w:lang w:val="en-US" w:eastAsia="zh-CN"/>
              </w:rPr>
            </w:pPr>
            <w:r>
              <w:rPr>
                <w:rFonts w:hint="default" w:ascii="Times New Roman" w:hAnsi="Times New Roman"/>
                <w:color w:val="auto"/>
                <w:sz w:val="24"/>
                <w:lang w:val="en-US" w:eastAsia="zh-CN"/>
              </w:rPr>
              <w:t>E</w:t>
            </w:r>
            <w:r>
              <w:rPr>
                <w:rFonts w:hint="default" w:ascii="Times New Roman" w:hAnsi="Times New Roman"/>
                <w:color w:val="auto"/>
                <w:sz w:val="24"/>
                <w:vertAlign w:val="subscript"/>
                <w:lang w:val="en-US" w:eastAsia="zh-CN"/>
              </w:rPr>
              <w:t>f</w:t>
            </w:r>
            <w:r>
              <w:rPr>
                <w:rFonts w:hint="default" w:ascii="Times New Roman" w:hAnsi="Times New Roman"/>
                <w:color w:val="auto"/>
                <w:sz w:val="24"/>
                <w:lang w:val="en-US" w:eastAsia="zh-CN"/>
              </w:rPr>
              <w:t>—堆场风蚀扬尘概化系数，kg/m</w:t>
            </w:r>
            <w:r>
              <w:rPr>
                <w:rFonts w:hint="default" w:ascii="Times New Roman" w:hAnsi="Times New Roman"/>
                <w:color w:val="auto"/>
                <w:sz w:val="24"/>
                <w:vertAlign w:val="superscript"/>
                <w:lang w:val="en-US" w:eastAsia="zh-CN"/>
              </w:rPr>
              <w:t>2</w:t>
            </w:r>
            <w:r>
              <w:rPr>
                <w:rFonts w:hint="default" w:ascii="Times New Roman" w:hAnsi="Times New Roman"/>
                <w:color w:val="auto"/>
                <w:sz w:val="24"/>
                <w:lang w:val="en-US" w:eastAsia="zh-CN"/>
              </w:rPr>
              <w:t>，取30.6582</w:t>
            </w:r>
            <w:r>
              <w:rPr>
                <w:rFonts w:hint="eastAsia"/>
                <w:color w:val="auto"/>
                <w:sz w:val="24"/>
                <w:lang w:val="en-US" w:eastAsia="zh-CN"/>
              </w:rPr>
              <w:t>；</w:t>
            </w:r>
          </w:p>
          <w:p w14:paraId="18D03688">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查手册选取对应参数，计算如下：</w:t>
            </w:r>
          </w:p>
          <w:p w14:paraId="392A5088">
            <w:pPr>
              <w:pStyle w:val="5"/>
              <w:keepNext w:val="0"/>
              <w:keepLines w:val="0"/>
              <w:suppressLineNumbers w:val="0"/>
              <w:spacing w:before="0" w:beforeAutospacing="0" w:after="0" w:afterAutospacing="0" w:line="480" w:lineRule="exact"/>
              <w:ind w:left="0" w:right="0" w:firstLine="480"/>
              <w:jc w:val="left"/>
              <w:rPr>
                <w:rFonts w:hint="default" w:ascii="Times New Roman" w:hAnsi="Times New Roman"/>
                <w:color w:val="auto"/>
                <w:sz w:val="24"/>
                <w:lang w:val="en-US" w:eastAsia="zh-CN"/>
              </w:rPr>
            </w:pPr>
            <w:r>
              <w:rPr>
                <w:rFonts w:hint="eastAsia" w:ascii="Times New Roman" w:hAnsi="Times New Roman"/>
                <w:color w:val="auto"/>
                <w:sz w:val="24"/>
                <w:lang w:val="en-US" w:eastAsia="zh-CN"/>
              </w:rPr>
              <w:t>原料</w:t>
            </w:r>
            <w:r>
              <w:rPr>
                <w:rFonts w:hint="eastAsia"/>
                <w:color w:val="auto"/>
                <w:sz w:val="24"/>
                <w:lang w:val="en-US" w:eastAsia="zh-CN"/>
              </w:rPr>
              <w:t>堆放区</w:t>
            </w:r>
            <w:r>
              <w:rPr>
                <w:rFonts w:hint="default" w:ascii="Times New Roman" w:hAnsi="Times New Roman"/>
                <w:color w:val="auto"/>
                <w:sz w:val="24"/>
                <w:lang w:val="en-US" w:eastAsia="zh-CN"/>
              </w:rPr>
              <w:t>堆存装卸粉尘产生量</w:t>
            </w:r>
          </w:p>
          <w:p w14:paraId="56A69C7E">
            <w:pPr>
              <w:pStyle w:val="5"/>
              <w:keepNext w:val="0"/>
              <w:keepLines w:val="0"/>
              <w:suppressLineNumbers w:val="0"/>
              <w:spacing w:before="0" w:beforeAutospacing="0" w:after="0" w:afterAutospacing="0" w:line="480" w:lineRule="exact"/>
              <w:ind w:left="0" w:right="0" w:firstLine="480"/>
              <w:jc w:val="left"/>
              <w:rPr>
                <w:rFonts w:hint="default" w:ascii="Times New Roman" w:hAnsi="Times New Roman"/>
                <w:color w:val="auto"/>
                <w:sz w:val="24"/>
                <w:lang w:val="en-US" w:eastAsia="zh-CN"/>
              </w:rPr>
            </w:pPr>
            <w:r>
              <w:rPr>
                <w:rFonts w:hint="default" w:ascii="Times New Roman" w:hAnsi="Times New Roman"/>
                <w:color w:val="auto"/>
                <w:sz w:val="24"/>
                <w:lang w:val="en-US" w:eastAsia="zh-CN"/>
              </w:rPr>
              <w:t>P={</w:t>
            </w:r>
            <w:r>
              <w:rPr>
                <w:rFonts w:hint="eastAsia"/>
                <w:color w:val="auto"/>
                <w:sz w:val="24"/>
                <w:lang w:val="en-US" w:eastAsia="zh-CN"/>
              </w:rPr>
              <w:t>45</w:t>
            </w:r>
            <w:r>
              <w:rPr>
                <w:rFonts w:hint="default" w:ascii="Times New Roman" w:hAnsi="Times New Roman"/>
                <w:color w:val="auto"/>
                <w:sz w:val="24"/>
                <w:lang w:val="en-US" w:eastAsia="zh-CN"/>
              </w:rPr>
              <w:t>×</w:t>
            </w:r>
            <w:r>
              <w:rPr>
                <w:rFonts w:hint="eastAsia"/>
                <w:color w:val="auto"/>
                <w:sz w:val="24"/>
                <w:lang w:val="en-US" w:eastAsia="zh-CN"/>
              </w:rPr>
              <w:t>40</w:t>
            </w:r>
            <w:r>
              <w:rPr>
                <w:rFonts w:hint="default" w:ascii="Times New Roman" w:hAnsi="Times New Roman"/>
                <w:color w:val="auto"/>
                <w:sz w:val="24"/>
                <w:lang w:val="en-US" w:eastAsia="zh-CN"/>
              </w:rPr>
              <w:t>×</w:t>
            </w:r>
            <w:r>
              <w:rPr>
                <w:rFonts w:hint="eastAsia"/>
                <w:color w:val="auto"/>
                <w:sz w:val="24"/>
                <w:lang w:val="en-US" w:eastAsia="zh-CN"/>
              </w:rPr>
              <w:t>330</w:t>
            </w:r>
            <w:r>
              <w:rPr>
                <w:rFonts w:hint="default" w:ascii="Times New Roman" w:hAnsi="Times New Roman"/>
                <w:color w:val="auto"/>
                <w:sz w:val="24"/>
                <w:lang w:val="en-US" w:eastAsia="zh-CN"/>
              </w:rPr>
              <w:t>×</w:t>
            </w:r>
            <w:r>
              <w:rPr>
                <w:rFonts w:hint="eastAsia"/>
                <w:color w:val="auto"/>
                <w:sz w:val="24"/>
                <w:lang w:val="en-US" w:eastAsia="zh-CN"/>
              </w:rPr>
              <w:t>（</w:t>
            </w:r>
            <w:r>
              <w:rPr>
                <w:rFonts w:hint="default" w:ascii="Times New Roman" w:hAnsi="Times New Roman"/>
                <w:color w:val="auto"/>
                <w:sz w:val="24"/>
                <w:lang w:val="en-US" w:eastAsia="zh-CN"/>
              </w:rPr>
              <w:t>0.001/0.0049</w:t>
            </w:r>
            <w:r>
              <w:rPr>
                <w:rFonts w:hint="eastAsia"/>
                <w:color w:val="auto"/>
                <w:sz w:val="24"/>
                <w:lang w:val="en-US" w:eastAsia="zh-CN"/>
              </w:rPr>
              <w:t>）</w:t>
            </w:r>
            <w:r>
              <w:rPr>
                <w:rFonts w:hint="default" w:ascii="Times New Roman" w:hAnsi="Times New Roman"/>
                <w:color w:val="auto"/>
                <w:sz w:val="24"/>
                <w:lang w:val="en-US" w:eastAsia="zh-CN"/>
              </w:rPr>
              <w:t>+2×30.6582×</w:t>
            </w:r>
            <w:r>
              <w:rPr>
                <w:rFonts w:hint="eastAsia"/>
                <w:color w:val="auto"/>
                <w:sz w:val="24"/>
                <w:lang w:val="en-US" w:eastAsia="zh-CN"/>
              </w:rPr>
              <w:t>140</w:t>
            </w:r>
            <w:r>
              <w:rPr>
                <w:rFonts w:hint="default" w:ascii="Times New Roman" w:hAnsi="Times New Roman"/>
                <w:color w:val="auto"/>
                <w:sz w:val="24"/>
                <w:lang w:val="en-US" w:eastAsia="zh-CN"/>
              </w:rPr>
              <w:t>0}×10</w:t>
            </w:r>
            <w:r>
              <w:rPr>
                <w:rFonts w:hint="default" w:ascii="Times New Roman" w:hAnsi="Times New Roman"/>
                <w:color w:val="auto"/>
                <w:sz w:val="24"/>
                <w:vertAlign w:val="superscript"/>
                <w:lang w:val="en-US" w:eastAsia="zh-CN"/>
              </w:rPr>
              <w:t>-3</w:t>
            </w:r>
            <w:r>
              <w:rPr>
                <w:rFonts w:hint="default" w:ascii="Times New Roman" w:hAnsi="Times New Roman"/>
                <w:color w:val="auto"/>
                <w:sz w:val="24"/>
                <w:lang w:val="en-US" w:eastAsia="zh-CN"/>
              </w:rPr>
              <w:t>=</w:t>
            </w:r>
            <w:r>
              <w:rPr>
                <w:rFonts w:hint="eastAsia"/>
                <w:color w:val="auto"/>
                <w:sz w:val="24"/>
                <w:lang w:val="en-US" w:eastAsia="zh-CN"/>
              </w:rPr>
              <w:t>207.07</w:t>
            </w:r>
            <w:r>
              <w:rPr>
                <w:rFonts w:hint="default" w:ascii="Times New Roman" w:hAnsi="Times New Roman"/>
                <w:color w:val="auto"/>
                <w:sz w:val="24"/>
                <w:lang w:val="en-US" w:eastAsia="zh-CN"/>
              </w:rPr>
              <w:t>t/a；</w:t>
            </w:r>
          </w:p>
          <w:p w14:paraId="46D062FA">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eastAsia" w:ascii="Times New Roman" w:hAnsi="Times New Roman"/>
                <w:color w:val="auto"/>
                <w:sz w:val="24"/>
                <w:lang w:val="en-US" w:eastAsia="zh-CN"/>
              </w:rPr>
              <w:t>成品</w:t>
            </w:r>
            <w:r>
              <w:rPr>
                <w:rFonts w:hint="eastAsia"/>
                <w:color w:val="auto"/>
                <w:sz w:val="24"/>
                <w:lang w:val="en-US" w:eastAsia="zh-CN"/>
              </w:rPr>
              <w:t>库</w:t>
            </w:r>
            <w:r>
              <w:rPr>
                <w:rFonts w:hint="default" w:ascii="Times New Roman" w:hAnsi="Times New Roman"/>
                <w:color w:val="auto"/>
                <w:sz w:val="24"/>
                <w:lang w:val="en-US" w:eastAsia="zh-CN"/>
              </w:rPr>
              <w:t>堆存装卸粉尘产生量</w:t>
            </w:r>
          </w:p>
          <w:p w14:paraId="74C1765C">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val="en-US" w:eastAsia="zh-CN"/>
              </w:rPr>
            </w:pPr>
            <w:r>
              <w:rPr>
                <w:rFonts w:hint="default" w:ascii="Times New Roman" w:hAnsi="Times New Roman"/>
                <w:color w:val="auto"/>
                <w:sz w:val="24"/>
                <w:lang w:val="en-US" w:eastAsia="zh-CN"/>
              </w:rPr>
              <w:t>P={</w:t>
            </w:r>
            <w:r>
              <w:rPr>
                <w:rFonts w:hint="eastAsia"/>
                <w:color w:val="auto"/>
                <w:sz w:val="24"/>
                <w:lang w:val="en-US" w:eastAsia="zh-CN"/>
              </w:rPr>
              <w:t>45</w:t>
            </w:r>
            <w:r>
              <w:rPr>
                <w:rFonts w:hint="default" w:ascii="Times New Roman" w:hAnsi="Times New Roman"/>
                <w:color w:val="auto"/>
                <w:sz w:val="24"/>
                <w:lang w:val="en-US" w:eastAsia="zh-CN"/>
              </w:rPr>
              <w:t>×</w:t>
            </w:r>
            <w:r>
              <w:rPr>
                <w:rFonts w:hint="eastAsia"/>
                <w:color w:val="auto"/>
                <w:sz w:val="24"/>
                <w:lang w:val="en-US" w:eastAsia="zh-CN"/>
              </w:rPr>
              <w:t>40</w:t>
            </w:r>
            <w:r>
              <w:rPr>
                <w:rFonts w:hint="default" w:ascii="Times New Roman" w:hAnsi="Times New Roman"/>
                <w:color w:val="auto"/>
                <w:sz w:val="24"/>
                <w:lang w:val="en-US" w:eastAsia="zh-CN"/>
              </w:rPr>
              <w:t>×</w:t>
            </w:r>
            <w:r>
              <w:rPr>
                <w:rFonts w:hint="eastAsia"/>
                <w:color w:val="auto"/>
                <w:sz w:val="24"/>
                <w:lang w:val="en-US" w:eastAsia="zh-CN"/>
              </w:rPr>
              <w:t>330</w:t>
            </w:r>
            <w:r>
              <w:rPr>
                <w:rFonts w:hint="default" w:ascii="Times New Roman" w:hAnsi="Times New Roman"/>
                <w:color w:val="auto"/>
                <w:sz w:val="24"/>
                <w:lang w:val="en-US" w:eastAsia="zh-CN"/>
              </w:rPr>
              <w:t>×</w:t>
            </w:r>
            <w:r>
              <w:rPr>
                <w:rFonts w:hint="default" w:ascii="Times New Roman" w:hAnsi="Times New Roman" w:cs="Times New Roman"/>
                <w:color w:val="auto"/>
                <w:sz w:val="24"/>
                <w:lang w:val="en-US" w:eastAsia="zh-CN"/>
              </w:rPr>
              <w:t>（</w:t>
            </w:r>
            <w:r>
              <w:rPr>
                <w:rFonts w:hint="default" w:ascii="Times New Roman" w:hAnsi="Times New Roman"/>
                <w:color w:val="auto"/>
                <w:sz w:val="24"/>
                <w:lang w:val="en-US" w:eastAsia="zh-CN"/>
              </w:rPr>
              <w:t>0.001/0.0049</w:t>
            </w:r>
            <w:r>
              <w:rPr>
                <w:rFonts w:hint="eastAsia"/>
                <w:color w:val="auto"/>
                <w:sz w:val="24"/>
                <w:lang w:val="en-US" w:eastAsia="zh-CN"/>
              </w:rPr>
              <w:t>）</w:t>
            </w:r>
            <w:r>
              <w:rPr>
                <w:rFonts w:hint="default" w:ascii="Times New Roman" w:hAnsi="Times New Roman"/>
                <w:color w:val="auto"/>
                <w:sz w:val="24"/>
                <w:lang w:val="en-US" w:eastAsia="zh-CN"/>
              </w:rPr>
              <w:t>+2×30.6582×</w:t>
            </w:r>
            <w:r>
              <w:rPr>
                <w:rFonts w:hint="eastAsia"/>
                <w:color w:val="auto"/>
                <w:sz w:val="24"/>
                <w:lang w:val="en-US" w:eastAsia="zh-CN"/>
              </w:rPr>
              <w:t>6</w:t>
            </w:r>
            <w:r>
              <w:rPr>
                <w:rFonts w:hint="default" w:ascii="Times New Roman" w:hAnsi="Times New Roman"/>
                <w:color w:val="auto"/>
                <w:sz w:val="24"/>
                <w:lang w:val="en-US" w:eastAsia="zh-CN"/>
              </w:rPr>
              <w:t>00}×10</w:t>
            </w:r>
            <w:r>
              <w:rPr>
                <w:rFonts w:hint="default" w:ascii="Times New Roman" w:hAnsi="Times New Roman"/>
                <w:color w:val="auto"/>
                <w:sz w:val="24"/>
                <w:vertAlign w:val="superscript"/>
                <w:lang w:val="en-US" w:eastAsia="zh-CN"/>
              </w:rPr>
              <w:t>-3</w:t>
            </w:r>
            <w:r>
              <w:rPr>
                <w:rFonts w:hint="default" w:ascii="Times New Roman" w:hAnsi="Times New Roman"/>
                <w:color w:val="auto"/>
                <w:sz w:val="24"/>
                <w:lang w:val="en-US" w:eastAsia="zh-CN"/>
              </w:rPr>
              <w:t>=</w:t>
            </w:r>
            <w:r>
              <w:rPr>
                <w:rFonts w:hint="eastAsia"/>
                <w:color w:val="auto"/>
                <w:sz w:val="24"/>
                <w:lang w:val="en-US" w:eastAsia="zh-CN"/>
              </w:rPr>
              <w:t>158.01</w:t>
            </w:r>
            <w:r>
              <w:rPr>
                <w:rFonts w:hint="default" w:ascii="Times New Roman" w:hAnsi="Times New Roman"/>
                <w:color w:val="auto"/>
                <w:sz w:val="24"/>
                <w:lang w:val="en-US" w:eastAsia="zh-CN"/>
              </w:rPr>
              <w:t>t/a；</w:t>
            </w:r>
          </w:p>
          <w:p w14:paraId="4A804AAA">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经计算，</w:t>
            </w:r>
            <w:r>
              <w:rPr>
                <w:rFonts w:hint="eastAsia" w:ascii="Times New Roman" w:hAnsi="Times New Roman"/>
                <w:color w:val="auto"/>
                <w:sz w:val="24"/>
                <w:lang w:val="en-US" w:eastAsia="zh-CN"/>
              </w:rPr>
              <w:t>原料</w:t>
            </w:r>
            <w:r>
              <w:rPr>
                <w:rFonts w:hint="eastAsia"/>
                <w:color w:val="auto"/>
                <w:sz w:val="24"/>
                <w:lang w:val="en-US" w:eastAsia="zh-CN"/>
              </w:rPr>
              <w:t>堆放区</w:t>
            </w:r>
            <w:r>
              <w:rPr>
                <w:rFonts w:hint="default" w:ascii="Times New Roman" w:hAnsi="Times New Roman"/>
                <w:color w:val="auto"/>
                <w:sz w:val="24"/>
                <w:lang w:val="en-US" w:eastAsia="zh-CN"/>
              </w:rPr>
              <w:t>堆存装卸粉尘</w:t>
            </w:r>
            <w:r>
              <w:rPr>
                <w:rFonts w:hint="default" w:ascii="Times New Roman" w:hAnsi="Times New Roman"/>
                <w:color w:val="auto"/>
                <w:sz w:val="24"/>
                <w:lang w:eastAsia="zh-CN"/>
              </w:rPr>
              <w:t>为</w:t>
            </w:r>
            <w:r>
              <w:rPr>
                <w:rFonts w:hint="eastAsia"/>
                <w:color w:val="auto"/>
                <w:sz w:val="24"/>
                <w:lang w:val="en-US" w:eastAsia="zh-CN"/>
              </w:rPr>
              <w:t>207.07</w:t>
            </w:r>
            <w:r>
              <w:rPr>
                <w:rFonts w:hint="default" w:ascii="Times New Roman" w:hAnsi="Times New Roman"/>
                <w:color w:val="auto"/>
                <w:sz w:val="24"/>
                <w:lang w:eastAsia="zh-CN"/>
              </w:rPr>
              <w:t>t/a，</w:t>
            </w:r>
            <w:r>
              <w:rPr>
                <w:rFonts w:hint="eastAsia" w:ascii="Times New Roman" w:hAnsi="Times New Roman"/>
                <w:color w:val="auto"/>
                <w:sz w:val="24"/>
                <w:lang w:val="en-US" w:eastAsia="zh-CN"/>
              </w:rPr>
              <w:t>成品</w:t>
            </w:r>
            <w:r>
              <w:rPr>
                <w:rFonts w:hint="eastAsia"/>
                <w:color w:val="auto"/>
                <w:sz w:val="24"/>
                <w:lang w:val="en-US" w:eastAsia="zh-CN"/>
              </w:rPr>
              <w:t>库</w:t>
            </w:r>
            <w:r>
              <w:rPr>
                <w:rFonts w:hint="default" w:ascii="Times New Roman" w:hAnsi="Times New Roman"/>
                <w:color w:val="auto"/>
                <w:sz w:val="24"/>
                <w:lang w:val="en-US" w:eastAsia="zh-CN"/>
              </w:rPr>
              <w:t>堆存装卸粉尘</w:t>
            </w:r>
            <w:r>
              <w:rPr>
                <w:rFonts w:hint="default" w:ascii="Times New Roman" w:hAnsi="Times New Roman"/>
                <w:color w:val="auto"/>
                <w:sz w:val="24"/>
                <w:lang w:eastAsia="zh-CN"/>
              </w:rPr>
              <w:t>为</w:t>
            </w:r>
            <w:r>
              <w:rPr>
                <w:rFonts w:hint="eastAsia"/>
                <w:color w:val="auto"/>
                <w:sz w:val="24"/>
                <w:lang w:val="en-US" w:eastAsia="zh-CN"/>
              </w:rPr>
              <w:t>158.01</w:t>
            </w:r>
            <w:r>
              <w:rPr>
                <w:rFonts w:hint="default" w:ascii="Times New Roman" w:hAnsi="Times New Roman"/>
                <w:color w:val="auto"/>
                <w:sz w:val="24"/>
                <w:lang w:eastAsia="zh-CN"/>
              </w:rPr>
              <w:t>t/a。</w:t>
            </w:r>
          </w:p>
          <w:p w14:paraId="36B08F1C">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auto"/>
                <w:sz w:val="24"/>
                <w:szCs w:val="24"/>
                <w:highlight w:val="none"/>
                <w:lang w:val="en-US" w:eastAsia="zh-CN"/>
              </w:rPr>
            </w:pPr>
            <w:r>
              <w:rPr>
                <w:rFonts w:hint="default" w:ascii="Times New Roman Regular" w:hAnsi="Times New Roman Regular" w:cs="Times New Roman Regular"/>
                <w:bCs/>
                <w:color w:val="auto"/>
                <w:sz w:val="24"/>
                <w:highlight w:val="none"/>
              </w:rPr>
              <w:t>根据《中华人民共和国大气污染防治法》（2015年修订）“第七十二条贮存煤炭、煤矸石、煤渣、煤灰、水泥、石灰、石膏、砂土等易产生扬尘的物料应当密闭；不能密闭的</w:t>
            </w:r>
            <w:r>
              <w:rPr>
                <w:rFonts w:hint="default" w:ascii="Times New Roman Regular" w:hAnsi="Times New Roman Regular" w:cs="Times New Roman Regular"/>
                <w:color w:val="auto"/>
                <w:sz w:val="24"/>
                <w:highlight w:val="none"/>
              </w:rPr>
              <w:t>，应当设置不低于堆放物高度的严密围挡，并采取有效覆盖措施防治扬尘污染”，本次评价要求</w:t>
            </w:r>
            <w:r>
              <w:rPr>
                <w:rFonts w:hint="default" w:ascii="Times New Roman Regular" w:hAnsi="Times New Roman Regular" w:cs="Times New Roman Regular"/>
                <w:color w:val="auto"/>
                <w:sz w:val="24"/>
                <w:highlight w:val="none"/>
                <w:lang w:val="en-US" w:eastAsia="zh-CN"/>
              </w:rPr>
              <w:t>对</w:t>
            </w:r>
            <w:r>
              <w:rPr>
                <w:rFonts w:hint="default" w:ascii="Times New Roman Regular" w:hAnsi="Times New Roman Regular" w:cs="Times New Roman Regular"/>
                <w:color w:val="auto"/>
                <w:sz w:val="24"/>
                <w:highlight w:val="none"/>
              </w:rPr>
              <w:t>全封闭轻钢结构</w:t>
            </w:r>
            <w:r>
              <w:rPr>
                <w:rFonts w:hint="default" w:ascii="Times New Roman Regular" w:hAnsi="Times New Roman Regular" w:cs="Times New Roman Regular"/>
                <w:color w:val="auto"/>
                <w:sz w:val="24"/>
                <w:highlight w:val="none"/>
                <w:lang w:val="en-US" w:eastAsia="zh-CN"/>
              </w:rPr>
              <w:t>存储车间进行分区</w:t>
            </w:r>
            <w:r>
              <w:rPr>
                <w:rFonts w:hint="default" w:ascii="Times New Roman Regular" w:hAnsi="Times New Roman Regular" w:cs="Times New Roman Regular"/>
                <w:color w:val="auto"/>
                <w:sz w:val="24"/>
                <w:highlight w:val="none"/>
              </w:rPr>
              <w:t>，在</w:t>
            </w:r>
            <w:r>
              <w:rPr>
                <w:rFonts w:hint="eastAsia" w:ascii="Times New Roman Regular" w:hAnsi="Times New Roman Regular" w:cs="Times New Roman Regular"/>
                <w:color w:val="auto"/>
                <w:sz w:val="24"/>
                <w:highlight w:val="none"/>
                <w:lang w:val="en-US" w:eastAsia="zh-CN"/>
              </w:rPr>
              <w:t>原料堆放区</w:t>
            </w:r>
            <w:r>
              <w:rPr>
                <w:rFonts w:hint="default" w:ascii="Times New Roman Regular" w:hAnsi="Times New Roman Regular" w:cs="Times New Roman Regular"/>
                <w:color w:val="auto"/>
                <w:sz w:val="24"/>
                <w:highlight w:val="none"/>
                <w:lang w:val="en-US" w:eastAsia="zh-CN"/>
              </w:rPr>
              <w:t>车间</w:t>
            </w:r>
            <w:r>
              <w:rPr>
                <w:rFonts w:hint="default" w:ascii="Times New Roman Regular" w:hAnsi="Times New Roman Regular" w:cs="Times New Roman Regular"/>
                <w:color w:val="auto"/>
                <w:sz w:val="24"/>
                <w:highlight w:val="none"/>
              </w:rPr>
              <w:t>顶部</w:t>
            </w:r>
            <w:r>
              <w:rPr>
                <w:rFonts w:hint="eastAsia" w:ascii="Times New Roman Regular" w:hAnsi="Times New Roman Regular" w:cs="Times New Roman Regular"/>
                <w:color w:val="auto"/>
                <w:sz w:val="24"/>
                <w:highlight w:val="none"/>
                <w:lang w:eastAsia="zh-CN"/>
              </w:rPr>
              <w:t>、</w:t>
            </w:r>
            <w:r>
              <w:rPr>
                <w:rFonts w:hint="eastAsia" w:ascii="Times New Roman Regular" w:hAnsi="Times New Roman Regular" w:cs="Times New Roman Regular"/>
                <w:color w:val="auto"/>
                <w:sz w:val="24"/>
                <w:highlight w:val="none"/>
                <w:lang w:val="en-US" w:eastAsia="zh-CN"/>
              </w:rPr>
              <w:t>成品库顶部</w:t>
            </w:r>
            <w:r>
              <w:rPr>
                <w:rFonts w:hint="default" w:ascii="Times New Roman Regular" w:hAnsi="Times New Roman Regular" w:cs="Times New Roman Regular"/>
                <w:color w:val="auto"/>
                <w:sz w:val="24"/>
                <w:highlight w:val="none"/>
                <w:lang w:val="en-US" w:eastAsia="zh-CN"/>
              </w:rPr>
              <w:t>合理</w:t>
            </w:r>
            <w:r>
              <w:rPr>
                <w:rFonts w:hint="default" w:ascii="Times New Roman Regular" w:hAnsi="Times New Roman Regular" w:cs="Times New Roman Regular"/>
                <w:color w:val="auto"/>
                <w:sz w:val="24"/>
                <w:highlight w:val="none"/>
              </w:rPr>
              <w:t>加装喷雾装置，确保可以覆盖整个物料表面，有效</w:t>
            </w:r>
            <w:r>
              <w:rPr>
                <w:rFonts w:hint="eastAsia" w:ascii="Times New Roman Regular" w:hAnsi="Times New Roman Regular" w:cs="Times New Roman Regular"/>
                <w:color w:val="auto"/>
                <w:sz w:val="24"/>
                <w:highlight w:val="none"/>
                <w:lang w:eastAsia="zh-CN"/>
              </w:rPr>
              <w:t>抑制</w:t>
            </w:r>
            <w:r>
              <w:rPr>
                <w:rFonts w:hint="default" w:ascii="Times New Roman Regular" w:hAnsi="Times New Roman Regular" w:cs="Times New Roman Regular"/>
                <w:color w:val="auto"/>
                <w:sz w:val="24"/>
                <w:highlight w:val="none"/>
              </w:rPr>
              <w:t>扬尘的产生。物料装卸时，装载机应尽量靠近运输车辆，并尽可能缩小装卸时的高差，同时使用雾炮车进行喷雾抑尘，喷枪、喷头洒水雨雾均匀并自动旋转，角度可调</w:t>
            </w:r>
            <w:r>
              <w:rPr>
                <w:rFonts w:hint="default" w:ascii="Times New Roman Regular" w:hAnsi="Times New Roman Regular" w:cs="Times New Roman Regular"/>
                <w:color w:val="auto"/>
                <w:sz w:val="24"/>
                <w:highlight w:val="none"/>
                <w:lang w:eastAsia="zh-CN"/>
              </w:rPr>
              <w:t>，</w:t>
            </w:r>
            <w:r>
              <w:rPr>
                <w:rFonts w:hint="default" w:ascii="Times New Roman Regular" w:hAnsi="Times New Roman Regular" w:cs="Times New Roman Regular"/>
                <w:color w:val="auto"/>
                <w:sz w:val="24"/>
                <w:highlight w:val="none"/>
                <w:lang w:val="en-US" w:eastAsia="zh-CN"/>
              </w:rPr>
              <w:t>喷雾水罐位于车间内，定期加水，</w:t>
            </w:r>
            <w:r>
              <w:rPr>
                <w:rFonts w:hint="default" w:ascii="Times New Roman Regular" w:hAnsi="Times New Roman Regular" w:cs="Times New Roman Regular"/>
                <w:color w:val="auto"/>
                <w:sz w:val="24"/>
                <w:highlight w:val="none"/>
                <w:lang w:eastAsia="zh-CN"/>
              </w:rPr>
              <w:t>为了防止喷雾装置冬季不能正常工作，要求在</w:t>
            </w:r>
            <w:r>
              <w:rPr>
                <w:rFonts w:hint="default" w:ascii="Times New Roman Regular" w:hAnsi="Times New Roman Regular" w:cs="Times New Roman Regular"/>
                <w:color w:val="auto"/>
                <w:sz w:val="24"/>
                <w:highlight w:val="none"/>
                <w:lang w:val="en-US" w:eastAsia="zh-CN"/>
              </w:rPr>
              <w:t>罐体设置保温措施，</w:t>
            </w:r>
            <w:r>
              <w:rPr>
                <w:rFonts w:hint="default" w:ascii="Times New Roman Regular" w:hAnsi="Times New Roman Regular" w:cs="Times New Roman Regular"/>
                <w:color w:val="auto"/>
                <w:sz w:val="24"/>
                <w:highlight w:val="none"/>
                <w:lang w:eastAsia="zh-CN"/>
              </w:rPr>
              <w:t>输水管道上增加一层保温层，在管线的尾部加装放水阀，维持一直流水的状态，放水经收集后可用于洒水抑尘</w:t>
            </w:r>
            <w:r>
              <w:rPr>
                <w:rFonts w:hint="default" w:ascii="Times New Roman Regular" w:hAnsi="Times New Roman Regular" w:cs="Times New Roman Regular"/>
                <w:color w:val="auto"/>
                <w:sz w:val="24"/>
                <w:szCs w:val="24"/>
                <w:highlight w:val="none"/>
                <w:lang w:val="en-US" w:eastAsia="zh-CN"/>
              </w:rPr>
              <w:t>。</w:t>
            </w:r>
          </w:p>
          <w:p w14:paraId="73D5C51E">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工业固体物料堆存颗粒物排放量核算公式如下：</w:t>
            </w:r>
          </w:p>
          <w:p w14:paraId="1F3F7320">
            <w:pPr>
              <w:pStyle w:val="19"/>
              <w:keepNext w:val="0"/>
              <w:keepLines w:val="0"/>
              <w:suppressLineNumbers w:val="0"/>
              <w:spacing w:before="0" w:beforeAutospacing="0" w:after="0" w:afterAutospacing="0" w:line="480" w:lineRule="exact"/>
              <w:ind w:left="0" w:right="0"/>
              <w:jc w:val="center"/>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U</w:t>
            </w:r>
            <w:r>
              <w:rPr>
                <w:rFonts w:hint="default" w:ascii="Times New Roman Regular" w:hAnsi="Times New Roman Regular" w:cs="Times New Roman Regular"/>
                <w:color w:val="auto"/>
                <w:sz w:val="24"/>
                <w:highlight w:val="none"/>
                <w:vertAlign w:val="subscript"/>
              </w:rPr>
              <w:t>c</w:t>
            </w:r>
            <w:r>
              <w:rPr>
                <w:rFonts w:hint="default" w:ascii="Times New Roman Regular" w:hAnsi="Times New Roman Regular" w:cs="Times New Roman Regular"/>
                <w:color w:val="auto"/>
                <w:sz w:val="24"/>
                <w:highlight w:val="none"/>
              </w:rPr>
              <w:t>=P×(1-C</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)×(1-T</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w:t>
            </w:r>
          </w:p>
          <w:p w14:paraId="662578C0">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式中：P指颗粒物产生量（单位：吨）；</w:t>
            </w:r>
          </w:p>
          <w:p w14:paraId="3607BCB3">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U</w:t>
            </w:r>
            <w:r>
              <w:rPr>
                <w:rFonts w:hint="default" w:ascii="Times New Roman Regular" w:hAnsi="Times New Roman Regular" w:cs="Times New Roman Regular"/>
                <w:color w:val="auto"/>
                <w:sz w:val="24"/>
                <w:highlight w:val="none"/>
                <w:vertAlign w:val="subscript"/>
              </w:rPr>
              <w:t>c</w:t>
            </w:r>
            <w:r>
              <w:rPr>
                <w:rFonts w:hint="default" w:ascii="Times New Roman Regular" w:hAnsi="Times New Roman Regular" w:cs="Times New Roman Regular"/>
                <w:color w:val="auto"/>
                <w:sz w:val="24"/>
                <w:highlight w:val="none"/>
              </w:rPr>
              <w:t>指颗粒物排放量（单位：吨）；</w:t>
            </w:r>
          </w:p>
          <w:p w14:paraId="06867E85">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C</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指颗粒物控制措施控制效率（单位：%）（本项目采用洒水抑尘措施，控制效率取值74%）；</w:t>
            </w:r>
          </w:p>
          <w:p w14:paraId="0C101638">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T</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指堆场类型控制效率（单位：%）（本项目采用全封闭式储库储存，属于密闭式，取值99%）；</w:t>
            </w:r>
          </w:p>
          <w:p w14:paraId="18501C88">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eastAsia="宋体" w:cs="Times New Roman Regular"/>
                <w:color w:val="auto"/>
                <w:sz w:val="24"/>
                <w:highlight w:val="none"/>
                <w:lang w:eastAsia="zh-CN"/>
              </w:rPr>
            </w:pPr>
            <w:r>
              <w:rPr>
                <w:rFonts w:hint="default" w:ascii="Times New Roman Regular" w:hAnsi="Times New Roman Regular" w:cs="Times New Roman Regular"/>
                <w:color w:val="auto"/>
                <w:sz w:val="24"/>
                <w:highlight w:val="none"/>
              </w:rPr>
              <w:t>经过上述计算，采取措施后，原料和成品堆存</w:t>
            </w:r>
            <w:r>
              <w:rPr>
                <w:rFonts w:hint="eastAsia" w:ascii="Times New Roman Regular" w:hAnsi="Times New Roman Regular" w:cs="Times New Roman Regular"/>
                <w:color w:val="auto"/>
                <w:sz w:val="24"/>
                <w:highlight w:val="none"/>
                <w:lang w:val="en-US" w:eastAsia="zh-CN"/>
              </w:rPr>
              <w:t>无组织</w:t>
            </w:r>
            <w:r>
              <w:rPr>
                <w:rFonts w:hint="default" w:ascii="Times New Roman Regular" w:hAnsi="Times New Roman Regular" w:cs="Times New Roman Regular"/>
                <w:color w:val="auto"/>
                <w:sz w:val="24"/>
                <w:highlight w:val="none"/>
              </w:rPr>
              <w:t>颗粒物排放量为</w:t>
            </w:r>
            <w:r>
              <w:rPr>
                <w:rFonts w:hint="default" w:ascii="Times New Roman Regular" w:hAnsi="Times New Roman Regular" w:cs="Times New Roman Regular"/>
                <w:color w:val="auto"/>
                <w:sz w:val="24"/>
                <w:highlight w:val="none"/>
                <w:lang w:eastAsia="zh-CN"/>
              </w:rPr>
              <w:t>：</w:t>
            </w:r>
          </w:p>
          <w:p w14:paraId="314EC14A">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auto"/>
                <w:sz w:val="24"/>
                <w:szCs w:val="24"/>
                <w:lang w:val="en-US" w:eastAsia="zh-CN"/>
              </w:rPr>
            </w:pPr>
            <w:r>
              <w:rPr>
                <w:rFonts w:hint="eastAsia" w:ascii="Times New Roman Regular" w:hAnsi="Times New Roman Regular" w:cs="Times New Roman Regular"/>
                <w:color w:val="auto"/>
                <w:sz w:val="24"/>
                <w:highlight w:val="none"/>
                <w:lang w:val="en-US" w:eastAsia="zh-CN"/>
              </w:rPr>
              <w:t>（</w:t>
            </w:r>
            <w:r>
              <w:rPr>
                <w:rFonts w:hint="eastAsia"/>
                <w:color w:val="auto"/>
                <w:sz w:val="24"/>
                <w:lang w:val="en-US" w:eastAsia="zh-CN"/>
              </w:rPr>
              <w:t>207.07</w:t>
            </w:r>
            <w:r>
              <w:rPr>
                <w:rFonts w:hint="default" w:ascii="Times New Roman Regular" w:hAnsi="Times New Roman Regular" w:cs="Times New Roman Regular"/>
                <w:color w:val="auto"/>
                <w:sz w:val="24"/>
                <w:highlight w:val="none"/>
                <w:lang w:val="en-US" w:eastAsia="zh-CN"/>
              </w:rPr>
              <w:t>t/a+</w:t>
            </w:r>
            <w:r>
              <w:rPr>
                <w:rFonts w:hint="eastAsia"/>
                <w:color w:val="auto"/>
                <w:sz w:val="24"/>
                <w:lang w:val="en-US" w:eastAsia="zh-CN"/>
              </w:rPr>
              <w:t>158.01</w:t>
            </w:r>
            <w:r>
              <w:rPr>
                <w:rFonts w:hint="default" w:ascii="Times New Roman Regular" w:hAnsi="Times New Roman Regular" w:cs="Times New Roman Regular"/>
                <w:color w:val="auto"/>
                <w:sz w:val="24"/>
                <w:highlight w:val="none"/>
                <w:lang w:val="en-US" w:eastAsia="zh-CN"/>
              </w:rPr>
              <w:t>t/a</w:t>
            </w:r>
            <w:r>
              <w:rPr>
                <w:rFonts w:hint="eastAsia" w:ascii="Times New Roman Regular" w:hAnsi="Times New Roman Regular" w:cs="Times New Roman Regular"/>
                <w:color w:val="auto"/>
                <w:sz w:val="24"/>
                <w:highlight w:val="none"/>
                <w:lang w:val="en-US" w:eastAsia="zh-CN"/>
              </w:rPr>
              <w:t>）</w:t>
            </w:r>
            <w:r>
              <w:rPr>
                <w:rFonts w:hint="default" w:ascii="Times New Roman Regular" w:hAnsi="Times New Roman Regular" w:cs="Times New Roman Regular"/>
                <w:color w:val="auto"/>
                <w:sz w:val="24"/>
                <w:highlight w:val="none"/>
              </w:rPr>
              <w:t>×</w:t>
            </w:r>
            <w:r>
              <w:rPr>
                <w:rFonts w:hint="eastAsia" w:ascii="Times New Roman Regular" w:hAnsi="Times New Roman Regular" w:cs="Times New Roman Regular"/>
                <w:color w:val="auto"/>
                <w:sz w:val="24"/>
                <w:highlight w:val="none"/>
                <w:lang w:val="en-US" w:eastAsia="zh-CN"/>
              </w:rPr>
              <w:t>（</w:t>
            </w:r>
            <w:r>
              <w:rPr>
                <w:rFonts w:hint="default" w:ascii="Times New Roman Regular" w:hAnsi="Times New Roman Regular" w:cs="Times New Roman Regular"/>
                <w:color w:val="auto"/>
                <w:sz w:val="24"/>
                <w:highlight w:val="none"/>
              </w:rPr>
              <w:t>1-</w:t>
            </w:r>
            <w:r>
              <w:rPr>
                <w:rFonts w:hint="default" w:ascii="Times New Roman Regular" w:hAnsi="Times New Roman Regular" w:cs="Times New Roman Regular"/>
                <w:color w:val="auto"/>
                <w:sz w:val="24"/>
                <w:highlight w:val="none"/>
                <w:lang w:val="en-US" w:eastAsia="zh-CN"/>
              </w:rPr>
              <w:t>74%</w:t>
            </w:r>
            <w:r>
              <w:rPr>
                <w:rFonts w:hint="eastAsia" w:ascii="Times New Roman Regular" w:hAnsi="Times New Roman Regular" w:cs="Times New Roman Regular"/>
                <w:color w:val="auto"/>
                <w:sz w:val="24"/>
                <w:highlight w:val="none"/>
                <w:lang w:val="en-US" w:eastAsia="zh-CN"/>
              </w:rPr>
              <w:t>）</w:t>
            </w:r>
            <w:r>
              <w:rPr>
                <w:rFonts w:hint="default" w:ascii="Times New Roman Regular" w:hAnsi="Times New Roman Regular" w:cs="Times New Roman Regular"/>
                <w:color w:val="auto"/>
                <w:sz w:val="24"/>
                <w:highlight w:val="none"/>
              </w:rPr>
              <w:t>×</w:t>
            </w:r>
            <w:r>
              <w:rPr>
                <w:rFonts w:hint="eastAsia" w:ascii="Times New Roman Regular" w:hAnsi="Times New Roman Regular" w:cs="Times New Roman Regular"/>
                <w:color w:val="auto"/>
                <w:sz w:val="24"/>
                <w:highlight w:val="none"/>
                <w:lang w:val="en-US" w:eastAsia="zh-CN"/>
              </w:rPr>
              <w:t>（</w:t>
            </w:r>
            <w:r>
              <w:rPr>
                <w:rFonts w:hint="default" w:ascii="Times New Roman Regular" w:hAnsi="Times New Roman Regular" w:cs="Times New Roman Regular"/>
                <w:color w:val="auto"/>
                <w:sz w:val="24"/>
                <w:highlight w:val="none"/>
              </w:rPr>
              <w:t>1-99%</w:t>
            </w:r>
            <w:r>
              <w:rPr>
                <w:rFonts w:hint="default" w:ascii="Times New Roman Regular" w:hAnsi="Times New Roman Regular" w:cs="Times New Roman Regular"/>
                <w:color w:val="auto"/>
                <w:sz w:val="24"/>
                <w:highlight w:val="none"/>
                <w:lang w:eastAsia="zh-CN"/>
              </w:rPr>
              <w:t>）</w:t>
            </w:r>
            <w:r>
              <w:rPr>
                <w:rFonts w:hint="default" w:ascii="Times New Roman Regular" w:hAnsi="Times New Roman Regular" w:cs="Times New Roman Regular"/>
                <w:color w:val="auto"/>
                <w:sz w:val="24"/>
                <w:highlight w:val="none"/>
                <w:lang w:val="en-US" w:eastAsia="zh-CN"/>
              </w:rPr>
              <w:t>=</w:t>
            </w:r>
            <w:r>
              <w:rPr>
                <w:rFonts w:hint="eastAsia" w:ascii="Times New Roman Regular" w:hAnsi="Times New Roman Regular" w:cs="Times New Roman Regular"/>
                <w:color w:val="auto"/>
                <w:sz w:val="24"/>
                <w:highlight w:val="none"/>
                <w:lang w:val="en-US" w:eastAsia="zh-CN"/>
              </w:rPr>
              <w:t>0.95</w:t>
            </w:r>
            <w:r>
              <w:rPr>
                <w:rFonts w:hint="default" w:ascii="Times New Roman Regular" w:hAnsi="Times New Roman Regular" w:cs="Times New Roman Regular"/>
                <w:color w:val="auto"/>
                <w:sz w:val="24"/>
                <w:highlight w:val="none"/>
                <w:lang w:eastAsia="zh-CN"/>
              </w:rPr>
              <w:t>t/a</w:t>
            </w:r>
            <w:r>
              <w:rPr>
                <w:rFonts w:hint="default" w:ascii="Times New Roman Regular" w:hAnsi="Times New Roman Regular" w:cs="Times New Roman Regular"/>
                <w:color w:val="auto"/>
                <w:sz w:val="24"/>
                <w:highlight w:val="none"/>
              </w:rPr>
              <w:t>。</w:t>
            </w:r>
          </w:p>
          <w:p w14:paraId="6CF7B8E9">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default"/>
                <w:bCs/>
                <w:color w:val="auto"/>
                <w:sz w:val="24"/>
              </w:rPr>
              <w:t>给料、</w:t>
            </w:r>
            <w:r>
              <w:rPr>
                <w:rFonts w:hint="eastAsia"/>
                <w:bCs/>
                <w:color w:val="auto"/>
                <w:sz w:val="24"/>
                <w:lang w:val="en-US" w:eastAsia="zh-CN"/>
              </w:rPr>
              <w:t>破碎废气</w:t>
            </w:r>
          </w:p>
          <w:p w14:paraId="79F253A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eastAsia="黑体"/>
                <w:color w:val="auto"/>
                <w:sz w:val="24"/>
                <w:lang w:val="en-US" w:eastAsia="zh-CN"/>
              </w:rPr>
            </w:pPr>
            <w:r>
              <w:rPr>
                <w:rFonts w:hint="eastAsia" w:cs="Times New Roman"/>
                <w:color w:val="auto"/>
                <w:sz w:val="24"/>
                <w:highlight w:val="none"/>
                <w:lang w:val="en-US" w:eastAsia="zh-CN"/>
              </w:rPr>
              <w:t>本项目原料块状建筑垃圾在上料工序会有粉尘产生，年工作时间5280h，</w:t>
            </w:r>
            <w:r>
              <w:rPr>
                <w:rFonts w:hint="default"/>
                <w:color w:val="auto"/>
                <w:sz w:val="24"/>
              </w:rPr>
              <w:t>评价要求</w:t>
            </w:r>
            <w:r>
              <w:rPr>
                <w:rFonts w:hint="eastAsia"/>
                <w:color w:val="auto"/>
                <w:sz w:val="24"/>
                <w:lang w:val="en-US" w:eastAsia="zh-CN"/>
              </w:rPr>
              <w:t>给料机</w:t>
            </w:r>
            <w:r>
              <w:rPr>
                <w:rFonts w:hint="default"/>
                <w:color w:val="auto"/>
                <w:sz w:val="24"/>
              </w:rPr>
              <w:t>上方设置</w:t>
            </w:r>
            <w:r>
              <w:rPr>
                <w:rFonts w:hint="eastAsia"/>
                <w:color w:val="auto"/>
                <w:sz w:val="24"/>
                <w:lang w:val="en-US" w:eastAsia="zh-CN"/>
              </w:rPr>
              <w:t>1个</w:t>
            </w:r>
            <w:r>
              <w:rPr>
                <w:rFonts w:hint="eastAsia"/>
                <w:color w:val="auto"/>
                <w:sz w:val="24"/>
              </w:rPr>
              <w:t>柜式</w:t>
            </w:r>
            <w:r>
              <w:rPr>
                <w:rFonts w:hint="default"/>
                <w:color w:val="auto"/>
                <w:sz w:val="24"/>
              </w:rPr>
              <w:t>集气罩，</w:t>
            </w:r>
            <w:r>
              <w:rPr>
                <w:rFonts w:hint="eastAsia"/>
                <w:color w:val="auto"/>
                <w:sz w:val="24"/>
                <w:lang w:val="en-US" w:eastAsia="zh-CN"/>
              </w:rPr>
              <w:t>给料</w:t>
            </w:r>
            <w:r>
              <w:rPr>
                <w:rFonts w:hint="eastAsia"/>
                <w:color w:val="auto"/>
                <w:sz w:val="24"/>
              </w:rPr>
              <w:t>废气经</w:t>
            </w:r>
            <w:r>
              <w:rPr>
                <w:rFonts w:hint="eastAsia"/>
                <w:color w:val="auto"/>
                <w:sz w:val="24"/>
                <w:lang w:val="en-US" w:eastAsia="zh-CN"/>
              </w:rPr>
              <w:t>集气罩</w:t>
            </w:r>
            <w:r>
              <w:rPr>
                <w:rFonts w:hint="eastAsia"/>
                <w:color w:val="auto"/>
                <w:sz w:val="24"/>
              </w:rPr>
              <w:t>收集</w:t>
            </w:r>
            <w:r>
              <w:rPr>
                <w:rFonts w:hint="eastAsia"/>
                <w:color w:val="auto"/>
                <w:sz w:val="24"/>
                <w:highlight w:val="none"/>
                <w:lang w:val="en-US" w:eastAsia="zh-CN"/>
              </w:rPr>
              <w:t>引入1台</w:t>
            </w:r>
            <w:r>
              <w:rPr>
                <w:rFonts w:hint="eastAsia"/>
                <w:color w:val="auto"/>
                <w:sz w:val="24"/>
                <w:highlight w:val="none"/>
              </w:rPr>
              <w:t>布袋除尘器</w:t>
            </w:r>
            <w:r>
              <w:rPr>
                <w:rFonts w:hint="eastAsia"/>
                <w:color w:val="auto"/>
                <w:sz w:val="24"/>
                <w:highlight w:val="none"/>
                <w:lang w:eastAsia="zh-CN"/>
              </w:rPr>
              <w:t>（</w:t>
            </w:r>
            <w:r>
              <w:rPr>
                <w:rFonts w:hint="eastAsia"/>
                <w:color w:val="auto"/>
                <w:sz w:val="24"/>
                <w:highlight w:val="none"/>
                <w:lang w:val="en-US" w:eastAsia="zh-CN"/>
              </w:rPr>
              <w:t>TA001</w:t>
            </w:r>
            <w:r>
              <w:rPr>
                <w:rFonts w:hint="eastAsia"/>
                <w:color w:val="auto"/>
                <w:sz w:val="24"/>
                <w:highlight w:val="none"/>
                <w:lang w:eastAsia="zh-CN"/>
              </w:rPr>
              <w:t>）</w:t>
            </w:r>
            <w:r>
              <w:rPr>
                <w:rFonts w:hint="eastAsia"/>
                <w:color w:val="auto"/>
                <w:sz w:val="24"/>
              </w:rPr>
              <w:t>处理</w:t>
            </w:r>
            <w:r>
              <w:rPr>
                <w:rFonts w:hint="eastAsia"/>
                <w:color w:val="auto"/>
                <w:sz w:val="24"/>
                <w:lang w:val="en-US" w:eastAsia="zh-CN"/>
              </w:rPr>
              <w:t>后</w:t>
            </w:r>
            <w:r>
              <w:rPr>
                <w:rFonts w:hint="eastAsia"/>
                <w:color w:val="auto"/>
                <w:sz w:val="24"/>
              </w:rPr>
              <w:t>，</w:t>
            </w:r>
            <w:r>
              <w:rPr>
                <w:rFonts w:hint="eastAsia"/>
                <w:color w:val="auto"/>
                <w:sz w:val="24"/>
                <w:lang w:val="en-US" w:eastAsia="zh-CN"/>
              </w:rPr>
              <w:t>由</w:t>
            </w:r>
            <w:r>
              <w:rPr>
                <w:rFonts w:hint="default"/>
                <w:color w:val="auto"/>
                <w:sz w:val="24"/>
              </w:rPr>
              <w:t>1根15m高排气筒（</w:t>
            </w:r>
            <w:r>
              <w:rPr>
                <w:rFonts w:hint="eastAsia"/>
                <w:color w:val="auto"/>
                <w:sz w:val="24"/>
              </w:rPr>
              <w:t>D</w:t>
            </w:r>
            <w:r>
              <w:rPr>
                <w:rFonts w:hint="default"/>
                <w:color w:val="auto"/>
                <w:sz w:val="24"/>
              </w:rPr>
              <w:t>A001）排放。</w:t>
            </w:r>
            <w:r>
              <w:rPr>
                <w:rFonts w:hint="eastAsia"/>
                <w:color w:val="auto"/>
                <w:sz w:val="24"/>
                <w:lang w:val="en-US" w:eastAsia="zh-CN"/>
              </w:rPr>
              <w:t>给料</w:t>
            </w:r>
            <w:r>
              <w:rPr>
                <w:rFonts w:hint="default"/>
                <w:color w:val="auto"/>
                <w:sz w:val="24"/>
              </w:rPr>
              <w:t>工序集气罩技术参数表见表</w:t>
            </w:r>
            <w:r>
              <w:rPr>
                <w:rFonts w:hint="default" w:ascii="Times New Roman" w:hAnsi="Times New Roman" w:eastAsia="黑体" w:cs="Times New Roman"/>
                <w:b w:val="0"/>
                <w:bCs w:val="0"/>
                <w:color w:val="auto"/>
                <w:sz w:val="24"/>
                <w:szCs w:val="32"/>
              </w:rPr>
              <w:t>4-2</w:t>
            </w:r>
            <w:r>
              <w:rPr>
                <w:rFonts w:hint="eastAsia" w:eastAsia="黑体" w:cs="Times New Roman"/>
                <w:b w:val="0"/>
                <w:bCs w:val="0"/>
                <w:color w:val="auto"/>
                <w:lang w:eastAsia="zh-CN"/>
              </w:rPr>
              <w:t>。</w:t>
            </w:r>
          </w:p>
          <w:p w14:paraId="548607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jc w:val="center"/>
              <w:textAlignment w:val="auto"/>
              <w:outlineLvl w:val="9"/>
              <w:rPr>
                <w:rFonts w:hint="eastAsia" w:ascii="黑体" w:hAnsi="黑体" w:eastAsia="黑体" w:cs="黑体"/>
                <w:b w:val="0"/>
                <w:bCs w:val="0"/>
                <w:color w:val="auto"/>
              </w:rPr>
            </w:pPr>
            <w:r>
              <w:rPr>
                <w:rFonts w:hint="eastAsia" w:ascii="Times New Roman" w:hAnsi="Times New Roman" w:eastAsia="宋体" w:cs="Times New Roman"/>
                <w:b/>
                <w:bCs w:val="0"/>
                <w:color w:val="auto"/>
                <w:sz w:val="21"/>
                <w:szCs w:val="16"/>
                <w:highlight w:val="none"/>
                <w:lang w:val="en-US" w:eastAsia="zh-CN"/>
              </w:rPr>
              <w:t>表</w:t>
            </w:r>
            <w:r>
              <w:rPr>
                <w:rFonts w:hint="default" w:ascii="Times New Roman" w:hAnsi="Times New Roman" w:eastAsia="宋体" w:cs="Times New Roman"/>
                <w:b/>
                <w:bCs w:val="0"/>
                <w:color w:val="auto"/>
                <w:sz w:val="21"/>
                <w:szCs w:val="16"/>
                <w:highlight w:val="none"/>
                <w:lang w:val="en-US" w:eastAsia="zh-CN"/>
              </w:rPr>
              <w:t>4-2</w:t>
            </w:r>
            <w:r>
              <w:rPr>
                <w:rFonts w:hint="eastAsia" w:ascii="Times New Roman" w:hAnsi="Times New Roman" w:eastAsia="宋体" w:cs="Times New Roman"/>
                <w:b/>
                <w:bCs w:val="0"/>
                <w:color w:val="auto"/>
                <w:sz w:val="21"/>
                <w:szCs w:val="16"/>
                <w:highlight w:val="none"/>
                <w:lang w:val="en-US" w:eastAsia="zh-CN"/>
              </w:rPr>
              <w:t xml:space="preserve">  集气罩设置参数一览表</w:t>
            </w:r>
          </w:p>
          <w:tbl>
            <w:tblPr>
              <w:tblStyle w:val="28"/>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090"/>
              <w:gridCol w:w="1521"/>
              <w:gridCol w:w="1464"/>
              <w:gridCol w:w="1263"/>
              <w:gridCol w:w="1436"/>
            </w:tblGrid>
            <w:tr w14:paraId="2197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91" w:type="pct"/>
                  <w:tcBorders>
                    <w:tl2br w:val="nil"/>
                    <w:tr2bl w:val="nil"/>
                  </w:tcBorders>
                  <w:noWrap w:val="0"/>
                  <w:vAlign w:val="center"/>
                </w:tcPr>
                <w:p w14:paraId="062AD829">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设备名称</w:t>
                  </w:r>
                </w:p>
              </w:tc>
              <w:tc>
                <w:tcPr>
                  <w:tcW w:w="677" w:type="pct"/>
                  <w:tcBorders>
                    <w:tl2br w:val="nil"/>
                    <w:tr2bl w:val="nil"/>
                  </w:tcBorders>
                  <w:noWrap w:val="0"/>
                  <w:vAlign w:val="center"/>
                </w:tcPr>
                <w:p w14:paraId="5DC05293">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风罩位置</w:t>
                  </w:r>
                </w:p>
              </w:tc>
              <w:tc>
                <w:tcPr>
                  <w:tcW w:w="945" w:type="pct"/>
                  <w:tcBorders>
                    <w:tl2br w:val="nil"/>
                    <w:tr2bl w:val="nil"/>
                  </w:tcBorders>
                  <w:noWrap w:val="0"/>
                  <w:vAlign w:val="center"/>
                </w:tcPr>
                <w:p w14:paraId="65C14331">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进料口尺寸m</w:t>
                  </w:r>
                </w:p>
              </w:tc>
              <w:tc>
                <w:tcPr>
                  <w:tcW w:w="909" w:type="pct"/>
                  <w:tcBorders>
                    <w:tl2br w:val="nil"/>
                    <w:tr2bl w:val="nil"/>
                  </w:tcBorders>
                  <w:noWrap w:val="0"/>
                  <w:vAlign w:val="center"/>
                </w:tcPr>
                <w:p w14:paraId="5ED48777">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auto"/>
                      <w:szCs w:val="21"/>
                      <w:lang w:val="en-US" w:eastAsia="zh-CN"/>
                    </w:rPr>
                  </w:pPr>
                  <w:r>
                    <w:rPr>
                      <w:rFonts w:hint="eastAsia"/>
                      <w:b/>
                      <w:bCs/>
                      <w:color w:val="auto"/>
                      <w:szCs w:val="21"/>
                      <w:lang w:val="en-US" w:eastAsia="zh-CN"/>
                    </w:rPr>
                    <w:t>集气效率%</w:t>
                  </w:r>
                </w:p>
              </w:tc>
              <w:tc>
                <w:tcPr>
                  <w:tcW w:w="784" w:type="pct"/>
                  <w:tcBorders>
                    <w:tl2br w:val="nil"/>
                    <w:tr2bl w:val="nil"/>
                  </w:tcBorders>
                  <w:noWrap w:val="0"/>
                  <w:vAlign w:val="center"/>
                </w:tcPr>
                <w:p w14:paraId="6CC66E6C">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处理设备</w:t>
                  </w:r>
                </w:p>
              </w:tc>
              <w:tc>
                <w:tcPr>
                  <w:tcW w:w="892" w:type="pct"/>
                  <w:tcBorders>
                    <w:tl2br w:val="nil"/>
                    <w:tr2bl w:val="nil"/>
                  </w:tcBorders>
                  <w:noWrap w:val="0"/>
                  <w:vAlign w:val="center"/>
                </w:tcPr>
                <w:p w14:paraId="37B9B3DE">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排气筒编号</w:t>
                  </w:r>
                </w:p>
              </w:tc>
            </w:tr>
            <w:tr w14:paraId="1814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91" w:type="pct"/>
                  <w:tcBorders>
                    <w:tl2br w:val="nil"/>
                    <w:tr2bl w:val="nil"/>
                  </w:tcBorders>
                  <w:noWrap w:val="0"/>
                  <w:vAlign w:val="center"/>
                </w:tcPr>
                <w:p w14:paraId="2FF04147">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lang w:val="en-US"/>
                    </w:rPr>
                  </w:pPr>
                  <w:r>
                    <w:rPr>
                      <w:rFonts w:hint="eastAsia"/>
                      <w:color w:val="auto"/>
                      <w:szCs w:val="21"/>
                      <w:lang w:val="en-US" w:eastAsia="zh-CN"/>
                    </w:rPr>
                    <w:t>振动给料机入料口</w:t>
                  </w:r>
                </w:p>
              </w:tc>
              <w:tc>
                <w:tcPr>
                  <w:tcW w:w="677" w:type="pct"/>
                  <w:tcBorders>
                    <w:tl2br w:val="nil"/>
                    <w:tr2bl w:val="nil"/>
                  </w:tcBorders>
                  <w:noWrap w:val="0"/>
                  <w:vAlign w:val="center"/>
                </w:tcPr>
                <w:p w14:paraId="59B2C735">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r>
                    <w:rPr>
                      <w:rFonts w:hint="eastAsia"/>
                      <w:color w:val="auto"/>
                      <w:szCs w:val="21"/>
                      <w:lang w:val="en-US" w:eastAsia="zh-CN"/>
                    </w:rPr>
                    <w:t>柜式</w:t>
                  </w:r>
                  <w:r>
                    <w:rPr>
                      <w:rFonts w:hint="default"/>
                      <w:color w:val="auto"/>
                      <w:szCs w:val="21"/>
                    </w:rPr>
                    <w:t>罩</w:t>
                  </w:r>
                </w:p>
              </w:tc>
              <w:tc>
                <w:tcPr>
                  <w:tcW w:w="945" w:type="pct"/>
                  <w:tcBorders>
                    <w:tl2br w:val="nil"/>
                    <w:tr2bl w:val="nil"/>
                  </w:tcBorders>
                  <w:noWrap w:val="0"/>
                  <w:vAlign w:val="center"/>
                </w:tcPr>
                <w:p w14:paraId="15F4943F">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lang w:val="en-US" w:eastAsia="zh-CN"/>
                    </w:rPr>
                  </w:pPr>
                  <w:r>
                    <w:rPr>
                      <w:rFonts w:hint="eastAsia"/>
                      <w:color w:val="auto"/>
                      <w:szCs w:val="21"/>
                      <w:lang w:val="en-US" w:eastAsia="zh-CN"/>
                    </w:rPr>
                    <w:t>1.8</w:t>
                  </w:r>
                  <w:r>
                    <w:rPr>
                      <w:rFonts w:hint="default"/>
                      <w:color w:val="auto"/>
                      <w:szCs w:val="21"/>
                    </w:rPr>
                    <w:t>×</w:t>
                  </w:r>
                  <w:r>
                    <w:rPr>
                      <w:rFonts w:hint="eastAsia"/>
                      <w:color w:val="auto"/>
                      <w:szCs w:val="21"/>
                      <w:lang w:val="en-US" w:eastAsia="zh-CN"/>
                    </w:rPr>
                    <w:t>1.2</w:t>
                  </w:r>
                </w:p>
              </w:tc>
              <w:tc>
                <w:tcPr>
                  <w:tcW w:w="909" w:type="pct"/>
                  <w:tcBorders>
                    <w:tl2br w:val="nil"/>
                    <w:tr2bl w:val="nil"/>
                  </w:tcBorders>
                  <w:noWrap w:val="0"/>
                  <w:vAlign w:val="center"/>
                </w:tcPr>
                <w:p w14:paraId="2545B353">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lang w:val="en-US" w:eastAsia="zh-CN"/>
                    </w:rPr>
                  </w:pPr>
                  <w:r>
                    <w:rPr>
                      <w:rFonts w:hint="eastAsia"/>
                      <w:color w:val="auto"/>
                      <w:szCs w:val="21"/>
                      <w:lang w:val="en-US" w:eastAsia="zh-CN"/>
                    </w:rPr>
                    <w:t>90</w:t>
                  </w:r>
                </w:p>
              </w:tc>
              <w:tc>
                <w:tcPr>
                  <w:tcW w:w="784" w:type="pct"/>
                  <w:tcBorders>
                    <w:tl2br w:val="nil"/>
                    <w:tr2bl w:val="nil"/>
                  </w:tcBorders>
                  <w:noWrap w:val="0"/>
                  <w:vAlign w:val="center"/>
                </w:tcPr>
                <w:p w14:paraId="17884CBD">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lang w:eastAsia="zh-CN"/>
                    </w:rPr>
                  </w:pPr>
                  <w:r>
                    <w:rPr>
                      <w:rFonts w:hint="default"/>
                      <w:color w:val="auto"/>
                      <w:szCs w:val="21"/>
                    </w:rPr>
                    <w:t>布袋除尘器</w:t>
                  </w:r>
                  <w:r>
                    <w:rPr>
                      <w:rFonts w:hint="eastAsia"/>
                      <w:color w:val="auto"/>
                      <w:szCs w:val="21"/>
                      <w:lang w:eastAsia="zh-CN"/>
                    </w:rPr>
                    <w:t>（</w:t>
                  </w:r>
                  <w:r>
                    <w:rPr>
                      <w:rFonts w:hint="eastAsia"/>
                      <w:color w:val="auto"/>
                      <w:szCs w:val="21"/>
                      <w:lang w:val="en-US" w:eastAsia="zh-CN"/>
                    </w:rPr>
                    <w:t>TA001</w:t>
                  </w:r>
                  <w:r>
                    <w:rPr>
                      <w:rFonts w:hint="eastAsia"/>
                      <w:color w:val="auto"/>
                      <w:szCs w:val="21"/>
                      <w:lang w:eastAsia="zh-CN"/>
                    </w:rPr>
                    <w:t>）</w:t>
                  </w:r>
                </w:p>
              </w:tc>
              <w:tc>
                <w:tcPr>
                  <w:tcW w:w="892" w:type="pct"/>
                  <w:tcBorders>
                    <w:tl2br w:val="nil"/>
                    <w:tr2bl w:val="nil"/>
                  </w:tcBorders>
                  <w:noWrap w:val="0"/>
                  <w:vAlign w:val="center"/>
                </w:tcPr>
                <w:p w14:paraId="6B7A8021">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r>
                    <w:rPr>
                      <w:rFonts w:hint="default"/>
                      <w:color w:val="auto"/>
                      <w:szCs w:val="21"/>
                    </w:rPr>
                    <w:t>DA001</w:t>
                  </w:r>
                </w:p>
              </w:tc>
            </w:tr>
          </w:tbl>
          <w:p w14:paraId="5CDEAD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根据《排风罩的分类及技术条件》（GB/T 16758-2008）附录A中排风罩的排风量计算公式：</w:t>
            </w:r>
          </w:p>
          <w:p w14:paraId="388BC3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position w:val="-10"/>
                <w:sz w:val="24"/>
                <w:szCs w:val="20"/>
                <w:highlight w:val="none"/>
                <w:lang w:val="en-US" w:eastAsia="zh-CN"/>
              </w:rPr>
              <w:object>
                <v:shape id="_x0000_i1025" o:spt="75" type="#_x0000_t75" style="height:16pt;width:38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14:paraId="5A734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式中：Q—</w:t>
            </w:r>
            <w:r>
              <w:rPr>
                <w:rFonts w:hint="eastAsia" w:cs="Times New Roman"/>
                <w:color w:val="auto"/>
                <w:sz w:val="24"/>
                <w:highlight w:val="none"/>
                <w:lang w:val="en-US" w:eastAsia="zh-CN"/>
              </w:rPr>
              <w:t>排风罩的</w:t>
            </w:r>
            <w:r>
              <w:rPr>
                <w:rFonts w:hint="eastAsia" w:ascii="Times New Roman" w:hAnsi="Times New Roman" w:eastAsia="宋体" w:cs="Times New Roman"/>
                <w:color w:val="auto"/>
                <w:sz w:val="24"/>
                <w:highlight w:val="none"/>
                <w:lang w:val="en-US" w:eastAsia="zh-CN"/>
              </w:rPr>
              <w:t>排气量，m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w:t>
            </w:r>
          </w:p>
          <w:p w14:paraId="2CC8E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w:t>
            </w:r>
            <w:r>
              <w:rPr>
                <w:rFonts w:hint="eastAsia" w:cs="Times New Roman"/>
                <w:color w:val="auto"/>
                <w:sz w:val="24"/>
                <w:highlight w:val="none"/>
                <w:lang w:val="en-US" w:eastAsia="zh-CN"/>
              </w:rPr>
              <w:t>排风罩罩口面积</w:t>
            </w:r>
            <w:r>
              <w:rPr>
                <w:rFonts w:hint="eastAsia" w:ascii="Times New Roman" w:hAnsi="Times New Roman" w:eastAsia="宋体" w:cs="Times New Roman"/>
                <w:color w:val="auto"/>
                <w:sz w:val="24"/>
                <w:highlight w:val="none"/>
                <w:lang w:val="en-US" w:eastAsia="zh-CN"/>
              </w:rPr>
              <w:t>，m；</w:t>
            </w:r>
          </w:p>
          <w:p w14:paraId="573F8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position w:val="-6"/>
                <w:sz w:val="24"/>
                <w:szCs w:val="20"/>
                <w:highlight w:val="none"/>
                <w:lang w:val="en-US" w:eastAsia="zh-CN"/>
              </w:rPr>
              <w:object>
                <v:shape id="_x0000_i1026" o:spt="75" type="#_x0000_t75" style="height:13pt;width:10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排风罩罩口平均</w:t>
            </w:r>
            <w:r>
              <w:rPr>
                <w:rFonts w:hint="eastAsia" w:ascii="Times New Roman" w:hAnsi="Times New Roman" w:eastAsia="宋体" w:cs="Times New Roman"/>
                <w:color w:val="auto"/>
                <w:sz w:val="24"/>
                <w:highlight w:val="none"/>
                <w:lang w:val="en-US" w:eastAsia="zh-CN"/>
              </w:rPr>
              <w:t>风速，m/s。</w:t>
            </w:r>
          </w:p>
          <w:p w14:paraId="1429040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snapToGrid w:val="0"/>
                <w:color w:val="auto"/>
                <w:sz w:val="24"/>
                <w:szCs w:val="20"/>
                <w:highlight w:val="none"/>
                <w:lang w:val="en-US" w:eastAsia="zh-CN"/>
              </w:rPr>
            </w:pPr>
            <w:r>
              <w:rPr>
                <w:rFonts w:hint="eastAsia" w:ascii="Times New Roman" w:hAnsi="Times New Roman" w:eastAsia="宋体" w:cs="Times New Roman"/>
                <w:snapToGrid w:val="0"/>
                <w:color w:val="auto"/>
                <w:sz w:val="24"/>
                <w:szCs w:val="20"/>
                <w:highlight w:val="none"/>
                <w:lang w:val="en-US" w:eastAsia="zh-CN"/>
              </w:rPr>
              <w:t>根据《局部排风设施控制风速检测与评估技术规范》（AO/T 4274-2016）中要求，本项目</w:t>
            </w:r>
            <w:r>
              <w:rPr>
                <w:rFonts w:hint="eastAsia" w:cs="Times New Roman"/>
                <w:snapToGrid w:val="0"/>
                <w:color w:val="auto"/>
                <w:sz w:val="24"/>
                <w:szCs w:val="20"/>
                <w:highlight w:val="none"/>
                <w:lang w:val="en-US" w:eastAsia="zh-CN"/>
              </w:rPr>
              <w:t>给料机</w:t>
            </w:r>
            <w:r>
              <w:rPr>
                <w:rFonts w:hint="eastAsia"/>
                <w:color w:val="auto"/>
                <w:sz w:val="24"/>
              </w:rPr>
              <w:t>柜式</w:t>
            </w:r>
            <w:r>
              <w:rPr>
                <w:rFonts w:hint="default"/>
                <w:color w:val="auto"/>
                <w:sz w:val="24"/>
              </w:rPr>
              <w:t>集气罩</w:t>
            </w:r>
            <w:r>
              <w:rPr>
                <w:rFonts w:hint="eastAsia" w:ascii="Times New Roman" w:hAnsi="Times New Roman" w:eastAsia="宋体" w:cs="Times New Roman"/>
                <w:snapToGrid w:val="0"/>
                <w:color w:val="auto"/>
                <w:sz w:val="24"/>
                <w:szCs w:val="20"/>
                <w:highlight w:val="none"/>
                <w:lang w:val="en-US" w:eastAsia="zh-CN"/>
              </w:rPr>
              <w:t>罩口风速取1.</w:t>
            </w:r>
            <w:r>
              <w:rPr>
                <w:rFonts w:hint="eastAsia" w:cs="Times New Roman"/>
                <w:snapToGrid w:val="0"/>
                <w:color w:val="auto"/>
                <w:sz w:val="24"/>
                <w:szCs w:val="20"/>
                <w:highlight w:val="none"/>
                <w:lang w:val="en-US" w:eastAsia="zh-CN"/>
              </w:rPr>
              <w:t>0</w:t>
            </w:r>
            <w:r>
              <w:rPr>
                <w:rFonts w:hint="eastAsia" w:ascii="Times New Roman" w:hAnsi="Times New Roman" w:eastAsia="宋体" w:cs="Times New Roman"/>
                <w:snapToGrid w:val="0"/>
                <w:color w:val="auto"/>
                <w:sz w:val="24"/>
                <w:szCs w:val="20"/>
                <w:highlight w:val="none"/>
                <w:lang w:val="en-US" w:eastAsia="zh-CN"/>
              </w:rPr>
              <w:t>m/s。</w:t>
            </w:r>
          </w:p>
          <w:p w14:paraId="6DAF2897">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lang w:val="en-US" w:eastAsia="zh-CN"/>
              </w:rPr>
            </w:pPr>
            <w:r>
              <w:rPr>
                <w:rFonts w:hint="eastAsia" w:cs="Times New Roman"/>
                <w:color w:val="auto"/>
                <w:sz w:val="24"/>
                <w:highlight w:val="none"/>
                <w:lang w:val="en-US" w:eastAsia="zh-CN"/>
              </w:rPr>
              <w:t>本项目设置1台</w:t>
            </w:r>
            <w:r>
              <w:rPr>
                <w:rFonts w:hint="eastAsia"/>
                <w:color w:val="auto"/>
                <w:sz w:val="24"/>
                <w:lang w:val="en-US" w:eastAsia="zh-CN"/>
              </w:rPr>
              <w:t>箱式破碎机，为全封闭式，</w:t>
            </w:r>
            <w:r>
              <w:rPr>
                <w:rFonts w:hint="eastAsia" w:cs="Times New Roman"/>
                <w:color w:val="auto"/>
                <w:sz w:val="24"/>
                <w:highlight w:val="none"/>
                <w:lang w:val="en-US" w:eastAsia="zh-CN"/>
              </w:rPr>
              <w:t>原料在破碎工序会有粉尘产生，年运行5280h，</w:t>
            </w:r>
            <w:r>
              <w:rPr>
                <w:rFonts w:hint="default"/>
                <w:color w:val="auto"/>
                <w:sz w:val="24"/>
              </w:rPr>
              <w:t>评价要求</w:t>
            </w:r>
            <w:r>
              <w:rPr>
                <w:rFonts w:hint="eastAsia"/>
                <w:color w:val="auto"/>
                <w:sz w:val="24"/>
                <w:lang w:val="en-US" w:eastAsia="zh-CN"/>
              </w:rPr>
              <w:t>箱式破碎机上方</w:t>
            </w:r>
            <w:r>
              <w:rPr>
                <w:rFonts w:hint="default"/>
                <w:color w:val="auto"/>
                <w:sz w:val="24"/>
              </w:rPr>
              <w:t>设置</w:t>
            </w:r>
            <w:r>
              <w:rPr>
                <w:rFonts w:hint="eastAsia"/>
                <w:color w:val="auto"/>
                <w:sz w:val="24"/>
                <w:lang w:val="en-US" w:eastAsia="zh-CN"/>
              </w:rPr>
              <w:t>集气管道</w:t>
            </w:r>
            <w:r>
              <w:rPr>
                <w:rFonts w:hint="eastAsia"/>
                <w:color w:val="auto"/>
                <w:sz w:val="24"/>
              </w:rPr>
              <w:t>，废气经集气</w:t>
            </w:r>
            <w:r>
              <w:rPr>
                <w:rFonts w:hint="eastAsia"/>
                <w:color w:val="auto"/>
                <w:sz w:val="24"/>
                <w:lang w:val="en-US" w:eastAsia="zh-CN"/>
              </w:rPr>
              <w:t>管道引入</w:t>
            </w:r>
            <w:r>
              <w:rPr>
                <w:rFonts w:hint="eastAsia"/>
                <w:color w:val="auto"/>
                <w:sz w:val="24"/>
                <w:highlight w:val="none"/>
                <w:lang w:val="en-US" w:eastAsia="zh-CN"/>
              </w:rPr>
              <w:t>1台</w:t>
            </w:r>
            <w:r>
              <w:rPr>
                <w:rFonts w:hint="eastAsia"/>
                <w:color w:val="auto"/>
                <w:sz w:val="24"/>
                <w:highlight w:val="none"/>
              </w:rPr>
              <w:t>布袋除尘器</w:t>
            </w:r>
            <w:r>
              <w:rPr>
                <w:rFonts w:hint="eastAsia"/>
                <w:color w:val="auto"/>
                <w:sz w:val="24"/>
                <w:highlight w:val="none"/>
                <w:lang w:eastAsia="zh-CN"/>
              </w:rPr>
              <w:t>（</w:t>
            </w:r>
            <w:r>
              <w:rPr>
                <w:rFonts w:hint="eastAsia"/>
                <w:color w:val="auto"/>
                <w:sz w:val="24"/>
                <w:highlight w:val="none"/>
                <w:lang w:val="en-US" w:eastAsia="zh-CN"/>
              </w:rPr>
              <w:t>TA001</w:t>
            </w:r>
            <w:r>
              <w:rPr>
                <w:rFonts w:hint="eastAsia"/>
                <w:color w:val="auto"/>
                <w:sz w:val="24"/>
                <w:highlight w:val="none"/>
                <w:lang w:eastAsia="zh-CN"/>
              </w:rPr>
              <w:t>）</w:t>
            </w:r>
            <w:r>
              <w:rPr>
                <w:rFonts w:hint="eastAsia"/>
                <w:color w:val="auto"/>
                <w:sz w:val="24"/>
              </w:rPr>
              <w:t>处理</w:t>
            </w:r>
            <w:r>
              <w:rPr>
                <w:rFonts w:hint="eastAsia"/>
                <w:color w:val="auto"/>
                <w:sz w:val="24"/>
                <w:lang w:val="en-US" w:eastAsia="zh-CN"/>
              </w:rPr>
              <w:t>后</w:t>
            </w:r>
            <w:r>
              <w:rPr>
                <w:rFonts w:hint="eastAsia"/>
                <w:color w:val="auto"/>
                <w:sz w:val="24"/>
              </w:rPr>
              <w:t>，</w:t>
            </w:r>
            <w:r>
              <w:rPr>
                <w:rFonts w:hint="eastAsia"/>
                <w:color w:val="auto"/>
                <w:sz w:val="24"/>
                <w:lang w:val="en-US" w:eastAsia="zh-CN"/>
              </w:rPr>
              <w:t>由</w:t>
            </w:r>
            <w:r>
              <w:rPr>
                <w:rFonts w:hint="default"/>
                <w:color w:val="auto"/>
                <w:sz w:val="24"/>
              </w:rPr>
              <w:t>1根15m高排气筒（</w:t>
            </w:r>
            <w:r>
              <w:rPr>
                <w:rFonts w:hint="eastAsia"/>
                <w:color w:val="auto"/>
                <w:sz w:val="24"/>
              </w:rPr>
              <w:t>D</w:t>
            </w:r>
            <w:r>
              <w:rPr>
                <w:rFonts w:hint="default"/>
                <w:color w:val="auto"/>
                <w:sz w:val="24"/>
              </w:rPr>
              <w:t>A00</w:t>
            </w:r>
            <w:r>
              <w:rPr>
                <w:rFonts w:hint="eastAsia"/>
                <w:color w:val="auto"/>
                <w:sz w:val="24"/>
                <w:lang w:val="en-US" w:eastAsia="zh-CN"/>
              </w:rPr>
              <w:t>1</w:t>
            </w:r>
            <w:r>
              <w:rPr>
                <w:rFonts w:hint="default"/>
                <w:color w:val="auto"/>
                <w:sz w:val="24"/>
              </w:rPr>
              <w:t>）排放。</w:t>
            </w:r>
          </w:p>
          <w:p w14:paraId="66D01635">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color w:val="auto"/>
                <w:sz w:val="24"/>
                <w:lang w:val="en-US" w:eastAsia="zh-CN"/>
              </w:rPr>
            </w:pPr>
            <w:r>
              <w:rPr>
                <w:rFonts w:hint="eastAsia" w:cs="Times New Roman"/>
                <w:snapToGrid w:val="0"/>
                <w:color w:val="auto"/>
                <w:sz w:val="24"/>
                <w:szCs w:val="20"/>
                <w:highlight w:val="none"/>
                <w:lang w:val="en-US" w:eastAsia="zh-CN"/>
              </w:rPr>
              <w:t>根据建设单位提供的资料，</w:t>
            </w:r>
            <w:r>
              <w:rPr>
                <w:rFonts w:hint="eastAsia"/>
                <w:color w:val="auto"/>
                <w:sz w:val="24"/>
                <w:lang w:val="en-US" w:eastAsia="zh-CN"/>
              </w:rPr>
              <w:t>箱式破碎机所需风量为5000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/h</w:t>
            </w:r>
            <w:r>
              <w:rPr>
                <w:rFonts w:hint="eastAsia"/>
                <w:color w:val="auto"/>
                <w:sz w:val="24"/>
                <w:lang w:val="en-US" w:eastAsia="zh-CN"/>
              </w:rPr>
              <w:t>。</w:t>
            </w:r>
          </w:p>
          <w:p w14:paraId="08A4110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rPr>
            </w:pPr>
            <w:r>
              <w:rPr>
                <w:rFonts w:hint="eastAsia"/>
                <w:color w:val="auto"/>
                <w:sz w:val="24"/>
              </w:rPr>
              <w:t>经计算，</w:t>
            </w:r>
            <w:r>
              <w:rPr>
                <w:rFonts w:hint="eastAsia"/>
                <w:color w:val="auto"/>
                <w:sz w:val="24"/>
                <w:lang w:val="en-US" w:eastAsia="zh-CN"/>
              </w:rPr>
              <w:t>给料、破碎工序</w:t>
            </w:r>
            <w:r>
              <w:rPr>
                <w:rFonts w:hint="eastAsia"/>
                <w:color w:val="auto"/>
                <w:sz w:val="24"/>
              </w:rPr>
              <w:t>需配套的风量见下表4</w:t>
            </w:r>
            <w:r>
              <w:rPr>
                <w:rFonts w:hint="default"/>
                <w:color w:val="auto"/>
                <w:sz w:val="24"/>
              </w:rPr>
              <w:t>-3</w:t>
            </w:r>
            <w:r>
              <w:rPr>
                <w:rFonts w:hint="eastAsia"/>
                <w:color w:val="auto"/>
                <w:sz w:val="24"/>
              </w:rPr>
              <w:t>。</w:t>
            </w:r>
          </w:p>
          <w:p w14:paraId="5149B3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z w:val="21"/>
                <w:szCs w:val="16"/>
                <w:highlight w:val="none"/>
                <w:lang w:val="en-US" w:eastAsia="zh-CN"/>
              </w:rPr>
            </w:pPr>
            <w:r>
              <w:rPr>
                <w:rFonts w:hint="eastAsia" w:ascii="Times New Roman" w:hAnsi="Times New Roman" w:eastAsia="宋体" w:cs="Times New Roman"/>
                <w:b/>
                <w:bCs w:val="0"/>
                <w:color w:val="auto"/>
                <w:sz w:val="21"/>
                <w:szCs w:val="16"/>
                <w:highlight w:val="none"/>
                <w:lang w:val="en-US" w:eastAsia="zh-CN"/>
              </w:rPr>
              <w:t>表4-</w:t>
            </w:r>
            <w:r>
              <w:rPr>
                <w:rFonts w:hint="default" w:ascii="Times New Roman" w:hAnsi="Times New Roman" w:eastAsia="宋体" w:cs="Times New Roman"/>
                <w:b/>
                <w:bCs w:val="0"/>
                <w:color w:val="auto"/>
                <w:sz w:val="21"/>
                <w:szCs w:val="16"/>
                <w:highlight w:val="none"/>
                <w:lang w:val="en-US" w:eastAsia="zh-CN"/>
              </w:rPr>
              <w:t xml:space="preserve">3 </w:t>
            </w:r>
            <w:r>
              <w:rPr>
                <w:rFonts w:hint="eastAsia" w:ascii="Times New Roman" w:hAnsi="Times New Roman" w:eastAsia="宋体" w:cs="Times New Roman"/>
                <w:b/>
                <w:bCs w:val="0"/>
                <w:color w:val="auto"/>
                <w:sz w:val="21"/>
                <w:szCs w:val="16"/>
                <w:highlight w:val="none"/>
                <w:lang w:val="en-US" w:eastAsia="zh-CN"/>
              </w:rPr>
              <w:t xml:space="preserve"> 该工序需配套的风量一览表</w:t>
            </w:r>
          </w:p>
          <w:tbl>
            <w:tblPr>
              <w:tblStyle w:val="28"/>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2292"/>
              <w:gridCol w:w="1861"/>
              <w:gridCol w:w="1548"/>
            </w:tblGrid>
            <w:tr w14:paraId="4CF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57" w:type="pct"/>
                  <w:tcBorders>
                    <w:tl2br w:val="nil"/>
                    <w:tr2bl w:val="nil"/>
                  </w:tcBorders>
                  <w:noWrap w:val="0"/>
                  <w:vAlign w:val="center"/>
                </w:tcPr>
                <w:p w14:paraId="510F97F4">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auto"/>
                      <w:szCs w:val="21"/>
                      <w:lang w:val="en-US" w:eastAsia="zh-CN"/>
                    </w:rPr>
                  </w:pPr>
                  <w:r>
                    <w:rPr>
                      <w:rFonts w:hint="eastAsia"/>
                      <w:b/>
                      <w:bCs/>
                      <w:color w:val="auto"/>
                      <w:highlight w:val="none"/>
                      <w:lang w:val="en-US" w:eastAsia="zh-CN"/>
                    </w:rPr>
                    <w:t>集气罩点位</w:t>
                  </w:r>
                </w:p>
              </w:tc>
              <w:tc>
                <w:tcPr>
                  <w:tcW w:w="1424" w:type="pct"/>
                  <w:tcBorders>
                    <w:tl2br w:val="nil"/>
                    <w:tr2bl w:val="nil"/>
                  </w:tcBorders>
                  <w:noWrap w:val="0"/>
                  <w:vAlign w:val="center"/>
                </w:tcPr>
                <w:p w14:paraId="214A2348">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计算风量（m</w:t>
                  </w:r>
                  <w:r>
                    <w:rPr>
                      <w:rFonts w:hint="default"/>
                      <w:b/>
                      <w:bCs/>
                      <w:color w:val="auto"/>
                      <w:szCs w:val="21"/>
                      <w:vertAlign w:val="superscript"/>
                    </w:rPr>
                    <w:t>3</w:t>
                  </w:r>
                  <w:r>
                    <w:rPr>
                      <w:rFonts w:hint="default"/>
                      <w:b/>
                      <w:bCs/>
                      <w:color w:val="auto"/>
                      <w:szCs w:val="21"/>
                    </w:rPr>
                    <w:t>/h）</w:t>
                  </w:r>
                </w:p>
              </w:tc>
              <w:tc>
                <w:tcPr>
                  <w:tcW w:w="1156" w:type="pct"/>
                  <w:tcBorders>
                    <w:tl2br w:val="nil"/>
                    <w:tr2bl w:val="nil"/>
                  </w:tcBorders>
                  <w:noWrap w:val="0"/>
                  <w:vAlign w:val="center"/>
                </w:tcPr>
                <w:p w14:paraId="7CE2A5A0">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处理设备</w:t>
                  </w:r>
                </w:p>
              </w:tc>
              <w:tc>
                <w:tcPr>
                  <w:tcW w:w="961" w:type="pct"/>
                  <w:tcBorders>
                    <w:tl2br w:val="nil"/>
                    <w:tr2bl w:val="nil"/>
                  </w:tcBorders>
                  <w:noWrap w:val="0"/>
                  <w:vAlign w:val="center"/>
                </w:tcPr>
                <w:p w14:paraId="28FA21BC">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排气筒编号</w:t>
                  </w:r>
                </w:p>
              </w:tc>
            </w:tr>
            <w:tr w14:paraId="1A85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7" w:type="pct"/>
                  <w:tcBorders>
                    <w:tl2br w:val="nil"/>
                    <w:tr2bl w:val="nil"/>
                  </w:tcBorders>
                  <w:noWrap w:val="0"/>
                  <w:vAlign w:val="center"/>
                </w:tcPr>
                <w:p w14:paraId="190E1B76">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r>
                    <w:rPr>
                      <w:rFonts w:hint="eastAsia"/>
                      <w:color w:val="auto"/>
                      <w:szCs w:val="21"/>
                      <w:lang w:val="en-US" w:eastAsia="zh-CN"/>
                    </w:rPr>
                    <w:t>给料机</w:t>
                  </w:r>
                </w:p>
              </w:tc>
              <w:tc>
                <w:tcPr>
                  <w:tcW w:w="1424" w:type="pct"/>
                  <w:tcBorders>
                    <w:tl2br w:val="nil"/>
                    <w:tr2bl w:val="nil"/>
                  </w:tcBorders>
                  <w:noWrap w:val="0"/>
                  <w:vAlign w:val="center"/>
                </w:tcPr>
                <w:p w14:paraId="0BF39E37">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lang w:val="en-US" w:eastAsia="zh-CN"/>
                    </w:rPr>
                  </w:pPr>
                  <w:r>
                    <w:rPr>
                      <w:rFonts w:hint="eastAsia"/>
                      <w:color w:val="auto"/>
                      <w:szCs w:val="21"/>
                      <w:lang w:val="en-US" w:eastAsia="zh-CN"/>
                    </w:rPr>
                    <w:t>7776</w:t>
                  </w:r>
                </w:p>
              </w:tc>
              <w:tc>
                <w:tcPr>
                  <w:tcW w:w="1156" w:type="pct"/>
                  <w:vMerge w:val="restart"/>
                  <w:tcBorders>
                    <w:tl2br w:val="nil"/>
                    <w:tr2bl w:val="nil"/>
                  </w:tcBorders>
                  <w:noWrap w:val="0"/>
                  <w:vAlign w:val="center"/>
                </w:tcPr>
                <w:p w14:paraId="7A8BA548">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lang w:val="en-US" w:eastAsia="zh-CN"/>
                    </w:rPr>
                  </w:pPr>
                  <w:r>
                    <w:rPr>
                      <w:rFonts w:hint="default"/>
                      <w:color w:val="auto"/>
                      <w:szCs w:val="21"/>
                    </w:rPr>
                    <w:t>布袋除尘器</w:t>
                  </w:r>
                  <w:r>
                    <w:rPr>
                      <w:rFonts w:hint="eastAsia"/>
                      <w:color w:val="auto"/>
                      <w:szCs w:val="21"/>
                      <w:lang w:eastAsia="zh-CN"/>
                    </w:rPr>
                    <w:t>（</w:t>
                  </w:r>
                  <w:r>
                    <w:rPr>
                      <w:rFonts w:hint="eastAsia"/>
                      <w:color w:val="auto"/>
                      <w:szCs w:val="21"/>
                      <w:lang w:val="en-US" w:eastAsia="zh-CN"/>
                    </w:rPr>
                    <w:t>TA001</w:t>
                  </w:r>
                  <w:r>
                    <w:rPr>
                      <w:rFonts w:hint="eastAsia"/>
                      <w:color w:val="auto"/>
                      <w:szCs w:val="21"/>
                      <w:lang w:eastAsia="zh-CN"/>
                    </w:rPr>
                    <w:t>）</w:t>
                  </w:r>
                </w:p>
              </w:tc>
              <w:tc>
                <w:tcPr>
                  <w:tcW w:w="961" w:type="pct"/>
                  <w:vMerge w:val="restart"/>
                  <w:tcBorders>
                    <w:tl2br w:val="nil"/>
                    <w:tr2bl w:val="nil"/>
                  </w:tcBorders>
                  <w:noWrap w:val="0"/>
                  <w:vAlign w:val="center"/>
                </w:tcPr>
                <w:p w14:paraId="652AE483">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r>
                    <w:rPr>
                      <w:rFonts w:hint="default"/>
                      <w:color w:val="auto"/>
                      <w:szCs w:val="21"/>
                    </w:rPr>
                    <w:t>DA001</w:t>
                  </w:r>
                </w:p>
              </w:tc>
            </w:tr>
            <w:tr w14:paraId="194A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7" w:type="pct"/>
                  <w:tcBorders>
                    <w:tl2br w:val="nil"/>
                    <w:tr2bl w:val="nil"/>
                  </w:tcBorders>
                  <w:noWrap w:val="0"/>
                  <w:vAlign w:val="center"/>
                </w:tcPr>
                <w:p w14:paraId="6CE88AFA">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r>
                    <w:rPr>
                      <w:rFonts w:hint="eastAsia"/>
                      <w:color w:val="auto"/>
                      <w:szCs w:val="21"/>
                      <w:lang w:val="en-US" w:eastAsia="zh-CN"/>
                    </w:rPr>
                    <w:t>箱式破碎机</w:t>
                  </w:r>
                </w:p>
              </w:tc>
              <w:tc>
                <w:tcPr>
                  <w:tcW w:w="1424" w:type="pct"/>
                  <w:tcBorders>
                    <w:tl2br w:val="nil"/>
                    <w:tr2bl w:val="nil"/>
                  </w:tcBorders>
                  <w:noWrap w:val="0"/>
                  <w:vAlign w:val="center"/>
                </w:tcPr>
                <w:p w14:paraId="311B9910">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lang w:val="en-US" w:eastAsia="zh-CN"/>
                    </w:rPr>
                  </w:pPr>
                  <w:r>
                    <w:rPr>
                      <w:rFonts w:hint="eastAsia"/>
                      <w:color w:val="auto"/>
                      <w:szCs w:val="21"/>
                      <w:lang w:val="en-US" w:eastAsia="zh-CN"/>
                    </w:rPr>
                    <w:t>5000</w:t>
                  </w:r>
                </w:p>
              </w:tc>
              <w:tc>
                <w:tcPr>
                  <w:tcW w:w="1156" w:type="pct"/>
                  <w:vMerge w:val="continue"/>
                  <w:tcBorders>
                    <w:tl2br w:val="nil"/>
                    <w:tr2bl w:val="nil"/>
                  </w:tcBorders>
                  <w:noWrap w:val="0"/>
                  <w:vAlign w:val="center"/>
                </w:tcPr>
                <w:p w14:paraId="41EBB14C">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c>
                <w:tcPr>
                  <w:tcW w:w="961" w:type="pct"/>
                  <w:vMerge w:val="continue"/>
                  <w:tcBorders>
                    <w:tl2br w:val="nil"/>
                    <w:tr2bl w:val="nil"/>
                  </w:tcBorders>
                  <w:noWrap w:val="0"/>
                  <w:vAlign w:val="center"/>
                </w:tcPr>
                <w:p w14:paraId="280D0D22">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r>
            <w:tr w14:paraId="23AE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7" w:type="pct"/>
                  <w:tcBorders>
                    <w:tl2br w:val="nil"/>
                    <w:tr2bl w:val="nil"/>
                  </w:tcBorders>
                  <w:noWrap w:val="0"/>
                  <w:vAlign w:val="center"/>
                </w:tcPr>
                <w:p w14:paraId="12C04586">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lang w:val="en-US" w:eastAsia="zh-CN"/>
                    </w:rPr>
                  </w:pPr>
                  <w:r>
                    <w:rPr>
                      <w:rFonts w:hint="eastAsia"/>
                      <w:color w:val="auto"/>
                      <w:szCs w:val="21"/>
                      <w:lang w:val="en-US" w:eastAsia="zh-CN"/>
                    </w:rPr>
                    <w:t>合计</w:t>
                  </w:r>
                </w:p>
              </w:tc>
              <w:tc>
                <w:tcPr>
                  <w:tcW w:w="1424" w:type="pct"/>
                  <w:tcBorders>
                    <w:tl2br w:val="nil"/>
                    <w:tr2bl w:val="nil"/>
                  </w:tcBorders>
                  <w:noWrap w:val="0"/>
                  <w:vAlign w:val="center"/>
                </w:tcPr>
                <w:p w14:paraId="39B0679E">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lang w:val="en-US" w:eastAsia="zh-CN"/>
                    </w:rPr>
                  </w:pPr>
                  <w:r>
                    <w:rPr>
                      <w:rFonts w:hint="eastAsia"/>
                      <w:color w:val="auto"/>
                      <w:szCs w:val="21"/>
                      <w:lang w:val="en-US" w:eastAsia="zh-CN"/>
                    </w:rPr>
                    <w:t>12776</w:t>
                  </w:r>
                </w:p>
              </w:tc>
              <w:tc>
                <w:tcPr>
                  <w:tcW w:w="1156" w:type="pct"/>
                  <w:vMerge w:val="continue"/>
                  <w:tcBorders>
                    <w:tl2br w:val="nil"/>
                    <w:tr2bl w:val="nil"/>
                  </w:tcBorders>
                  <w:noWrap w:val="0"/>
                  <w:vAlign w:val="center"/>
                </w:tcPr>
                <w:p w14:paraId="09B9CC2A">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c>
                <w:tcPr>
                  <w:tcW w:w="961" w:type="pct"/>
                  <w:vMerge w:val="continue"/>
                  <w:tcBorders>
                    <w:tl2br w:val="nil"/>
                    <w:tr2bl w:val="nil"/>
                  </w:tcBorders>
                  <w:noWrap w:val="0"/>
                  <w:vAlign w:val="center"/>
                </w:tcPr>
                <w:p w14:paraId="29FEDEDF">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r>
          </w:tbl>
          <w:p w14:paraId="33DBD8D7">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olor w:val="auto"/>
                <w:sz w:val="24"/>
              </w:rPr>
            </w:pPr>
            <w:r>
              <w:rPr>
                <w:rFonts w:hint="eastAsia" w:ascii="Times New Roman" w:hAnsi="Times New Roman" w:eastAsia="宋体" w:cs="Times New Roman"/>
                <w:snapToGrid w:val="0"/>
                <w:color w:val="auto"/>
                <w:sz w:val="24"/>
                <w:szCs w:val="20"/>
                <w:highlight w:val="none"/>
                <w:lang w:val="en-US" w:eastAsia="zh-CN"/>
              </w:rPr>
              <w:t>经计算：</w:t>
            </w:r>
            <w:r>
              <w:rPr>
                <w:rFonts w:hint="eastAsia"/>
                <w:color w:val="auto"/>
                <w:sz w:val="24"/>
                <w:lang w:val="en-US" w:eastAsia="zh-CN"/>
              </w:rPr>
              <w:t>给料、破碎工序</w:t>
            </w:r>
            <w:r>
              <w:rPr>
                <w:rFonts w:hint="eastAsia" w:cs="Times New Roman"/>
                <w:snapToGrid w:val="0"/>
                <w:color w:val="auto"/>
                <w:sz w:val="24"/>
                <w:szCs w:val="20"/>
                <w:highlight w:val="none"/>
                <w:lang w:val="en-US" w:eastAsia="zh-CN"/>
              </w:rPr>
              <w:t>所需</w:t>
            </w:r>
            <w:r>
              <w:rPr>
                <w:rFonts w:hint="eastAsia" w:ascii="Times New Roman" w:hAnsi="Times New Roman" w:eastAsia="宋体" w:cs="Times New Roman"/>
                <w:snapToGrid w:val="0"/>
                <w:color w:val="auto"/>
                <w:sz w:val="24"/>
                <w:szCs w:val="20"/>
                <w:highlight w:val="none"/>
                <w:lang w:val="en-US" w:eastAsia="zh-CN"/>
              </w:rPr>
              <w:t>风量为</w:t>
            </w:r>
            <w:r>
              <w:rPr>
                <w:rFonts w:hint="eastAsia"/>
                <w:color w:val="auto"/>
                <w:sz w:val="24"/>
                <w:szCs w:val="24"/>
                <w:lang w:val="en-US" w:eastAsia="zh-CN"/>
              </w:rPr>
              <w:t>12776</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/h</w:t>
            </w:r>
            <w:r>
              <w:rPr>
                <w:rFonts w:hint="eastAsia" w:cs="Times New Roman"/>
                <w:snapToGrid w:val="0"/>
                <w:color w:val="auto"/>
                <w:sz w:val="24"/>
                <w:szCs w:val="20"/>
                <w:highlight w:val="none"/>
                <w:lang w:val="en-US" w:eastAsia="zh-CN"/>
              </w:rPr>
              <w:t>，</w:t>
            </w:r>
            <w:r>
              <w:rPr>
                <w:rFonts w:hint="eastAsia" w:ascii="Times New Roman" w:hAnsi="Times New Roman" w:eastAsia="宋体" w:cs="Times New Roman"/>
                <w:snapToGrid w:val="0"/>
                <w:color w:val="auto"/>
                <w:sz w:val="24"/>
                <w:szCs w:val="20"/>
                <w:highlight w:val="none"/>
                <w:lang w:val="en-US" w:eastAsia="zh-CN"/>
              </w:rPr>
              <w:t>布袋材质：覆膜（PTFE）涤纶针刺毡，过滤风速0.8m/min，过滤面积</w:t>
            </w:r>
            <w:r>
              <w:rPr>
                <w:rFonts w:hint="eastAsia" w:cs="Times New Roman"/>
                <w:snapToGrid w:val="0"/>
                <w:color w:val="auto"/>
                <w:sz w:val="24"/>
                <w:szCs w:val="20"/>
                <w:highlight w:val="none"/>
                <w:lang w:val="en-US" w:eastAsia="zh-CN"/>
              </w:rPr>
              <w:t>267</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2</w:t>
            </w:r>
            <w:r>
              <w:rPr>
                <w:rFonts w:hint="eastAsia" w:cs="Times New Roman"/>
                <w:snapToGrid w:val="0"/>
                <w:color w:val="auto"/>
                <w:sz w:val="24"/>
                <w:szCs w:val="20"/>
                <w:highlight w:val="none"/>
                <w:lang w:val="en-US" w:eastAsia="zh-CN"/>
              </w:rPr>
              <w:t>。</w:t>
            </w:r>
          </w:p>
          <w:p w14:paraId="115DBD6F">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96" w:firstLineChars="200"/>
              <w:textAlignment w:val="auto"/>
              <w:rPr>
                <w:rFonts w:hint="default" w:ascii="Times New Roman" w:hAnsi="Times New Roman" w:cs="Times New Roman"/>
                <w:color w:val="auto"/>
                <w:sz w:val="24"/>
                <w:szCs w:val="24"/>
                <w:highlight w:val="none"/>
                <w:vertAlign w:val="baseline"/>
                <w:lang w:val="en-US" w:eastAsia="zh-CN"/>
              </w:rPr>
            </w:pPr>
            <w:r>
              <w:rPr>
                <w:rFonts w:hint="eastAsia"/>
                <w:color w:val="auto"/>
                <w:spacing w:val="4"/>
                <w:sz w:val="24"/>
                <w:highlight w:val="none"/>
                <w:lang w:val="en-US" w:eastAsia="zh-CN"/>
              </w:rPr>
              <w:t>上料</w:t>
            </w:r>
            <w:r>
              <w:rPr>
                <w:rFonts w:hint="eastAsia" w:ascii="Times New Roman" w:hAnsi="Times New Roman" w:eastAsia="宋体" w:cs="Times New Roman"/>
                <w:color w:val="auto"/>
                <w:kern w:val="2"/>
                <w:sz w:val="24"/>
                <w:szCs w:val="24"/>
                <w:highlight w:val="none"/>
                <w:lang w:val="en-US" w:eastAsia="zh-CN" w:bidi="ar-SA"/>
              </w:rPr>
              <w:t>粉尘参照《逸散性工业粉尘控制技术》，上料工序产尘系数按0.1kg/t</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原料计算</w:t>
            </w:r>
            <w:r>
              <w:rPr>
                <w:rFonts w:hint="eastAsia" w:cs="Times New Roman"/>
                <w:color w:val="auto"/>
                <w:kern w:val="2"/>
                <w:sz w:val="24"/>
                <w:szCs w:val="24"/>
                <w:highlight w:val="none"/>
                <w:lang w:val="en-US" w:eastAsia="zh-CN" w:bidi="ar-SA"/>
              </w:rPr>
              <w:t>，建筑垃圾</w:t>
            </w:r>
            <w:r>
              <w:rPr>
                <w:rFonts w:hint="eastAsia" w:ascii="Times New Roman" w:hAnsi="Times New Roman" w:cs="Times New Roman"/>
                <w:color w:val="auto"/>
                <w:kern w:val="2"/>
                <w:sz w:val="24"/>
                <w:szCs w:val="24"/>
                <w:highlight w:val="none"/>
                <w:lang w:val="en-US" w:eastAsia="zh-CN" w:bidi="ar-SA"/>
              </w:rPr>
              <w:t>年用量为</w:t>
            </w:r>
            <w:r>
              <w:rPr>
                <w:rFonts w:hint="eastAsia" w:cs="Times New Roman"/>
                <w:color w:val="auto"/>
                <w:kern w:val="2"/>
                <w:sz w:val="24"/>
                <w:szCs w:val="24"/>
                <w:highlight w:val="none"/>
                <w:lang w:val="en-US" w:eastAsia="zh-CN" w:bidi="ar-SA"/>
              </w:rPr>
              <w:t>30万</w:t>
            </w:r>
            <w:r>
              <w:rPr>
                <w:rFonts w:hint="default" w:ascii="Times New Roman" w:hAnsi="Times New Roman" w:cs="Times New Roman"/>
                <w:color w:val="auto"/>
                <w:sz w:val="24"/>
                <w:szCs w:val="24"/>
                <w:highlight w:val="none"/>
                <w:vertAlign w:val="baseline"/>
                <w:lang w:val="en-US" w:eastAsia="zh-CN"/>
              </w:rPr>
              <w:t>t/a，</w:t>
            </w:r>
            <w:r>
              <w:rPr>
                <w:rFonts w:hint="eastAsia" w:ascii="Times New Roman" w:hAnsi="Times New Roman" w:cs="Times New Roman"/>
                <w:color w:val="auto"/>
                <w:sz w:val="24"/>
                <w:szCs w:val="24"/>
                <w:highlight w:val="none"/>
                <w:vertAlign w:val="baseline"/>
                <w:lang w:val="en-US" w:eastAsia="zh-CN"/>
              </w:rPr>
              <w:t>则有组织颗粒物产生量为</w:t>
            </w:r>
            <w:r>
              <w:rPr>
                <w:rFonts w:hint="eastAsia" w:cs="Times New Roman"/>
                <w:color w:val="auto"/>
                <w:sz w:val="24"/>
                <w:szCs w:val="24"/>
                <w:highlight w:val="none"/>
                <w:vertAlign w:val="baseline"/>
                <w:lang w:val="en-US" w:eastAsia="zh-CN"/>
              </w:rPr>
              <w:t>30</w:t>
            </w:r>
            <w:r>
              <w:rPr>
                <w:rFonts w:hint="default" w:ascii="Times New Roman" w:hAnsi="Times New Roman" w:cs="Times New Roman"/>
                <w:color w:val="auto"/>
                <w:sz w:val="24"/>
                <w:szCs w:val="24"/>
                <w:highlight w:val="none"/>
                <w:vertAlign w:val="baseline"/>
                <w:lang w:val="en-US" w:eastAsia="zh-CN"/>
              </w:rPr>
              <w:t>t/a</w:t>
            </w:r>
            <w:r>
              <w:rPr>
                <w:rFonts w:hint="eastAsia"/>
                <w:color w:val="auto"/>
                <w:sz w:val="24"/>
                <w:szCs w:val="24"/>
                <w:highlight w:val="none"/>
                <w:lang w:val="en-US" w:eastAsia="zh-CN"/>
              </w:rPr>
              <w:t>，产生速率</w:t>
            </w:r>
            <w:r>
              <w:rPr>
                <w:rFonts w:hint="eastAsia" w:cs="Times New Roman"/>
                <w:color w:val="auto"/>
                <w:sz w:val="24"/>
                <w:szCs w:val="24"/>
                <w:highlight w:val="none"/>
                <w:lang w:val="en-US" w:eastAsia="zh-CN"/>
              </w:rPr>
              <w:t>5.7</w:t>
            </w:r>
            <w:r>
              <w:rPr>
                <w:rFonts w:hint="default" w:ascii="Times New Roman" w:hAnsi="Times New Roman" w:cs="Times New Roman"/>
                <w:color w:val="auto"/>
                <w:sz w:val="24"/>
                <w:szCs w:val="24"/>
                <w:highlight w:val="none"/>
                <w:lang w:val="en-US" w:eastAsia="zh-CN"/>
              </w:rPr>
              <w:t>kg/h</w:t>
            </w:r>
            <w:r>
              <w:rPr>
                <w:rFonts w:hint="default" w:ascii="Times New Roman" w:hAnsi="Times New Roman" w:cs="Times New Roman"/>
                <w:color w:val="auto"/>
                <w:sz w:val="24"/>
                <w:szCs w:val="24"/>
                <w:highlight w:val="none"/>
                <w:vertAlign w:val="baseline"/>
                <w:lang w:val="en-US" w:eastAsia="zh-CN"/>
              </w:rPr>
              <w:t>。</w:t>
            </w:r>
          </w:p>
          <w:p w14:paraId="2983645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olor w:val="auto"/>
                <w:sz w:val="24"/>
                <w:lang w:val="en-US" w:eastAsia="zh-CN"/>
              </w:rPr>
              <w:t>破碎粉尘</w:t>
            </w:r>
            <w:r>
              <w:rPr>
                <w:rFonts w:hint="default" w:ascii="Times New Roman" w:hAnsi="Times New Roman"/>
                <w:color w:val="auto"/>
                <w:sz w:val="24"/>
                <w:lang w:eastAsia="zh-CN"/>
              </w:rPr>
              <w:t>参照《逸散性工业粉尘控制技术》，破碎工段产尘系数为0.2kg/t，破碎</w:t>
            </w:r>
            <w:r>
              <w:rPr>
                <w:rFonts w:hint="eastAsia"/>
                <w:color w:val="auto"/>
                <w:sz w:val="24"/>
                <w:lang w:val="en-US" w:eastAsia="zh-CN"/>
              </w:rPr>
              <w:t>工序</w:t>
            </w:r>
            <w:r>
              <w:rPr>
                <w:rFonts w:hint="default" w:ascii="Times New Roman" w:hAnsi="Times New Roman"/>
                <w:color w:val="auto"/>
                <w:sz w:val="24"/>
                <w:lang w:eastAsia="zh-CN"/>
              </w:rPr>
              <w:t>进料量</w:t>
            </w:r>
            <w:r>
              <w:rPr>
                <w:rFonts w:hint="eastAsia"/>
                <w:color w:val="auto"/>
                <w:sz w:val="24"/>
                <w:lang w:val="en-US" w:eastAsia="zh-CN"/>
              </w:rPr>
              <w:t>为30</w:t>
            </w:r>
            <w:r>
              <w:rPr>
                <w:rFonts w:hint="default" w:ascii="Times New Roman" w:hAnsi="Times New Roman"/>
                <w:color w:val="auto"/>
                <w:sz w:val="24"/>
                <w:lang w:eastAsia="zh-CN"/>
              </w:rPr>
              <w:t>万t/a，则</w:t>
            </w:r>
            <w:r>
              <w:rPr>
                <w:rFonts w:hint="eastAsia"/>
                <w:color w:val="auto"/>
                <w:sz w:val="24"/>
                <w:lang w:val="en-US" w:eastAsia="zh-CN"/>
              </w:rPr>
              <w:t>一次</w:t>
            </w:r>
            <w:r>
              <w:rPr>
                <w:rFonts w:hint="default" w:ascii="Times New Roman" w:hAnsi="Times New Roman"/>
                <w:color w:val="auto"/>
                <w:sz w:val="24"/>
                <w:lang w:eastAsia="zh-CN"/>
              </w:rPr>
              <w:t>破碎粉尘产生量为</w:t>
            </w:r>
            <w:r>
              <w:rPr>
                <w:rFonts w:hint="eastAsia"/>
                <w:color w:val="auto"/>
                <w:sz w:val="24"/>
                <w:lang w:val="en-US" w:eastAsia="zh-CN"/>
              </w:rPr>
              <w:t>60</w:t>
            </w:r>
            <w:r>
              <w:rPr>
                <w:rFonts w:hint="default" w:ascii="Times New Roman" w:hAnsi="Times New Roman"/>
                <w:color w:val="auto"/>
                <w:sz w:val="24"/>
                <w:lang w:eastAsia="zh-CN"/>
              </w:rPr>
              <w:t>t/a</w:t>
            </w:r>
            <w:r>
              <w:rPr>
                <w:rFonts w:hint="eastAsia" w:ascii="Times New Roman" w:hAnsi="Times New Roman"/>
                <w:color w:val="auto"/>
                <w:sz w:val="24"/>
                <w:lang w:eastAsia="zh-CN"/>
              </w:rPr>
              <w:t>，</w:t>
            </w:r>
            <w:r>
              <w:rPr>
                <w:rFonts w:hint="eastAsia" w:ascii="Times New Roman" w:hAnsi="Times New Roman"/>
                <w:color w:val="auto"/>
                <w:sz w:val="24"/>
                <w:lang w:val="en-US" w:eastAsia="zh-CN"/>
              </w:rPr>
              <w:t>产生速率</w:t>
            </w:r>
            <w:r>
              <w:rPr>
                <w:rFonts w:hint="eastAsia"/>
                <w:color w:val="auto"/>
                <w:sz w:val="24"/>
                <w:lang w:val="en-US" w:eastAsia="zh-CN"/>
              </w:rPr>
              <w:t>11.4</w:t>
            </w:r>
            <w:r>
              <w:rPr>
                <w:rFonts w:hint="default" w:ascii="Times New Roman" w:hAnsi="Times New Roman" w:cs="Times New Roman"/>
                <w:color w:val="auto"/>
                <w:sz w:val="24"/>
                <w:szCs w:val="24"/>
                <w:highlight w:val="none"/>
                <w:lang w:val="en-US" w:eastAsia="zh-CN"/>
              </w:rPr>
              <w:t>kg/h</w:t>
            </w:r>
            <w:r>
              <w:rPr>
                <w:rFonts w:hint="default" w:ascii="Times New Roman" w:hAnsi="Times New Roman" w:cs="Times New Roman"/>
                <w:color w:val="auto"/>
                <w:sz w:val="24"/>
                <w:szCs w:val="24"/>
                <w:highlight w:val="none"/>
                <w:vertAlign w:val="baseline"/>
                <w:lang w:val="en-US" w:eastAsia="zh-CN"/>
              </w:rPr>
              <w:t>。</w:t>
            </w:r>
          </w:p>
          <w:p w14:paraId="50A461BA">
            <w:pPr>
              <w:pStyle w:val="5"/>
              <w:keepNext w:val="0"/>
              <w:keepLines w:val="0"/>
              <w:suppressLineNumbers w:val="0"/>
              <w:spacing w:before="0" w:beforeAutospacing="0" w:after="0" w:afterAutospacing="0" w:line="480" w:lineRule="exact"/>
              <w:ind w:left="0" w:right="0" w:firstLine="480"/>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则总产生浓度为17.1</w:t>
            </w:r>
            <w:r>
              <w:rPr>
                <w:rFonts w:hint="default"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，产生浓度为</w:t>
            </w:r>
            <w:r>
              <w:rPr>
                <w:rFonts w:hint="eastAsia" w:cs="Times New Roman"/>
                <w:color w:val="auto"/>
                <w:sz w:val="24"/>
                <w:szCs w:val="24"/>
                <w:highlight w:val="none"/>
                <w:vertAlign w:val="baseline"/>
                <w:lang w:val="en-US" w:eastAsia="zh-CN"/>
              </w:rPr>
              <w:t>1338</w:t>
            </w:r>
            <w:r>
              <w:rPr>
                <w:rFonts w:hint="default" w:ascii="Times New Roman" w:hAnsi="Times New Roman" w:eastAsia="宋体" w:cs="Times New Roman"/>
                <w:color w:val="auto"/>
                <w:spacing w:val="0"/>
                <w:position w:val="0"/>
                <w:sz w:val="24"/>
                <w:highlight w:val="none"/>
                <w:lang w:val="en-US" w:eastAsia="zh-CN"/>
              </w:rPr>
              <w:t>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eastAsia" w:cs="Times New Roman"/>
                <w:color w:val="auto"/>
                <w:spacing w:val="0"/>
                <w:position w:val="0"/>
                <w:sz w:val="24"/>
                <w:highlight w:val="none"/>
                <w:vertAlign w:val="baseline"/>
                <w:lang w:val="en-US" w:eastAsia="zh-CN"/>
              </w:rPr>
              <w:t>。</w:t>
            </w:r>
          </w:p>
          <w:p w14:paraId="6190A38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pacing w:val="4"/>
                <w:sz w:val="24"/>
                <w:lang w:eastAsia="zh-CN"/>
              </w:rPr>
            </w:pPr>
            <w:r>
              <w:rPr>
                <w:rFonts w:hint="eastAsia" w:ascii="Times New Roman" w:hAnsi="Times New Roman" w:eastAsia="宋体" w:cs="Times New Roman"/>
                <w:color w:val="auto"/>
                <w:spacing w:val="0"/>
                <w:position w:val="0"/>
                <w:sz w:val="24"/>
                <w:highlight w:val="none"/>
                <w:lang w:val="en-US" w:eastAsia="zh-CN"/>
              </w:rPr>
              <w:t>有组织颗粒物</w:t>
            </w:r>
            <w:r>
              <w:rPr>
                <w:rFonts w:hint="default" w:ascii="Times New Roman" w:hAnsi="Times New Roman" w:eastAsia="宋体" w:cs="Times New Roman"/>
                <w:color w:val="auto"/>
                <w:spacing w:val="0"/>
                <w:position w:val="0"/>
                <w:sz w:val="24"/>
                <w:highlight w:val="none"/>
              </w:rPr>
              <w:t>排放浓度</w:t>
            </w:r>
            <w:r>
              <w:rPr>
                <w:rFonts w:hint="default" w:ascii="Times New Roman" w:hAnsi="Times New Roman" w:eastAsia="宋体" w:cs="Times New Roman"/>
                <w:color w:val="auto"/>
                <w:spacing w:val="0"/>
                <w:position w:val="0"/>
                <w:sz w:val="24"/>
                <w:highlight w:val="none"/>
                <w:lang w:val="en-US" w:eastAsia="zh-CN"/>
              </w:rPr>
              <w:t>执行《长治市大气污染防治工作领导组办公室文件关于印发长治市工业企业无组织排放治理实施方案的通知》（长气防办[2019]9号）特别排放限值要求（颗粒物≤10mg/m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default" w:ascii="Times New Roman" w:hAnsi="Times New Roman" w:eastAsia="宋体" w:cs="Times New Roman"/>
                <w:color w:val="auto"/>
                <w:spacing w:val="0"/>
                <w:position w:val="0"/>
                <w:sz w:val="24"/>
                <w:highlight w:val="none"/>
                <w:lang w:val="en-US" w:eastAsia="zh-CN"/>
              </w:rPr>
              <w:t>）</w:t>
            </w:r>
            <w:r>
              <w:rPr>
                <w:rFonts w:hint="eastAsia"/>
                <w:color w:val="auto"/>
                <w:spacing w:val="4"/>
                <w:sz w:val="24"/>
                <w:lang w:eastAsia="zh-CN"/>
              </w:rPr>
              <w:t>。</w:t>
            </w:r>
          </w:p>
          <w:p w14:paraId="47AF53E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lang w:val="en-US" w:eastAsia="zh-CN"/>
              </w:rPr>
            </w:pPr>
            <w:r>
              <w:rPr>
                <w:rFonts w:hint="default"/>
                <w:bCs/>
                <w:color w:val="auto"/>
                <w:sz w:val="24"/>
              </w:rPr>
              <w:t>有组织</w:t>
            </w:r>
            <w:r>
              <w:rPr>
                <w:rFonts w:hint="eastAsia"/>
                <w:bCs/>
                <w:color w:val="auto"/>
                <w:sz w:val="24"/>
                <w:lang w:val="en-US" w:eastAsia="zh-CN"/>
              </w:rPr>
              <w:t>颗粒物</w:t>
            </w:r>
            <w:r>
              <w:rPr>
                <w:rFonts w:hint="default"/>
                <w:bCs/>
                <w:color w:val="auto"/>
                <w:sz w:val="24"/>
              </w:rPr>
              <w:t>排放量：10mg/m</w:t>
            </w:r>
            <w:r>
              <w:rPr>
                <w:rFonts w:hint="default"/>
                <w:bCs/>
                <w:color w:val="auto"/>
                <w:sz w:val="24"/>
                <w:vertAlign w:val="superscript"/>
              </w:rPr>
              <w:t>3</w:t>
            </w:r>
            <w:r>
              <w:rPr>
                <w:rFonts w:hint="default"/>
                <w:bCs/>
                <w:color w:val="auto"/>
                <w:sz w:val="24"/>
              </w:rPr>
              <w:t>×</w:t>
            </w:r>
            <w:r>
              <w:rPr>
                <w:rFonts w:hint="eastAsia"/>
                <w:color w:val="auto"/>
                <w:sz w:val="24"/>
                <w:szCs w:val="24"/>
                <w:lang w:val="en-US" w:eastAsia="zh-CN"/>
              </w:rPr>
              <w:t>12776</w:t>
            </w:r>
            <w:r>
              <w:rPr>
                <w:rFonts w:hint="default"/>
                <w:color w:val="auto"/>
                <w:sz w:val="24"/>
              </w:rPr>
              <w:t>m</w:t>
            </w:r>
            <w:r>
              <w:rPr>
                <w:rFonts w:hint="default"/>
                <w:color w:val="auto"/>
                <w:sz w:val="24"/>
                <w:vertAlign w:val="superscript"/>
              </w:rPr>
              <w:t>3</w:t>
            </w:r>
            <w:r>
              <w:rPr>
                <w:rFonts w:hint="default"/>
                <w:color w:val="auto"/>
                <w:sz w:val="24"/>
              </w:rPr>
              <w:t>/h</w:t>
            </w:r>
            <w:r>
              <w:rPr>
                <w:rFonts w:hint="default"/>
                <w:bCs/>
                <w:color w:val="auto"/>
                <w:sz w:val="24"/>
              </w:rPr>
              <w:t>×</w:t>
            </w:r>
            <w:r>
              <w:rPr>
                <w:rFonts w:hint="eastAsia"/>
                <w:bCs/>
                <w:color w:val="auto"/>
                <w:sz w:val="24"/>
                <w:lang w:val="en-US" w:eastAsia="zh-CN"/>
              </w:rPr>
              <w:t>5280h</w:t>
            </w:r>
            <w:r>
              <w:rPr>
                <w:rFonts w:hint="default"/>
                <w:bCs/>
                <w:color w:val="auto"/>
                <w:sz w:val="24"/>
              </w:rPr>
              <w:t>÷10</w:t>
            </w:r>
            <w:r>
              <w:rPr>
                <w:rFonts w:hint="default"/>
                <w:bCs/>
                <w:color w:val="auto"/>
                <w:sz w:val="24"/>
                <w:vertAlign w:val="superscript"/>
              </w:rPr>
              <w:t>9</w:t>
            </w:r>
            <w:r>
              <w:rPr>
                <w:rFonts w:hint="default"/>
                <w:bCs/>
                <w:color w:val="auto"/>
                <w:sz w:val="24"/>
              </w:rPr>
              <w:t>=</w:t>
            </w:r>
            <w:r>
              <w:rPr>
                <w:rFonts w:hint="eastAsia"/>
                <w:bCs/>
                <w:color w:val="auto"/>
                <w:sz w:val="24"/>
                <w:lang w:val="en-US" w:eastAsia="zh-CN"/>
              </w:rPr>
              <w:t>0.675</w:t>
            </w:r>
            <w:r>
              <w:rPr>
                <w:rFonts w:hint="default"/>
                <w:bCs/>
                <w:color w:val="auto"/>
                <w:sz w:val="24"/>
              </w:rPr>
              <w:t>t/a</w:t>
            </w:r>
            <w:r>
              <w:rPr>
                <w:rFonts w:hint="eastAsia"/>
                <w:bCs/>
                <w:color w:val="auto"/>
                <w:sz w:val="24"/>
                <w:lang w:eastAsia="zh-CN"/>
              </w:rPr>
              <w:t>，</w:t>
            </w:r>
            <w:r>
              <w:rPr>
                <w:rFonts w:hint="default"/>
                <w:color w:val="auto"/>
                <w:sz w:val="24"/>
              </w:rPr>
              <w:t>排放</w:t>
            </w:r>
            <w:r>
              <w:rPr>
                <w:rFonts w:hint="eastAsia"/>
                <w:color w:val="auto"/>
                <w:sz w:val="24"/>
                <w:lang w:val="en-US" w:eastAsia="zh-CN"/>
              </w:rPr>
              <w:t>速率</w:t>
            </w:r>
            <w:r>
              <w:rPr>
                <w:rFonts w:hint="default"/>
                <w:color w:val="auto"/>
                <w:sz w:val="24"/>
              </w:rPr>
              <w:t>为</w:t>
            </w:r>
            <w:r>
              <w:rPr>
                <w:rFonts w:hint="eastAsia"/>
                <w:color w:val="auto"/>
                <w:sz w:val="24"/>
                <w:lang w:val="en-US" w:eastAsia="zh-CN"/>
              </w:rPr>
              <w:t>0.13kg/h</w:t>
            </w:r>
            <w:r>
              <w:rPr>
                <w:rFonts w:hint="default"/>
                <w:color w:val="auto"/>
                <w:sz w:val="24"/>
              </w:rPr>
              <w:t>。</w:t>
            </w:r>
          </w:p>
          <w:p w14:paraId="29B50DC4">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w:t>
            </w:r>
            <w:r>
              <w:rPr>
                <w:rFonts w:hint="eastAsia"/>
                <w:bCs/>
                <w:color w:val="auto"/>
                <w:sz w:val="24"/>
                <w:lang w:val="en-US" w:eastAsia="zh-CN"/>
              </w:rPr>
              <w:t>制砂、</w:t>
            </w:r>
            <w:r>
              <w:rPr>
                <w:rFonts w:hint="default"/>
                <w:bCs/>
                <w:color w:val="auto"/>
                <w:sz w:val="24"/>
              </w:rPr>
              <w:t>筛分</w:t>
            </w:r>
            <w:r>
              <w:rPr>
                <w:rFonts w:hint="eastAsia"/>
                <w:bCs/>
                <w:color w:val="auto"/>
                <w:sz w:val="24"/>
                <w:lang w:val="en-US" w:eastAsia="zh-CN"/>
              </w:rPr>
              <w:t>废气</w:t>
            </w:r>
          </w:p>
          <w:p w14:paraId="4AF717BA">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lang w:val="en-US" w:eastAsia="zh-CN"/>
              </w:rPr>
            </w:pPr>
            <w:r>
              <w:rPr>
                <w:rFonts w:hint="eastAsia" w:cs="Times New Roman"/>
                <w:color w:val="auto"/>
                <w:sz w:val="24"/>
                <w:highlight w:val="none"/>
                <w:lang w:val="en-US" w:eastAsia="zh-CN"/>
              </w:rPr>
              <w:t>本项目设置1台锤式制砂机、1台振动筛，均</w:t>
            </w:r>
            <w:r>
              <w:rPr>
                <w:rFonts w:hint="eastAsia"/>
                <w:color w:val="auto"/>
                <w:sz w:val="24"/>
                <w:lang w:val="en-US" w:eastAsia="zh-CN"/>
              </w:rPr>
              <w:t>为全封闭式，</w:t>
            </w:r>
            <w:r>
              <w:rPr>
                <w:rFonts w:hint="eastAsia" w:cs="Times New Roman"/>
                <w:color w:val="auto"/>
                <w:sz w:val="24"/>
                <w:highlight w:val="none"/>
                <w:lang w:val="en-US" w:eastAsia="zh-CN"/>
              </w:rPr>
              <w:t>原料在制砂、筛分工序会有粉尘产生，年运行5280h，</w:t>
            </w:r>
            <w:r>
              <w:rPr>
                <w:rFonts w:hint="default"/>
                <w:color w:val="auto"/>
                <w:sz w:val="24"/>
              </w:rPr>
              <w:t>评价要求</w:t>
            </w:r>
            <w:r>
              <w:rPr>
                <w:rFonts w:hint="eastAsia" w:cs="Times New Roman"/>
                <w:color w:val="auto"/>
                <w:sz w:val="24"/>
                <w:highlight w:val="none"/>
                <w:lang w:val="en-US" w:eastAsia="zh-CN"/>
              </w:rPr>
              <w:t>锤式制砂机、振动筛</w:t>
            </w:r>
            <w:r>
              <w:rPr>
                <w:rFonts w:hint="eastAsia"/>
                <w:color w:val="auto"/>
                <w:sz w:val="24"/>
                <w:lang w:val="en-US" w:eastAsia="zh-CN"/>
              </w:rPr>
              <w:t>上方</w:t>
            </w:r>
            <w:r>
              <w:rPr>
                <w:rFonts w:hint="default"/>
                <w:color w:val="auto"/>
                <w:sz w:val="24"/>
              </w:rPr>
              <w:t>设置</w:t>
            </w:r>
            <w:r>
              <w:rPr>
                <w:rFonts w:hint="eastAsia"/>
                <w:color w:val="auto"/>
                <w:sz w:val="24"/>
                <w:lang w:val="en-US" w:eastAsia="zh-CN"/>
              </w:rPr>
              <w:t>集气管道</w:t>
            </w:r>
            <w:r>
              <w:rPr>
                <w:rFonts w:hint="eastAsia"/>
                <w:color w:val="auto"/>
                <w:sz w:val="24"/>
              </w:rPr>
              <w:t>，废气经集气</w:t>
            </w:r>
            <w:r>
              <w:rPr>
                <w:rFonts w:hint="eastAsia"/>
                <w:color w:val="auto"/>
                <w:sz w:val="24"/>
                <w:lang w:val="en-US" w:eastAsia="zh-CN"/>
              </w:rPr>
              <w:t>管道引入</w:t>
            </w:r>
            <w:r>
              <w:rPr>
                <w:rFonts w:hint="eastAsia"/>
                <w:color w:val="auto"/>
                <w:sz w:val="24"/>
                <w:highlight w:val="none"/>
                <w:lang w:val="en-US" w:eastAsia="zh-CN"/>
              </w:rPr>
              <w:t>1台</w:t>
            </w:r>
            <w:r>
              <w:rPr>
                <w:rFonts w:hint="eastAsia"/>
                <w:color w:val="auto"/>
                <w:sz w:val="24"/>
                <w:highlight w:val="none"/>
              </w:rPr>
              <w:t>布袋除尘器</w:t>
            </w:r>
            <w:r>
              <w:rPr>
                <w:rFonts w:hint="eastAsia"/>
                <w:color w:val="auto"/>
                <w:sz w:val="24"/>
                <w:highlight w:val="none"/>
                <w:lang w:eastAsia="zh-CN"/>
              </w:rPr>
              <w:t>（</w:t>
            </w:r>
            <w:r>
              <w:rPr>
                <w:rFonts w:hint="eastAsia"/>
                <w:color w:val="auto"/>
                <w:sz w:val="24"/>
                <w:highlight w:val="none"/>
                <w:lang w:val="en-US" w:eastAsia="zh-CN"/>
              </w:rPr>
              <w:t>TA002</w:t>
            </w:r>
            <w:r>
              <w:rPr>
                <w:rFonts w:hint="eastAsia"/>
                <w:color w:val="auto"/>
                <w:sz w:val="24"/>
                <w:highlight w:val="none"/>
                <w:lang w:eastAsia="zh-CN"/>
              </w:rPr>
              <w:t>）</w:t>
            </w:r>
            <w:r>
              <w:rPr>
                <w:rFonts w:hint="eastAsia"/>
                <w:color w:val="auto"/>
                <w:sz w:val="24"/>
              </w:rPr>
              <w:t>处理</w:t>
            </w:r>
            <w:r>
              <w:rPr>
                <w:rFonts w:hint="eastAsia"/>
                <w:color w:val="auto"/>
                <w:sz w:val="24"/>
                <w:lang w:val="en-US" w:eastAsia="zh-CN"/>
              </w:rPr>
              <w:t>后</w:t>
            </w:r>
            <w:r>
              <w:rPr>
                <w:rFonts w:hint="eastAsia"/>
                <w:color w:val="auto"/>
                <w:sz w:val="24"/>
              </w:rPr>
              <w:t>，</w:t>
            </w:r>
            <w:r>
              <w:rPr>
                <w:rFonts w:hint="eastAsia"/>
                <w:color w:val="auto"/>
                <w:sz w:val="24"/>
                <w:lang w:val="en-US" w:eastAsia="zh-CN"/>
              </w:rPr>
              <w:t>由</w:t>
            </w:r>
            <w:r>
              <w:rPr>
                <w:rFonts w:hint="default"/>
                <w:color w:val="auto"/>
                <w:sz w:val="24"/>
              </w:rPr>
              <w:t>1根15m高排气筒（</w:t>
            </w:r>
            <w:r>
              <w:rPr>
                <w:rFonts w:hint="eastAsia"/>
                <w:color w:val="auto"/>
                <w:sz w:val="24"/>
              </w:rPr>
              <w:t>D</w:t>
            </w:r>
            <w:r>
              <w:rPr>
                <w:rFonts w:hint="default"/>
                <w:color w:val="auto"/>
                <w:sz w:val="24"/>
              </w:rPr>
              <w:t>A00</w:t>
            </w:r>
            <w:r>
              <w:rPr>
                <w:rFonts w:hint="eastAsia"/>
                <w:color w:val="auto"/>
                <w:sz w:val="24"/>
                <w:lang w:val="en-US" w:eastAsia="zh-CN"/>
              </w:rPr>
              <w:t>2</w:t>
            </w:r>
            <w:r>
              <w:rPr>
                <w:rFonts w:hint="default"/>
                <w:color w:val="auto"/>
                <w:sz w:val="24"/>
              </w:rPr>
              <w:t>）排放。</w:t>
            </w:r>
          </w:p>
          <w:p w14:paraId="458EBA6C">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color w:val="auto"/>
                <w:sz w:val="24"/>
                <w:lang w:val="en-US" w:eastAsia="zh-CN"/>
              </w:rPr>
            </w:pPr>
            <w:r>
              <w:rPr>
                <w:rFonts w:hint="eastAsia" w:cs="Times New Roman"/>
                <w:snapToGrid w:val="0"/>
                <w:color w:val="auto"/>
                <w:sz w:val="24"/>
                <w:szCs w:val="20"/>
                <w:highlight w:val="none"/>
                <w:lang w:val="en-US" w:eastAsia="zh-CN"/>
              </w:rPr>
              <w:t>根据建设单位提供的资料，</w:t>
            </w:r>
            <w:r>
              <w:rPr>
                <w:rFonts w:hint="eastAsia" w:cs="Times New Roman"/>
                <w:color w:val="auto"/>
                <w:sz w:val="24"/>
                <w:highlight w:val="none"/>
                <w:lang w:val="en-US" w:eastAsia="zh-CN"/>
              </w:rPr>
              <w:t>锤式制砂机</w:t>
            </w:r>
            <w:r>
              <w:rPr>
                <w:rFonts w:hint="eastAsia"/>
                <w:color w:val="auto"/>
                <w:sz w:val="24"/>
                <w:lang w:val="en-US" w:eastAsia="zh-CN"/>
              </w:rPr>
              <w:t>所需风量为5000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/h。</w:t>
            </w:r>
          </w:p>
          <w:p w14:paraId="7210C947">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振动筛</w:t>
            </w:r>
            <w:r>
              <w:rPr>
                <w:rFonts w:hint="eastAsia"/>
                <w:color w:val="auto"/>
                <w:sz w:val="24"/>
                <w:lang w:val="en-US" w:eastAsia="zh-CN"/>
              </w:rPr>
              <w:t>的有效</w:t>
            </w:r>
            <w:r>
              <w:rPr>
                <w:rFonts w:hint="eastAsia" w:ascii="Times New Roman" w:hAnsi="Times New Roman"/>
                <w:color w:val="auto"/>
                <w:sz w:val="24"/>
                <w:lang w:val="en-US" w:eastAsia="zh-CN"/>
              </w:rPr>
              <w:t>筛面面积</w:t>
            </w:r>
            <w:r>
              <w:rPr>
                <w:rFonts w:hint="eastAsia"/>
                <w:color w:val="auto"/>
                <w:sz w:val="24"/>
                <w:lang w:val="en-US" w:eastAsia="zh-CN"/>
              </w:rPr>
              <w:t>约21</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2</w:t>
            </w:r>
            <w:r>
              <w:rPr>
                <w:rFonts w:hint="eastAsia" w:ascii="Times New Roman" w:hAnsi="Times New Roman"/>
                <w:color w:val="auto"/>
                <w:sz w:val="24"/>
                <w:lang w:val="en-US" w:eastAsia="zh-CN"/>
              </w:rPr>
              <w:t>，振动筛分机接风管，依据《钢铁采暖通风设计手册》振动筛上部除尘排风量根据给料高度、密闭状况、物料性质和筛子规格等因素，按每平方米筛面面积排风量800m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/h计，安全系数（设计风量通常不小于计算风量的1.2倍，本次取1.2）</w:t>
            </w:r>
            <w:r>
              <w:rPr>
                <w:rFonts w:hint="eastAsia"/>
                <w:color w:val="auto"/>
                <w:sz w:val="24"/>
                <w:lang w:val="en-US" w:eastAsia="zh-CN"/>
              </w:rPr>
              <w:t>，</w:t>
            </w:r>
            <w:r>
              <w:rPr>
                <w:rFonts w:hint="eastAsia" w:ascii="Times New Roman" w:hAnsi="Times New Roman"/>
                <w:color w:val="auto"/>
                <w:sz w:val="24"/>
                <w:lang w:val="en-US" w:eastAsia="zh-CN"/>
              </w:rPr>
              <w:t>则筛分工序设计所需风量为</w:t>
            </w:r>
            <w:r>
              <w:rPr>
                <w:rFonts w:hint="eastAsia"/>
                <w:color w:val="auto"/>
                <w:sz w:val="24"/>
                <w:lang w:val="en-US" w:eastAsia="zh-CN"/>
              </w:rPr>
              <w:t>21</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2</w:t>
            </w:r>
            <w:r>
              <w:rPr>
                <w:rFonts w:hint="eastAsia" w:ascii="Times New Roman" w:hAnsi="Times New Roman"/>
                <w:color w:val="auto"/>
                <w:sz w:val="24"/>
                <w:lang w:val="en-US" w:eastAsia="zh-CN"/>
              </w:rPr>
              <w:t>×800m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/h×1.2=</w:t>
            </w:r>
            <w:r>
              <w:rPr>
                <w:rFonts w:hint="eastAsia"/>
                <w:color w:val="auto"/>
                <w:sz w:val="24"/>
                <w:lang w:val="en-US" w:eastAsia="zh-CN"/>
              </w:rPr>
              <w:t>20160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/h。</w:t>
            </w:r>
          </w:p>
          <w:p w14:paraId="24F51AF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rPr>
            </w:pPr>
            <w:r>
              <w:rPr>
                <w:rFonts w:hint="eastAsia"/>
                <w:color w:val="auto"/>
                <w:sz w:val="24"/>
              </w:rPr>
              <w:t>经计算，</w:t>
            </w:r>
            <w:r>
              <w:rPr>
                <w:rFonts w:hint="eastAsia"/>
                <w:color w:val="auto"/>
                <w:sz w:val="24"/>
                <w:lang w:val="en-US" w:eastAsia="zh-CN"/>
              </w:rPr>
              <w:t>制砂、筛分工序</w:t>
            </w:r>
            <w:r>
              <w:rPr>
                <w:rFonts w:hint="eastAsia"/>
                <w:color w:val="auto"/>
                <w:sz w:val="24"/>
              </w:rPr>
              <w:t>需配套的风量见下表4</w:t>
            </w:r>
            <w:r>
              <w:rPr>
                <w:rFonts w:hint="default"/>
                <w:color w:val="auto"/>
                <w:sz w:val="24"/>
              </w:rPr>
              <w:t>-</w:t>
            </w:r>
            <w:r>
              <w:rPr>
                <w:rFonts w:hint="eastAsia"/>
                <w:color w:val="auto"/>
                <w:sz w:val="24"/>
                <w:lang w:val="en-US" w:eastAsia="zh-CN"/>
              </w:rPr>
              <w:t>4</w:t>
            </w:r>
            <w:r>
              <w:rPr>
                <w:rFonts w:hint="eastAsia"/>
                <w:color w:val="auto"/>
                <w:sz w:val="24"/>
              </w:rPr>
              <w:t>。</w:t>
            </w:r>
          </w:p>
          <w:p w14:paraId="35EC2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z w:val="21"/>
                <w:szCs w:val="16"/>
                <w:highlight w:val="none"/>
                <w:lang w:val="en-US" w:eastAsia="zh-CN"/>
              </w:rPr>
            </w:pPr>
            <w:r>
              <w:rPr>
                <w:rFonts w:hint="eastAsia" w:ascii="Times New Roman" w:hAnsi="Times New Roman" w:eastAsia="宋体" w:cs="Times New Roman"/>
                <w:b/>
                <w:bCs w:val="0"/>
                <w:color w:val="auto"/>
                <w:sz w:val="21"/>
                <w:szCs w:val="16"/>
                <w:highlight w:val="none"/>
                <w:lang w:val="en-US" w:eastAsia="zh-CN"/>
              </w:rPr>
              <w:t>表4-4</w:t>
            </w:r>
            <w:r>
              <w:rPr>
                <w:rFonts w:hint="default" w:ascii="Times New Roman" w:hAnsi="Times New Roman" w:eastAsia="宋体" w:cs="Times New Roman"/>
                <w:b/>
                <w:bCs w:val="0"/>
                <w:color w:val="auto"/>
                <w:sz w:val="21"/>
                <w:szCs w:val="16"/>
                <w:highlight w:val="none"/>
                <w:lang w:val="en-US" w:eastAsia="zh-CN"/>
              </w:rPr>
              <w:t xml:space="preserve"> </w:t>
            </w:r>
            <w:r>
              <w:rPr>
                <w:rFonts w:hint="eastAsia" w:ascii="Times New Roman" w:hAnsi="Times New Roman" w:eastAsia="宋体" w:cs="Times New Roman"/>
                <w:b/>
                <w:bCs w:val="0"/>
                <w:color w:val="auto"/>
                <w:sz w:val="21"/>
                <w:szCs w:val="16"/>
                <w:highlight w:val="none"/>
                <w:lang w:val="en-US" w:eastAsia="zh-CN"/>
              </w:rPr>
              <w:t xml:space="preserve"> 该工序需配套的风量一览表</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2027"/>
              <w:gridCol w:w="1995"/>
              <w:gridCol w:w="1764"/>
            </w:tblGrid>
            <w:tr w14:paraId="2392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76581BBC">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auto"/>
                      <w:szCs w:val="21"/>
                      <w:lang w:val="en-US" w:eastAsia="zh-CN"/>
                    </w:rPr>
                  </w:pPr>
                  <w:r>
                    <w:rPr>
                      <w:rFonts w:hint="default"/>
                      <w:b/>
                      <w:bCs/>
                      <w:color w:val="auto"/>
                      <w:szCs w:val="21"/>
                    </w:rPr>
                    <w:t>设备名称</w:t>
                  </w:r>
                </w:p>
              </w:tc>
              <w:tc>
                <w:tcPr>
                  <w:tcW w:w="1258" w:type="pct"/>
                  <w:tcBorders>
                    <w:tl2br w:val="nil"/>
                    <w:tr2bl w:val="nil"/>
                  </w:tcBorders>
                  <w:noWrap w:val="0"/>
                  <w:vAlign w:val="center"/>
                </w:tcPr>
                <w:p w14:paraId="5E1FC1A3">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eastAsia"/>
                      <w:b/>
                      <w:bCs/>
                      <w:color w:val="auto"/>
                      <w:szCs w:val="21"/>
                      <w:lang w:val="en-US" w:eastAsia="zh-CN"/>
                    </w:rPr>
                    <w:t>所需</w:t>
                  </w:r>
                  <w:r>
                    <w:rPr>
                      <w:rFonts w:hint="default"/>
                      <w:b/>
                      <w:bCs/>
                      <w:color w:val="auto"/>
                      <w:szCs w:val="21"/>
                    </w:rPr>
                    <w:t>风量（m</w:t>
                  </w:r>
                  <w:r>
                    <w:rPr>
                      <w:rFonts w:hint="default"/>
                      <w:b/>
                      <w:bCs/>
                      <w:color w:val="auto"/>
                      <w:szCs w:val="21"/>
                      <w:vertAlign w:val="superscript"/>
                    </w:rPr>
                    <w:t>3</w:t>
                  </w:r>
                  <w:r>
                    <w:rPr>
                      <w:rFonts w:hint="default"/>
                      <w:b/>
                      <w:bCs/>
                      <w:color w:val="auto"/>
                      <w:szCs w:val="21"/>
                    </w:rPr>
                    <w:t>/h）</w:t>
                  </w:r>
                </w:p>
              </w:tc>
              <w:tc>
                <w:tcPr>
                  <w:tcW w:w="1239" w:type="pct"/>
                  <w:tcBorders>
                    <w:tl2br w:val="nil"/>
                    <w:tr2bl w:val="nil"/>
                  </w:tcBorders>
                  <w:noWrap w:val="0"/>
                  <w:vAlign w:val="center"/>
                </w:tcPr>
                <w:p w14:paraId="513F33A9">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处理设备</w:t>
                  </w:r>
                </w:p>
              </w:tc>
              <w:tc>
                <w:tcPr>
                  <w:tcW w:w="1096" w:type="pct"/>
                  <w:tcBorders>
                    <w:tl2br w:val="nil"/>
                    <w:tr2bl w:val="nil"/>
                  </w:tcBorders>
                  <w:noWrap w:val="0"/>
                  <w:vAlign w:val="center"/>
                </w:tcPr>
                <w:p w14:paraId="0AE3DB5B">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rPr>
                  </w:pPr>
                  <w:r>
                    <w:rPr>
                      <w:rFonts w:hint="default"/>
                      <w:b/>
                      <w:bCs/>
                      <w:color w:val="auto"/>
                      <w:szCs w:val="21"/>
                    </w:rPr>
                    <w:t>排气筒编号</w:t>
                  </w:r>
                </w:p>
              </w:tc>
            </w:tr>
            <w:tr w14:paraId="5A58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4F53B16B">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 w:val="21"/>
                      <w:szCs w:val="21"/>
                    </w:rPr>
                  </w:pPr>
                  <w:r>
                    <w:rPr>
                      <w:rFonts w:hint="default"/>
                      <w:color w:val="auto"/>
                      <w:sz w:val="21"/>
                      <w:szCs w:val="21"/>
                      <w:lang w:val="en-US" w:eastAsia="zh-CN"/>
                    </w:rPr>
                    <w:t>锤式制砂机</w:t>
                  </w:r>
                </w:p>
              </w:tc>
              <w:tc>
                <w:tcPr>
                  <w:tcW w:w="1258" w:type="pct"/>
                  <w:tcBorders>
                    <w:tl2br w:val="nil"/>
                    <w:tr2bl w:val="nil"/>
                  </w:tcBorders>
                  <w:noWrap w:val="0"/>
                  <w:vAlign w:val="center"/>
                </w:tcPr>
                <w:p w14:paraId="494FB784">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lang w:val="en-US" w:eastAsia="zh-CN"/>
                    </w:rPr>
                  </w:pPr>
                  <w:r>
                    <w:rPr>
                      <w:rFonts w:hint="eastAsia"/>
                      <w:color w:val="auto"/>
                      <w:szCs w:val="21"/>
                      <w:lang w:val="en-US" w:eastAsia="zh-CN"/>
                    </w:rPr>
                    <w:t>5000</w:t>
                  </w:r>
                </w:p>
              </w:tc>
              <w:tc>
                <w:tcPr>
                  <w:tcW w:w="1239" w:type="pct"/>
                  <w:vMerge w:val="restart"/>
                  <w:tcBorders>
                    <w:tl2br w:val="nil"/>
                    <w:tr2bl w:val="nil"/>
                  </w:tcBorders>
                  <w:noWrap w:val="0"/>
                  <w:vAlign w:val="center"/>
                </w:tcPr>
                <w:p w14:paraId="2004FF66">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lang w:val="en-US" w:eastAsia="zh-CN"/>
                    </w:rPr>
                  </w:pPr>
                  <w:r>
                    <w:rPr>
                      <w:rFonts w:hint="default"/>
                      <w:color w:val="auto"/>
                      <w:szCs w:val="21"/>
                    </w:rPr>
                    <w:t>布袋除尘器</w:t>
                  </w:r>
                  <w:r>
                    <w:rPr>
                      <w:rFonts w:hint="eastAsia"/>
                      <w:color w:val="auto"/>
                      <w:szCs w:val="21"/>
                      <w:lang w:eastAsia="zh-CN"/>
                    </w:rPr>
                    <w:t>（</w:t>
                  </w:r>
                  <w:r>
                    <w:rPr>
                      <w:rFonts w:hint="eastAsia"/>
                      <w:color w:val="auto"/>
                      <w:szCs w:val="21"/>
                      <w:lang w:val="en-US" w:eastAsia="zh-CN"/>
                    </w:rPr>
                    <w:t>TA002</w:t>
                  </w:r>
                  <w:r>
                    <w:rPr>
                      <w:rFonts w:hint="eastAsia"/>
                      <w:color w:val="auto"/>
                      <w:szCs w:val="21"/>
                      <w:lang w:eastAsia="zh-CN"/>
                    </w:rPr>
                    <w:t>）</w:t>
                  </w:r>
                </w:p>
              </w:tc>
              <w:tc>
                <w:tcPr>
                  <w:tcW w:w="1096" w:type="pct"/>
                  <w:vMerge w:val="restart"/>
                  <w:tcBorders>
                    <w:tl2br w:val="nil"/>
                    <w:tr2bl w:val="nil"/>
                  </w:tcBorders>
                  <w:noWrap w:val="0"/>
                  <w:vAlign w:val="center"/>
                </w:tcPr>
                <w:p w14:paraId="05FEF36A">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lang w:eastAsia="zh-CN"/>
                    </w:rPr>
                  </w:pPr>
                  <w:r>
                    <w:rPr>
                      <w:rFonts w:hint="default"/>
                      <w:color w:val="auto"/>
                      <w:szCs w:val="21"/>
                    </w:rPr>
                    <w:t>DA00</w:t>
                  </w:r>
                  <w:r>
                    <w:rPr>
                      <w:rFonts w:hint="eastAsia"/>
                      <w:color w:val="auto"/>
                      <w:szCs w:val="21"/>
                      <w:lang w:val="en-US" w:eastAsia="zh-CN"/>
                    </w:rPr>
                    <w:t>2</w:t>
                  </w:r>
                </w:p>
              </w:tc>
            </w:tr>
            <w:tr w14:paraId="5B6F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128093AD">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 w:val="21"/>
                      <w:szCs w:val="21"/>
                    </w:rPr>
                  </w:pPr>
                  <w:r>
                    <w:rPr>
                      <w:rFonts w:hint="eastAsia" w:ascii="Times New Roman" w:hAnsi="Times New Roman"/>
                      <w:color w:val="auto"/>
                      <w:sz w:val="21"/>
                      <w:szCs w:val="21"/>
                      <w:lang w:val="en-US" w:eastAsia="zh-CN"/>
                    </w:rPr>
                    <w:t>振动筛</w:t>
                  </w:r>
                </w:p>
              </w:tc>
              <w:tc>
                <w:tcPr>
                  <w:tcW w:w="1258" w:type="pct"/>
                  <w:tcBorders>
                    <w:tl2br w:val="nil"/>
                    <w:tr2bl w:val="nil"/>
                  </w:tcBorders>
                  <w:noWrap w:val="0"/>
                  <w:vAlign w:val="center"/>
                </w:tcPr>
                <w:p w14:paraId="1029A27C">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lang w:val="en-US" w:eastAsia="zh-CN"/>
                    </w:rPr>
                  </w:pPr>
                  <w:r>
                    <w:rPr>
                      <w:rFonts w:hint="default" w:eastAsia="宋体"/>
                      <w:color w:val="auto"/>
                      <w:szCs w:val="21"/>
                      <w:lang w:val="en-US" w:eastAsia="zh-CN"/>
                    </w:rPr>
                    <w:t>20160</w:t>
                  </w:r>
                </w:p>
              </w:tc>
              <w:tc>
                <w:tcPr>
                  <w:tcW w:w="1239" w:type="pct"/>
                  <w:vMerge w:val="continue"/>
                  <w:tcBorders>
                    <w:tl2br w:val="nil"/>
                    <w:tr2bl w:val="nil"/>
                  </w:tcBorders>
                  <w:noWrap w:val="0"/>
                  <w:vAlign w:val="center"/>
                </w:tcPr>
                <w:p w14:paraId="74866A78">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c>
                <w:tcPr>
                  <w:tcW w:w="1096" w:type="pct"/>
                  <w:vMerge w:val="continue"/>
                  <w:tcBorders>
                    <w:tl2br w:val="nil"/>
                    <w:tr2bl w:val="nil"/>
                  </w:tcBorders>
                  <w:noWrap w:val="0"/>
                  <w:vAlign w:val="center"/>
                </w:tcPr>
                <w:p w14:paraId="29069CF8">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r>
            <w:tr w14:paraId="733F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14:paraId="3BAA8C60">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lang w:val="en-US" w:eastAsia="zh-CN"/>
                    </w:rPr>
                  </w:pPr>
                  <w:r>
                    <w:rPr>
                      <w:rFonts w:hint="eastAsia"/>
                      <w:color w:val="auto"/>
                      <w:szCs w:val="21"/>
                      <w:lang w:val="en-US" w:eastAsia="zh-CN"/>
                    </w:rPr>
                    <w:t>合计</w:t>
                  </w:r>
                </w:p>
              </w:tc>
              <w:tc>
                <w:tcPr>
                  <w:tcW w:w="1258" w:type="pct"/>
                  <w:tcBorders>
                    <w:tl2br w:val="nil"/>
                    <w:tr2bl w:val="nil"/>
                  </w:tcBorders>
                  <w:noWrap w:val="0"/>
                  <w:vAlign w:val="center"/>
                </w:tcPr>
                <w:p w14:paraId="3616FE13">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lang w:val="en-US" w:eastAsia="zh-CN"/>
                    </w:rPr>
                  </w:pPr>
                  <w:r>
                    <w:rPr>
                      <w:rFonts w:hint="eastAsia" w:ascii="Times New Roman" w:hAnsi="Times New Roman" w:eastAsia="宋体" w:cs="Times New Roman"/>
                      <w:color w:val="auto"/>
                      <w:szCs w:val="21"/>
                      <w:lang w:val="en-US" w:eastAsia="zh-CN"/>
                    </w:rPr>
                    <w:t>25160</w:t>
                  </w:r>
                </w:p>
              </w:tc>
              <w:tc>
                <w:tcPr>
                  <w:tcW w:w="1239" w:type="pct"/>
                  <w:vMerge w:val="continue"/>
                  <w:tcBorders>
                    <w:tl2br w:val="nil"/>
                    <w:tr2bl w:val="nil"/>
                  </w:tcBorders>
                  <w:noWrap w:val="0"/>
                  <w:vAlign w:val="center"/>
                </w:tcPr>
                <w:p w14:paraId="0438B19C">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c>
                <w:tcPr>
                  <w:tcW w:w="1096" w:type="pct"/>
                  <w:vMerge w:val="continue"/>
                  <w:tcBorders>
                    <w:tl2br w:val="nil"/>
                    <w:tr2bl w:val="nil"/>
                  </w:tcBorders>
                  <w:noWrap w:val="0"/>
                  <w:vAlign w:val="center"/>
                </w:tcPr>
                <w:p w14:paraId="18D02EEF">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rPr>
                  </w:pPr>
                </w:p>
              </w:tc>
            </w:tr>
          </w:tbl>
          <w:p w14:paraId="431E6FF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olor w:val="auto"/>
                <w:sz w:val="24"/>
              </w:rPr>
            </w:pPr>
            <w:r>
              <w:rPr>
                <w:rFonts w:hint="eastAsia" w:ascii="Times New Roman" w:hAnsi="Times New Roman" w:eastAsia="宋体" w:cs="Times New Roman"/>
                <w:snapToGrid w:val="0"/>
                <w:color w:val="auto"/>
                <w:sz w:val="24"/>
                <w:szCs w:val="20"/>
                <w:highlight w:val="none"/>
                <w:lang w:val="en-US" w:eastAsia="zh-CN"/>
              </w:rPr>
              <w:t>经计算：</w:t>
            </w:r>
            <w:r>
              <w:rPr>
                <w:rFonts w:hint="eastAsia"/>
                <w:color w:val="auto"/>
                <w:sz w:val="24"/>
                <w:lang w:val="en-US" w:eastAsia="zh-CN"/>
              </w:rPr>
              <w:t>制砂、筛分工序</w:t>
            </w:r>
            <w:r>
              <w:rPr>
                <w:rFonts w:hint="eastAsia" w:cs="Times New Roman"/>
                <w:snapToGrid w:val="0"/>
                <w:color w:val="auto"/>
                <w:sz w:val="24"/>
                <w:szCs w:val="20"/>
                <w:highlight w:val="none"/>
                <w:lang w:val="en-US" w:eastAsia="zh-CN"/>
              </w:rPr>
              <w:t>所需</w:t>
            </w:r>
            <w:r>
              <w:rPr>
                <w:rFonts w:hint="eastAsia" w:ascii="Times New Roman" w:hAnsi="Times New Roman" w:eastAsia="宋体" w:cs="Times New Roman"/>
                <w:snapToGrid w:val="0"/>
                <w:color w:val="auto"/>
                <w:sz w:val="24"/>
                <w:szCs w:val="20"/>
                <w:highlight w:val="none"/>
                <w:lang w:val="en-US" w:eastAsia="zh-CN"/>
              </w:rPr>
              <w:t>风量为25160m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/h</w:t>
            </w:r>
            <w:r>
              <w:rPr>
                <w:rFonts w:hint="eastAsia" w:cs="Times New Roman"/>
                <w:snapToGrid w:val="0"/>
                <w:color w:val="auto"/>
                <w:sz w:val="24"/>
                <w:szCs w:val="20"/>
                <w:highlight w:val="none"/>
                <w:lang w:val="en-US" w:eastAsia="zh-CN"/>
              </w:rPr>
              <w:t>。</w:t>
            </w:r>
            <w:r>
              <w:rPr>
                <w:rFonts w:hint="eastAsia" w:ascii="Times New Roman" w:hAnsi="Times New Roman" w:eastAsia="宋体" w:cs="Times New Roman"/>
                <w:snapToGrid w:val="0"/>
                <w:color w:val="auto"/>
                <w:sz w:val="24"/>
                <w:szCs w:val="20"/>
                <w:highlight w:val="none"/>
                <w:lang w:val="en-US" w:eastAsia="zh-CN"/>
              </w:rPr>
              <w:t>布袋材质：覆膜（PTFE）涤纶针刺毡，过滤风速0.8m/min，过滤面积</w:t>
            </w:r>
            <w:r>
              <w:rPr>
                <w:rFonts w:hint="eastAsia" w:cs="Times New Roman"/>
                <w:snapToGrid w:val="0"/>
                <w:color w:val="auto"/>
                <w:sz w:val="24"/>
                <w:szCs w:val="20"/>
                <w:highlight w:val="none"/>
                <w:lang w:val="en-US" w:eastAsia="zh-CN"/>
              </w:rPr>
              <w:t>525</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2</w:t>
            </w:r>
            <w:r>
              <w:rPr>
                <w:rFonts w:hint="eastAsia" w:cs="Times New Roman"/>
                <w:snapToGrid w:val="0"/>
                <w:color w:val="auto"/>
                <w:sz w:val="24"/>
                <w:szCs w:val="20"/>
                <w:highlight w:val="none"/>
                <w:lang w:val="en-US" w:eastAsia="zh-CN"/>
              </w:rPr>
              <w:t>。</w:t>
            </w:r>
          </w:p>
          <w:p w14:paraId="66869B8F">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snapToGrid w:val="0"/>
                <w:color w:val="auto"/>
                <w:sz w:val="24"/>
                <w:szCs w:val="20"/>
                <w:highlight w:val="none"/>
                <w:lang w:val="en-US" w:eastAsia="zh-CN"/>
              </w:rPr>
              <w:t>锤式制砂机制砂</w:t>
            </w:r>
            <w:r>
              <w:rPr>
                <w:rFonts w:hint="eastAsia" w:ascii="Times New Roman" w:hAnsi="Times New Roman"/>
                <w:color w:val="auto"/>
                <w:sz w:val="24"/>
                <w:highlight w:val="none"/>
                <w:lang w:val="en-US" w:eastAsia="zh-CN"/>
              </w:rPr>
              <w:t>粉尘</w:t>
            </w:r>
            <w:r>
              <w:rPr>
                <w:rFonts w:hint="default" w:ascii="Times New Roman" w:hAnsi="Times New Roman"/>
                <w:color w:val="auto"/>
                <w:sz w:val="24"/>
                <w:highlight w:val="none"/>
                <w:lang w:eastAsia="zh-CN"/>
              </w:rPr>
              <w:t>参照《逸散性工业粉尘控制技术》，</w:t>
            </w:r>
            <w:r>
              <w:rPr>
                <w:rFonts w:hint="eastAsia" w:ascii="Times New Roman" w:hAnsi="Times New Roman"/>
                <w:color w:val="auto"/>
                <w:sz w:val="24"/>
                <w:highlight w:val="none"/>
                <w:lang w:val="en-US" w:eastAsia="zh-CN"/>
              </w:rPr>
              <w:t>制砂工序</w:t>
            </w:r>
            <w:r>
              <w:rPr>
                <w:rFonts w:hint="default" w:ascii="Times New Roman" w:hAnsi="Times New Roman"/>
                <w:color w:val="auto"/>
                <w:sz w:val="24"/>
                <w:highlight w:val="none"/>
                <w:lang w:eastAsia="zh-CN"/>
              </w:rPr>
              <w:t>产尘系数为0.2kg/t，</w:t>
            </w:r>
            <w:r>
              <w:rPr>
                <w:rFonts w:hint="eastAsia"/>
                <w:color w:val="auto"/>
                <w:sz w:val="24"/>
                <w:highlight w:val="none"/>
                <w:lang w:val="en-US" w:eastAsia="zh-CN"/>
              </w:rPr>
              <w:t>锤式制砂机</w:t>
            </w:r>
            <w:r>
              <w:rPr>
                <w:rFonts w:hint="default" w:ascii="Times New Roman" w:hAnsi="Times New Roman"/>
                <w:color w:val="auto"/>
                <w:sz w:val="24"/>
                <w:highlight w:val="none"/>
                <w:lang w:eastAsia="zh-CN"/>
              </w:rPr>
              <w:t>进料量</w:t>
            </w:r>
            <w:r>
              <w:rPr>
                <w:rFonts w:hint="eastAsia"/>
                <w:color w:val="auto"/>
                <w:sz w:val="24"/>
                <w:highlight w:val="none"/>
                <w:lang w:val="en-US" w:eastAsia="zh-CN"/>
              </w:rPr>
              <w:t>为33</w:t>
            </w:r>
            <w:r>
              <w:rPr>
                <w:rFonts w:hint="default" w:ascii="Times New Roman" w:hAnsi="Times New Roman"/>
                <w:color w:val="auto"/>
                <w:sz w:val="24"/>
                <w:highlight w:val="none"/>
                <w:lang w:eastAsia="zh-CN"/>
              </w:rPr>
              <w:t>万t/a</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考虑10%返料</w:t>
            </w:r>
            <w:r>
              <w:rPr>
                <w:rFonts w:hint="eastAsia" w:ascii="Times New Roman" w:hAnsi="Times New Roman"/>
                <w:color w:val="auto"/>
                <w:sz w:val="24"/>
                <w:highlight w:val="none"/>
                <w:lang w:eastAsia="zh-CN"/>
              </w:rPr>
              <w:t>）</w:t>
            </w:r>
            <w:r>
              <w:rPr>
                <w:rFonts w:hint="default" w:ascii="Times New Roman" w:hAnsi="Times New Roman"/>
                <w:color w:val="auto"/>
                <w:sz w:val="24"/>
                <w:highlight w:val="none"/>
                <w:lang w:eastAsia="zh-CN"/>
              </w:rPr>
              <w:t>，</w:t>
            </w:r>
            <w:r>
              <w:rPr>
                <w:rFonts w:hint="eastAsia"/>
                <w:color w:val="auto"/>
                <w:sz w:val="24"/>
                <w:highlight w:val="none"/>
                <w:lang w:val="en-US" w:eastAsia="zh-CN"/>
              </w:rPr>
              <w:t>年工作5280h，</w:t>
            </w:r>
            <w:r>
              <w:rPr>
                <w:rFonts w:hint="default" w:ascii="Times New Roman" w:hAnsi="Times New Roman"/>
                <w:color w:val="auto"/>
                <w:sz w:val="24"/>
                <w:lang w:eastAsia="zh-CN"/>
              </w:rPr>
              <w:t>则</w:t>
            </w:r>
            <w:r>
              <w:rPr>
                <w:rFonts w:hint="eastAsia"/>
                <w:color w:val="auto"/>
                <w:sz w:val="24"/>
                <w:lang w:val="en-US" w:eastAsia="zh-CN"/>
              </w:rPr>
              <w:t>制砂工序</w:t>
            </w:r>
            <w:r>
              <w:rPr>
                <w:rFonts w:hint="default" w:ascii="Times New Roman" w:hAnsi="Times New Roman"/>
                <w:color w:val="auto"/>
                <w:sz w:val="24"/>
                <w:lang w:eastAsia="zh-CN"/>
              </w:rPr>
              <w:t>粉尘产生量为</w:t>
            </w:r>
            <w:r>
              <w:rPr>
                <w:rFonts w:hint="eastAsia"/>
                <w:color w:val="auto"/>
                <w:sz w:val="24"/>
                <w:lang w:val="en-US" w:eastAsia="zh-CN"/>
              </w:rPr>
              <w:t>66</w:t>
            </w:r>
            <w:r>
              <w:rPr>
                <w:rFonts w:hint="default" w:ascii="Times New Roman" w:hAnsi="Times New Roman"/>
                <w:color w:val="auto"/>
                <w:sz w:val="24"/>
                <w:lang w:eastAsia="zh-CN"/>
              </w:rPr>
              <w:t>t/a</w:t>
            </w:r>
            <w:r>
              <w:rPr>
                <w:rFonts w:hint="eastAsia" w:ascii="Times New Roman" w:hAnsi="Times New Roman"/>
                <w:color w:val="auto"/>
                <w:sz w:val="24"/>
                <w:lang w:eastAsia="zh-CN"/>
              </w:rPr>
              <w:t>，</w:t>
            </w:r>
            <w:r>
              <w:rPr>
                <w:rFonts w:hint="eastAsia" w:ascii="Times New Roman" w:hAnsi="Times New Roman"/>
                <w:color w:val="auto"/>
                <w:sz w:val="24"/>
                <w:lang w:val="en-US" w:eastAsia="zh-CN"/>
              </w:rPr>
              <w:t>产生速率</w:t>
            </w:r>
            <w:r>
              <w:rPr>
                <w:rFonts w:hint="eastAsia"/>
                <w:color w:val="auto"/>
                <w:sz w:val="24"/>
                <w:lang w:val="en-US" w:eastAsia="zh-CN"/>
              </w:rPr>
              <w:t>12.5</w:t>
            </w:r>
            <w:r>
              <w:rPr>
                <w:rFonts w:hint="default" w:ascii="Times New Roman" w:hAnsi="Times New Roman" w:cs="Times New Roman"/>
                <w:color w:val="auto"/>
                <w:sz w:val="24"/>
                <w:szCs w:val="24"/>
                <w:highlight w:val="none"/>
                <w:lang w:val="en-US" w:eastAsia="zh-CN"/>
              </w:rPr>
              <w:t>kg/h</w:t>
            </w:r>
            <w:r>
              <w:rPr>
                <w:rFonts w:hint="default" w:ascii="Times New Roman" w:hAnsi="Times New Roman" w:cs="Times New Roman"/>
                <w:color w:val="auto"/>
                <w:sz w:val="24"/>
                <w:szCs w:val="24"/>
                <w:highlight w:val="none"/>
                <w:vertAlign w:val="baseline"/>
                <w:lang w:val="en-US" w:eastAsia="zh-CN"/>
              </w:rPr>
              <w:t>。</w:t>
            </w:r>
          </w:p>
          <w:p w14:paraId="2B2B719A">
            <w:pPr>
              <w:pStyle w:val="5"/>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olor w:val="auto"/>
                <w:sz w:val="24"/>
                <w:lang w:val="en-US" w:eastAsia="zh-CN"/>
              </w:rPr>
              <w:t>振动筛筛分粉尘参照</w:t>
            </w:r>
            <w:r>
              <w:rPr>
                <w:rFonts w:hint="default" w:ascii="Times New Roman" w:hAnsi="Times New Roman"/>
                <w:color w:val="auto"/>
                <w:sz w:val="24"/>
                <w:lang w:eastAsia="zh-CN"/>
              </w:rPr>
              <w:t>《逸散性工业粉尘控制技术》，筛分工段产尘系数为0.2kg/t，筛分工段进料量</w:t>
            </w:r>
            <w:r>
              <w:rPr>
                <w:rFonts w:hint="eastAsia"/>
                <w:color w:val="auto"/>
                <w:sz w:val="24"/>
                <w:lang w:val="en-US" w:eastAsia="zh-CN"/>
              </w:rPr>
              <w:t>为</w:t>
            </w:r>
            <w:r>
              <w:rPr>
                <w:rFonts w:hint="eastAsia"/>
                <w:color w:val="auto"/>
                <w:sz w:val="24"/>
                <w:highlight w:val="none"/>
                <w:lang w:val="en-US" w:eastAsia="zh-CN"/>
              </w:rPr>
              <w:t>33</w:t>
            </w:r>
            <w:r>
              <w:rPr>
                <w:rFonts w:hint="default" w:ascii="Times New Roman" w:hAnsi="Times New Roman"/>
                <w:color w:val="auto"/>
                <w:sz w:val="24"/>
                <w:highlight w:val="none"/>
                <w:lang w:eastAsia="zh-CN"/>
              </w:rPr>
              <w:t>万t/a</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考虑10%返料</w:t>
            </w:r>
            <w:r>
              <w:rPr>
                <w:rFonts w:hint="eastAsia" w:ascii="Times New Roman" w:hAnsi="Times New Roman"/>
                <w:color w:val="auto"/>
                <w:sz w:val="24"/>
                <w:highlight w:val="none"/>
                <w:lang w:eastAsia="zh-CN"/>
              </w:rPr>
              <w:t>）</w:t>
            </w:r>
            <w:r>
              <w:rPr>
                <w:rFonts w:hint="default" w:ascii="Times New Roman" w:hAnsi="Times New Roman"/>
                <w:color w:val="auto"/>
                <w:sz w:val="24"/>
                <w:lang w:eastAsia="zh-CN"/>
              </w:rPr>
              <w:t>，则筛分</w:t>
            </w:r>
            <w:r>
              <w:rPr>
                <w:rFonts w:hint="eastAsia"/>
                <w:color w:val="auto"/>
                <w:sz w:val="24"/>
                <w:lang w:val="en-US" w:eastAsia="zh-CN"/>
              </w:rPr>
              <w:t>工序</w:t>
            </w:r>
            <w:r>
              <w:rPr>
                <w:rFonts w:hint="default" w:ascii="Times New Roman" w:hAnsi="Times New Roman"/>
                <w:color w:val="auto"/>
                <w:sz w:val="24"/>
                <w:lang w:eastAsia="zh-CN"/>
              </w:rPr>
              <w:t>粉尘产生量为</w:t>
            </w:r>
            <w:r>
              <w:rPr>
                <w:rFonts w:hint="eastAsia"/>
                <w:color w:val="auto"/>
                <w:sz w:val="24"/>
                <w:lang w:val="en-US" w:eastAsia="zh-CN"/>
              </w:rPr>
              <w:t>66</w:t>
            </w:r>
            <w:r>
              <w:rPr>
                <w:rFonts w:hint="default" w:ascii="Times New Roman" w:hAnsi="Times New Roman"/>
                <w:color w:val="auto"/>
                <w:sz w:val="24"/>
                <w:lang w:eastAsia="zh-CN"/>
              </w:rPr>
              <w:t>t/a</w:t>
            </w:r>
            <w:r>
              <w:rPr>
                <w:rFonts w:hint="eastAsia" w:ascii="Times New Roman" w:hAnsi="Times New Roman"/>
                <w:color w:val="auto"/>
                <w:sz w:val="24"/>
                <w:lang w:eastAsia="zh-CN"/>
              </w:rPr>
              <w:t>，</w:t>
            </w:r>
            <w:r>
              <w:rPr>
                <w:rFonts w:hint="eastAsia" w:ascii="Times New Roman" w:hAnsi="Times New Roman"/>
                <w:color w:val="auto"/>
                <w:sz w:val="24"/>
                <w:lang w:val="en-US" w:eastAsia="zh-CN"/>
              </w:rPr>
              <w:t>产生速率</w:t>
            </w:r>
            <w:r>
              <w:rPr>
                <w:rFonts w:hint="eastAsia"/>
                <w:color w:val="auto"/>
                <w:sz w:val="24"/>
                <w:lang w:val="en-US" w:eastAsia="zh-CN"/>
              </w:rPr>
              <w:t>12.5</w:t>
            </w:r>
            <w:r>
              <w:rPr>
                <w:rFonts w:hint="default" w:ascii="Times New Roman" w:hAnsi="Times New Roman" w:cs="Times New Roman"/>
                <w:color w:val="auto"/>
                <w:sz w:val="24"/>
                <w:szCs w:val="24"/>
                <w:highlight w:val="none"/>
                <w:lang w:val="en-US" w:eastAsia="zh-CN"/>
              </w:rPr>
              <w:t>kg/h</w:t>
            </w:r>
            <w:r>
              <w:rPr>
                <w:rFonts w:hint="default" w:ascii="Times New Roman" w:hAnsi="Times New Roman" w:cs="Times New Roman"/>
                <w:color w:val="auto"/>
                <w:sz w:val="24"/>
                <w:szCs w:val="24"/>
                <w:highlight w:val="none"/>
                <w:vertAlign w:val="baseline"/>
                <w:lang w:val="en-US" w:eastAsia="zh-CN"/>
              </w:rPr>
              <w:t>。</w:t>
            </w:r>
          </w:p>
          <w:p w14:paraId="199A7B09">
            <w:pPr>
              <w:pStyle w:val="5"/>
              <w:keepNext w:val="0"/>
              <w:keepLines w:val="0"/>
              <w:suppressLineNumbers w:val="0"/>
              <w:spacing w:before="0" w:beforeAutospacing="0" w:after="0" w:afterAutospacing="0" w:line="480" w:lineRule="exact"/>
              <w:ind w:left="0" w:right="0" w:firstLine="480"/>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则总产生浓度为25</w:t>
            </w:r>
            <w:r>
              <w:rPr>
                <w:rFonts w:hint="default"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，产生浓度为</w:t>
            </w:r>
            <w:r>
              <w:rPr>
                <w:rFonts w:hint="eastAsia" w:cs="Times New Roman"/>
                <w:color w:val="auto"/>
                <w:sz w:val="24"/>
                <w:szCs w:val="24"/>
                <w:highlight w:val="none"/>
                <w:vertAlign w:val="baseline"/>
                <w:lang w:val="en-US" w:eastAsia="zh-CN"/>
              </w:rPr>
              <w:t>994</w:t>
            </w:r>
            <w:r>
              <w:rPr>
                <w:rFonts w:hint="default" w:ascii="Times New Roman" w:hAnsi="Times New Roman" w:eastAsia="宋体" w:cs="Times New Roman"/>
                <w:color w:val="auto"/>
                <w:spacing w:val="0"/>
                <w:position w:val="0"/>
                <w:sz w:val="24"/>
                <w:highlight w:val="none"/>
                <w:lang w:val="en-US" w:eastAsia="zh-CN"/>
              </w:rPr>
              <w:t>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eastAsia" w:cs="Times New Roman"/>
                <w:color w:val="auto"/>
                <w:spacing w:val="0"/>
                <w:position w:val="0"/>
                <w:sz w:val="24"/>
                <w:highlight w:val="none"/>
                <w:vertAlign w:val="baseline"/>
                <w:lang w:val="en-US" w:eastAsia="zh-CN"/>
              </w:rPr>
              <w:t>。</w:t>
            </w:r>
          </w:p>
          <w:p w14:paraId="471B2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olor w:val="auto"/>
                <w:lang w:val="en-US" w:eastAsia="zh-CN"/>
              </w:rPr>
            </w:pPr>
            <w:r>
              <w:rPr>
                <w:rFonts w:hint="eastAsia" w:ascii="Times New Roman" w:hAnsi="Times New Roman" w:eastAsia="宋体" w:cs="Times New Roman"/>
                <w:color w:val="auto"/>
                <w:spacing w:val="0"/>
                <w:position w:val="0"/>
                <w:sz w:val="24"/>
                <w:highlight w:val="none"/>
                <w:lang w:val="en-US" w:eastAsia="zh-CN"/>
              </w:rPr>
              <w:t>有组织颗粒物</w:t>
            </w:r>
            <w:r>
              <w:rPr>
                <w:rFonts w:hint="default" w:ascii="Times New Roman" w:hAnsi="Times New Roman" w:eastAsia="宋体" w:cs="Times New Roman"/>
                <w:color w:val="auto"/>
                <w:spacing w:val="0"/>
                <w:position w:val="0"/>
                <w:sz w:val="24"/>
                <w:highlight w:val="none"/>
              </w:rPr>
              <w:t>排放浓度</w:t>
            </w:r>
            <w:r>
              <w:rPr>
                <w:rFonts w:hint="default" w:ascii="Times New Roman" w:hAnsi="Times New Roman" w:eastAsia="宋体" w:cs="Times New Roman"/>
                <w:color w:val="auto"/>
                <w:spacing w:val="0"/>
                <w:position w:val="0"/>
                <w:sz w:val="24"/>
                <w:highlight w:val="none"/>
                <w:lang w:val="en-US" w:eastAsia="zh-CN"/>
              </w:rPr>
              <w:t>执行《长治市大气污染防治工作领导组办公室文件关于印发长治市工业企业无组织排放治理实施方案的通知》（长气防办[2019]9号）特别排放限值要求（颗粒物≤10mg/m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default" w:ascii="Times New Roman" w:hAnsi="Times New Roman" w:eastAsia="宋体" w:cs="Times New Roman"/>
                <w:color w:val="auto"/>
                <w:spacing w:val="0"/>
                <w:position w:val="0"/>
                <w:sz w:val="24"/>
                <w:highlight w:val="none"/>
                <w:lang w:val="en-US" w:eastAsia="zh-CN"/>
              </w:rPr>
              <w:t>）</w:t>
            </w:r>
            <w:r>
              <w:rPr>
                <w:rFonts w:hint="eastAsia"/>
                <w:color w:val="auto"/>
                <w:spacing w:val="4"/>
                <w:sz w:val="24"/>
                <w:lang w:eastAsia="zh-CN"/>
              </w:rPr>
              <w:t>。</w:t>
            </w:r>
            <w:r>
              <w:rPr>
                <w:rFonts w:hint="default"/>
                <w:bCs/>
                <w:color w:val="auto"/>
                <w:sz w:val="24"/>
              </w:rPr>
              <w:t>有组织</w:t>
            </w:r>
            <w:r>
              <w:rPr>
                <w:rFonts w:hint="eastAsia"/>
                <w:bCs/>
                <w:color w:val="auto"/>
                <w:sz w:val="24"/>
                <w:lang w:val="en-US" w:eastAsia="zh-CN"/>
              </w:rPr>
              <w:t>颗粒物</w:t>
            </w:r>
            <w:r>
              <w:rPr>
                <w:rFonts w:hint="default"/>
                <w:bCs/>
                <w:color w:val="auto"/>
                <w:sz w:val="24"/>
              </w:rPr>
              <w:t>排放量：10mg/m</w:t>
            </w:r>
            <w:r>
              <w:rPr>
                <w:rFonts w:hint="default"/>
                <w:bCs/>
                <w:color w:val="auto"/>
                <w:sz w:val="24"/>
                <w:vertAlign w:val="superscript"/>
              </w:rPr>
              <w:t>3</w:t>
            </w:r>
            <w:r>
              <w:rPr>
                <w:rFonts w:hint="default"/>
                <w:bCs/>
                <w:color w:val="auto"/>
                <w:sz w:val="24"/>
              </w:rPr>
              <w:t>×</w:t>
            </w:r>
            <w:r>
              <w:rPr>
                <w:rFonts w:hint="eastAsia" w:ascii="Times New Roman" w:hAnsi="Times New Roman" w:eastAsia="宋体" w:cs="Times New Roman"/>
                <w:snapToGrid w:val="0"/>
                <w:color w:val="auto"/>
                <w:sz w:val="24"/>
                <w:szCs w:val="20"/>
                <w:highlight w:val="none"/>
                <w:lang w:val="en-US" w:eastAsia="zh-CN"/>
              </w:rPr>
              <w:t>25160</w:t>
            </w:r>
            <w:r>
              <w:rPr>
                <w:rFonts w:hint="default"/>
                <w:color w:val="auto"/>
                <w:sz w:val="24"/>
              </w:rPr>
              <w:t>m</w:t>
            </w:r>
            <w:r>
              <w:rPr>
                <w:rFonts w:hint="default"/>
                <w:color w:val="auto"/>
                <w:sz w:val="24"/>
                <w:vertAlign w:val="superscript"/>
              </w:rPr>
              <w:t>3</w:t>
            </w:r>
            <w:r>
              <w:rPr>
                <w:rFonts w:hint="default"/>
                <w:color w:val="auto"/>
                <w:sz w:val="24"/>
              </w:rPr>
              <w:t>/h</w:t>
            </w:r>
            <w:r>
              <w:rPr>
                <w:rFonts w:hint="default"/>
                <w:bCs/>
                <w:color w:val="auto"/>
                <w:sz w:val="24"/>
              </w:rPr>
              <w:t>×</w:t>
            </w:r>
            <w:r>
              <w:rPr>
                <w:rFonts w:hint="eastAsia"/>
                <w:bCs/>
                <w:color w:val="auto"/>
                <w:sz w:val="24"/>
                <w:lang w:val="en-US" w:eastAsia="zh-CN"/>
              </w:rPr>
              <w:t>5280h</w:t>
            </w:r>
            <w:r>
              <w:rPr>
                <w:rFonts w:hint="default"/>
                <w:bCs/>
                <w:color w:val="auto"/>
                <w:sz w:val="24"/>
              </w:rPr>
              <w:t>÷10</w:t>
            </w:r>
            <w:r>
              <w:rPr>
                <w:rFonts w:hint="default"/>
                <w:bCs/>
                <w:color w:val="auto"/>
                <w:sz w:val="24"/>
                <w:vertAlign w:val="superscript"/>
              </w:rPr>
              <w:t>9</w:t>
            </w:r>
            <w:r>
              <w:rPr>
                <w:rFonts w:hint="default"/>
                <w:bCs/>
                <w:color w:val="auto"/>
                <w:sz w:val="24"/>
              </w:rPr>
              <w:t>=</w:t>
            </w:r>
            <w:r>
              <w:rPr>
                <w:rFonts w:hint="eastAsia"/>
                <w:bCs/>
                <w:color w:val="auto"/>
                <w:sz w:val="24"/>
                <w:lang w:val="en-US" w:eastAsia="zh-CN"/>
              </w:rPr>
              <w:t>1.328</w:t>
            </w:r>
            <w:r>
              <w:rPr>
                <w:rFonts w:hint="default"/>
                <w:bCs/>
                <w:color w:val="auto"/>
                <w:sz w:val="24"/>
              </w:rPr>
              <w:t>t/a</w:t>
            </w:r>
            <w:r>
              <w:rPr>
                <w:rFonts w:hint="eastAsia"/>
                <w:bCs/>
                <w:color w:val="auto"/>
                <w:sz w:val="24"/>
                <w:lang w:eastAsia="zh-CN"/>
              </w:rPr>
              <w:t>，</w:t>
            </w:r>
            <w:r>
              <w:rPr>
                <w:rFonts w:hint="default"/>
                <w:color w:val="auto"/>
                <w:sz w:val="24"/>
              </w:rPr>
              <w:t>排放</w:t>
            </w:r>
            <w:r>
              <w:rPr>
                <w:rFonts w:hint="eastAsia"/>
                <w:color w:val="auto"/>
                <w:sz w:val="24"/>
                <w:lang w:val="en-US" w:eastAsia="zh-CN"/>
              </w:rPr>
              <w:t>速率</w:t>
            </w:r>
            <w:r>
              <w:rPr>
                <w:rFonts w:hint="default"/>
                <w:color w:val="auto"/>
                <w:sz w:val="24"/>
              </w:rPr>
              <w:t>为</w:t>
            </w:r>
            <w:r>
              <w:rPr>
                <w:rFonts w:hint="eastAsia"/>
                <w:color w:val="auto"/>
                <w:sz w:val="24"/>
                <w:lang w:val="en-US" w:eastAsia="zh-CN"/>
              </w:rPr>
              <w:t>0.25kg/h</w:t>
            </w:r>
            <w:r>
              <w:rPr>
                <w:rFonts w:hint="default"/>
                <w:color w:val="auto"/>
                <w:sz w:val="24"/>
              </w:rPr>
              <w:t>。</w:t>
            </w:r>
          </w:p>
          <w:p w14:paraId="2D327D15">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bCs/>
                <w:color w:val="auto"/>
                <w:sz w:val="24"/>
                <w:lang w:val="en-US" w:eastAsia="zh-CN"/>
              </w:rPr>
              <w:t>（5）</w:t>
            </w:r>
            <w:r>
              <w:rPr>
                <w:rFonts w:hint="default"/>
                <w:bCs/>
                <w:color w:val="auto"/>
                <w:sz w:val="24"/>
              </w:rPr>
              <w:t>皮带运输及衔接转载</w:t>
            </w:r>
            <w:r>
              <w:rPr>
                <w:rFonts w:hint="eastAsia"/>
                <w:bCs/>
                <w:color w:val="auto"/>
                <w:sz w:val="24"/>
                <w:lang w:val="en-US" w:eastAsia="zh-CN"/>
              </w:rPr>
              <w:t>废气</w:t>
            </w:r>
          </w:p>
          <w:p w14:paraId="6B6B3455">
            <w:pPr>
              <w:pStyle w:val="5"/>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lang w:eastAsia="zh-CN"/>
              </w:rPr>
            </w:pPr>
            <w:r>
              <w:rPr>
                <w:rFonts w:hint="default" w:ascii="Times New Roman" w:hAnsi="Times New Roman"/>
                <w:color w:val="auto"/>
                <w:sz w:val="24"/>
                <w:lang w:eastAsia="zh-CN"/>
              </w:rPr>
              <w:t>本项目生产过程中物料在各工段间输送转载主要通过皮带进行输送和转载，在物料输送过程中会产生一定量的粉尘</w:t>
            </w:r>
            <w:r>
              <w:rPr>
                <w:rFonts w:hint="eastAsia"/>
                <w:color w:val="auto"/>
                <w:sz w:val="24"/>
                <w:lang w:eastAsia="zh-CN"/>
              </w:rPr>
              <w:t>，</w:t>
            </w:r>
            <w:r>
              <w:rPr>
                <w:rFonts w:hint="eastAsia"/>
                <w:color w:val="auto"/>
                <w:sz w:val="24"/>
                <w:lang w:val="en-US" w:eastAsia="zh-CN"/>
              </w:rPr>
              <w:t>皮带输送机为全封闭式，且均在生产车间内运输，</w:t>
            </w:r>
            <w:r>
              <w:rPr>
                <w:rFonts w:hint="eastAsia"/>
                <w:color w:val="auto"/>
                <w:sz w:val="24"/>
                <w:highlight w:val="none"/>
                <w:lang w:val="en-US" w:eastAsia="zh-CN" w:bidi="ar"/>
              </w:rPr>
              <w:t>运输转载粉尘就近接入相应的除尘器中</w:t>
            </w:r>
            <w:r>
              <w:rPr>
                <w:rFonts w:hint="default" w:ascii="Times New Roman" w:hAnsi="Times New Roman"/>
                <w:color w:val="auto"/>
                <w:sz w:val="24"/>
                <w:lang w:eastAsia="zh-CN"/>
              </w:rPr>
              <w:t>。</w:t>
            </w:r>
          </w:p>
          <w:p w14:paraId="47F73D76">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auto"/>
                <w:sz w:val="24"/>
                <w:lang w:eastAsia="zh-CN"/>
              </w:rPr>
            </w:pPr>
            <w:r>
              <w:rPr>
                <w:rFonts w:hint="default" w:ascii="Times New Roman" w:hAnsi="Times New Roman"/>
                <w:color w:val="auto"/>
                <w:sz w:val="24"/>
                <w:lang w:eastAsia="zh-CN"/>
              </w:rPr>
              <w:t>评价要求：</w:t>
            </w:r>
          </w:p>
          <w:p w14:paraId="33A2E1DA">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auto"/>
                <w:sz w:val="24"/>
                <w:lang w:eastAsia="zh-CN"/>
              </w:rPr>
            </w:pPr>
            <w:r>
              <w:rPr>
                <w:rFonts w:hint="eastAsia" w:ascii="宋体" w:hAnsi="宋体" w:cs="宋体"/>
                <w:color w:val="auto"/>
                <w:sz w:val="24"/>
                <w:lang w:eastAsia="zh-CN"/>
              </w:rPr>
              <w:t>①</w:t>
            </w:r>
            <w:r>
              <w:rPr>
                <w:rFonts w:hint="default" w:ascii="Times New Roman" w:hAnsi="Times New Roman"/>
                <w:color w:val="auto"/>
                <w:sz w:val="24"/>
                <w:lang w:eastAsia="zh-CN"/>
              </w:rPr>
              <w:t>所有输送、转运设备全部安装在全封闭的加工车间内，并采用轻钢结构对物料输送皮带进行全封闭处理，降低物料跌落高度；</w:t>
            </w:r>
          </w:p>
          <w:p w14:paraId="0B54B675">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auto"/>
                <w:sz w:val="24"/>
                <w:lang w:eastAsia="zh-CN"/>
              </w:rPr>
            </w:pPr>
            <w:r>
              <w:rPr>
                <w:rFonts w:hint="eastAsia" w:ascii="宋体" w:hAnsi="宋体" w:cs="宋体"/>
                <w:color w:val="auto"/>
                <w:sz w:val="24"/>
                <w:lang w:eastAsia="zh-CN"/>
              </w:rPr>
              <w:t>②</w:t>
            </w:r>
            <w:r>
              <w:rPr>
                <w:rFonts w:hint="default" w:ascii="Times New Roman" w:hAnsi="Times New Roman"/>
                <w:color w:val="auto"/>
                <w:sz w:val="24"/>
                <w:lang w:eastAsia="zh-CN"/>
              </w:rPr>
              <w:t>在原料堆放处、皮带转运跌落点处</w:t>
            </w:r>
            <w:r>
              <w:rPr>
                <w:rFonts w:hint="eastAsia"/>
                <w:color w:val="auto"/>
                <w:sz w:val="24"/>
                <w:lang w:eastAsia="zh-CN"/>
              </w:rPr>
              <w:t>设置</w:t>
            </w:r>
            <w:r>
              <w:rPr>
                <w:rFonts w:hint="default" w:ascii="Times New Roman" w:hAnsi="Times New Roman"/>
                <w:color w:val="auto"/>
                <w:sz w:val="24"/>
                <w:lang w:eastAsia="zh-CN"/>
              </w:rPr>
              <w:t>固定式雾化喷头，生产时适当喷雾抑尘；</w:t>
            </w:r>
          </w:p>
          <w:p w14:paraId="1DF19676">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color w:val="auto"/>
                <w:sz w:val="24"/>
                <w:lang w:eastAsia="zh-CN"/>
              </w:rPr>
            </w:pPr>
            <w:r>
              <w:rPr>
                <w:rFonts w:hint="eastAsia" w:ascii="宋体" w:hAnsi="宋体" w:cs="宋体"/>
                <w:color w:val="auto"/>
                <w:sz w:val="24"/>
                <w:lang w:eastAsia="zh-CN"/>
              </w:rPr>
              <w:t>③</w:t>
            </w:r>
            <w:r>
              <w:rPr>
                <w:rFonts w:hint="default" w:ascii="Times New Roman" w:hAnsi="Times New Roman"/>
                <w:color w:val="auto"/>
                <w:sz w:val="24"/>
                <w:lang w:eastAsia="zh-CN"/>
              </w:rPr>
              <w:t>车间内跌落物料要及时清扫，定期洒水抑尘。采取本措施后在输送过程中粉尘排放量可忽略不计，本次评价不对此进行量化分析</w:t>
            </w:r>
            <w:r>
              <w:rPr>
                <w:rFonts w:hint="eastAsia" w:ascii="Times New Roman" w:hAnsi="Times New Roman"/>
                <w:color w:val="auto"/>
                <w:sz w:val="24"/>
                <w:lang w:eastAsia="zh-CN"/>
              </w:rPr>
              <w:t>。</w:t>
            </w:r>
          </w:p>
          <w:p w14:paraId="0ADE9D89">
            <w:pPr>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093BF649">
            <w:pPr>
              <w:pStyle w:val="6"/>
              <w:suppressLineNumbers w:val="0"/>
              <w:spacing w:beforeAutospacing="0" w:after="0" w:afterAutospacing="0"/>
              <w:ind w:left="0" w:right="0"/>
              <w:rPr>
                <w:rFonts w:hint="default"/>
                <w:color w:val="auto"/>
                <w:lang w:val="en-US" w:eastAsia="zh-CN"/>
              </w:rPr>
            </w:pPr>
          </w:p>
          <w:p w14:paraId="07975F37">
            <w:pPr>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02ED96E3">
            <w:pPr>
              <w:pStyle w:val="6"/>
              <w:suppressLineNumbers w:val="0"/>
              <w:spacing w:beforeAutospacing="0" w:after="0" w:afterAutospacing="0"/>
              <w:ind w:left="0" w:right="0"/>
              <w:rPr>
                <w:rFonts w:hint="default"/>
                <w:color w:val="auto"/>
                <w:lang w:val="en-US" w:eastAsia="zh-CN"/>
              </w:rPr>
            </w:pPr>
          </w:p>
          <w:p w14:paraId="0507D07F">
            <w:pPr>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5AA26FAC">
            <w:pPr>
              <w:pStyle w:val="6"/>
              <w:suppressLineNumbers w:val="0"/>
              <w:spacing w:beforeAutospacing="0" w:after="0" w:afterAutospacing="0"/>
              <w:ind w:left="0" w:right="0"/>
              <w:rPr>
                <w:rFonts w:hint="default"/>
                <w:color w:val="auto"/>
                <w:lang w:val="en-US" w:eastAsia="zh-CN"/>
              </w:rPr>
            </w:pPr>
          </w:p>
          <w:p w14:paraId="5FDF929B">
            <w:pPr>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1F59A755">
            <w:pPr>
              <w:pStyle w:val="16"/>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45FC603D">
            <w:pPr>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7A9DE843">
            <w:pPr>
              <w:pStyle w:val="16"/>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751CFA9C">
            <w:pPr>
              <w:pStyle w:val="6"/>
              <w:suppressLineNumbers w:val="0"/>
              <w:spacing w:beforeAutospacing="0" w:after="0" w:afterAutospacing="0"/>
              <w:ind w:left="0" w:right="0"/>
              <w:rPr>
                <w:rFonts w:hint="default"/>
                <w:color w:val="auto"/>
                <w:lang w:val="en-US" w:eastAsia="zh-CN"/>
              </w:rPr>
            </w:pPr>
          </w:p>
          <w:p w14:paraId="35AF003B">
            <w:pPr>
              <w:keepNext w:val="0"/>
              <w:keepLines w:val="0"/>
              <w:suppressLineNumbers w:val="0"/>
              <w:spacing w:before="0" w:beforeAutospacing="0" w:after="0" w:afterAutospacing="0"/>
              <w:ind w:left="0" w:right="0"/>
              <w:rPr>
                <w:rFonts w:hint="default"/>
                <w:color w:val="auto"/>
                <w:lang w:val="en-US" w:eastAsia="zh-CN"/>
              </w:rPr>
            </w:pPr>
          </w:p>
          <w:p w14:paraId="7C8C98D1">
            <w:pPr>
              <w:pStyle w:val="16"/>
              <w:keepNext w:val="0"/>
              <w:keepLines w:val="0"/>
              <w:suppressLineNumbers w:val="0"/>
              <w:spacing w:before="0" w:beforeAutospacing="0" w:after="0" w:afterAutospacing="0"/>
              <w:ind w:left="0" w:right="0"/>
              <w:rPr>
                <w:rFonts w:hint="default"/>
                <w:color w:val="auto"/>
                <w:lang w:val="en-US" w:eastAsia="zh-CN"/>
              </w:rPr>
            </w:pPr>
          </w:p>
          <w:p w14:paraId="6F8C54AD">
            <w:pPr>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2AA0372C">
            <w:pPr>
              <w:pStyle w:val="6"/>
              <w:suppressLineNumbers w:val="0"/>
              <w:spacing w:beforeAutospacing="0" w:after="0" w:afterAutospacing="0"/>
              <w:ind w:left="0" w:right="0"/>
              <w:rPr>
                <w:rFonts w:hint="default"/>
                <w:color w:val="auto"/>
                <w:lang w:val="en-US" w:eastAsia="zh-CN"/>
              </w:rPr>
            </w:pPr>
          </w:p>
          <w:p w14:paraId="351CC81B">
            <w:pPr>
              <w:keepNext w:val="0"/>
              <w:keepLines w:val="0"/>
              <w:suppressLineNumbers w:val="0"/>
              <w:spacing w:before="0" w:beforeAutospacing="0" w:after="0" w:afterAutospacing="0"/>
              <w:ind w:left="0" w:right="0"/>
              <w:rPr>
                <w:rFonts w:hint="default"/>
                <w:color w:val="auto"/>
                <w:lang w:val="en-US" w:eastAsia="zh-CN"/>
              </w:rPr>
            </w:pPr>
          </w:p>
          <w:p w14:paraId="54F2F3E2">
            <w:pPr>
              <w:keepNext w:val="0"/>
              <w:keepLines w:val="0"/>
              <w:suppressLineNumbers w:val="0"/>
              <w:spacing w:before="0" w:beforeAutospacing="0" w:after="0" w:afterAutospacing="0"/>
              <w:ind w:left="0" w:right="0"/>
              <w:rPr>
                <w:rFonts w:hint="eastAsia" w:ascii="Times New Roman" w:hAnsi="Times New Roman"/>
                <w:color w:val="auto"/>
                <w:sz w:val="24"/>
                <w:lang w:eastAsia="zh-CN"/>
              </w:rPr>
            </w:pPr>
          </w:p>
          <w:p w14:paraId="7D846EAE">
            <w:pPr>
              <w:pStyle w:val="6"/>
              <w:suppressLineNumbers w:val="0"/>
              <w:spacing w:beforeAutospacing="0" w:after="0" w:afterAutospacing="0"/>
              <w:ind w:left="0" w:right="0"/>
              <w:rPr>
                <w:rFonts w:hint="default"/>
                <w:color w:val="auto"/>
                <w:lang w:val="en-US" w:eastAsia="zh-CN"/>
              </w:rPr>
            </w:pPr>
          </w:p>
          <w:p w14:paraId="103091CA">
            <w:pPr>
              <w:keepNext w:val="0"/>
              <w:keepLines w:val="0"/>
              <w:suppressLineNumbers w:val="0"/>
              <w:spacing w:before="0" w:beforeAutospacing="0" w:after="0" w:afterAutospacing="0"/>
              <w:ind w:left="0" w:right="0"/>
              <w:rPr>
                <w:rFonts w:hint="default"/>
                <w:color w:val="auto"/>
                <w:lang w:val="en-US" w:eastAsia="zh-CN"/>
              </w:rPr>
            </w:pPr>
          </w:p>
        </w:tc>
      </w:tr>
    </w:tbl>
    <w:p w14:paraId="2529E9FA">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29"/>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076"/>
      </w:tblGrid>
      <w:tr w14:paraId="0D9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664" w:type="dxa"/>
            <w:vAlign w:val="center"/>
          </w:tcPr>
          <w:p w14:paraId="4D5DD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val="0"/>
                <w:color w:val="auto"/>
                <w:spacing w:val="-10"/>
                <w:sz w:val="24"/>
                <w:szCs w:val="24"/>
                <w:highlight w:val="none"/>
                <w:vertAlign w:val="baseline"/>
                <w:lang w:val="en-US" w:eastAsia="zh-CN"/>
              </w:rPr>
            </w:pPr>
            <w:r>
              <w:rPr>
                <w:rFonts w:hint="default" w:ascii="Times New Roman" w:hAnsi="Times New Roman" w:eastAsia="宋体" w:cs="Times New Roman"/>
                <w:bCs/>
                <w:color w:val="auto"/>
                <w:szCs w:val="21"/>
                <w:highlight w:val="none"/>
                <w:lang w:val="en-US" w:eastAsia="zh-CN"/>
              </w:rPr>
              <w:t>运营期环境影响和保护措施</w:t>
            </w:r>
          </w:p>
        </w:tc>
        <w:tc>
          <w:tcPr>
            <w:tcW w:w="14076" w:type="dxa"/>
          </w:tcPr>
          <w:p w14:paraId="4FE16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黑体" w:cs="Times New Roman"/>
                <w:b/>
                <w:bCs w:val="0"/>
                <w:color w:val="auto"/>
                <w:spacing w:val="0"/>
                <w:kern w:val="2"/>
                <w:sz w:val="21"/>
                <w:szCs w:val="21"/>
                <w:highlight w:val="none"/>
                <w:lang w:val="en-US" w:eastAsia="zh-CN" w:bidi="ar-SA"/>
              </w:rPr>
            </w:pPr>
            <w:r>
              <w:rPr>
                <w:rFonts w:hint="eastAsia" w:ascii="Times New Roman" w:hAnsi="Times New Roman" w:eastAsia="宋体" w:cs="Times New Roman"/>
                <w:b/>
                <w:bCs w:val="0"/>
                <w:color w:val="auto"/>
                <w:spacing w:val="0"/>
                <w:sz w:val="24"/>
                <w:szCs w:val="24"/>
                <w:highlight w:val="none"/>
                <w:lang w:val="en-US" w:eastAsia="zh-CN"/>
              </w:rPr>
              <w:t>2.废气污染物排放口基本情况</w:t>
            </w:r>
          </w:p>
          <w:p w14:paraId="242A2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z w:val="21"/>
                <w:szCs w:val="16"/>
                <w:highlight w:val="none"/>
                <w:lang w:val="en-US" w:eastAsia="zh-CN"/>
              </w:rPr>
            </w:pPr>
            <w:r>
              <w:rPr>
                <w:rFonts w:hint="default" w:ascii="Times New Roman" w:hAnsi="Times New Roman" w:eastAsia="宋体" w:cs="Times New Roman"/>
                <w:b/>
                <w:bCs w:val="0"/>
                <w:color w:val="auto"/>
                <w:sz w:val="21"/>
                <w:szCs w:val="16"/>
                <w:highlight w:val="none"/>
                <w:lang w:val="en-US" w:eastAsia="zh-CN"/>
              </w:rPr>
              <w:t>表4</w:t>
            </w:r>
            <w:r>
              <w:rPr>
                <w:rFonts w:hint="eastAsia" w:ascii="Times New Roman" w:hAnsi="Times New Roman" w:eastAsia="宋体" w:cs="Times New Roman"/>
                <w:b/>
                <w:bCs w:val="0"/>
                <w:color w:val="auto"/>
                <w:sz w:val="21"/>
                <w:szCs w:val="16"/>
                <w:highlight w:val="none"/>
                <w:lang w:val="en-US" w:eastAsia="zh-CN"/>
              </w:rPr>
              <w:t>-5</w:t>
            </w:r>
            <w:r>
              <w:rPr>
                <w:rFonts w:hint="default" w:ascii="Times New Roman" w:hAnsi="Times New Roman" w:eastAsia="宋体" w:cs="Times New Roman"/>
                <w:b/>
                <w:bCs w:val="0"/>
                <w:color w:val="auto"/>
                <w:sz w:val="21"/>
                <w:szCs w:val="16"/>
                <w:highlight w:val="none"/>
                <w:lang w:val="en-US" w:eastAsia="zh-CN"/>
              </w:rPr>
              <w:t xml:space="preserve">  </w:t>
            </w:r>
            <w:r>
              <w:rPr>
                <w:rFonts w:hint="eastAsia" w:ascii="Times New Roman" w:hAnsi="Times New Roman" w:eastAsia="宋体" w:cs="Times New Roman"/>
                <w:b/>
                <w:bCs w:val="0"/>
                <w:color w:val="auto"/>
                <w:sz w:val="21"/>
                <w:szCs w:val="16"/>
                <w:highlight w:val="none"/>
                <w:lang w:val="en-US" w:eastAsia="zh-CN"/>
              </w:rPr>
              <w:t>废气污染物</w:t>
            </w:r>
            <w:r>
              <w:rPr>
                <w:rFonts w:hint="default" w:ascii="Times New Roman" w:hAnsi="Times New Roman" w:eastAsia="宋体" w:cs="Times New Roman"/>
                <w:b/>
                <w:bCs w:val="0"/>
                <w:color w:val="auto"/>
                <w:sz w:val="21"/>
                <w:szCs w:val="16"/>
                <w:highlight w:val="none"/>
                <w:lang w:val="en-US" w:eastAsia="zh-CN"/>
              </w:rPr>
              <w:t>排放口基本情况表</w:t>
            </w:r>
          </w:p>
          <w:tbl>
            <w:tblPr>
              <w:tblStyle w:val="28"/>
              <w:tblW w:w="13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2674"/>
              <w:gridCol w:w="1324"/>
              <w:gridCol w:w="1500"/>
              <w:gridCol w:w="1431"/>
              <w:gridCol w:w="1338"/>
              <w:gridCol w:w="1687"/>
              <w:gridCol w:w="1175"/>
              <w:gridCol w:w="1338"/>
            </w:tblGrid>
            <w:tr w14:paraId="42FFD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139" w:type="dxa"/>
                  <w:vMerge w:val="restart"/>
                  <w:tcBorders>
                    <w:tl2br w:val="nil"/>
                    <w:tr2bl w:val="nil"/>
                  </w:tcBorders>
                  <w:vAlign w:val="center"/>
                </w:tcPr>
                <w:p w14:paraId="11A83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排放口编号</w:t>
                  </w:r>
                </w:p>
              </w:tc>
              <w:tc>
                <w:tcPr>
                  <w:tcW w:w="2674" w:type="dxa"/>
                  <w:vMerge w:val="restart"/>
                  <w:tcBorders>
                    <w:tl2br w:val="nil"/>
                    <w:tr2bl w:val="nil"/>
                  </w:tcBorders>
                  <w:vAlign w:val="center"/>
                </w:tcPr>
                <w:p w14:paraId="3D1A4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排放口名称</w:t>
                  </w:r>
                </w:p>
              </w:tc>
              <w:tc>
                <w:tcPr>
                  <w:tcW w:w="1324" w:type="dxa"/>
                  <w:vMerge w:val="restart"/>
                  <w:tcBorders>
                    <w:tl2br w:val="nil"/>
                    <w:tr2bl w:val="nil"/>
                  </w:tcBorders>
                  <w:vAlign w:val="center"/>
                </w:tcPr>
                <w:p w14:paraId="615C6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污染物种类</w:t>
                  </w:r>
                </w:p>
              </w:tc>
              <w:tc>
                <w:tcPr>
                  <w:tcW w:w="2931" w:type="dxa"/>
                  <w:gridSpan w:val="2"/>
                  <w:tcBorders>
                    <w:tl2br w:val="nil"/>
                    <w:tr2bl w:val="nil"/>
                  </w:tcBorders>
                  <w:vAlign w:val="center"/>
                </w:tcPr>
                <w:p w14:paraId="67652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排放口地理坐标</w:t>
                  </w:r>
                </w:p>
              </w:tc>
              <w:tc>
                <w:tcPr>
                  <w:tcW w:w="1338" w:type="dxa"/>
                  <w:vMerge w:val="restart"/>
                  <w:tcBorders>
                    <w:tl2br w:val="nil"/>
                    <w:tr2bl w:val="nil"/>
                  </w:tcBorders>
                  <w:vAlign w:val="center"/>
                </w:tcPr>
                <w:p w14:paraId="38086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rPr>
                  </w:pPr>
                  <w:r>
                    <w:rPr>
                      <w:rFonts w:hint="default" w:ascii="Times New Roman" w:hAnsi="Times New Roman" w:eastAsia="宋体" w:cs="Times New Roman"/>
                      <w:b/>
                      <w:bCs w:val="0"/>
                      <w:color w:val="auto"/>
                      <w:kern w:val="28"/>
                      <w:sz w:val="21"/>
                      <w:szCs w:val="21"/>
                      <w:highlight w:val="none"/>
                    </w:rPr>
                    <w:t>排气筒高度</w:t>
                  </w:r>
                </w:p>
                <w:p w14:paraId="324DA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lang w:val="en-US"/>
                    </w:rPr>
                    <w:t>m</w:t>
                  </w:r>
                </w:p>
              </w:tc>
              <w:tc>
                <w:tcPr>
                  <w:tcW w:w="1687" w:type="dxa"/>
                  <w:vMerge w:val="restart"/>
                  <w:tcBorders>
                    <w:tl2br w:val="nil"/>
                    <w:tr2bl w:val="nil"/>
                  </w:tcBorders>
                  <w:vAlign w:val="center"/>
                </w:tcPr>
                <w:p w14:paraId="7F5BA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rPr>
                  </w:pPr>
                  <w:r>
                    <w:rPr>
                      <w:rFonts w:hint="default" w:ascii="Times New Roman" w:hAnsi="Times New Roman" w:eastAsia="宋体" w:cs="Times New Roman"/>
                      <w:b/>
                      <w:bCs w:val="0"/>
                      <w:color w:val="auto"/>
                      <w:kern w:val="28"/>
                      <w:sz w:val="21"/>
                      <w:szCs w:val="21"/>
                      <w:highlight w:val="none"/>
                    </w:rPr>
                    <w:t>排气筒出口内径</w:t>
                  </w:r>
                </w:p>
                <w:p w14:paraId="5149F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lang w:val="en-US"/>
                    </w:rPr>
                    <w:t>m</w:t>
                  </w:r>
                </w:p>
              </w:tc>
              <w:tc>
                <w:tcPr>
                  <w:tcW w:w="1175" w:type="dxa"/>
                  <w:vMerge w:val="restart"/>
                  <w:tcBorders>
                    <w:tl2br w:val="nil"/>
                    <w:tr2bl w:val="nil"/>
                  </w:tcBorders>
                  <w:vAlign w:val="center"/>
                </w:tcPr>
                <w:p w14:paraId="67E33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rPr>
                  </w:pPr>
                  <w:r>
                    <w:rPr>
                      <w:rFonts w:hint="default" w:ascii="Times New Roman" w:hAnsi="Times New Roman" w:eastAsia="宋体" w:cs="Times New Roman"/>
                      <w:b/>
                      <w:bCs w:val="0"/>
                      <w:color w:val="auto"/>
                      <w:kern w:val="28"/>
                      <w:sz w:val="21"/>
                      <w:szCs w:val="21"/>
                      <w:highlight w:val="none"/>
                    </w:rPr>
                    <w:t>排气温度</w:t>
                  </w:r>
                </w:p>
                <w:p w14:paraId="6E23A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w:t>
                  </w:r>
                </w:p>
              </w:tc>
              <w:tc>
                <w:tcPr>
                  <w:tcW w:w="1338" w:type="dxa"/>
                  <w:vMerge w:val="restart"/>
                  <w:tcBorders>
                    <w:tl2br w:val="nil"/>
                    <w:tr2bl w:val="nil"/>
                  </w:tcBorders>
                  <w:vAlign w:val="center"/>
                </w:tcPr>
                <w:p w14:paraId="4CD64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color w:val="auto"/>
                      <w:kern w:val="28"/>
                      <w:sz w:val="21"/>
                      <w:szCs w:val="21"/>
                      <w:highlight w:val="none"/>
                      <w:lang w:val="en-US" w:eastAsia="zh-CN"/>
                    </w:rPr>
                  </w:pPr>
                  <w:r>
                    <w:rPr>
                      <w:rFonts w:hint="eastAsia" w:ascii="Times New Roman" w:hAnsi="Times New Roman" w:eastAsia="宋体" w:cs="Times New Roman"/>
                      <w:b/>
                      <w:bCs w:val="0"/>
                      <w:color w:val="auto"/>
                      <w:kern w:val="28"/>
                      <w:sz w:val="21"/>
                      <w:szCs w:val="21"/>
                      <w:highlight w:val="none"/>
                      <w:lang w:val="en-US" w:eastAsia="zh-CN"/>
                    </w:rPr>
                    <w:t>类型</w:t>
                  </w:r>
                </w:p>
              </w:tc>
            </w:tr>
            <w:tr w14:paraId="6BD30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139" w:type="dxa"/>
                  <w:vMerge w:val="continue"/>
                  <w:tcBorders>
                    <w:tl2br w:val="nil"/>
                    <w:tr2bl w:val="nil"/>
                  </w:tcBorders>
                  <w:vAlign w:val="center"/>
                </w:tcPr>
                <w:p w14:paraId="25B39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2674" w:type="dxa"/>
                  <w:vMerge w:val="continue"/>
                  <w:tcBorders>
                    <w:tl2br w:val="nil"/>
                    <w:tr2bl w:val="nil"/>
                  </w:tcBorders>
                  <w:vAlign w:val="center"/>
                </w:tcPr>
                <w:p w14:paraId="67283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324" w:type="dxa"/>
                  <w:vMerge w:val="continue"/>
                  <w:tcBorders>
                    <w:tl2br w:val="nil"/>
                    <w:tr2bl w:val="nil"/>
                  </w:tcBorders>
                  <w:vAlign w:val="center"/>
                </w:tcPr>
                <w:p w14:paraId="6CA6F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500" w:type="dxa"/>
                  <w:tcBorders>
                    <w:tl2br w:val="nil"/>
                    <w:tr2bl w:val="nil"/>
                  </w:tcBorders>
                  <w:vAlign w:val="center"/>
                </w:tcPr>
                <w:p w14:paraId="5066A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经度</w:t>
                  </w:r>
                </w:p>
              </w:tc>
              <w:tc>
                <w:tcPr>
                  <w:tcW w:w="1431" w:type="dxa"/>
                  <w:tcBorders>
                    <w:tl2br w:val="nil"/>
                    <w:tr2bl w:val="nil"/>
                  </w:tcBorders>
                  <w:vAlign w:val="center"/>
                </w:tcPr>
                <w:p w14:paraId="6317A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纬度</w:t>
                  </w:r>
                </w:p>
              </w:tc>
              <w:tc>
                <w:tcPr>
                  <w:tcW w:w="1338" w:type="dxa"/>
                  <w:vMerge w:val="continue"/>
                  <w:tcBorders>
                    <w:tl2br w:val="nil"/>
                    <w:tr2bl w:val="nil"/>
                  </w:tcBorders>
                  <w:vAlign w:val="center"/>
                </w:tcPr>
                <w:p w14:paraId="1399A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687" w:type="dxa"/>
                  <w:vMerge w:val="continue"/>
                  <w:tcBorders>
                    <w:tl2br w:val="nil"/>
                    <w:tr2bl w:val="nil"/>
                  </w:tcBorders>
                  <w:vAlign w:val="center"/>
                </w:tcPr>
                <w:p w14:paraId="20971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175" w:type="dxa"/>
                  <w:vMerge w:val="continue"/>
                  <w:tcBorders>
                    <w:tl2br w:val="nil"/>
                    <w:tr2bl w:val="nil"/>
                  </w:tcBorders>
                  <w:vAlign w:val="center"/>
                </w:tcPr>
                <w:p w14:paraId="3F285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338" w:type="dxa"/>
                  <w:vMerge w:val="continue"/>
                  <w:tcBorders>
                    <w:tl2br w:val="nil"/>
                    <w:tr2bl w:val="nil"/>
                  </w:tcBorders>
                  <w:vAlign w:val="center"/>
                </w:tcPr>
                <w:p w14:paraId="1CCD9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8"/>
                      <w:sz w:val="21"/>
                      <w:szCs w:val="21"/>
                      <w:highlight w:val="none"/>
                    </w:rPr>
                  </w:pPr>
                </w:p>
              </w:tc>
            </w:tr>
            <w:tr w14:paraId="44A4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139" w:type="dxa"/>
                  <w:tcBorders>
                    <w:tl2br w:val="nil"/>
                    <w:tr2bl w:val="nil"/>
                  </w:tcBorders>
                  <w:vAlign w:val="center"/>
                </w:tcPr>
                <w:p w14:paraId="23ABD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u w:val="none"/>
                      <w:lang w:val="en-US" w:eastAsia="zh-CN" w:bidi="ar-SA"/>
                    </w:rPr>
                  </w:pPr>
                  <w:r>
                    <w:rPr>
                      <w:rFonts w:hint="eastAsia" w:ascii="Times New Roman" w:hAnsi="Times New Roman" w:cs="Times New Roman"/>
                      <w:b w:val="0"/>
                      <w:bCs/>
                      <w:color w:val="auto"/>
                      <w:kern w:val="2"/>
                      <w:sz w:val="21"/>
                      <w:szCs w:val="21"/>
                      <w:highlight w:val="none"/>
                      <w:u w:val="none"/>
                      <w:lang w:val="en-US" w:eastAsia="zh-CN" w:bidi="ar-SA"/>
                    </w:rPr>
                    <w:t>DA001</w:t>
                  </w:r>
                </w:p>
              </w:tc>
              <w:tc>
                <w:tcPr>
                  <w:tcW w:w="2674" w:type="dxa"/>
                  <w:tcBorders>
                    <w:tl2br w:val="nil"/>
                    <w:tr2bl w:val="nil"/>
                  </w:tcBorders>
                  <w:shd w:val="clear" w:color="auto" w:fill="auto"/>
                  <w:vAlign w:val="center"/>
                </w:tcPr>
                <w:p w14:paraId="00B48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给料、破碎废气</w:t>
                  </w:r>
                  <w:r>
                    <w:rPr>
                      <w:rFonts w:hint="eastAsia" w:ascii="Times New Roman" w:hAnsi="Times New Roman" w:eastAsia="宋体" w:cs="Times New Roman"/>
                      <w:b w:val="0"/>
                      <w:bCs/>
                      <w:color w:val="auto"/>
                      <w:kern w:val="2"/>
                      <w:sz w:val="21"/>
                      <w:szCs w:val="21"/>
                      <w:highlight w:val="none"/>
                      <w:lang w:val="en-US" w:eastAsia="zh-CN" w:bidi="ar-SA"/>
                    </w:rPr>
                    <w:t>排放口</w:t>
                  </w:r>
                </w:p>
              </w:tc>
              <w:tc>
                <w:tcPr>
                  <w:tcW w:w="1324" w:type="dxa"/>
                  <w:tcBorders>
                    <w:tl2br w:val="nil"/>
                    <w:tr2bl w:val="nil"/>
                  </w:tcBorders>
                  <w:shd w:val="clear" w:color="auto" w:fill="auto"/>
                  <w:vAlign w:val="center"/>
                </w:tcPr>
                <w:p w14:paraId="4857D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颗粒物</w:t>
                  </w:r>
                </w:p>
              </w:tc>
              <w:tc>
                <w:tcPr>
                  <w:tcW w:w="1500" w:type="dxa"/>
                  <w:tcBorders>
                    <w:tl2br w:val="nil"/>
                    <w:tr2bl w:val="nil"/>
                  </w:tcBorders>
                  <w:shd w:val="clear" w:color="auto" w:fill="auto"/>
                  <w:vAlign w:val="center"/>
                </w:tcPr>
                <w:p w14:paraId="4A605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11</w:t>
                  </w:r>
                  <w:r>
                    <w:rPr>
                      <w:rFonts w:hint="eastAsia" w:cs="Times New Roman"/>
                      <w:b w:val="0"/>
                      <w:bCs/>
                      <w:color w:val="auto"/>
                      <w:kern w:val="28"/>
                      <w:sz w:val="21"/>
                      <w:szCs w:val="21"/>
                      <w:highlight w:val="none"/>
                      <w:lang w:val="en-US" w:eastAsia="zh-CN" w:bidi="ar-SA"/>
                    </w:rPr>
                    <w:t>2</w:t>
                  </w:r>
                  <w:r>
                    <w:rPr>
                      <w:rFonts w:hint="default" w:ascii="Times New Roman" w:hAnsi="Times New Roman" w:eastAsia="宋体" w:cs="Times New Roman"/>
                      <w:b w:val="0"/>
                      <w:bCs/>
                      <w:color w:val="auto"/>
                      <w:kern w:val="28"/>
                      <w:sz w:val="21"/>
                      <w:szCs w:val="21"/>
                      <w:highlight w:val="none"/>
                      <w:lang w:val="en-US" w:eastAsia="zh-CN" w:bidi="ar-SA"/>
                    </w:rPr>
                    <w:t>°5</w:t>
                  </w:r>
                  <w:r>
                    <w:rPr>
                      <w:rFonts w:hint="eastAsia" w:cs="Times New Roman"/>
                      <w:b w:val="0"/>
                      <w:bCs/>
                      <w:color w:val="auto"/>
                      <w:kern w:val="28"/>
                      <w:sz w:val="21"/>
                      <w:szCs w:val="21"/>
                      <w:highlight w:val="none"/>
                      <w:lang w:val="en-US" w:eastAsia="zh-CN" w:bidi="ar-SA"/>
                    </w:rPr>
                    <w:t>7</w:t>
                  </w:r>
                  <w:r>
                    <w:rPr>
                      <w:rFonts w:hint="default" w:ascii="Times New Roman" w:hAnsi="Times New Roman" w:eastAsia="宋体" w:cs="Times New Roman"/>
                      <w:b w:val="0"/>
                      <w:bCs/>
                      <w:color w:val="auto"/>
                      <w:kern w:val="28"/>
                      <w:sz w:val="21"/>
                      <w:szCs w:val="21"/>
                      <w:highlight w:val="none"/>
                      <w:lang w:val="en-US" w:eastAsia="zh-CN" w:bidi="ar-SA"/>
                    </w:rPr>
                    <w:t>′</w:t>
                  </w:r>
                  <w:r>
                    <w:rPr>
                      <w:rFonts w:hint="eastAsia" w:cs="Times New Roman"/>
                      <w:b w:val="0"/>
                      <w:bCs/>
                      <w:color w:val="auto"/>
                      <w:kern w:val="28"/>
                      <w:sz w:val="21"/>
                      <w:szCs w:val="21"/>
                      <w:highlight w:val="none"/>
                      <w:lang w:val="en-US" w:eastAsia="zh-CN" w:bidi="ar-SA"/>
                    </w:rPr>
                    <w:t>19.71</w:t>
                  </w:r>
                  <w:r>
                    <w:rPr>
                      <w:rFonts w:hint="default" w:ascii="Times New Roman" w:hAnsi="Times New Roman" w:eastAsia="宋体" w:cs="Times New Roman"/>
                      <w:b w:val="0"/>
                      <w:bCs/>
                      <w:color w:val="auto"/>
                      <w:kern w:val="28"/>
                      <w:sz w:val="21"/>
                      <w:szCs w:val="21"/>
                      <w:highlight w:val="none"/>
                      <w:lang w:val="en-US" w:eastAsia="zh-CN" w:bidi="ar-SA"/>
                    </w:rPr>
                    <w:t>″</w:t>
                  </w:r>
                </w:p>
              </w:tc>
              <w:tc>
                <w:tcPr>
                  <w:tcW w:w="1431" w:type="dxa"/>
                  <w:tcBorders>
                    <w:tl2br w:val="nil"/>
                    <w:tr2bl w:val="nil"/>
                  </w:tcBorders>
                  <w:shd w:val="clear" w:color="auto" w:fill="auto"/>
                  <w:vAlign w:val="center"/>
                </w:tcPr>
                <w:p w14:paraId="31E41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36°</w:t>
                  </w:r>
                  <w:r>
                    <w:rPr>
                      <w:rFonts w:hint="eastAsia" w:cs="Times New Roman"/>
                      <w:b w:val="0"/>
                      <w:bCs/>
                      <w:color w:val="auto"/>
                      <w:kern w:val="28"/>
                      <w:sz w:val="21"/>
                      <w:szCs w:val="21"/>
                      <w:highlight w:val="none"/>
                      <w:lang w:val="en-US" w:eastAsia="zh-CN" w:bidi="ar-SA"/>
                    </w:rPr>
                    <w:t>14</w:t>
                  </w:r>
                  <w:r>
                    <w:rPr>
                      <w:rFonts w:hint="default" w:ascii="Times New Roman" w:hAnsi="Times New Roman" w:eastAsia="宋体" w:cs="Times New Roman"/>
                      <w:b w:val="0"/>
                      <w:bCs/>
                      <w:color w:val="auto"/>
                      <w:kern w:val="28"/>
                      <w:sz w:val="21"/>
                      <w:szCs w:val="21"/>
                      <w:highlight w:val="none"/>
                      <w:lang w:val="en-US" w:eastAsia="zh-CN" w:bidi="ar-SA"/>
                    </w:rPr>
                    <w:t>′</w:t>
                  </w:r>
                  <w:r>
                    <w:rPr>
                      <w:rFonts w:hint="eastAsia" w:cs="Times New Roman"/>
                      <w:b w:val="0"/>
                      <w:bCs/>
                      <w:color w:val="auto"/>
                      <w:kern w:val="28"/>
                      <w:sz w:val="21"/>
                      <w:szCs w:val="21"/>
                      <w:highlight w:val="none"/>
                      <w:lang w:val="en-US" w:eastAsia="zh-CN" w:bidi="ar-SA"/>
                    </w:rPr>
                    <w:t>57.21</w:t>
                  </w:r>
                  <w:r>
                    <w:rPr>
                      <w:rFonts w:hint="default" w:ascii="Times New Roman" w:hAnsi="Times New Roman" w:eastAsia="宋体" w:cs="Times New Roman"/>
                      <w:b w:val="0"/>
                      <w:bCs/>
                      <w:color w:val="auto"/>
                      <w:kern w:val="28"/>
                      <w:sz w:val="21"/>
                      <w:szCs w:val="21"/>
                      <w:highlight w:val="none"/>
                      <w:lang w:val="en-US" w:eastAsia="zh-CN" w:bidi="ar-SA"/>
                    </w:rPr>
                    <w:t>″</w:t>
                  </w:r>
                </w:p>
              </w:tc>
              <w:tc>
                <w:tcPr>
                  <w:tcW w:w="1338" w:type="dxa"/>
                  <w:tcBorders>
                    <w:tl2br w:val="nil"/>
                    <w:tr2bl w:val="nil"/>
                  </w:tcBorders>
                  <w:vAlign w:val="center"/>
                </w:tcPr>
                <w:p w14:paraId="3679A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15</w:t>
                  </w:r>
                </w:p>
              </w:tc>
              <w:tc>
                <w:tcPr>
                  <w:tcW w:w="1687" w:type="dxa"/>
                  <w:tcBorders>
                    <w:tl2br w:val="nil"/>
                    <w:tr2bl w:val="nil"/>
                  </w:tcBorders>
                  <w:vAlign w:val="center"/>
                </w:tcPr>
                <w:p w14:paraId="2BA1A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175" w:type="dxa"/>
                  <w:tcBorders>
                    <w:tl2br w:val="nil"/>
                    <w:tr2bl w:val="nil"/>
                  </w:tcBorders>
                  <w:vAlign w:val="center"/>
                </w:tcPr>
                <w:p w14:paraId="79324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338" w:type="dxa"/>
                  <w:tcBorders>
                    <w:tl2br w:val="nil"/>
                    <w:tr2bl w:val="nil"/>
                  </w:tcBorders>
                  <w:vAlign w:val="center"/>
                </w:tcPr>
                <w:p w14:paraId="5B36B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15CD9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139" w:type="dxa"/>
                  <w:tcBorders>
                    <w:tl2br w:val="nil"/>
                    <w:tr2bl w:val="nil"/>
                  </w:tcBorders>
                  <w:vAlign w:val="center"/>
                </w:tcPr>
                <w:p w14:paraId="6CA376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u w:val="none"/>
                      <w:lang w:val="en-US" w:eastAsia="zh-CN" w:bidi="ar-SA"/>
                    </w:rPr>
                  </w:pPr>
                  <w:r>
                    <w:rPr>
                      <w:rFonts w:hint="eastAsia" w:cs="Times New Roman"/>
                      <w:b w:val="0"/>
                      <w:bCs/>
                      <w:color w:val="auto"/>
                      <w:kern w:val="2"/>
                      <w:sz w:val="21"/>
                      <w:szCs w:val="21"/>
                      <w:highlight w:val="none"/>
                      <w:u w:val="none"/>
                      <w:lang w:val="en-US" w:eastAsia="zh-CN" w:bidi="ar-SA"/>
                    </w:rPr>
                    <w:t>DA002</w:t>
                  </w:r>
                </w:p>
              </w:tc>
              <w:tc>
                <w:tcPr>
                  <w:tcW w:w="2674" w:type="dxa"/>
                  <w:tcBorders>
                    <w:tl2br w:val="nil"/>
                    <w:tr2bl w:val="nil"/>
                  </w:tcBorders>
                  <w:shd w:val="clear" w:color="auto" w:fill="auto"/>
                  <w:vAlign w:val="center"/>
                </w:tcPr>
                <w:p w14:paraId="5F324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制砂、筛分废气排放口</w:t>
                  </w:r>
                </w:p>
              </w:tc>
              <w:tc>
                <w:tcPr>
                  <w:tcW w:w="1324" w:type="dxa"/>
                  <w:tcBorders>
                    <w:tl2br w:val="nil"/>
                    <w:tr2bl w:val="nil"/>
                  </w:tcBorders>
                  <w:shd w:val="clear" w:color="auto" w:fill="auto"/>
                  <w:vAlign w:val="center"/>
                </w:tcPr>
                <w:p w14:paraId="4B03F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颗粒物</w:t>
                  </w:r>
                </w:p>
              </w:tc>
              <w:tc>
                <w:tcPr>
                  <w:tcW w:w="1500" w:type="dxa"/>
                  <w:tcBorders>
                    <w:tl2br w:val="nil"/>
                    <w:tr2bl w:val="nil"/>
                  </w:tcBorders>
                  <w:shd w:val="clear" w:color="auto" w:fill="auto"/>
                  <w:vAlign w:val="center"/>
                </w:tcPr>
                <w:p w14:paraId="0F0CC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112°5</w:t>
                  </w:r>
                  <w:r>
                    <w:rPr>
                      <w:rFonts w:hint="eastAsia" w:cs="Times New Roman"/>
                      <w:b w:val="0"/>
                      <w:bCs/>
                      <w:color w:val="auto"/>
                      <w:kern w:val="28"/>
                      <w:sz w:val="21"/>
                      <w:szCs w:val="21"/>
                      <w:highlight w:val="none"/>
                      <w:lang w:val="en-US" w:eastAsia="zh-CN" w:bidi="ar-SA"/>
                    </w:rPr>
                    <w:t>7</w:t>
                  </w:r>
                  <w:r>
                    <w:rPr>
                      <w:rFonts w:hint="default" w:ascii="Times New Roman" w:hAnsi="Times New Roman" w:eastAsia="宋体" w:cs="Times New Roman"/>
                      <w:b w:val="0"/>
                      <w:bCs/>
                      <w:color w:val="auto"/>
                      <w:kern w:val="28"/>
                      <w:sz w:val="21"/>
                      <w:szCs w:val="21"/>
                      <w:highlight w:val="none"/>
                      <w:lang w:val="en-US" w:eastAsia="zh-CN" w:bidi="ar-SA"/>
                    </w:rPr>
                    <w:t>′</w:t>
                  </w:r>
                  <w:r>
                    <w:rPr>
                      <w:rFonts w:hint="eastAsia" w:cs="Times New Roman"/>
                      <w:b w:val="0"/>
                      <w:bCs/>
                      <w:color w:val="auto"/>
                      <w:kern w:val="28"/>
                      <w:sz w:val="21"/>
                      <w:szCs w:val="21"/>
                      <w:highlight w:val="none"/>
                      <w:lang w:val="en-US" w:eastAsia="zh-CN" w:bidi="ar-SA"/>
                    </w:rPr>
                    <w:t>19.03</w:t>
                  </w:r>
                  <w:r>
                    <w:rPr>
                      <w:rFonts w:hint="default" w:ascii="Times New Roman" w:hAnsi="Times New Roman" w:eastAsia="宋体" w:cs="Times New Roman"/>
                      <w:b w:val="0"/>
                      <w:bCs/>
                      <w:color w:val="auto"/>
                      <w:kern w:val="28"/>
                      <w:sz w:val="21"/>
                      <w:szCs w:val="21"/>
                      <w:highlight w:val="none"/>
                      <w:lang w:val="en-US" w:eastAsia="zh-CN" w:bidi="ar-SA"/>
                    </w:rPr>
                    <w:t>″</w:t>
                  </w:r>
                </w:p>
              </w:tc>
              <w:tc>
                <w:tcPr>
                  <w:tcW w:w="1431" w:type="dxa"/>
                  <w:tcBorders>
                    <w:tl2br w:val="nil"/>
                    <w:tr2bl w:val="nil"/>
                  </w:tcBorders>
                  <w:shd w:val="clear" w:color="auto" w:fill="auto"/>
                  <w:vAlign w:val="center"/>
                </w:tcPr>
                <w:p w14:paraId="51DD0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36°</w:t>
                  </w:r>
                  <w:r>
                    <w:rPr>
                      <w:rFonts w:hint="eastAsia" w:cs="Times New Roman"/>
                      <w:b w:val="0"/>
                      <w:bCs/>
                      <w:color w:val="auto"/>
                      <w:kern w:val="28"/>
                      <w:sz w:val="21"/>
                      <w:szCs w:val="21"/>
                      <w:highlight w:val="none"/>
                      <w:lang w:val="en-US" w:eastAsia="zh-CN" w:bidi="ar-SA"/>
                    </w:rPr>
                    <w:t>14</w:t>
                  </w:r>
                  <w:r>
                    <w:rPr>
                      <w:rFonts w:hint="default" w:ascii="Times New Roman" w:hAnsi="Times New Roman" w:eastAsia="宋体" w:cs="Times New Roman"/>
                      <w:b w:val="0"/>
                      <w:bCs/>
                      <w:color w:val="auto"/>
                      <w:kern w:val="28"/>
                      <w:sz w:val="21"/>
                      <w:szCs w:val="21"/>
                      <w:highlight w:val="none"/>
                      <w:lang w:val="en-US" w:eastAsia="zh-CN" w:bidi="ar-SA"/>
                    </w:rPr>
                    <w:t>′</w:t>
                  </w:r>
                  <w:r>
                    <w:rPr>
                      <w:rFonts w:hint="eastAsia" w:cs="Times New Roman"/>
                      <w:b w:val="0"/>
                      <w:bCs/>
                      <w:color w:val="auto"/>
                      <w:kern w:val="28"/>
                      <w:sz w:val="21"/>
                      <w:szCs w:val="21"/>
                      <w:highlight w:val="none"/>
                      <w:lang w:val="en-US" w:eastAsia="zh-CN" w:bidi="ar-SA"/>
                    </w:rPr>
                    <w:t>57.58</w:t>
                  </w:r>
                  <w:r>
                    <w:rPr>
                      <w:rFonts w:hint="default" w:ascii="Times New Roman" w:hAnsi="Times New Roman" w:eastAsia="宋体" w:cs="Times New Roman"/>
                      <w:b w:val="0"/>
                      <w:bCs/>
                      <w:color w:val="auto"/>
                      <w:kern w:val="28"/>
                      <w:sz w:val="21"/>
                      <w:szCs w:val="21"/>
                      <w:highlight w:val="none"/>
                      <w:lang w:val="en-US" w:eastAsia="zh-CN" w:bidi="ar-SA"/>
                    </w:rPr>
                    <w:t>″</w:t>
                  </w:r>
                </w:p>
              </w:tc>
              <w:tc>
                <w:tcPr>
                  <w:tcW w:w="1338" w:type="dxa"/>
                  <w:tcBorders>
                    <w:tl2br w:val="nil"/>
                    <w:tr2bl w:val="nil"/>
                  </w:tcBorders>
                  <w:vAlign w:val="center"/>
                </w:tcPr>
                <w:p w14:paraId="10D8C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15</w:t>
                  </w:r>
                </w:p>
              </w:tc>
              <w:tc>
                <w:tcPr>
                  <w:tcW w:w="1687" w:type="dxa"/>
                  <w:tcBorders>
                    <w:tl2br w:val="nil"/>
                    <w:tr2bl w:val="nil"/>
                  </w:tcBorders>
                  <w:vAlign w:val="center"/>
                </w:tcPr>
                <w:p w14:paraId="4E2D8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0.5</w:t>
                  </w:r>
                </w:p>
              </w:tc>
              <w:tc>
                <w:tcPr>
                  <w:tcW w:w="1175" w:type="dxa"/>
                  <w:tcBorders>
                    <w:tl2br w:val="nil"/>
                    <w:tr2bl w:val="nil"/>
                  </w:tcBorders>
                  <w:vAlign w:val="center"/>
                </w:tcPr>
                <w:p w14:paraId="3165E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338" w:type="dxa"/>
                  <w:tcBorders>
                    <w:tl2br w:val="nil"/>
                    <w:tr2bl w:val="nil"/>
                  </w:tcBorders>
                  <w:vAlign w:val="center"/>
                </w:tcPr>
                <w:p w14:paraId="07BA6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bl>
          <w:p w14:paraId="6D10E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ascii="Times New Roman" w:hAnsi="Times New Roman" w:eastAsia="宋体" w:cs="Times New Roman"/>
                <w:b/>
                <w:bCs w:val="0"/>
                <w:color w:val="auto"/>
                <w:spacing w:val="0"/>
                <w:sz w:val="24"/>
                <w:szCs w:val="24"/>
                <w:highlight w:val="none"/>
                <w:lang w:val="en-US" w:eastAsia="zh-CN"/>
              </w:rPr>
              <w:t>3.非正常工况排放情况</w:t>
            </w:r>
          </w:p>
          <w:p w14:paraId="105C3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color w:val="auto"/>
                <w:spacing w:val="-10"/>
                <w:sz w:val="24"/>
                <w:szCs w:val="24"/>
                <w:highlight w:val="none"/>
                <w:vertAlign w:val="baseline"/>
                <w:lang w:val="en-US" w:eastAsia="zh-CN"/>
              </w:rPr>
            </w:pPr>
            <w:r>
              <w:rPr>
                <w:rFonts w:hint="default" w:ascii="Times New Roman" w:hAnsi="Times New Roman" w:eastAsia="宋体" w:cs="Times New Roman"/>
                <w:b w:val="0"/>
                <w:bCs/>
                <w:color w:val="auto"/>
                <w:spacing w:val="0"/>
                <w:sz w:val="24"/>
                <w:szCs w:val="24"/>
                <w:highlight w:val="none"/>
                <w:lang w:val="en-US" w:eastAsia="zh-CN"/>
              </w:rPr>
              <w:t>非正常排放是指生产过程中开停车、设备检修、工艺设备运转异常等非正常工况下的污染物排放，以及污染物排放控制措施达不到应有效率等情况下的排放。本</w:t>
            </w:r>
            <w:r>
              <w:rPr>
                <w:rFonts w:hint="eastAsia" w:ascii="Times New Roman" w:hAnsi="Times New Roman" w:eastAsia="宋体" w:cs="Times New Roman"/>
                <w:b w:val="0"/>
                <w:bCs/>
                <w:color w:val="auto"/>
                <w:spacing w:val="0"/>
                <w:sz w:val="24"/>
                <w:szCs w:val="24"/>
                <w:highlight w:val="none"/>
                <w:lang w:val="en-US" w:eastAsia="zh-CN"/>
              </w:rPr>
              <w:t>项目</w:t>
            </w:r>
            <w:r>
              <w:rPr>
                <w:rFonts w:hint="default" w:ascii="Times New Roman" w:hAnsi="Times New Roman" w:eastAsia="宋体" w:cs="Times New Roman"/>
                <w:b w:val="0"/>
                <w:bCs/>
                <w:color w:val="auto"/>
                <w:spacing w:val="0"/>
                <w:sz w:val="24"/>
                <w:szCs w:val="24"/>
                <w:highlight w:val="none"/>
                <w:lang w:val="en-US" w:eastAsia="zh-CN"/>
              </w:rPr>
              <w:t>非正常情况排放主要为废气处理设施故障，具体详见表</w:t>
            </w:r>
            <w:r>
              <w:rPr>
                <w:rFonts w:hint="eastAsia" w:ascii="Times New Roman" w:hAnsi="Times New Roman" w:eastAsia="宋体" w:cs="Times New Roman"/>
                <w:b w:val="0"/>
                <w:bCs/>
                <w:color w:val="auto"/>
                <w:spacing w:val="0"/>
                <w:sz w:val="24"/>
                <w:szCs w:val="24"/>
                <w:highlight w:val="none"/>
                <w:lang w:val="en-US" w:eastAsia="zh-CN"/>
              </w:rPr>
              <w:t>4-</w:t>
            </w:r>
            <w:r>
              <w:rPr>
                <w:rFonts w:hint="eastAsia" w:cs="Times New Roman"/>
                <w:b w:val="0"/>
                <w:bCs/>
                <w:color w:val="auto"/>
                <w:spacing w:val="0"/>
                <w:sz w:val="24"/>
                <w:szCs w:val="24"/>
                <w:highlight w:val="none"/>
                <w:lang w:val="en-US" w:eastAsia="zh-CN"/>
              </w:rPr>
              <w:t>6</w:t>
            </w:r>
            <w:r>
              <w:rPr>
                <w:rFonts w:hint="eastAsia" w:ascii="Times New Roman" w:hAnsi="Times New Roman" w:eastAsia="宋体" w:cs="Times New Roman"/>
                <w:b w:val="0"/>
                <w:bCs/>
                <w:color w:val="auto"/>
                <w:spacing w:val="-10"/>
                <w:sz w:val="24"/>
                <w:szCs w:val="24"/>
                <w:highlight w:val="none"/>
                <w:vertAlign w:val="baseline"/>
                <w:lang w:val="en-US" w:eastAsia="zh-CN"/>
              </w:rPr>
              <w:t>。</w:t>
            </w:r>
          </w:p>
          <w:p w14:paraId="4126A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val="0"/>
                <w:color w:val="auto"/>
                <w:sz w:val="21"/>
                <w:szCs w:val="16"/>
                <w:highlight w:val="none"/>
                <w:lang w:val="en-US" w:eastAsia="zh-CN"/>
              </w:rPr>
            </w:pPr>
            <w:r>
              <w:rPr>
                <w:rFonts w:hint="default" w:ascii="Times New Roman" w:hAnsi="Times New Roman" w:eastAsia="宋体" w:cs="Times New Roman"/>
                <w:b/>
                <w:bCs w:val="0"/>
                <w:color w:val="auto"/>
                <w:sz w:val="21"/>
                <w:szCs w:val="16"/>
                <w:highlight w:val="none"/>
                <w:lang w:val="en-US" w:eastAsia="zh-CN"/>
              </w:rPr>
              <w:t>表</w:t>
            </w:r>
            <w:r>
              <w:rPr>
                <w:rFonts w:hint="eastAsia" w:ascii="Times New Roman" w:hAnsi="Times New Roman" w:eastAsia="宋体" w:cs="Times New Roman"/>
                <w:b/>
                <w:bCs w:val="0"/>
                <w:color w:val="auto"/>
                <w:sz w:val="21"/>
                <w:szCs w:val="16"/>
                <w:highlight w:val="none"/>
                <w:lang w:val="en-US" w:eastAsia="zh-CN"/>
              </w:rPr>
              <w:t>4-6</w:t>
            </w:r>
            <w:r>
              <w:rPr>
                <w:rFonts w:hint="default" w:ascii="Times New Roman" w:hAnsi="Times New Roman" w:eastAsia="宋体" w:cs="Times New Roman"/>
                <w:b/>
                <w:bCs w:val="0"/>
                <w:color w:val="auto"/>
                <w:sz w:val="21"/>
                <w:szCs w:val="16"/>
                <w:highlight w:val="none"/>
                <w:lang w:val="en-US" w:eastAsia="zh-CN"/>
              </w:rPr>
              <w:t xml:space="preserve">  废气污染物非正常排放量核算表</w:t>
            </w:r>
          </w:p>
          <w:tbl>
            <w:tblPr>
              <w:tblStyle w:val="28"/>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1655"/>
              <w:gridCol w:w="1139"/>
              <w:gridCol w:w="1382"/>
              <w:gridCol w:w="1661"/>
              <w:gridCol w:w="1506"/>
              <w:gridCol w:w="1382"/>
              <w:gridCol w:w="1385"/>
              <w:gridCol w:w="2952"/>
            </w:tblGrid>
            <w:tr w14:paraId="685D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15" w:type="pct"/>
                  <w:tcBorders>
                    <w:tl2br w:val="nil"/>
                    <w:tr2bl w:val="nil"/>
                  </w:tcBorders>
                  <w:vAlign w:val="center"/>
                </w:tcPr>
                <w:p w14:paraId="1F2A03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606" w:type="pct"/>
                  <w:tcBorders>
                    <w:tl2br w:val="nil"/>
                    <w:tr2bl w:val="nil"/>
                  </w:tcBorders>
                  <w:vAlign w:val="center"/>
                </w:tcPr>
                <w:p w14:paraId="62C052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污染源</w:t>
                  </w:r>
                </w:p>
              </w:tc>
              <w:tc>
                <w:tcPr>
                  <w:tcW w:w="417" w:type="pct"/>
                  <w:tcBorders>
                    <w:tl2br w:val="nil"/>
                    <w:tr2bl w:val="nil"/>
                  </w:tcBorders>
                  <w:vAlign w:val="center"/>
                </w:tcPr>
                <w:p w14:paraId="5F8ED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污染物种类</w:t>
                  </w:r>
                </w:p>
              </w:tc>
              <w:tc>
                <w:tcPr>
                  <w:tcW w:w="506" w:type="pct"/>
                  <w:tcBorders>
                    <w:tl2br w:val="nil"/>
                    <w:tr2bl w:val="nil"/>
                  </w:tcBorders>
                  <w:vAlign w:val="center"/>
                </w:tcPr>
                <w:p w14:paraId="7D938D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非正常</w:t>
                  </w:r>
                </w:p>
                <w:p w14:paraId="38FE6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排放原因</w:t>
                  </w:r>
                </w:p>
              </w:tc>
              <w:tc>
                <w:tcPr>
                  <w:tcW w:w="608" w:type="pct"/>
                  <w:tcBorders>
                    <w:tl2br w:val="nil"/>
                    <w:tr2bl w:val="nil"/>
                  </w:tcBorders>
                  <w:vAlign w:val="center"/>
                </w:tcPr>
                <w:p w14:paraId="5681E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非正常排放浓度</w:t>
                  </w:r>
                  <w:r>
                    <w:rPr>
                      <w:rFonts w:hint="default" w:ascii="Times New Roman" w:hAnsi="Times New Roman" w:eastAsia="宋体" w:cs="Times New Roman"/>
                      <w:b/>
                      <w:bCs/>
                      <w:color w:val="auto"/>
                      <w:kern w:val="2"/>
                      <w:sz w:val="21"/>
                      <w:szCs w:val="21"/>
                      <w:highlight w:val="none"/>
                      <w:lang w:val="en-US" w:eastAsia="zh-CN" w:bidi="ar-SA"/>
                    </w:rPr>
                    <w:t>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551" w:type="pct"/>
                  <w:tcBorders>
                    <w:tl2br w:val="nil"/>
                    <w:tr2bl w:val="nil"/>
                  </w:tcBorders>
                  <w:vAlign w:val="center"/>
                </w:tcPr>
                <w:p w14:paraId="0C4A4436">
                  <w:pPr>
                    <w:pStyle w:val="2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非正常排放速率</w:t>
                  </w:r>
                </w:p>
                <w:p w14:paraId="2D7E9453">
                  <w:pPr>
                    <w:pStyle w:val="2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kg/h</w:t>
                  </w:r>
                </w:p>
              </w:tc>
              <w:tc>
                <w:tcPr>
                  <w:tcW w:w="506" w:type="pct"/>
                  <w:tcBorders>
                    <w:tl2br w:val="nil"/>
                    <w:tr2bl w:val="nil"/>
                  </w:tcBorders>
                  <w:vAlign w:val="center"/>
                </w:tcPr>
                <w:p w14:paraId="3E402B33">
                  <w:pPr>
                    <w:pStyle w:val="2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单次持续时间</w:t>
                  </w:r>
                </w:p>
                <w:p w14:paraId="324B4898">
                  <w:pPr>
                    <w:pStyle w:val="2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h</w:t>
                  </w:r>
                </w:p>
              </w:tc>
              <w:tc>
                <w:tcPr>
                  <w:tcW w:w="507" w:type="pct"/>
                  <w:tcBorders>
                    <w:tl2br w:val="nil"/>
                    <w:tr2bl w:val="nil"/>
                  </w:tcBorders>
                  <w:vAlign w:val="center"/>
                </w:tcPr>
                <w:p w14:paraId="6966DDCB">
                  <w:pPr>
                    <w:pStyle w:val="2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年发生频次</w:t>
                  </w:r>
                </w:p>
                <w:p w14:paraId="7291D42D">
                  <w:pPr>
                    <w:pStyle w:val="2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次</w:t>
                  </w:r>
                </w:p>
              </w:tc>
              <w:tc>
                <w:tcPr>
                  <w:tcW w:w="1080" w:type="pct"/>
                  <w:tcBorders>
                    <w:tl2br w:val="nil"/>
                    <w:tr2bl w:val="nil"/>
                  </w:tcBorders>
                  <w:vAlign w:val="center"/>
                </w:tcPr>
                <w:p w14:paraId="55FCE391">
                  <w:pPr>
                    <w:pStyle w:val="2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应对措施</w:t>
                  </w:r>
                </w:p>
              </w:tc>
            </w:tr>
            <w:tr w14:paraId="7084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15" w:type="pct"/>
                  <w:tcBorders>
                    <w:tl2br w:val="nil"/>
                    <w:tr2bl w:val="nil"/>
                  </w:tcBorders>
                  <w:vAlign w:val="center"/>
                </w:tcPr>
                <w:p w14:paraId="48428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606" w:type="pct"/>
                  <w:tcBorders>
                    <w:tl2br w:val="nil"/>
                    <w:tr2bl w:val="nil"/>
                  </w:tcBorders>
                  <w:vAlign w:val="center"/>
                </w:tcPr>
                <w:p w14:paraId="7B015E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振动给料机</w:t>
                  </w:r>
                </w:p>
              </w:tc>
              <w:tc>
                <w:tcPr>
                  <w:tcW w:w="417" w:type="pct"/>
                  <w:vMerge w:val="restart"/>
                  <w:tcBorders>
                    <w:tl2br w:val="nil"/>
                    <w:tr2bl w:val="nil"/>
                  </w:tcBorders>
                  <w:vAlign w:val="center"/>
                </w:tcPr>
                <w:p w14:paraId="7A3A90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颗粒物</w:t>
                  </w:r>
                </w:p>
              </w:tc>
              <w:tc>
                <w:tcPr>
                  <w:tcW w:w="506" w:type="pct"/>
                  <w:vMerge w:val="restart"/>
                  <w:tcBorders>
                    <w:tl2br w:val="nil"/>
                    <w:tr2bl w:val="nil"/>
                  </w:tcBorders>
                  <w:vAlign w:val="center"/>
                </w:tcPr>
                <w:p w14:paraId="5296B7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废气处理设施故障</w:t>
                  </w:r>
                </w:p>
              </w:tc>
              <w:tc>
                <w:tcPr>
                  <w:tcW w:w="1678" w:type="dxa"/>
                  <w:vMerge w:val="restart"/>
                  <w:tcBorders>
                    <w:tl2br w:val="nil"/>
                    <w:tr2bl w:val="nil"/>
                  </w:tcBorders>
                  <w:vAlign w:val="center"/>
                </w:tcPr>
                <w:p w14:paraId="1BA99D43">
                  <w:pPr>
                    <w:keepNext w:val="0"/>
                    <w:keepLines w:val="0"/>
                    <w:pageBreakBefore w:val="0"/>
                    <w:widowControl/>
                    <w:suppressLineNumbers w:val="0"/>
                    <w:kinsoku/>
                    <w:overflowPunct/>
                    <w:topLinePunct w:val="0"/>
                    <w:autoSpaceDE/>
                    <w:autoSpaceDN/>
                    <w:bidi w:val="0"/>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1338</w:t>
                  </w:r>
                </w:p>
              </w:tc>
              <w:tc>
                <w:tcPr>
                  <w:tcW w:w="1521" w:type="dxa"/>
                  <w:tcBorders>
                    <w:tl2br w:val="nil"/>
                    <w:tr2bl w:val="nil"/>
                  </w:tcBorders>
                  <w:vAlign w:val="center"/>
                </w:tcPr>
                <w:p w14:paraId="52945279">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5.7</w:t>
                  </w:r>
                </w:p>
              </w:tc>
              <w:tc>
                <w:tcPr>
                  <w:tcW w:w="506" w:type="pct"/>
                  <w:tcBorders>
                    <w:tl2br w:val="nil"/>
                    <w:tr2bl w:val="nil"/>
                  </w:tcBorders>
                  <w:vAlign w:val="center"/>
                </w:tcPr>
                <w:p w14:paraId="086A0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0.5</w:t>
                  </w:r>
                </w:p>
              </w:tc>
              <w:tc>
                <w:tcPr>
                  <w:tcW w:w="507" w:type="pct"/>
                  <w:tcBorders>
                    <w:tl2br w:val="nil"/>
                    <w:tr2bl w:val="nil"/>
                  </w:tcBorders>
                  <w:vAlign w:val="center"/>
                </w:tcPr>
                <w:p w14:paraId="11577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1080" w:type="pct"/>
                  <w:vMerge w:val="restart"/>
                  <w:tcBorders>
                    <w:tl2br w:val="nil"/>
                    <w:tr2bl w:val="nil"/>
                  </w:tcBorders>
                  <w:vAlign w:val="center"/>
                </w:tcPr>
                <w:p w14:paraId="02036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立即停止生产，及时检修，故障解决后，恢复生产</w:t>
                  </w:r>
                </w:p>
              </w:tc>
            </w:tr>
            <w:tr w14:paraId="0F3E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15" w:type="pct"/>
                  <w:tcBorders>
                    <w:tl2br w:val="nil"/>
                    <w:tr2bl w:val="nil"/>
                  </w:tcBorders>
                  <w:vAlign w:val="center"/>
                </w:tcPr>
                <w:p w14:paraId="655C7F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w:t>
                  </w:r>
                </w:p>
              </w:tc>
              <w:tc>
                <w:tcPr>
                  <w:tcW w:w="606" w:type="pct"/>
                  <w:tcBorders>
                    <w:tl2br w:val="nil"/>
                    <w:tr2bl w:val="nil"/>
                  </w:tcBorders>
                  <w:vAlign w:val="center"/>
                </w:tcPr>
                <w:p w14:paraId="181D23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箱式破碎机</w:t>
                  </w:r>
                </w:p>
              </w:tc>
              <w:tc>
                <w:tcPr>
                  <w:tcW w:w="417" w:type="pct"/>
                  <w:vMerge w:val="continue"/>
                  <w:tcBorders>
                    <w:tl2br w:val="nil"/>
                    <w:tr2bl w:val="nil"/>
                  </w:tcBorders>
                  <w:vAlign w:val="center"/>
                </w:tcPr>
                <w:p w14:paraId="7F181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506" w:type="pct"/>
                  <w:vMerge w:val="continue"/>
                  <w:tcBorders>
                    <w:tl2br w:val="nil"/>
                    <w:tr2bl w:val="nil"/>
                  </w:tcBorders>
                  <w:vAlign w:val="center"/>
                </w:tcPr>
                <w:p w14:paraId="1370E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608" w:type="pct"/>
                  <w:vMerge w:val="continue"/>
                  <w:tcBorders>
                    <w:tl2br w:val="nil"/>
                    <w:tr2bl w:val="nil"/>
                  </w:tcBorders>
                  <w:vAlign w:val="center"/>
                </w:tcPr>
                <w:p w14:paraId="5C0FE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1521" w:type="dxa"/>
                  <w:tcBorders>
                    <w:tl2br w:val="nil"/>
                    <w:tr2bl w:val="nil"/>
                  </w:tcBorders>
                  <w:vAlign w:val="center"/>
                </w:tcPr>
                <w:p w14:paraId="21B96B4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lang w:val="en-US" w:eastAsia="zh-CN"/>
                    </w:rPr>
                    <w:t>11.4</w:t>
                  </w:r>
                </w:p>
              </w:tc>
              <w:tc>
                <w:tcPr>
                  <w:tcW w:w="506" w:type="pct"/>
                  <w:tcBorders>
                    <w:tl2br w:val="nil"/>
                    <w:tr2bl w:val="nil"/>
                  </w:tcBorders>
                  <w:vAlign w:val="center"/>
                </w:tcPr>
                <w:p w14:paraId="766FE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0.5</w:t>
                  </w:r>
                </w:p>
              </w:tc>
              <w:tc>
                <w:tcPr>
                  <w:tcW w:w="507" w:type="pct"/>
                  <w:tcBorders>
                    <w:tl2br w:val="nil"/>
                    <w:tr2bl w:val="nil"/>
                  </w:tcBorders>
                  <w:vAlign w:val="center"/>
                </w:tcPr>
                <w:p w14:paraId="2764CD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1080" w:type="pct"/>
                  <w:vMerge w:val="continue"/>
                  <w:tcBorders>
                    <w:tl2br w:val="nil"/>
                    <w:tr2bl w:val="nil"/>
                  </w:tcBorders>
                  <w:vAlign w:val="center"/>
                </w:tcPr>
                <w:p w14:paraId="159D6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r>
            <w:tr w14:paraId="2002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15" w:type="pct"/>
                  <w:tcBorders>
                    <w:tl2br w:val="nil"/>
                    <w:tr2bl w:val="nil"/>
                  </w:tcBorders>
                  <w:vAlign w:val="center"/>
                </w:tcPr>
                <w:p w14:paraId="06C2A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w:t>
                  </w:r>
                </w:p>
              </w:tc>
              <w:tc>
                <w:tcPr>
                  <w:tcW w:w="606" w:type="pct"/>
                  <w:tcBorders>
                    <w:tl2br w:val="nil"/>
                    <w:tr2bl w:val="nil"/>
                  </w:tcBorders>
                  <w:vAlign w:val="center"/>
                </w:tcPr>
                <w:p w14:paraId="0E623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锤式制砂机</w:t>
                  </w:r>
                </w:p>
              </w:tc>
              <w:tc>
                <w:tcPr>
                  <w:tcW w:w="417" w:type="pct"/>
                  <w:vMerge w:val="restart"/>
                  <w:tcBorders>
                    <w:tl2br w:val="nil"/>
                    <w:tr2bl w:val="nil"/>
                  </w:tcBorders>
                  <w:vAlign w:val="center"/>
                </w:tcPr>
                <w:p w14:paraId="3EEA72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颗粒物</w:t>
                  </w:r>
                </w:p>
              </w:tc>
              <w:tc>
                <w:tcPr>
                  <w:tcW w:w="506" w:type="pct"/>
                  <w:vMerge w:val="continue"/>
                  <w:tcBorders>
                    <w:tl2br w:val="nil"/>
                    <w:tr2bl w:val="nil"/>
                  </w:tcBorders>
                  <w:vAlign w:val="center"/>
                </w:tcPr>
                <w:p w14:paraId="73BBA1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678" w:type="dxa"/>
                  <w:vMerge w:val="restart"/>
                  <w:tcBorders>
                    <w:tl2br w:val="nil"/>
                    <w:tr2bl w:val="nil"/>
                  </w:tcBorders>
                  <w:vAlign w:val="center"/>
                </w:tcPr>
                <w:p w14:paraId="46B2015A">
                  <w:pPr>
                    <w:keepNext w:val="0"/>
                    <w:keepLines w:val="0"/>
                    <w:pageBreakBefore w:val="0"/>
                    <w:widowControl/>
                    <w:suppressLineNumbers w:val="0"/>
                    <w:kinsoku/>
                    <w:overflowPunct/>
                    <w:topLinePunct w:val="0"/>
                    <w:autoSpaceDE/>
                    <w:autoSpaceDN/>
                    <w:bidi w:val="0"/>
                    <w:spacing w:before="0" w:beforeAutospacing="0" w:after="0" w:afterAutospacing="0" w:line="320" w:lineRule="exact"/>
                    <w:ind w:left="0" w:leftChars="0" w:right="0" w:rightChars="0"/>
                    <w:jc w:val="center"/>
                    <w:textAlignment w:val="center"/>
                    <w:rPr>
                      <w:rFonts w:hint="default" w:ascii="Times New Roman" w:hAnsi="Times New Roman" w:eastAsia="仿宋" w:cs="Times New Roman"/>
                      <w:b w:val="0"/>
                      <w:bCs w:val="0"/>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994</w:t>
                  </w:r>
                </w:p>
              </w:tc>
              <w:tc>
                <w:tcPr>
                  <w:tcW w:w="1521" w:type="dxa"/>
                  <w:tcBorders>
                    <w:tl2br w:val="nil"/>
                    <w:tr2bl w:val="nil"/>
                  </w:tcBorders>
                  <w:vAlign w:val="center"/>
                </w:tcPr>
                <w:p w14:paraId="616C3AC2">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12</w:t>
                  </w:r>
                  <w:r>
                    <w:rPr>
                      <w:rFonts w:hint="eastAsia" w:ascii="Times New Roman" w:hAnsi="Times New Roman" w:eastAsia="宋体" w:cs="Times New Roman"/>
                      <w:b w:val="0"/>
                      <w:bCs w:val="0"/>
                      <w:color w:val="auto"/>
                      <w:kern w:val="2"/>
                      <w:sz w:val="21"/>
                      <w:szCs w:val="21"/>
                      <w:highlight w:val="none"/>
                      <w:lang w:val="en-US" w:eastAsia="zh-CN" w:bidi="ar-SA"/>
                    </w:rPr>
                    <w:t>.5</w:t>
                  </w:r>
                </w:p>
              </w:tc>
              <w:tc>
                <w:tcPr>
                  <w:tcW w:w="506" w:type="pct"/>
                  <w:tcBorders>
                    <w:tl2br w:val="nil"/>
                    <w:tr2bl w:val="nil"/>
                  </w:tcBorders>
                  <w:vAlign w:val="center"/>
                </w:tcPr>
                <w:p w14:paraId="53F59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0.5</w:t>
                  </w:r>
                </w:p>
              </w:tc>
              <w:tc>
                <w:tcPr>
                  <w:tcW w:w="507" w:type="pct"/>
                  <w:tcBorders>
                    <w:tl2br w:val="nil"/>
                    <w:tr2bl w:val="nil"/>
                  </w:tcBorders>
                  <w:vAlign w:val="center"/>
                </w:tcPr>
                <w:p w14:paraId="4F276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1080" w:type="pct"/>
                  <w:vMerge w:val="continue"/>
                  <w:tcBorders>
                    <w:tl2br w:val="nil"/>
                    <w:tr2bl w:val="nil"/>
                  </w:tcBorders>
                  <w:vAlign w:val="center"/>
                </w:tcPr>
                <w:p w14:paraId="71AA3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r>
            <w:tr w14:paraId="3388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15" w:type="pct"/>
                  <w:tcBorders>
                    <w:tl2br w:val="nil"/>
                    <w:tr2bl w:val="nil"/>
                  </w:tcBorders>
                  <w:vAlign w:val="center"/>
                </w:tcPr>
                <w:p w14:paraId="4A4C3B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4</w:t>
                  </w:r>
                </w:p>
              </w:tc>
              <w:tc>
                <w:tcPr>
                  <w:tcW w:w="606" w:type="pct"/>
                  <w:tcBorders>
                    <w:tl2br w:val="nil"/>
                    <w:tr2bl w:val="nil"/>
                  </w:tcBorders>
                  <w:vAlign w:val="center"/>
                </w:tcPr>
                <w:p w14:paraId="4F3B3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振动筛</w:t>
                  </w:r>
                </w:p>
              </w:tc>
              <w:tc>
                <w:tcPr>
                  <w:tcW w:w="417" w:type="pct"/>
                  <w:vMerge w:val="continue"/>
                  <w:tcBorders>
                    <w:tl2br w:val="nil"/>
                    <w:tr2bl w:val="nil"/>
                  </w:tcBorders>
                  <w:vAlign w:val="center"/>
                </w:tcPr>
                <w:p w14:paraId="198B24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506" w:type="pct"/>
                  <w:vMerge w:val="continue"/>
                  <w:tcBorders>
                    <w:tl2br w:val="nil"/>
                    <w:tr2bl w:val="nil"/>
                  </w:tcBorders>
                  <w:vAlign w:val="center"/>
                </w:tcPr>
                <w:p w14:paraId="4B879C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608" w:type="pct"/>
                  <w:vMerge w:val="continue"/>
                  <w:tcBorders>
                    <w:tl2br w:val="nil"/>
                    <w:tr2bl w:val="nil"/>
                  </w:tcBorders>
                  <w:vAlign w:val="center"/>
                </w:tcPr>
                <w:p w14:paraId="39F4E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lang w:val="en-US" w:eastAsia="zh-CN" w:bidi="ar-SA"/>
                    </w:rPr>
                  </w:pPr>
                </w:p>
              </w:tc>
              <w:tc>
                <w:tcPr>
                  <w:tcW w:w="1521" w:type="dxa"/>
                  <w:tcBorders>
                    <w:tl2br w:val="nil"/>
                    <w:tr2bl w:val="nil"/>
                  </w:tcBorders>
                  <w:vAlign w:val="center"/>
                </w:tcPr>
                <w:p w14:paraId="3A1DE357">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12</w:t>
                  </w:r>
                  <w:r>
                    <w:rPr>
                      <w:rFonts w:hint="eastAsia" w:ascii="Times New Roman" w:hAnsi="Times New Roman" w:eastAsia="宋体" w:cs="Times New Roman"/>
                      <w:b w:val="0"/>
                      <w:bCs w:val="0"/>
                      <w:color w:val="auto"/>
                      <w:kern w:val="2"/>
                      <w:sz w:val="21"/>
                      <w:szCs w:val="21"/>
                      <w:highlight w:val="none"/>
                      <w:lang w:val="en-US" w:eastAsia="zh-CN" w:bidi="ar-SA"/>
                    </w:rPr>
                    <w:t>.5</w:t>
                  </w:r>
                </w:p>
              </w:tc>
              <w:tc>
                <w:tcPr>
                  <w:tcW w:w="506" w:type="pct"/>
                  <w:tcBorders>
                    <w:tl2br w:val="nil"/>
                    <w:tr2bl w:val="nil"/>
                  </w:tcBorders>
                  <w:vAlign w:val="center"/>
                </w:tcPr>
                <w:p w14:paraId="0C736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0.5</w:t>
                  </w:r>
                </w:p>
              </w:tc>
              <w:tc>
                <w:tcPr>
                  <w:tcW w:w="507" w:type="pct"/>
                  <w:tcBorders>
                    <w:tl2br w:val="nil"/>
                    <w:tr2bl w:val="nil"/>
                  </w:tcBorders>
                  <w:vAlign w:val="center"/>
                </w:tcPr>
                <w:p w14:paraId="33386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1080" w:type="pct"/>
                  <w:vMerge w:val="continue"/>
                  <w:tcBorders>
                    <w:tl2br w:val="nil"/>
                    <w:tr2bl w:val="nil"/>
                  </w:tcBorders>
                  <w:vAlign w:val="center"/>
                </w:tcPr>
                <w:p w14:paraId="636153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r>
          </w:tbl>
          <w:p w14:paraId="182769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bCs w:val="0"/>
                <w:color w:val="auto"/>
                <w:sz w:val="24"/>
                <w:szCs w:val="24"/>
                <w:highlight w:val="none"/>
                <w:lang w:val="en-US" w:eastAsia="zh-CN"/>
              </w:rPr>
            </w:pPr>
          </w:p>
          <w:p w14:paraId="0550D1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0" w:firstLineChars="200"/>
              <w:jc w:val="both"/>
              <w:textAlignment w:val="auto"/>
              <w:rPr>
                <w:rFonts w:hint="default" w:ascii="Times New Roman" w:hAnsi="Times New Roman" w:eastAsia="宋体" w:cs="Times New Roman"/>
                <w:b w:val="0"/>
                <w:bCs/>
                <w:color w:val="auto"/>
                <w:spacing w:val="-10"/>
                <w:sz w:val="24"/>
                <w:szCs w:val="24"/>
                <w:highlight w:val="none"/>
                <w:vertAlign w:val="baseline"/>
                <w:lang w:val="en-US" w:eastAsia="zh-CN"/>
              </w:rPr>
            </w:pPr>
          </w:p>
        </w:tc>
      </w:tr>
    </w:tbl>
    <w:p w14:paraId="3C205FC0">
      <w:pPr>
        <w:pStyle w:val="25"/>
        <w:rPr>
          <w:rFonts w:hint="default"/>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309"/>
      </w:tblGrid>
      <w:tr w14:paraId="1853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6" w:type="dxa"/>
            <w:vAlign w:val="center"/>
          </w:tcPr>
          <w:p w14:paraId="54F20F5D">
            <w:pPr>
              <w:keepNext w:val="0"/>
              <w:keepLines w:val="0"/>
              <w:suppressLineNumbers w:val="0"/>
              <w:adjustRightInd w:val="0"/>
              <w:snapToGrid w:val="0"/>
              <w:spacing w:before="0" w:beforeAutospacing="0" w:after="0" w:afterAutospacing="0"/>
              <w:ind w:left="0" w:right="0"/>
              <w:jc w:val="center"/>
              <w:rPr>
                <w:rFonts w:hint="default"/>
                <w:color w:val="auto"/>
                <w:highlight w:val="none"/>
                <w:vertAlign w:val="baseline"/>
              </w:rPr>
            </w:pPr>
            <w:r>
              <w:rPr>
                <w:rFonts w:hint="default" w:ascii="Times New Roman" w:hAnsi="Times New Roman" w:eastAsia="宋体" w:cs="Times New Roman"/>
                <w:bCs/>
                <w:color w:val="auto"/>
                <w:szCs w:val="21"/>
                <w:highlight w:val="none"/>
              </w:rPr>
              <w:t>运营期环境影响和保护</w:t>
            </w:r>
            <w:r>
              <w:rPr>
                <w:rFonts w:hint="default" w:ascii="Times New Roman" w:hAnsi="Times New Roman" w:eastAsia="宋体" w:cs="Times New Roman"/>
                <w:bCs/>
                <w:color w:val="auto"/>
                <w:szCs w:val="21"/>
                <w:highlight w:val="none"/>
                <w:lang w:val="en-US" w:eastAsia="zh-CN"/>
              </w:rPr>
              <w:t>措施</w:t>
            </w:r>
          </w:p>
        </w:tc>
        <w:tc>
          <w:tcPr>
            <w:tcW w:w="8309" w:type="dxa"/>
            <w:vAlign w:val="center"/>
          </w:tcPr>
          <w:p w14:paraId="75FEE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4.大气环境影响分析</w:t>
            </w:r>
          </w:p>
          <w:p w14:paraId="286F53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本项目运营期产生的废气污染物为颗粒物，根据现场勘察，项目厂界外500m范围内环境保护目标为</w:t>
            </w:r>
            <w:r>
              <w:rPr>
                <w:rFonts w:hint="eastAsia" w:cs="Times New Roman"/>
                <w:color w:val="auto"/>
                <w:kern w:val="2"/>
                <w:sz w:val="24"/>
                <w:szCs w:val="24"/>
                <w:highlight w:val="none"/>
                <w:lang w:val="en-US" w:eastAsia="zh-CN" w:bidi="ar"/>
              </w:rPr>
              <w:t>西酪余村</w:t>
            </w:r>
            <w:r>
              <w:rPr>
                <w:rFonts w:hint="eastAsia" w:ascii="Times New Roman" w:hAnsi="Times New Roman" w:eastAsia="宋体" w:cs="Times New Roman"/>
                <w:b w:val="0"/>
                <w:bCs/>
                <w:color w:val="auto"/>
                <w:sz w:val="24"/>
                <w:szCs w:val="24"/>
                <w:highlight w:val="none"/>
                <w:lang w:val="en-US" w:eastAsia="zh-CN"/>
              </w:rPr>
              <w:t>，所在区域环境空气质量为不达标区，当地政府全面贯彻落实大气污染防治攻坚措施，将不断改善区域环境空气质量。</w:t>
            </w:r>
          </w:p>
          <w:p w14:paraId="552BA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（1）有组织废气</w:t>
            </w:r>
          </w:p>
          <w:p w14:paraId="025DAA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本项目有组织废气污染源主为给料、</w:t>
            </w:r>
            <w:r>
              <w:rPr>
                <w:rFonts w:hint="eastAsia" w:cs="Times New Roman"/>
                <w:b w:val="0"/>
                <w:bCs/>
                <w:color w:val="auto"/>
                <w:sz w:val="24"/>
                <w:szCs w:val="24"/>
                <w:highlight w:val="none"/>
                <w:lang w:val="en-US" w:eastAsia="zh-CN"/>
              </w:rPr>
              <w:t>破碎</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制砂、</w:t>
            </w:r>
            <w:r>
              <w:rPr>
                <w:rFonts w:hint="eastAsia" w:ascii="Times New Roman" w:hAnsi="Times New Roman" w:eastAsia="宋体" w:cs="Times New Roman"/>
                <w:b w:val="0"/>
                <w:bCs/>
                <w:color w:val="auto"/>
                <w:sz w:val="24"/>
                <w:szCs w:val="24"/>
                <w:highlight w:val="none"/>
                <w:lang w:val="en-US" w:eastAsia="zh-CN"/>
              </w:rPr>
              <w:t>筛分产生的粉尘，</w:t>
            </w:r>
            <w:r>
              <w:rPr>
                <w:rFonts w:hint="default" w:ascii="Times New Roman" w:hAnsi="Times New Roman"/>
                <w:color w:val="auto"/>
                <w:sz w:val="24"/>
                <w:lang w:eastAsia="zh-CN"/>
              </w:rPr>
              <w:t>给料机</w:t>
            </w:r>
            <w:r>
              <w:rPr>
                <w:rFonts w:hint="eastAsia"/>
                <w:color w:val="auto"/>
                <w:sz w:val="24"/>
                <w:lang w:val="en-US" w:eastAsia="zh-CN"/>
              </w:rPr>
              <w:t>上方安装1个柜式集气罩</w:t>
            </w:r>
            <w:r>
              <w:rPr>
                <w:rFonts w:hint="default" w:ascii="Times New Roman" w:hAnsi="Times New Roman"/>
                <w:color w:val="auto"/>
                <w:sz w:val="24"/>
                <w:lang w:eastAsia="zh-CN"/>
              </w:rPr>
              <w:t>，</w:t>
            </w:r>
            <w:r>
              <w:rPr>
                <w:rFonts w:hint="eastAsia"/>
                <w:color w:val="auto"/>
                <w:sz w:val="24"/>
                <w:lang w:val="en-US" w:eastAsia="zh-CN"/>
              </w:rPr>
              <w:t>箱式破碎机为全封闭式，上方设置集气管道，废气经收集后共同引入一台布袋除尘器</w:t>
            </w:r>
            <w:r>
              <w:rPr>
                <w:rFonts w:hint="eastAsia"/>
                <w:color w:val="auto"/>
                <w:sz w:val="24"/>
                <w:highlight w:val="none"/>
                <w:lang w:eastAsia="zh-CN"/>
              </w:rPr>
              <w:t>（</w:t>
            </w:r>
            <w:r>
              <w:rPr>
                <w:rFonts w:hint="eastAsia"/>
                <w:color w:val="auto"/>
                <w:sz w:val="24"/>
                <w:highlight w:val="none"/>
                <w:lang w:val="en-US" w:eastAsia="zh-CN"/>
              </w:rPr>
              <w:t>TA001</w:t>
            </w:r>
            <w:r>
              <w:rPr>
                <w:rFonts w:hint="eastAsia"/>
                <w:color w:val="auto"/>
                <w:sz w:val="24"/>
                <w:highlight w:val="none"/>
                <w:lang w:eastAsia="zh-CN"/>
              </w:rPr>
              <w:t>）</w:t>
            </w:r>
            <w:r>
              <w:rPr>
                <w:rFonts w:hint="eastAsia"/>
                <w:color w:val="auto"/>
                <w:sz w:val="24"/>
              </w:rPr>
              <w:t>处理</w:t>
            </w:r>
            <w:r>
              <w:rPr>
                <w:rFonts w:hint="eastAsia"/>
                <w:color w:val="auto"/>
                <w:sz w:val="24"/>
                <w:lang w:val="en-US" w:eastAsia="zh-CN"/>
              </w:rPr>
              <w:t>后</w:t>
            </w:r>
            <w:r>
              <w:rPr>
                <w:rFonts w:hint="eastAsia"/>
                <w:color w:val="auto"/>
                <w:sz w:val="24"/>
              </w:rPr>
              <w:t>，</w:t>
            </w:r>
            <w:r>
              <w:rPr>
                <w:rFonts w:hint="eastAsia"/>
                <w:color w:val="auto"/>
                <w:sz w:val="24"/>
                <w:lang w:val="en-US" w:eastAsia="zh-CN"/>
              </w:rPr>
              <w:t>由</w:t>
            </w:r>
            <w:r>
              <w:rPr>
                <w:rFonts w:hint="default"/>
                <w:color w:val="auto"/>
                <w:sz w:val="24"/>
              </w:rPr>
              <w:t>1根15m高排气筒（</w:t>
            </w:r>
            <w:r>
              <w:rPr>
                <w:rFonts w:hint="eastAsia"/>
                <w:color w:val="auto"/>
                <w:sz w:val="24"/>
              </w:rPr>
              <w:t>D</w:t>
            </w:r>
            <w:r>
              <w:rPr>
                <w:rFonts w:hint="default"/>
                <w:color w:val="auto"/>
                <w:sz w:val="24"/>
              </w:rPr>
              <w:t>A00</w:t>
            </w:r>
            <w:r>
              <w:rPr>
                <w:rFonts w:hint="eastAsia"/>
                <w:color w:val="auto"/>
                <w:sz w:val="24"/>
                <w:lang w:val="en-US" w:eastAsia="zh-CN"/>
              </w:rPr>
              <w:t>1</w:t>
            </w:r>
            <w:r>
              <w:rPr>
                <w:rFonts w:hint="default"/>
                <w:color w:val="auto"/>
                <w:sz w:val="24"/>
              </w:rPr>
              <w:t>）排放</w:t>
            </w:r>
            <w:r>
              <w:rPr>
                <w:rFonts w:hint="eastAsia"/>
                <w:color w:val="auto"/>
                <w:sz w:val="24"/>
                <w:lang w:eastAsia="zh-CN"/>
              </w:rPr>
              <w:t>。</w:t>
            </w:r>
            <w:r>
              <w:rPr>
                <w:rFonts w:hint="eastAsia"/>
                <w:color w:val="auto"/>
                <w:sz w:val="24"/>
                <w:lang w:val="en-US" w:eastAsia="zh-CN"/>
              </w:rPr>
              <w:t>锤式制砂机和振动筛为全封闭式，上方</w:t>
            </w:r>
            <w:r>
              <w:rPr>
                <w:rFonts w:hint="default"/>
                <w:color w:val="auto"/>
                <w:sz w:val="24"/>
              </w:rPr>
              <w:t>设置</w:t>
            </w:r>
            <w:r>
              <w:rPr>
                <w:rFonts w:hint="eastAsia"/>
                <w:color w:val="auto"/>
                <w:sz w:val="24"/>
                <w:lang w:val="en-US" w:eastAsia="zh-CN"/>
              </w:rPr>
              <w:t>集气管道</w:t>
            </w:r>
            <w:r>
              <w:rPr>
                <w:rFonts w:hint="eastAsia"/>
                <w:color w:val="auto"/>
                <w:sz w:val="24"/>
              </w:rPr>
              <w:t>，废气</w:t>
            </w:r>
            <w:r>
              <w:rPr>
                <w:rFonts w:hint="eastAsia"/>
                <w:color w:val="auto"/>
                <w:sz w:val="24"/>
                <w:lang w:val="en-US" w:eastAsia="zh-CN"/>
              </w:rPr>
              <w:t>收集后共同引入</w:t>
            </w:r>
            <w:r>
              <w:rPr>
                <w:rFonts w:hint="eastAsia"/>
                <w:color w:val="auto"/>
                <w:sz w:val="24"/>
                <w:highlight w:val="none"/>
                <w:lang w:val="en-US" w:eastAsia="zh-CN"/>
              </w:rPr>
              <w:t>1台</w:t>
            </w:r>
            <w:r>
              <w:rPr>
                <w:rFonts w:hint="eastAsia"/>
                <w:color w:val="auto"/>
                <w:sz w:val="24"/>
                <w:highlight w:val="none"/>
              </w:rPr>
              <w:t>布袋除尘器</w:t>
            </w:r>
            <w:r>
              <w:rPr>
                <w:rFonts w:hint="eastAsia"/>
                <w:color w:val="auto"/>
                <w:sz w:val="24"/>
                <w:highlight w:val="none"/>
                <w:lang w:eastAsia="zh-CN"/>
              </w:rPr>
              <w:t>（</w:t>
            </w:r>
            <w:r>
              <w:rPr>
                <w:rFonts w:hint="eastAsia"/>
                <w:color w:val="auto"/>
                <w:sz w:val="24"/>
                <w:highlight w:val="none"/>
                <w:lang w:val="en-US" w:eastAsia="zh-CN"/>
              </w:rPr>
              <w:t>TA002</w:t>
            </w:r>
            <w:r>
              <w:rPr>
                <w:rFonts w:hint="eastAsia"/>
                <w:color w:val="auto"/>
                <w:sz w:val="24"/>
                <w:highlight w:val="none"/>
                <w:lang w:eastAsia="zh-CN"/>
              </w:rPr>
              <w:t>）</w:t>
            </w:r>
            <w:r>
              <w:rPr>
                <w:rFonts w:hint="eastAsia"/>
                <w:color w:val="auto"/>
                <w:sz w:val="24"/>
              </w:rPr>
              <w:t>处理</w:t>
            </w:r>
            <w:r>
              <w:rPr>
                <w:rFonts w:hint="eastAsia"/>
                <w:color w:val="auto"/>
                <w:sz w:val="24"/>
                <w:lang w:val="en-US" w:eastAsia="zh-CN"/>
              </w:rPr>
              <w:t>后</w:t>
            </w:r>
            <w:r>
              <w:rPr>
                <w:rFonts w:hint="eastAsia"/>
                <w:color w:val="auto"/>
                <w:sz w:val="24"/>
              </w:rPr>
              <w:t>，</w:t>
            </w:r>
            <w:r>
              <w:rPr>
                <w:rFonts w:hint="eastAsia"/>
                <w:color w:val="auto"/>
                <w:sz w:val="24"/>
                <w:lang w:val="en-US" w:eastAsia="zh-CN"/>
              </w:rPr>
              <w:t>由</w:t>
            </w:r>
            <w:r>
              <w:rPr>
                <w:rFonts w:hint="default"/>
                <w:color w:val="auto"/>
                <w:sz w:val="24"/>
              </w:rPr>
              <w:t>1根15m高排气筒（</w:t>
            </w:r>
            <w:r>
              <w:rPr>
                <w:rFonts w:hint="eastAsia"/>
                <w:color w:val="auto"/>
                <w:sz w:val="24"/>
              </w:rPr>
              <w:t>D</w:t>
            </w:r>
            <w:r>
              <w:rPr>
                <w:rFonts w:hint="default"/>
                <w:color w:val="auto"/>
                <w:sz w:val="24"/>
              </w:rPr>
              <w:t>A00</w:t>
            </w:r>
            <w:r>
              <w:rPr>
                <w:rFonts w:hint="eastAsia"/>
                <w:color w:val="auto"/>
                <w:sz w:val="24"/>
                <w:lang w:val="en-US" w:eastAsia="zh-CN"/>
              </w:rPr>
              <w:t>2</w:t>
            </w:r>
            <w:r>
              <w:rPr>
                <w:rFonts w:hint="default"/>
                <w:color w:val="auto"/>
                <w:sz w:val="24"/>
              </w:rPr>
              <w:t>）排放</w:t>
            </w:r>
            <w:r>
              <w:rPr>
                <w:rFonts w:hint="eastAsia"/>
                <w:color w:val="auto"/>
                <w:sz w:val="24"/>
                <w:lang w:eastAsia="zh-CN"/>
              </w:rPr>
              <w:t>。</w:t>
            </w:r>
            <w:r>
              <w:rPr>
                <w:rFonts w:hint="eastAsia"/>
                <w:color w:val="auto"/>
                <w:sz w:val="24"/>
                <w:highlight w:val="none"/>
                <w:lang w:val="en-US" w:eastAsia="zh-CN" w:bidi="ar"/>
              </w:rPr>
              <w:t>物料运输采用皮带输送机为全封闭式，运输转载粉尘就近接入相应的除尘器中。本项目</w:t>
            </w:r>
            <w:r>
              <w:rPr>
                <w:rFonts w:hint="eastAsia" w:cs="Times New Roman"/>
                <w:b w:val="0"/>
                <w:bCs/>
                <w:color w:val="auto"/>
                <w:sz w:val="24"/>
                <w:szCs w:val="24"/>
                <w:highlight w:val="none"/>
                <w:lang w:val="en-US" w:eastAsia="zh-CN"/>
              </w:rPr>
              <w:t>有组织颗粒物</w:t>
            </w:r>
            <w:r>
              <w:rPr>
                <w:rFonts w:hint="eastAsia" w:ascii="Times New Roman" w:hAnsi="Times New Roman" w:eastAsia="宋体" w:cs="Times New Roman"/>
                <w:b w:val="0"/>
                <w:bCs/>
                <w:color w:val="auto"/>
                <w:sz w:val="24"/>
                <w:szCs w:val="24"/>
                <w:highlight w:val="none"/>
                <w:lang w:val="en-US" w:eastAsia="zh-CN"/>
              </w:rPr>
              <w:t>排放浓度均满足《大气污染物综合排放标准》（GB16297-1996）表2二级标准要求，同时满足</w:t>
            </w:r>
            <w:r>
              <w:rPr>
                <w:rFonts w:hint="eastAsia" w:ascii="Times New Roman" w:hAnsi="Times New Roman" w:eastAsia="宋体" w:cs="Times New Roman"/>
                <w:snapToGrid w:val="0"/>
                <w:color w:val="auto"/>
                <w:sz w:val="24"/>
                <w:szCs w:val="20"/>
                <w:highlight w:val="none"/>
                <w:lang w:val="en-US" w:eastAsia="zh-CN"/>
              </w:rPr>
              <w:t>《长治市大气污染防治工作领导组办公室文件关于印发长治市工业企业无组织排放治理实施方案的通知》（长气防办[2019]9号）特别</w:t>
            </w:r>
            <w:r>
              <w:rPr>
                <w:rFonts w:hint="eastAsia" w:ascii="Times New Roman" w:hAnsi="Times New Roman" w:eastAsia="宋体" w:cs="Times New Roman"/>
                <w:b w:val="0"/>
                <w:bCs/>
                <w:color w:val="auto"/>
                <w:sz w:val="24"/>
                <w:szCs w:val="24"/>
                <w:highlight w:val="none"/>
                <w:lang w:val="en-US" w:eastAsia="zh-CN"/>
              </w:rPr>
              <w:t>排放限值要求（颗粒物≤10mg/m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），能够实现达标排放。</w:t>
            </w:r>
          </w:p>
          <w:p w14:paraId="72C0EF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（2）无组织废气</w:t>
            </w:r>
          </w:p>
          <w:p w14:paraId="454128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lang w:eastAsia="zh-CN"/>
              </w:rPr>
            </w:pPr>
            <w:r>
              <w:rPr>
                <w:rFonts w:hint="eastAsia" w:cs="Times New Roman"/>
                <w:b w:val="0"/>
                <w:bCs/>
                <w:color w:val="auto"/>
                <w:sz w:val="24"/>
                <w:szCs w:val="24"/>
                <w:highlight w:val="none"/>
                <w:lang w:val="en-US" w:eastAsia="zh-CN"/>
              </w:rPr>
              <w:t>本项目无组织废气污染源主要为</w:t>
            </w:r>
            <w:r>
              <w:rPr>
                <w:rFonts w:hint="eastAsia" w:cs="Times New Roman"/>
                <w:color w:val="auto"/>
                <w:sz w:val="24"/>
                <w:highlight w:val="none"/>
                <w:lang w:val="en-US" w:eastAsia="zh-CN"/>
              </w:rPr>
              <w:t>原料及成品运输产生的扬尘，原料及成品堆放</w:t>
            </w:r>
            <w:r>
              <w:rPr>
                <w:rFonts w:hint="default"/>
                <w:bCs/>
                <w:color w:val="auto"/>
                <w:sz w:val="24"/>
              </w:rPr>
              <w:t>、装卸产生的扬尘</w:t>
            </w:r>
            <w:r>
              <w:rPr>
                <w:rFonts w:hint="eastAsia"/>
                <w:bCs/>
                <w:color w:val="auto"/>
                <w:sz w:val="24"/>
                <w:lang w:eastAsia="zh-CN"/>
              </w:rPr>
              <w:t>。</w:t>
            </w:r>
          </w:p>
          <w:p w14:paraId="780BD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bCs/>
                <w:color w:val="auto"/>
                <w:sz w:val="24"/>
                <w:highlight w:val="none"/>
                <w:lang w:val="en-US" w:eastAsia="zh-CN"/>
              </w:rPr>
            </w:pPr>
            <w:r>
              <w:rPr>
                <w:rFonts w:hint="eastAsia"/>
                <w:bCs/>
                <w:color w:val="auto"/>
                <w:sz w:val="24"/>
                <w:highlight w:val="none"/>
                <w:lang w:val="en-US" w:eastAsia="zh-CN"/>
              </w:rPr>
              <w:t>根据</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《山西省深入推进扬尘污染治理实施方案》、《环境空气细颗粒物污染综合防治技术政策》、《国务院关于印发大气污染物防治行动计划的通知》</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eastAsia"/>
                <w:bCs/>
                <w:color w:val="auto"/>
                <w:sz w:val="24"/>
                <w:highlight w:val="none"/>
                <w:lang w:eastAsia="zh-CN"/>
              </w:rPr>
              <w:t>《长治市大气污染防治工作领导组办公室关于进一步加强工业企业污染治理的通知》（长气防办[2023]6号）</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等文件要求</w:t>
            </w:r>
            <w:r>
              <w:rPr>
                <w:rFonts w:hint="eastAsia"/>
                <w:bCs/>
                <w:color w:val="auto"/>
                <w:sz w:val="24"/>
                <w:highlight w:val="none"/>
                <w:lang w:eastAsia="zh-CN"/>
              </w:rPr>
              <w:t>，</w:t>
            </w:r>
            <w:r>
              <w:rPr>
                <w:rFonts w:hint="eastAsia"/>
                <w:bCs/>
                <w:color w:val="auto"/>
                <w:sz w:val="24"/>
                <w:highlight w:val="none"/>
                <w:lang w:val="en-US" w:eastAsia="zh-CN"/>
              </w:rPr>
              <w:t>评价要求：</w:t>
            </w:r>
          </w:p>
          <w:p w14:paraId="505AE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eastAsia"/>
                <w:bCs/>
                <w:color w:val="auto"/>
                <w:sz w:val="24"/>
                <w:highlight w:val="none"/>
                <w:lang w:val="en-US" w:eastAsia="zh-CN"/>
              </w:rPr>
              <w:t xml:space="preserve">A </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非道路移动机械管控措施</w:t>
            </w:r>
          </w:p>
          <w:p w14:paraId="29D987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①施工单位应严格按照生态环境部《关于加快推进非道路移动机械摸底调查和编码登记工作的通知》</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环办大气函(2019]655号</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等文件要求，规范在用非道路移动机械编码登记工作等；厂内转运车辆</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装载机</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采用国</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四</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及以上排放标准的重型车或新能源，严格执行《非道路移动机械用柴油机排气污染物排放限值及测量方法</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中国第三、四阶段</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GB20891-2014</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及其修改单中相关排放限值标准:外部运输全部采用新能源汽车或达到国六排放标准的全封闭绿色厢车运输；禁止使用国三及以下非道路移动机械、专项作业车</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工程机械车，使用非道路柴油移动机械设备必须达到《非道路移动柴油机械排气烟度限值及测量方法》</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GB36886-2018</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要求的相关排放标准，积极完成环保信息的注册登记、尾气检测、环保号牌安装、北斗定位系统安装等，同时连接当地移动源监管平台等登记备案工作。</w:t>
            </w:r>
          </w:p>
          <w:p w14:paraId="09F7E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②建设单位在采购装载机时，优先考虑采购装用机械安装壁流式颗粒物捕集器</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DPF</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w:t>
            </w:r>
          </w:p>
          <w:p w14:paraId="4C629E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③加强装载机的排放检测和维修。加强机械的维修、保养，使其保持良好的技术状态。进行装载机检测，排放不达标强制进行维修、保养，保证装载机环保污染控制装置处于正常技术状态。</w:t>
            </w:r>
          </w:p>
          <w:p w14:paraId="5038DF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④加强装载机的噪声控制。禁止任何单位或个人擅自拆除弃用非道路移动机械的消声、隔声和吸声装置，加强对噪声控制装置的维护保养。</w:t>
            </w:r>
          </w:p>
          <w:p w14:paraId="4C7BB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B</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 xml:space="preserve"> </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厂区、车间、原料</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堆放区</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成品库、</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厂内道路及厂内连接道路管理要求</w:t>
            </w:r>
          </w:p>
          <w:p w14:paraId="55802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①</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生产车间为全封闭钢结构厂房，车间大门为钢质推拉门，无车辆出入时应保持关闭状态</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，成品库</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为全封闭钢结构厂房，车间大门</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为红外不锈钢自动起闭门。</w:t>
            </w:r>
          </w:p>
          <w:p w14:paraId="3049F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②原料堆放区顶部</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应设置喷淋系统，平时保持每日一次喷淋，卸料时同步开启喷淋设施喷淋抑尘</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，成品库和车间入口处设置雾帘系统，库房及车间开关门时启动雾帘系统，防止扬尘抑散。</w:t>
            </w:r>
          </w:p>
          <w:p w14:paraId="2E7DCB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③设置清扫车，对厂区及厂内道路的尘土等进行及时清扫，确保厂区和厂内道路无积尘，每日对厂区及厂内道路进行洒水一次。</w:t>
            </w:r>
          </w:p>
          <w:p w14:paraId="6C7918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④定时对布袋除尘器进行卸灰，卸灰时将</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吨袋</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套在卸灰口上，然后进行卸灰，卸灰完成后及时对包装袋进行封口，并对卸灰场地进行清扫，不得在地面留有灰尘。</w:t>
            </w:r>
          </w:p>
          <w:p w14:paraId="1E5F82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⑤厂内空地使用当地常见草种进行绿化，</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除绿化区域均使用混凝土进行硬化</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w:t>
            </w:r>
          </w:p>
          <w:p w14:paraId="03D4D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 xml:space="preserve">C </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运输车辆防治要求</w:t>
            </w:r>
          </w:p>
          <w:p w14:paraId="1B0D41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本项目年运输量不足150万吨，不需要建设铁路专用运输线。本项目运输车辆均依靠社会运输车队进行运输，环评要求涉及的原料及成品运输车辆需全部使用达到国六排放标准的重型载货车辆（含燃气）或新能源车辆。厂区出入口处设置标准化</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站房式</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洗车平台，对进出厂车辆进行冲洗，厂区出入口要安装门禁系统，配套相关视频监控。</w:t>
            </w:r>
          </w:p>
          <w:p w14:paraId="5E7C7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D</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 xml:space="preserve"> </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运输沿途的环境敏感目标及控制措施</w:t>
            </w:r>
          </w:p>
          <w:p w14:paraId="71B0B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auto"/>
                <w:sz w:val="24"/>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本项目原料、产品一般</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常庙线</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常黑</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线及村道进出厂区，本项目原料、产品运输沿途的环境敏感目标主要为村道沿线村庄，主要影响村庄包括</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西酪余村、东酪余村</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本项目</w:t>
            </w:r>
            <w:r>
              <w:rPr>
                <w:rFonts w:hint="eastAsia"/>
                <w:color w:val="auto"/>
                <w:sz w:val="24"/>
              </w:rPr>
              <w:t>运输路线见附图1</w:t>
            </w:r>
            <w:r>
              <w:rPr>
                <w:rFonts w:hint="eastAsia"/>
                <w:color w:val="auto"/>
                <w:sz w:val="24"/>
                <w:lang w:val="en-US" w:eastAsia="zh-CN"/>
              </w:rPr>
              <w:t>0</w:t>
            </w:r>
            <w:r>
              <w:rPr>
                <w:rFonts w:hint="eastAsia"/>
                <w:color w:val="auto"/>
                <w:sz w:val="24"/>
              </w:rPr>
              <w:t>，运输线路的环境保护目标主要为运输道路周边的村庄等，见下表：</w:t>
            </w:r>
          </w:p>
          <w:p w14:paraId="128A7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b/>
                <w:color w:val="auto"/>
              </w:rPr>
            </w:pPr>
            <w:r>
              <w:rPr>
                <w:rFonts w:hint="eastAsia"/>
                <w:b/>
                <w:color w:val="auto"/>
              </w:rPr>
              <w:t>表4-</w:t>
            </w:r>
            <w:r>
              <w:rPr>
                <w:rFonts w:hint="eastAsia"/>
                <w:b/>
                <w:color w:val="auto"/>
                <w:lang w:val="en-US" w:eastAsia="zh-CN"/>
              </w:rPr>
              <w:t>7</w:t>
            </w:r>
            <w:r>
              <w:rPr>
                <w:rFonts w:hint="eastAsia"/>
                <w:b/>
                <w:color w:val="auto"/>
              </w:rPr>
              <w:t xml:space="preserve">  运输路线中主要环境保护目标</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1570"/>
              <w:gridCol w:w="2173"/>
              <w:gridCol w:w="1673"/>
            </w:tblGrid>
            <w:tr w14:paraId="504B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50" w:type="pct"/>
                  <w:tcBorders>
                    <w:tl2br w:val="nil"/>
                    <w:tr2bl w:val="nil"/>
                  </w:tcBorders>
                  <w:noWrap w:val="0"/>
                  <w:vAlign w:val="center"/>
                </w:tcPr>
                <w:p w14:paraId="5679F069">
                  <w:pPr>
                    <w:pStyle w:val="95"/>
                    <w:keepNext w:val="0"/>
                    <w:keepLines w:val="0"/>
                    <w:suppressLineNumbers w:val="0"/>
                    <w:snapToGrid w:val="0"/>
                    <w:spacing w:before="0" w:beforeAutospacing="0" w:after="0" w:afterAutospacing="0" w:line="240" w:lineRule="auto"/>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保护目标</w:t>
                  </w:r>
                </w:p>
              </w:tc>
              <w:tc>
                <w:tcPr>
                  <w:tcW w:w="971" w:type="pct"/>
                  <w:tcBorders>
                    <w:tl2br w:val="nil"/>
                    <w:tr2bl w:val="nil"/>
                  </w:tcBorders>
                  <w:noWrap w:val="0"/>
                  <w:vAlign w:val="center"/>
                </w:tcPr>
                <w:p w14:paraId="69CE7EF2">
                  <w:pPr>
                    <w:pStyle w:val="95"/>
                    <w:keepNext w:val="0"/>
                    <w:keepLines w:val="0"/>
                    <w:suppressLineNumbers w:val="0"/>
                    <w:snapToGrid w:val="0"/>
                    <w:spacing w:before="0" w:beforeAutospacing="0" w:after="0" w:afterAutospacing="0" w:line="240" w:lineRule="auto"/>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方位</w:t>
                  </w:r>
                </w:p>
              </w:tc>
              <w:tc>
                <w:tcPr>
                  <w:tcW w:w="1344" w:type="pct"/>
                  <w:tcBorders>
                    <w:tl2br w:val="nil"/>
                    <w:tr2bl w:val="nil"/>
                  </w:tcBorders>
                  <w:noWrap w:val="0"/>
                  <w:vAlign w:val="center"/>
                </w:tcPr>
                <w:p w14:paraId="39B4335F">
                  <w:pPr>
                    <w:pStyle w:val="95"/>
                    <w:keepNext w:val="0"/>
                    <w:keepLines w:val="0"/>
                    <w:suppressLineNumbers w:val="0"/>
                    <w:snapToGrid w:val="0"/>
                    <w:spacing w:before="0" w:beforeAutospacing="0" w:after="0" w:afterAutospacing="0" w:line="240" w:lineRule="auto"/>
                    <w:ind w:left="0" w:right="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距离（m）</w:t>
                  </w:r>
                </w:p>
              </w:tc>
              <w:tc>
                <w:tcPr>
                  <w:tcW w:w="1035" w:type="pct"/>
                  <w:tcBorders>
                    <w:tl2br w:val="nil"/>
                    <w:tr2bl w:val="nil"/>
                  </w:tcBorders>
                  <w:noWrap w:val="0"/>
                  <w:vAlign w:val="center"/>
                </w:tcPr>
                <w:p w14:paraId="413561BB">
                  <w:pPr>
                    <w:pStyle w:val="95"/>
                    <w:keepNext w:val="0"/>
                    <w:keepLines w:val="0"/>
                    <w:suppressLineNumbers w:val="0"/>
                    <w:snapToGrid w:val="0"/>
                    <w:spacing w:before="0" w:beforeAutospacing="0" w:after="0" w:afterAutospacing="0" w:line="240" w:lineRule="auto"/>
                    <w:ind w:left="0" w:right="0"/>
                    <w:rPr>
                      <w:rFonts w:hint="eastAsia"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rPr>
                    <w:t>人口</w:t>
                  </w:r>
                  <w:r>
                    <w:rPr>
                      <w:rFonts w:hint="eastAsia" w:ascii="Times New Roman" w:hAnsi="Times New Roman" w:cs="Times New Roman"/>
                      <w:b/>
                      <w:bCs w:val="0"/>
                      <w:color w:val="auto"/>
                      <w:sz w:val="21"/>
                      <w:szCs w:val="21"/>
                      <w:lang w:val="en-US" w:eastAsia="zh-CN"/>
                    </w:rPr>
                    <w:t>数（人）</w:t>
                  </w:r>
                </w:p>
              </w:tc>
            </w:tr>
            <w:tr w14:paraId="5E41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50" w:type="pct"/>
                  <w:tcBorders>
                    <w:tl2br w:val="nil"/>
                    <w:tr2bl w:val="nil"/>
                  </w:tcBorders>
                  <w:noWrap w:val="0"/>
                  <w:vAlign w:val="center"/>
                </w:tcPr>
                <w:p w14:paraId="4501ABDF">
                  <w:pPr>
                    <w:pStyle w:val="95"/>
                    <w:keepNext w:val="0"/>
                    <w:keepLines w:val="0"/>
                    <w:suppressLineNumbers w:val="0"/>
                    <w:snapToGrid w:val="0"/>
                    <w:spacing w:before="0" w:beforeAutospacing="0" w:after="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西酪余</w:t>
                  </w:r>
                  <w:r>
                    <w:rPr>
                      <w:rFonts w:hint="default" w:ascii="Times New Roman" w:hAnsi="Times New Roman" w:cs="Times New Roman"/>
                      <w:b w:val="0"/>
                      <w:bCs/>
                      <w:color w:val="auto"/>
                      <w:sz w:val="21"/>
                      <w:szCs w:val="21"/>
                    </w:rPr>
                    <w:t>村</w:t>
                  </w:r>
                </w:p>
              </w:tc>
              <w:tc>
                <w:tcPr>
                  <w:tcW w:w="971" w:type="pct"/>
                  <w:tcBorders>
                    <w:tl2br w:val="nil"/>
                    <w:tr2bl w:val="nil"/>
                  </w:tcBorders>
                  <w:noWrap w:val="0"/>
                  <w:vAlign w:val="center"/>
                </w:tcPr>
                <w:p w14:paraId="47D16F2E">
                  <w:pPr>
                    <w:pStyle w:val="95"/>
                    <w:keepNext w:val="0"/>
                    <w:keepLines w:val="0"/>
                    <w:suppressLineNumbers w:val="0"/>
                    <w:snapToGrid w:val="0"/>
                    <w:spacing w:before="0" w:beforeAutospacing="0" w:after="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SW</w:t>
                  </w:r>
                </w:p>
              </w:tc>
              <w:tc>
                <w:tcPr>
                  <w:tcW w:w="1344" w:type="pct"/>
                  <w:tcBorders>
                    <w:tl2br w:val="nil"/>
                    <w:tr2bl w:val="nil"/>
                  </w:tcBorders>
                  <w:noWrap w:val="0"/>
                  <w:vAlign w:val="center"/>
                </w:tcPr>
                <w:p w14:paraId="79755D6D">
                  <w:pPr>
                    <w:pStyle w:val="95"/>
                    <w:keepNext w:val="0"/>
                    <w:keepLines w:val="0"/>
                    <w:suppressLineNumbers w:val="0"/>
                    <w:snapToGrid w:val="0"/>
                    <w:spacing w:before="0" w:beforeAutospacing="0" w:after="0" w:afterAutospacing="0" w:line="240" w:lineRule="auto"/>
                    <w:ind w:left="0" w:right="0"/>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3</w:t>
                  </w:r>
                  <w:r>
                    <w:rPr>
                      <w:rFonts w:hint="default" w:ascii="Times New Roman" w:hAnsi="Times New Roman" w:cs="Times New Roman"/>
                      <w:b w:val="0"/>
                      <w:bCs/>
                      <w:color w:val="auto"/>
                      <w:sz w:val="21"/>
                      <w:szCs w:val="21"/>
                    </w:rPr>
                    <w:t>62</w:t>
                  </w:r>
                </w:p>
              </w:tc>
              <w:tc>
                <w:tcPr>
                  <w:tcW w:w="1035" w:type="pct"/>
                  <w:tcBorders>
                    <w:tl2br w:val="nil"/>
                    <w:tr2bl w:val="nil"/>
                  </w:tcBorders>
                  <w:noWrap w:val="0"/>
                  <w:vAlign w:val="center"/>
                </w:tcPr>
                <w:p w14:paraId="4D34BC23">
                  <w:pPr>
                    <w:pStyle w:val="95"/>
                    <w:keepNext w:val="0"/>
                    <w:keepLines w:val="0"/>
                    <w:suppressLineNumbers w:val="0"/>
                    <w:snapToGrid w:val="0"/>
                    <w:spacing w:before="0" w:beforeAutospacing="0" w:after="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rPr>
                    <w:t>20</w:t>
                  </w:r>
                </w:p>
              </w:tc>
            </w:tr>
            <w:tr w14:paraId="790B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50" w:type="pct"/>
                  <w:tcBorders>
                    <w:tl2br w:val="nil"/>
                    <w:tr2bl w:val="nil"/>
                  </w:tcBorders>
                  <w:noWrap w:val="0"/>
                  <w:vAlign w:val="center"/>
                </w:tcPr>
                <w:p w14:paraId="2B29434E">
                  <w:pPr>
                    <w:pStyle w:val="95"/>
                    <w:keepNext w:val="0"/>
                    <w:keepLines w:val="0"/>
                    <w:suppressLineNumbers w:val="0"/>
                    <w:snapToGrid w:val="0"/>
                    <w:spacing w:before="0" w:beforeAutospacing="0" w:after="0" w:afterAutospacing="0" w:line="240" w:lineRule="auto"/>
                    <w:ind w:left="0" w:right="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东酪余</w:t>
                  </w:r>
                  <w:r>
                    <w:rPr>
                      <w:rFonts w:hint="default" w:ascii="Times New Roman" w:hAnsi="Times New Roman" w:cs="Times New Roman"/>
                      <w:b w:val="0"/>
                      <w:bCs/>
                      <w:color w:val="auto"/>
                      <w:sz w:val="21"/>
                      <w:szCs w:val="21"/>
                    </w:rPr>
                    <w:t>村</w:t>
                  </w:r>
                </w:p>
              </w:tc>
              <w:tc>
                <w:tcPr>
                  <w:tcW w:w="971" w:type="pct"/>
                  <w:tcBorders>
                    <w:tl2br w:val="nil"/>
                    <w:tr2bl w:val="nil"/>
                  </w:tcBorders>
                  <w:noWrap w:val="0"/>
                  <w:vAlign w:val="center"/>
                </w:tcPr>
                <w:p w14:paraId="4C7B121F">
                  <w:pPr>
                    <w:pStyle w:val="95"/>
                    <w:keepNext w:val="0"/>
                    <w:keepLines w:val="0"/>
                    <w:suppressLineNumbers w:val="0"/>
                    <w:snapToGrid w:val="0"/>
                    <w:spacing w:before="0" w:beforeAutospacing="0" w:after="0" w:afterAutospacing="0" w:line="240" w:lineRule="auto"/>
                    <w:ind w:left="0" w:right="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SE</w:t>
                  </w:r>
                </w:p>
              </w:tc>
              <w:tc>
                <w:tcPr>
                  <w:tcW w:w="1344" w:type="pct"/>
                  <w:tcBorders>
                    <w:tl2br w:val="nil"/>
                    <w:tr2bl w:val="nil"/>
                  </w:tcBorders>
                  <w:noWrap w:val="0"/>
                  <w:vAlign w:val="center"/>
                </w:tcPr>
                <w:p w14:paraId="11F3E9DA">
                  <w:pPr>
                    <w:pStyle w:val="95"/>
                    <w:keepNext w:val="0"/>
                    <w:keepLines w:val="0"/>
                    <w:suppressLineNumbers w:val="0"/>
                    <w:snapToGrid w:val="0"/>
                    <w:spacing w:before="0" w:beforeAutospacing="0" w:after="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746</w:t>
                  </w:r>
                </w:p>
              </w:tc>
              <w:tc>
                <w:tcPr>
                  <w:tcW w:w="1035" w:type="pct"/>
                  <w:tcBorders>
                    <w:tl2br w:val="nil"/>
                    <w:tr2bl w:val="nil"/>
                  </w:tcBorders>
                  <w:noWrap w:val="0"/>
                  <w:vAlign w:val="center"/>
                </w:tcPr>
                <w:p w14:paraId="4E3C5DE6">
                  <w:pPr>
                    <w:pStyle w:val="95"/>
                    <w:keepNext w:val="0"/>
                    <w:keepLines w:val="0"/>
                    <w:suppressLineNumbers w:val="0"/>
                    <w:snapToGrid w:val="0"/>
                    <w:spacing w:before="0" w:beforeAutospacing="0" w:after="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1</w:t>
                  </w:r>
                  <w:r>
                    <w:rPr>
                      <w:rFonts w:hint="eastAsia" w:ascii="Times New Roman" w:hAnsi="Times New Roman" w:cs="Times New Roman"/>
                      <w:b w:val="0"/>
                      <w:bCs/>
                      <w:color w:val="auto"/>
                      <w:sz w:val="21"/>
                      <w:szCs w:val="21"/>
                      <w:lang w:val="en-US" w:eastAsia="zh-CN"/>
                    </w:rPr>
                    <w:t>356</w:t>
                  </w:r>
                </w:p>
              </w:tc>
            </w:tr>
          </w:tbl>
          <w:p w14:paraId="6F81D9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1、原料、产品运输会对村道沿线村庄的声环境造成一定影响，主要影响为运输车辆经过村庄时车辆运行噪声、鸣笛噪声等，环评要求</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p>
          <w:p w14:paraId="0109A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①建设单位应加强运输车辆的管理，运输车辆途经运输路线附近村庄时应降低车速、减少鸣笛，并减少夜间运输量。</w:t>
            </w:r>
          </w:p>
          <w:p w14:paraId="73D7CA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②</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进行线路优化，运输车辆行使路线应尽量避开居民点和环境敏感点。</w:t>
            </w:r>
          </w:p>
          <w:p w14:paraId="1A04C3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2、原料、产品运输会对村道沿线村庄的大气环境造成一定影响，主要影响为运输车辆经过村庄时车辆尾气及运输扬尘等，环评要求：</w:t>
            </w:r>
          </w:p>
          <w:p w14:paraId="15E49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①运输车辆不得超载，防止物料泼洒；</w:t>
            </w:r>
          </w:p>
          <w:p w14:paraId="2B1950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②运输物料的车辆应当采用密闭箱式车辆运输，保证物料不遗撒外漏；</w:t>
            </w:r>
          </w:p>
          <w:p w14:paraId="6C6F2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③厂区需设置洗车平台，车辆驶出装、卸场地前用水将车厢和轮胎冲洗干净；运输车辆驶出厂区前要将车轮和槽帮冲洗干净，确保车辆不带泥土驶离工地；场地内运输通道及进场道路及时清扫冲洗，以减少汽车行驶扬尘。</w:t>
            </w:r>
          </w:p>
          <w:p w14:paraId="75DDDC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采取以上措施后，可减少无组织废气的排放。</w:t>
            </w:r>
          </w:p>
          <w:p w14:paraId="3156B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综上所述，本项目对生产环节产生的</w:t>
            </w:r>
            <w:r>
              <w:rPr>
                <w:rFonts w:hint="eastAsia" w:cs="Times New Roman"/>
                <w:b w:val="0"/>
                <w:bCs/>
                <w:color w:val="auto"/>
                <w:sz w:val="24"/>
                <w:szCs w:val="24"/>
                <w:highlight w:val="none"/>
                <w:lang w:val="en-US" w:eastAsia="zh-CN"/>
              </w:rPr>
              <w:t>有组织</w:t>
            </w:r>
            <w:r>
              <w:rPr>
                <w:rFonts w:hint="eastAsia" w:ascii="Times New Roman" w:hAnsi="Times New Roman" w:eastAsia="宋体" w:cs="Times New Roman"/>
                <w:b w:val="0"/>
                <w:bCs/>
                <w:color w:val="auto"/>
                <w:sz w:val="24"/>
                <w:szCs w:val="24"/>
                <w:highlight w:val="none"/>
                <w:lang w:val="en-US" w:eastAsia="zh-CN"/>
              </w:rPr>
              <w:t>废气进行</w:t>
            </w:r>
            <w:r>
              <w:rPr>
                <w:rFonts w:hint="eastAsia" w:cs="Times New Roman"/>
                <w:b w:val="0"/>
                <w:bCs/>
                <w:color w:val="auto"/>
                <w:sz w:val="24"/>
                <w:szCs w:val="24"/>
                <w:highlight w:val="none"/>
                <w:lang w:val="en-US" w:eastAsia="zh-CN"/>
              </w:rPr>
              <w:t>集气罩和集气管道</w:t>
            </w:r>
            <w:r>
              <w:rPr>
                <w:rFonts w:hint="eastAsia" w:ascii="Times New Roman" w:hAnsi="Times New Roman" w:eastAsia="宋体" w:cs="Times New Roman"/>
                <w:b w:val="0"/>
                <w:bCs/>
                <w:color w:val="auto"/>
                <w:sz w:val="24"/>
                <w:szCs w:val="24"/>
                <w:highlight w:val="none"/>
                <w:lang w:val="en-US" w:eastAsia="zh-CN"/>
              </w:rPr>
              <w:t>收集处理，</w:t>
            </w:r>
            <w:r>
              <w:rPr>
                <w:rFonts w:hint="eastAsia" w:cs="Times New Roman"/>
                <w:b w:val="0"/>
                <w:bCs/>
                <w:color w:val="auto"/>
                <w:sz w:val="24"/>
                <w:szCs w:val="24"/>
                <w:highlight w:val="none"/>
                <w:lang w:val="en-US" w:eastAsia="zh-CN"/>
              </w:rPr>
              <w:t>无组织废气</w:t>
            </w:r>
            <w:r>
              <w:rPr>
                <w:rFonts w:hint="eastAsia" w:ascii="Times New Roman" w:hAnsi="Times New Roman" w:eastAsia="宋体" w:cs="Times New Roman"/>
                <w:b w:val="0"/>
                <w:bCs/>
                <w:color w:val="auto"/>
                <w:sz w:val="24"/>
                <w:szCs w:val="24"/>
                <w:highlight w:val="none"/>
                <w:lang w:val="en-US" w:eastAsia="zh-CN"/>
              </w:rPr>
              <w:t>采取</w:t>
            </w:r>
            <w:r>
              <w:rPr>
                <w:rFonts w:hint="eastAsia" w:cs="Times New Roman"/>
                <w:b w:val="0"/>
                <w:bCs/>
                <w:color w:val="auto"/>
                <w:sz w:val="24"/>
                <w:szCs w:val="24"/>
                <w:highlight w:val="none"/>
                <w:lang w:val="en-US" w:eastAsia="zh-CN"/>
              </w:rPr>
              <w:t>以上</w:t>
            </w:r>
            <w:r>
              <w:rPr>
                <w:rFonts w:hint="eastAsia" w:ascii="Times New Roman" w:hAnsi="Times New Roman" w:eastAsia="宋体" w:cs="Times New Roman"/>
                <w:b w:val="0"/>
                <w:bCs/>
                <w:color w:val="auto"/>
                <w:sz w:val="24"/>
                <w:szCs w:val="24"/>
                <w:highlight w:val="none"/>
                <w:lang w:val="en-US" w:eastAsia="zh-CN"/>
              </w:rPr>
              <w:t>污染治理措施均为排污许可技术规范中可行技术，污染物均能实现达标排放，对区域大气环境的影响较小。</w:t>
            </w:r>
          </w:p>
          <w:p w14:paraId="7BE232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二、</w:t>
            </w:r>
            <w:r>
              <w:rPr>
                <w:rFonts w:hint="eastAsia" w:ascii="Times New Roman" w:hAnsi="Times New Roman" w:eastAsia="宋体" w:cs="Times New Roman"/>
                <w:b/>
                <w:color w:val="auto"/>
                <w:sz w:val="24"/>
                <w:szCs w:val="24"/>
                <w:highlight w:val="none"/>
                <w:lang w:val="en-US" w:eastAsia="zh-CN"/>
              </w:rPr>
              <w:t>废水</w:t>
            </w:r>
          </w:p>
          <w:p w14:paraId="327EE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水环境污染源计算</w:t>
            </w:r>
          </w:p>
          <w:p w14:paraId="6808A5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生活污水</w:t>
            </w:r>
          </w:p>
          <w:p w14:paraId="71C1C0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本项目劳动定员10人，均为当地附近村民，</w:t>
            </w:r>
            <w:r>
              <w:rPr>
                <w:rFonts w:hint="default"/>
                <w:color w:val="auto"/>
                <w:sz w:val="24"/>
              </w:rPr>
              <w:t>且厂区内不设职工食堂及浴室</w:t>
            </w:r>
            <w:r>
              <w:rPr>
                <w:rFonts w:hint="eastAsia"/>
                <w:color w:val="auto"/>
                <w:sz w:val="24"/>
                <w:lang w:eastAsia="zh-CN"/>
              </w:rPr>
              <w:t>，</w:t>
            </w:r>
            <w:r>
              <w:rPr>
                <w:rFonts w:hint="default"/>
                <w:color w:val="auto"/>
                <w:sz w:val="24"/>
              </w:rPr>
              <w:t>生活用水主要为职工的少量洗漱用水</w:t>
            </w:r>
            <w:r>
              <w:rPr>
                <w:rFonts w:hint="eastAsia"/>
                <w:color w:val="auto"/>
                <w:sz w:val="24"/>
                <w:lang w:eastAsia="zh-CN"/>
              </w:rPr>
              <w:t>，</w:t>
            </w:r>
            <w:r>
              <w:rPr>
                <w:rFonts w:hint="eastAsia"/>
                <w:color w:val="auto"/>
                <w:sz w:val="24"/>
                <w:lang w:val="en-US" w:eastAsia="zh-CN"/>
              </w:rPr>
              <w:t>水质较简单</w:t>
            </w:r>
            <w:r>
              <w:rPr>
                <w:rFonts w:hint="eastAsia"/>
                <w:color w:val="auto"/>
                <w:sz w:val="24"/>
                <w:lang w:eastAsia="zh-CN"/>
              </w:rPr>
              <w:t>，</w:t>
            </w:r>
            <w:r>
              <w:rPr>
                <w:rFonts w:hint="eastAsia"/>
                <w:color w:val="auto"/>
                <w:sz w:val="24"/>
                <w:lang w:val="en-US" w:eastAsia="zh-CN"/>
              </w:rPr>
              <w:t>生活污水排入旱厕，定时清掏，不外排。</w:t>
            </w:r>
          </w:p>
          <w:p w14:paraId="0F0E4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szCs w:val="24"/>
                <w:highlight w:val="none"/>
                <w:lang w:val="en-US" w:eastAsia="zh-CN"/>
              </w:rPr>
              <w:t>W2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洗车</w:t>
            </w:r>
            <w:r>
              <w:rPr>
                <w:rFonts w:hint="default" w:ascii="Times New Roman" w:hAnsi="Times New Roman" w:eastAsia="宋体" w:cs="Times New Roman"/>
                <w:bCs/>
                <w:color w:val="auto"/>
                <w:sz w:val="24"/>
                <w:highlight w:val="none"/>
                <w:lang w:val="en-US" w:eastAsia="zh-CN"/>
              </w:rPr>
              <w:t>废水</w:t>
            </w:r>
          </w:p>
          <w:p w14:paraId="2A4AD91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lang w:val="zh-CN"/>
              </w:rPr>
            </w:pPr>
            <w:r>
              <w:rPr>
                <w:rFonts w:hint="default" w:ascii="Times New Roman" w:hAnsi="Times New Roman" w:cs="Times New Roman"/>
                <w:b w:val="0"/>
                <w:bCs/>
                <w:color w:val="auto"/>
                <w:sz w:val="24"/>
                <w:lang w:val="zh-CN"/>
              </w:rPr>
              <w:t>厂区大门处</w:t>
            </w:r>
            <w:r>
              <w:rPr>
                <w:rFonts w:hint="eastAsia" w:cs="Times New Roman"/>
                <w:b w:val="0"/>
                <w:bCs/>
                <w:color w:val="auto"/>
                <w:sz w:val="24"/>
                <w:lang w:val="en-US" w:eastAsia="zh-CN"/>
              </w:rPr>
              <w:t>设置1座</w:t>
            </w:r>
            <w:r>
              <w:rPr>
                <w:rFonts w:hint="default" w:ascii="Times New Roman" w:hAnsi="Times New Roman" w:cs="Times New Roman"/>
                <w:b w:val="0"/>
                <w:bCs/>
                <w:color w:val="auto"/>
                <w:sz w:val="24"/>
                <w:lang w:val="zh-CN"/>
              </w:rPr>
              <w:t>全自动洗车通道一套，总长20米</w:t>
            </w:r>
            <w:r>
              <w:rPr>
                <w:rFonts w:hint="eastAsia" w:cs="Times New Roman"/>
                <w:b w:val="0"/>
                <w:bCs/>
                <w:color w:val="auto"/>
                <w:sz w:val="24"/>
                <w:lang w:val="zh-CN"/>
              </w:rPr>
              <w:t>、</w:t>
            </w:r>
            <w:r>
              <w:rPr>
                <w:rFonts w:hint="eastAsia" w:cs="Times New Roman"/>
                <w:b w:val="0"/>
                <w:bCs/>
                <w:color w:val="auto"/>
                <w:sz w:val="24"/>
                <w:lang w:val="en-US" w:eastAsia="zh-CN"/>
              </w:rPr>
              <w:t>宽3m</w:t>
            </w:r>
            <w:r>
              <w:rPr>
                <w:rFonts w:hint="default" w:ascii="Times New Roman" w:hAnsi="Times New Roman" w:cs="Times New Roman"/>
                <w:b w:val="0"/>
                <w:bCs/>
                <w:color w:val="auto"/>
                <w:sz w:val="24"/>
                <w:lang w:val="zh-CN"/>
              </w:rPr>
              <w:t>，包括所需龙门架钢构、水泵、管路、喷头及控制系统等。</w:t>
            </w:r>
          </w:p>
          <w:p w14:paraId="6DF97A4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sz w:val="24"/>
                <w:lang w:val="en-US" w:eastAsia="zh-CN"/>
              </w:rPr>
            </w:pPr>
            <w:r>
              <w:rPr>
                <w:rFonts w:hint="default" w:ascii="Times New Roman" w:hAnsi="Times New Roman" w:cs="Times New Roman"/>
                <w:b w:val="0"/>
                <w:bCs/>
                <w:color w:val="auto"/>
                <w:sz w:val="24"/>
                <w:lang w:val="zh-CN"/>
              </w:rPr>
              <w:t>洗车方式：通过式洗车，无人值守，车辆通过时全自动运行，通道包括：高压冲洗区域、风干区、抖车区。清洗车辆驶入既定位置清洗（时间可调），清洗完毕原地控水后通过风干区域，即可完成冲洗。</w:t>
            </w:r>
            <w:r>
              <w:rPr>
                <w:rFonts w:hint="eastAsia" w:ascii="Times New Roman" w:hAnsi="Times New Roman" w:eastAsia="宋体" w:cs="Times New Roman"/>
                <w:b w:val="0"/>
                <w:bCs/>
                <w:color w:val="auto"/>
                <w:sz w:val="24"/>
                <w:lang w:val="en-US" w:eastAsia="zh-CN"/>
              </w:rPr>
              <w:t>并配套设置1座容积为</w:t>
            </w:r>
            <w:r>
              <w:rPr>
                <w:rFonts w:hint="eastAsia" w:cs="Times New Roman"/>
                <w:b w:val="0"/>
                <w:bCs/>
                <w:color w:val="auto"/>
                <w:sz w:val="24"/>
                <w:lang w:val="en-US" w:eastAsia="zh-CN"/>
              </w:rPr>
              <w:t>15</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的洗车废水沉淀池（</w:t>
            </w:r>
            <w:r>
              <w:rPr>
                <w:rFonts w:hint="eastAsia" w:cs="Times New Roman"/>
                <w:b w:val="0"/>
                <w:bCs/>
                <w:color w:val="auto"/>
                <w:sz w:val="24"/>
                <w:lang w:val="en-US" w:eastAsia="zh-CN"/>
              </w:rPr>
              <w:t>5</w:t>
            </w:r>
            <w:r>
              <w:rPr>
                <w:rFonts w:hint="eastAsia" w:ascii="Times New Roman" w:hAnsi="Times New Roman" w:eastAsia="宋体" w:cs="Times New Roman"/>
                <w:b w:val="0"/>
                <w:bCs/>
                <w:color w:val="auto"/>
                <w:sz w:val="24"/>
                <w:lang w:val="en-US" w:eastAsia="zh-CN"/>
              </w:rPr>
              <w:t>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收集池+5m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沉淀池+5m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清水池），水池之间有溢流口相连。洗车台前设有抖车台并配套建设有站房设置吹干装置（冬季采用热风，热源为电加热）保证冰冻季节正常使用。</w:t>
            </w:r>
          </w:p>
          <w:p w14:paraId="6A5C79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洗车平台产生的废水经沉淀池沉淀后循环利用，不外排。</w:t>
            </w:r>
          </w:p>
          <w:p w14:paraId="1679F7C5">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96" w:firstLineChars="200"/>
              <w:jc w:val="left"/>
              <w:textAlignment w:val="auto"/>
              <w:rPr>
                <w:rFonts w:hint="eastAsia" w:ascii="Times New Roman" w:hAnsi="Times New Roman" w:cs="Times New Roman"/>
                <w:b w:val="0"/>
                <w:bCs w:val="0"/>
                <w:color w:val="auto"/>
                <w:spacing w:val="4"/>
                <w:sz w:val="24"/>
                <w:szCs w:val="24"/>
                <w:lang w:val="en-US" w:eastAsia="zh-CN"/>
              </w:rPr>
            </w:pPr>
            <w:r>
              <w:rPr>
                <w:rFonts w:hint="eastAsia" w:cs="Times New Roman"/>
                <w:b w:val="0"/>
                <w:bCs w:val="0"/>
                <w:color w:val="auto"/>
                <w:spacing w:val="4"/>
                <w:sz w:val="24"/>
                <w:szCs w:val="24"/>
                <w:lang w:val="en-US" w:eastAsia="zh-CN"/>
              </w:rPr>
              <w:t>W3：</w:t>
            </w:r>
            <w:r>
              <w:rPr>
                <w:rFonts w:hint="default" w:ascii="Times New Roman" w:hAnsi="Times New Roman" w:cs="Times New Roman"/>
                <w:b w:val="0"/>
                <w:bCs w:val="0"/>
                <w:color w:val="auto"/>
                <w:spacing w:val="4"/>
                <w:sz w:val="24"/>
                <w:szCs w:val="24"/>
              </w:rPr>
              <w:t>初期雨水</w:t>
            </w:r>
            <w:r>
              <w:rPr>
                <w:rFonts w:hint="eastAsia" w:ascii="Times New Roman" w:hAnsi="Times New Roman" w:cs="Times New Roman"/>
                <w:b w:val="0"/>
                <w:bCs w:val="0"/>
                <w:color w:val="auto"/>
                <w:spacing w:val="4"/>
                <w:sz w:val="24"/>
                <w:szCs w:val="24"/>
                <w:lang w:val="en-US" w:eastAsia="zh-CN"/>
              </w:rPr>
              <w:t>池</w:t>
            </w:r>
          </w:p>
          <w:p w14:paraId="7A5EDCF6">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本项目降雨初期会产生初期雨水，对于初期雨水量，本项目收集到长治市暴雨强度公式，评价按下列公式计算：</w:t>
            </w:r>
          </w:p>
          <w:p w14:paraId="13DF39B6">
            <w:pPr>
              <w:keepNext w:val="0"/>
              <w:keepLines w:val="0"/>
              <w:suppressLineNumbers w:val="0"/>
              <w:spacing w:before="0" w:beforeAutospacing="0" w:after="0" w:afterAutospacing="0" w:line="480" w:lineRule="exact"/>
              <w:ind w:left="0" w:right="0" w:firstLine="420" w:firstLineChars="200"/>
              <w:rPr>
                <w:rFonts w:hint="default"/>
                <w:color w:val="auto"/>
                <w:sz w:val="24"/>
              </w:rPr>
            </w:pPr>
            <w:r>
              <w:rPr>
                <w:rFonts w:hint="default"/>
                <w:color w:val="auto"/>
                <w:position w:val="-14"/>
              </w:rPr>
              <w:drawing>
                <wp:anchor distT="0" distB="0" distL="0" distR="0" simplePos="0" relativeHeight="251663360" behindDoc="1" locked="0" layoutInCell="1" allowOverlap="1">
                  <wp:simplePos x="0" y="0"/>
                  <wp:positionH relativeFrom="column">
                    <wp:posOffset>1266825</wp:posOffset>
                  </wp:positionH>
                  <wp:positionV relativeFrom="paragraph">
                    <wp:posOffset>71755</wp:posOffset>
                  </wp:positionV>
                  <wp:extent cx="1677670" cy="440055"/>
                  <wp:effectExtent l="0" t="0" r="8255" b="7620"/>
                  <wp:wrapTight wrapText="bothSides">
                    <wp:wrapPolygon>
                      <wp:start x="9198" y="468"/>
                      <wp:lineTo x="4047" y="468"/>
                      <wp:lineTo x="0" y="3740"/>
                      <wp:lineTo x="0" y="14026"/>
                      <wp:lineTo x="6868" y="15429"/>
                      <wp:lineTo x="6745" y="17766"/>
                      <wp:lineTo x="6745" y="19169"/>
                      <wp:lineTo x="7113" y="21039"/>
                      <wp:lineTo x="15084" y="21039"/>
                      <wp:lineTo x="15329" y="20571"/>
                      <wp:lineTo x="15452" y="16831"/>
                      <wp:lineTo x="21461" y="14494"/>
                      <wp:lineTo x="21461" y="8883"/>
                      <wp:lineTo x="20112" y="7013"/>
                      <wp:lineTo x="20603" y="3740"/>
                      <wp:lineTo x="20112" y="468"/>
                      <wp:lineTo x="9198" y="468"/>
                    </wp:wrapPolygon>
                  </wp:wrapTight>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0"/>
                          <a:stretch>
                            <a:fillRect/>
                          </a:stretch>
                        </pic:blipFill>
                        <pic:spPr>
                          <a:xfrm>
                            <a:off x="0" y="0"/>
                            <a:ext cx="1678228" cy="440284"/>
                          </a:xfrm>
                          <a:prstGeom prst="rect">
                            <a:avLst/>
                          </a:prstGeom>
                        </pic:spPr>
                      </pic:pic>
                    </a:graphicData>
                  </a:graphic>
                </wp:anchor>
              </w:drawing>
            </w:r>
          </w:p>
          <w:p w14:paraId="783C9096">
            <w:pPr>
              <w:keepNext w:val="0"/>
              <w:keepLines w:val="0"/>
              <w:suppressLineNumbers w:val="0"/>
              <w:spacing w:before="0" w:beforeAutospacing="0" w:after="0" w:afterAutospacing="0" w:line="480" w:lineRule="exact"/>
              <w:ind w:left="0" w:right="0" w:firstLine="480" w:firstLineChars="200"/>
              <w:rPr>
                <w:rFonts w:hint="default"/>
                <w:color w:val="auto"/>
                <w:sz w:val="24"/>
              </w:rPr>
            </w:pPr>
          </w:p>
          <w:p w14:paraId="3FCCB0EF">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其中：q——暴雨强度</w:t>
            </w:r>
            <w:r>
              <w:rPr>
                <w:rFonts w:hint="eastAsia"/>
                <w:color w:val="auto"/>
                <w:sz w:val="24"/>
                <w:lang w:eastAsia="zh-CN"/>
              </w:rPr>
              <w:t>（</w:t>
            </w:r>
            <w:r>
              <w:rPr>
                <w:rFonts w:hint="default"/>
                <w:color w:val="auto"/>
                <w:sz w:val="24"/>
              </w:rPr>
              <w:t>升/秒</w:t>
            </w:r>
            <w:r>
              <w:rPr>
                <w:rFonts w:hint="default" w:ascii="Times New Roman" w:hAnsi="Times New Roman" w:cs="Times New Roman"/>
                <w:color w:val="auto"/>
                <w:sz w:val="24"/>
                <w:lang w:val="en-US" w:eastAsia="zh-CN"/>
              </w:rPr>
              <w:t>·</w:t>
            </w:r>
            <w:r>
              <w:rPr>
                <w:rFonts w:hint="default"/>
                <w:color w:val="auto"/>
                <w:sz w:val="24"/>
              </w:rPr>
              <w:t>公顷</w:t>
            </w:r>
            <w:r>
              <w:rPr>
                <w:rFonts w:hint="eastAsia"/>
                <w:color w:val="auto"/>
                <w:sz w:val="24"/>
                <w:lang w:eastAsia="zh-CN"/>
              </w:rPr>
              <w:t>）</w:t>
            </w:r>
            <w:r>
              <w:rPr>
                <w:rFonts w:hint="default"/>
                <w:color w:val="auto"/>
                <w:sz w:val="24"/>
              </w:rPr>
              <w:t>；</w:t>
            </w:r>
          </w:p>
          <w:p w14:paraId="70B7D839">
            <w:pPr>
              <w:keepNext w:val="0"/>
              <w:keepLines w:val="0"/>
              <w:suppressLineNumbers w:val="0"/>
              <w:spacing w:before="0" w:beforeAutospacing="0" w:after="0" w:afterAutospacing="0" w:line="480" w:lineRule="exact"/>
              <w:ind w:left="0" w:right="0" w:firstLine="1200" w:firstLineChars="500"/>
              <w:rPr>
                <w:rFonts w:hint="default"/>
                <w:color w:val="auto"/>
                <w:sz w:val="24"/>
              </w:rPr>
            </w:pPr>
            <w:r>
              <w:rPr>
                <w:rFonts w:hint="eastAsia"/>
                <w:i w:val="0"/>
                <w:iCs w:val="0"/>
                <w:color w:val="auto"/>
                <w:sz w:val="24"/>
                <w:lang w:val="en-US" w:eastAsia="zh-CN"/>
              </w:rPr>
              <w:t>T</w:t>
            </w:r>
            <w:r>
              <w:rPr>
                <w:rFonts w:hint="default"/>
                <w:color w:val="auto"/>
                <w:sz w:val="24"/>
              </w:rPr>
              <w:t>——暴雨重现期，取</w:t>
            </w:r>
            <w:r>
              <w:rPr>
                <w:rFonts w:hint="eastAsia"/>
                <w:color w:val="auto"/>
                <w:sz w:val="24"/>
                <w:lang w:val="en-US" w:eastAsia="zh-CN"/>
              </w:rPr>
              <w:t>2</w:t>
            </w:r>
            <w:r>
              <w:rPr>
                <w:rFonts w:hint="default"/>
                <w:color w:val="auto"/>
                <w:sz w:val="24"/>
              </w:rPr>
              <w:t>年；</w:t>
            </w:r>
          </w:p>
          <w:p w14:paraId="179E54E5">
            <w:pPr>
              <w:keepNext w:val="0"/>
              <w:keepLines w:val="0"/>
              <w:suppressLineNumbers w:val="0"/>
              <w:spacing w:before="0" w:beforeAutospacing="0" w:after="0" w:afterAutospacing="0" w:line="480" w:lineRule="exact"/>
              <w:ind w:left="0" w:right="0" w:firstLine="1200" w:firstLineChars="500"/>
              <w:rPr>
                <w:rFonts w:hint="default"/>
                <w:color w:val="auto"/>
                <w:sz w:val="24"/>
              </w:rPr>
            </w:pPr>
            <w:r>
              <w:rPr>
                <w:rFonts w:hint="default"/>
                <w:color w:val="auto"/>
                <w:sz w:val="24"/>
              </w:rPr>
              <w:t>t——降雨历时，取15min；</w:t>
            </w:r>
          </w:p>
          <w:p w14:paraId="0B583B14">
            <w:pPr>
              <w:keepNext w:val="0"/>
              <w:keepLines w:val="0"/>
              <w:suppressLineNumbers w:val="0"/>
              <w:spacing w:before="0" w:beforeAutospacing="0" w:after="0" w:afterAutospacing="0" w:line="480" w:lineRule="exact"/>
              <w:ind w:left="0" w:right="0" w:firstLine="480" w:firstLineChars="200"/>
              <w:rPr>
                <w:rFonts w:hint="eastAsia" w:eastAsia="宋体"/>
                <w:color w:val="auto"/>
                <w:sz w:val="24"/>
                <w:highlight w:val="none"/>
                <w:lang w:eastAsia="zh-CN"/>
              </w:rPr>
            </w:pPr>
            <w:r>
              <w:rPr>
                <w:rFonts w:hint="default"/>
                <w:color w:val="auto"/>
                <w:sz w:val="24"/>
                <w:highlight w:val="none"/>
              </w:rPr>
              <w:t>计算结果q=</w:t>
            </w:r>
            <w:r>
              <w:rPr>
                <w:rFonts w:hint="eastAsia"/>
                <w:color w:val="auto"/>
                <w:sz w:val="24"/>
                <w:highlight w:val="none"/>
                <w:lang w:val="en-US" w:eastAsia="zh-CN"/>
              </w:rPr>
              <w:t>197.19</w:t>
            </w:r>
            <w:r>
              <w:rPr>
                <w:rFonts w:hint="default"/>
                <w:color w:val="auto"/>
                <w:sz w:val="24"/>
                <w:highlight w:val="none"/>
              </w:rPr>
              <w:t>升/秒</w:t>
            </w:r>
            <w:r>
              <w:rPr>
                <w:rFonts w:hint="default" w:ascii="Times New Roman" w:hAnsi="Times New Roman" w:cs="Times New Roman"/>
                <w:color w:val="auto"/>
                <w:sz w:val="24"/>
                <w:highlight w:val="none"/>
                <w:lang w:val="en-US" w:eastAsia="zh-CN"/>
              </w:rPr>
              <w:t>·</w:t>
            </w:r>
            <w:r>
              <w:rPr>
                <w:rFonts w:hint="default"/>
                <w:color w:val="auto"/>
                <w:sz w:val="24"/>
                <w:highlight w:val="none"/>
              </w:rPr>
              <w:t>公顷</w:t>
            </w:r>
            <w:r>
              <w:rPr>
                <w:rFonts w:hint="eastAsia"/>
                <w:color w:val="auto"/>
                <w:sz w:val="24"/>
                <w:highlight w:val="none"/>
                <w:lang w:eastAsia="zh-CN"/>
              </w:rPr>
              <w:t>。</w:t>
            </w:r>
          </w:p>
          <w:p w14:paraId="33673275">
            <w:pPr>
              <w:keepNext w:val="0"/>
              <w:keepLines w:val="0"/>
              <w:suppressLineNumbers w:val="0"/>
              <w:spacing w:before="0" w:beforeAutospacing="0" w:after="0" w:afterAutospacing="0" w:line="480" w:lineRule="exact"/>
              <w:ind w:left="0" w:right="0" w:firstLine="1200" w:firstLineChars="500"/>
              <w:jc w:val="both"/>
              <w:rPr>
                <w:rFonts w:hint="default"/>
                <w:i w:val="0"/>
                <w:iCs w:val="0"/>
                <w:color w:val="auto"/>
                <w:sz w:val="24"/>
              </w:rPr>
            </w:pPr>
            <w:r>
              <w:rPr>
                <w:rFonts w:hint="default"/>
                <w:i w:val="0"/>
                <w:iCs w:val="0"/>
                <w:color w:val="auto"/>
                <w:sz w:val="24"/>
              </w:rPr>
              <w:t>Q=qFψT</w:t>
            </w:r>
          </w:p>
          <w:p w14:paraId="02FE645E">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default"/>
                <w:color w:val="auto"/>
                <w:sz w:val="24"/>
              </w:rPr>
              <w:t>其中：Q——雨水排放量</w:t>
            </w:r>
            <w:r>
              <w:rPr>
                <w:rFonts w:hint="eastAsia"/>
                <w:color w:val="auto"/>
                <w:sz w:val="24"/>
                <w:lang w:eastAsia="zh-CN"/>
              </w:rPr>
              <w:t>；</w:t>
            </w:r>
          </w:p>
          <w:p w14:paraId="329B1E93">
            <w:pPr>
              <w:keepNext w:val="0"/>
              <w:keepLines w:val="0"/>
              <w:suppressLineNumbers w:val="0"/>
              <w:spacing w:before="0" w:beforeAutospacing="0" w:after="0" w:afterAutospacing="0" w:line="480" w:lineRule="exact"/>
              <w:ind w:left="0" w:right="0" w:firstLine="1200" w:firstLineChars="500"/>
              <w:rPr>
                <w:rFonts w:hint="eastAsia" w:eastAsia="宋体"/>
                <w:color w:val="auto"/>
                <w:sz w:val="24"/>
                <w:lang w:eastAsia="zh-CN"/>
              </w:rPr>
            </w:pPr>
            <w:r>
              <w:rPr>
                <w:rFonts w:hint="default"/>
                <w:color w:val="auto"/>
                <w:sz w:val="24"/>
              </w:rPr>
              <w:t>F——汇水面积</w:t>
            </w:r>
            <w:r>
              <w:rPr>
                <w:rFonts w:hint="eastAsia"/>
                <w:color w:val="auto"/>
                <w:sz w:val="24"/>
                <w:lang w:eastAsia="zh-CN"/>
              </w:rPr>
              <w:t>（</w:t>
            </w:r>
            <w:r>
              <w:rPr>
                <w:rFonts w:hint="default"/>
                <w:color w:val="auto"/>
                <w:sz w:val="24"/>
              </w:rPr>
              <w:t>公顷</w:t>
            </w:r>
            <w:r>
              <w:rPr>
                <w:rFonts w:hint="eastAsia"/>
                <w:color w:val="auto"/>
                <w:sz w:val="24"/>
                <w:lang w:eastAsia="zh-CN"/>
              </w:rPr>
              <w:t>）</w:t>
            </w:r>
            <w:r>
              <w:rPr>
                <w:rFonts w:hint="default"/>
                <w:color w:val="auto"/>
                <w:sz w:val="24"/>
              </w:rPr>
              <w:t>，</w:t>
            </w:r>
            <w:r>
              <w:rPr>
                <w:rFonts w:hint="eastAsia"/>
                <w:color w:val="auto"/>
                <w:sz w:val="24"/>
                <w:lang w:eastAsia="zh-CN"/>
              </w:rPr>
              <w:t>（</w:t>
            </w:r>
            <w:r>
              <w:rPr>
                <w:rFonts w:hint="eastAsia"/>
                <w:color w:val="auto"/>
                <w:sz w:val="24"/>
                <w:lang w:val="en-US" w:eastAsia="zh-CN"/>
              </w:rPr>
              <w:t>按厂区占地面积约0.8</w:t>
            </w:r>
            <w:r>
              <w:rPr>
                <w:rFonts w:hint="default"/>
                <w:color w:val="auto"/>
                <w:sz w:val="24"/>
              </w:rPr>
              <w:t>公顷</w:t>
            </w:r>
            <w:r>
              <w:rPr>
                <w:rFonts w:hint="eastAsia"/>
                <w:color w:val="auto"/>
                <w:sz w:val="24"/>
                <w:lang w:eastAsia="zh-CN"/>
              </w:rPr>
              <w:t>）；</w:t>
            </w:r>
          </w:p>
          <w:p w14:paraId="7FE95F02">
            <w:pPr>
              <w:keepNext w:val="0"/>
              <w:keepLines w:val="0"/>
              <w:suppressLineNumbers w:val="0"/>
              <w:spacing w:before="0" w:beforeAutospacing="0" w:after="0" w:afterAutospacing="0" w:line="480" w:lineRule="exact"/>
              <w:ind w:left="0" w:right="0" w:firstLine="1200" w:firstLineChars="500"/>
              <w:rPr>
                <w:rFonts w:hint="eastAsia" w:eastAsia="宋体"/>
                <w:color w:val="auto"/>
                <w:sz w:val="24"/>
                <w:lang w:eastAsia="zh-CN"/>
              </w:rPr>
            </w:pPr>
            <w:r>
              <w:rPr>
                <w:rFonts w:hint="default"/>
                <w:color w:val="auto"/>
                <w:sz w:val="24"/>
              </w:rPr>
              <w:t>Ψ——为径流系数（0.4-0.9，</w:t>
            </w:r>
            <w:r>
              <w:rPr>
                <w:rFonts w:hint="default"/>
                <w:color w:val="auto"/>
                <w:sz w:val="24"/>
                <w:highlight w:val="none"/>
              </w:rPr>
              <w:t>水泥硬化地面取0.</w:t>
            </w:r>
            <w:r>
              <w:rPr>
                <w:rFonts w:hint="eastAsia"/>
                <w:color w:val="auto"/>
                <w:sz w:val="24"/>
                <w:highlight w:val="none"/>
                <w:lang w:val="en-US" w:eastAsia="zh-CN"/>
              </w:rPr>
              <w:t>9</w:t>
            </w:r>
            <w:r>
              <w:rPr>
                <w:rFonts w:hint="default"/>
                <w:color w:val="auto"/>
                <w:sz w:val="24"/>
                <w:highlight w:val="none"/>
              </w:rPr>
              <w:t>）</w:t>
            </w:r>
            <w:r>
              <w:rPr>
                <w:rFonts w:hint="eastAsia"/>
                <w:color w:val="auto"/>
                <w:sz w:val="24"/>
                <w:highlight w:val="none"/>
                <w:lang w:eastAsia="zh-CN"/>
              </w:rPr>
              <w:t>；</w:t>
            </w:r>
          </w:p>
          <w:p w14:paraId="171EB023">
            <w:pPr>
              <w:keepNext w:val="0"/>
              <w:keepLines w:val="0"/>
              <w:suppressLineNumbers w:val="0"/>
              <w:spacing w:before="0" w:beforeAutospacing="0" w:after="0" w:afterAutospacing="0" w:line="480" w:lineRule="exact"/>
              <w:ind w:left="0" w:right="0" w:firstLine="1200" w:firstLineChars="500"/>
              <w:rPr>
                <w:rFonts w:hint="default"/>
                <w:color w:val="auto"/>
                <w:sz w:val="24"/>
              </w:rPr>
            </w:pPr>
            <w:r>
              <w:rPr>
                <w:rFonts w:hint="default"/>
                <w:color w:val="auto"/>
                <w:sz w:val="24"/>
              </w:rPr>
              <w:t>T——为收水时间，取15min。</w:t>
            </w:r>
          </w:p>
          <w:p w14:paraId="4A1F0927">
            <w:pPr>
              <w:keepNext w:val="0"/>
              <w:keepLines w:val="0"/>
              <w:suppressLineNumbers w:val="0"/>
              <w:spacing w:before="0" w:beforeAutospacing="0" w:after="0" w:afterAutospacing="0" w:line="480" w:lineRule="exact"/>
              <w:ind w:left="0" w:right="0" w:firstLine="480" w:firstLineChars="200"/>
              <w:rPr>
                <w:rFonts w:hint="default"/>
                <w:bCs/>
                <w:color w:val="auto"/>
                <w:spacing w:val="6"/>
                <w:sz w:val="24"/>
                <w:highlight w:val="none"/>
              </w:rPr>
            </w:pPr>
            <w:r>
              <w:rPr>
                <w:rFonts w:hint="default"/>
                <w:color w:val="auto"/>
                <w:sz w:val="24"/>
                <w:highlight w:val="none"/>
              </w:rPr>
              <w:t>经计算，暴雨状况下收集初期雨水量为</w:t>
            </w:r>
            <w:r>
              <w:rPr>
                <w:rFonts w:hint="eastAsia"/>
                <w:color w:val="auto"/>
                <w:sz w:val="24"/>
                <w:highlight w:val="none"/>
                <w:lang w:val="en-US" w:eastAsia="zh-CN"/>
              </w:rPr>
              <w:t>128</w:t>
            </w:r>
            <w:r>
              <w:rPr>
                <w:rFonts w:hint="default"/>
                <w:color w:val="auto"/>
                <w:sz w:val="24"/>
                <w:highlight w:val="none"/>
              </w:rPr>
              <w:t>m</w:t>
            </w:r>
            <w:r>
              <w:rPr>
                <w:rFonts w:hint="default"/>
                <w:color w:val="auto"/>
                <w:sz w:val="24"/>
                <w:highlight w:val="none"/>
                <w:vertAlign w:val="superscript"/>
              </w:rPr>
              <w:t>3</w:t>
            </w:r>
            <w:r>
              <w:rPr>
                <w:rFonts w:hint="default"/>
                <w:color w:val="auto"/>
                <w:spacing w:val="4"/>
                <w:sz w:val="24"/>
                <w:highlight w:val="none"/>
              </w:rPr>
              <w:t>，</w:t>
            </w:r>
            <w:r>
              <w:rPr>
                <w:rFonts w:hint="default"/>
                <w:bCs/>
                <w:color w:val="auto"/>
                <w:spacing w:val="4"/>
                <w:sz w:val="24"/>
                <w:highlight w:val="none"/>
              </w:rPr>
              <w:t>则初期雨水收集池</w:t>
            </w:r>
            <w:r>
              <w:rPr>
                <w:rFonts w:hint="default"/>
                <w:bCs/>
                <w:color w:val="auto"/>
                <w:spacing w:val="6"/>
                <w:sz w:val="24"/>
                <w:highlight w:val="none"/>
              </w:rPr>
              <w:t>容积取</w:t>
            </w:r>
            <w:r>
              <w:rPr>
                <w:rFonts w:hint="eastAsia"/>
                <w:bCs/>
                <w:color w:val="auto"/>
                <w:spacing w:val="6"/>
                <w:sz w:val="24"/>
                <w:highlight w:val="none"/>
                <w:lang w:val="en-US" w:eastAsia="zh-CN"/>
              </w:rPr>
              <w:t>150</w:t>
            </w:r>
            <w:r>
              <w:rPr>
                <w:rFonts w:hint="default"/>
                <w:bCs/>
                <w:color w:val="auto"/>
                <w:spacing w:val="6"/>
                <w:sz w:val="24"/>
                <w:highlight w:val="none"/>
              </w:rPr>
              <w:t>m</w:t>
            </w:r>
            <w:r>
              <w:rPr>
                <w:rFonts w:hint="default"/>
                <w:bCs/>
                <w:color w:val="auto"/>
                <w:spacing w:val="6"/>
                <w:sz w:val="24"/>
                <w:highlight w:val="none"/>
                <w:vertAlign w:val="superscript"/>
              </w:rPr>
              <w:t>3</w:t>
            </w:r>
            <w:r>
              <w:rPr>
                <w:rFonts w:hint="default"/>
                <w:bCs/>
                <w:color w:val="auto"/>
                <w:spacing w:val="6"/>
                <w:sz w:val="24"/>
                <w:highlight w:val="none"/>
              </w:rPr>
              <w:t>。</w:t>
            </w:r>
          </w:p>
          <w:p w14:paraId="1C70E5C7">
            <w:pPr>
              <w:keepNext w:val="0"/>
              <w:keepLines w:val="0"/>
              <w:suppressLineNumbers w:val="0"/>
              <w:spacing w:before="0" w:beforeAutospacing="0" w:after="0" w:afterAutospacing="0" w:line="480" w:lineRule="exact"/>
              <w:ind w:left="0" w:right="0" w:firstLine="480" w:firstLineChars="200"/>
              <w:rPr>
                <w:rFonts w:hint="eastAsia" w:eastAsia="宋体"/>
                <w:color w:val="auto"/>
                <w:sz w:val="24"/>
                <w:lang w:eastAsia="zh-CN"/>
              </w:rPr>
            </w:pPr>
            <w:r>
              <w:rPr>
                <w:rFonts w:hint="eastAsia"/>
                <w:color w:val="auto"/>
                <w:sz w:val="24"/>
                <w:lang w:val="en-US" w:eastAsia="zh-CN"/>
              </w:rPr>
              <w:t>厂区东南侧现有1座雨水收集池，但雨水池池底有破损且容积较小，不能够容纳厂区前15分钟雨水，因此</w:t>
            </w:r>
            <w:r>
              <w:rPr>
                <w:rFonts w:hint="default"/>
                <w:color w:val="auto"/>
                <w:sz w:val="24"/>
              </w:rPr>
              <w:t>评价要求</w:t>
            </w:r>
            <w:r>
              <w:rPr>
                <w:rFonts w:hint="eastAsia"/>
                <w:color w:val="auto"/>
                <w:sz w:val="24"/>
                <w:lang w:val="en-US" w:eastAsia="zh-CN"/>
              </w:rPr>
              <w:t>在现有雨水收集池进行改建，</w:t>
            </w:r>
            <w:r>
              <w:rPr>
                <w:rFonts w:hint="default"/>
                <w:color w:val="auto"/>
                <w:sz w:val="24"/>
              </w:rPr>
              <w:t>设置1座</w:t>
            </w:r>
            <w:r>
              <w:rPr>
                <w:rFonts w:hint="eastAsia"/>
                <w:color w:val="auto"/>
                <w:sz w:val="24"/>
                <w:highlight w:val="none"/>
                <w:lang w:val="en-US" w:eastAsia="zh-CN"/>
              </w:rPr>
              <w:t>150</w:t>
            </w:r>
            <w:r>
              <w:rPr>
                <w:rFonts w:hint="default"/>
                <w:color w:val="auto"/>
                <w:sz w:val="24"/>
                <w:highlight w:val="none"/>
              </w:rPr>
              <w:t>m</w:t>
            </w:r>
            <w:r>
              <w:rPr>
                <w:rFonts w:hint="default"/>
                <w:color w:val="auto"/>
                <w:sz w:val="24"/>
                <w:highlight w:val="none"/>
                <w:vertAlign w:val="superscript"/>
              </w:rPr>
              <w:t>3</w:t>
            </w:r>
            <w:r>
              <w:rPr>
                <w:rFonts w:hint="default"/>
                <w:color w:val="auto"/>
                <w:sz w:val="24"/>
              </w:rPr>
              <w:t>的初期雨水收集池</w:t>
            </w:r>
            <w:r>
              <w:rPr>
                <w:rFonts w:hint="eastAsia"/>
                <w:color w:val="auto"/>
                <w:sz w:val="24"/>
                <w:lang w:eastAsia="zh-CN"/>
              </w:rPr>
              <w:t>。</w:t>
            </w:r>
          </w:p>
          <w:p w14:paraId="565B506A">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eastAsia" w:ascii="Times New Roman" w:hAnsi="Times New Roman" w:eastAsia="宋体" w:cs="Times New Roman"/>
                <w:color w:val="auto"/>
                <w:sz w:val="24"/>
                <w:szCs w:val="24"/>
                <w:lang w:val="en-US" w:eastAsia="zh-CN"/>
              </w:rPr>
              <w:t>区内沿地势由高到低建设雨水沟，雨水沟接入</w:t>
            </w:r>
            <w:r>
              <w:rPr>
                <w:rFonts w:hint="default" w:ascii="Times New Roman" w:hAnsi="Times New Roman" w:eastAsia="宋体" w:cs="Times New Roman"/>
                <w:color w:val="auto"/>
                <w:sz w:val="24"/>
                <w:szCs w:val="24"/>
                <w:lang w:eastAsia="zh-CN"/>
              </w:rPr>
              <w:t>初期雨水经过</w:t>
            </w:r>
            <w:r>
              <w:rPr>
                <w:rFonts w:hint="eastAsia" w:ascii="Times New Roman" w:hAnsi="Times New Roman" w:eastAsia="宋体" w:cs="Times New Roman"/>
                <w:color w:val="auto"/>
                <w:sz w:val="24"/>
                <w:szCs w:val="24"/>
                <w:lang w:val="en-US" w:eastAsia="zh-CN"/>
              </w:rPr>
              <w:t>地势漫流</w:t>
            </w:r>
            <w:r>
              <w:rPr>
                <w:rFonts w:hint="default" w:ascii="Times New Roman" w:hAnsi="Times New Roman" w:eastAsia="宋体" w:cs="Times New Roman"/>
                <w:color w:val="auto"/>
                <w:sz w:val="24"/>
                <w:szCs w:val="24"/>
                <w:lang w:eastAsia="zh-CN"/>
              </w:rPr>
              <w:t>进入初期雨水收集池，</w:t>
            </w:r>
            <w:r>
              <w:rPr>
                <w:rFonts w:hint="eastAsia" w:ascii="Times New Roman" w:hAnsi="Times New Roman" w:eastAsia="宋体" w:cs="Times New Roman"/>
                <w:color w:val="auto"/>
                <w:sz w:val="24"/>
                <w:szCs w:val="24"/>
                <w:lang w:val="en-US" w:eastAsia="zh-CN"/>
              </w:rPr>
              <w:t>雨水收集池设雨水进出阀门，平时关闭雨水收集池排水出口阀门，在暴雨的情况下，收集前15min雨水后，关闭进水阀门，打开雨水收集池排水阀门，将15min后的雨水通过雨水总排口排放，降雨量较小的情况下，雨水全部在雨水收集池内进行收集，不得外排，</w:t>
            </w:r>
            <w:r>
              <w:rPr>
                <w:rFonts w:hint="default" w:ascii="Times New Roman" w:hAnsi="Times New Roman" w:eastAsia="宋体" w:cs="Times New Roman"/>
                <w:color w:val="auto"/>
                <w:sz w:val="24"/>
                <w:szCs w:val="24"/>
                <w:lang w:eastAsia="zh-CN"/>
              </w:rPr>
              <w:t>雨水收集池采用地埋式，并设置保温层，保证冬季可以正常运行，雨水收集池拟分两格设置，一格为沉淀池，一格为澄清池，且雨水收集池防渗处理，澄清池内清水经水泵用于厂区洒水抑尘</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非降雨时间，初期雨水收集池应保持无水状态，不得占用，</w:t>
            </w:r>
            <w:r>
              <w:rPr>
                <w:rFonts w:hint="default" w:ascii="Times New Roman" w:hAnsi="Times New Roman" w:eastAsia="宋体" w:cs="Times New Roman"/>
                <w:color w:val="auto"/>
                <w:sz w:val="24"/>
                <w:szCs w:val="24"/>
                <w:lang w:eastAsia="zh-CN"/>
              </w:rPr>
              <w:t>保证初期雨水不外排。</w:t>
            </w:r>
          </w:p>
          <w:p w14:paraId="25907700">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bCs/>
                <w:color w:val="auto"/>
                <w:sz w:val="24"/>
                <w:szCs w:val="24"/>
                <w:lang w:val="en-US" w:eastAsia="zh-CN"/>
              </w:rPr>
              <w:t>废水不外排的保证性分析：</w:t>
            </w:r>
            <w:r>
              <w:rPr>
                <w:rFonts w:hint="default" w:ascii="Times New Roman" w:hAnsi="Times New Roman" w:cs="Times New Roman"/>
                <w:b w:val="0"/>
                <w:bCs w:val="0"/>
                <w:color w:val="auto"/>
                <w:sz w:val="24"/>
                <w:szCs w:val="24"/>
                <w:lang w:val="en-US" w:eastAsia="zh-CN"/>
              </w:rPr>
              <w:t>本项目产生的废水主要包括生活污水、洗车平台废水、初期雨水。其中生活污水主要是员工日常用水，</w:t>
            </w:r>
            <w:r>
              <w:rPr>
                <w:rFonts w:hint="eastAsia" w:cs="Times New Roman"/>
                <w:b w:val="0"/>
                <w:bCs w:val="0"/>
                <w:color w:val="auto"/>
                <w:sz w:val="24"/>
                <w:szCs w:val="24"/>
                <w:lang w:val="en-US" w:eastAsia="zh-CN"/>
              </w:rPr>
              <w:t>排入厂区旱厕</w:t>
            </w:r>
            <w:r>
              <w:rPr>
                <w:rFonts w:hint="default" w:ascii="Times New Roman" w:hAnsi="Times New Roman" w:cs="Times New Roman"/>
                <w:b w:val="0"/>
                <w:bCs w:val="0"/>
                <w:color w:val="auto"/>
                <w:sz w:val="24"/>
                <w:szCs w:val="24"/>
                <w:lang w:val="en-US" w:eastAsia="zh-CN"/>
              </w:rPr>
              <w:t>；洗车平台废水、初期雨水均设有相应的收集池进行收集沉淀，沉淀后的上清液进行回用不外排。</w:t>
            </w:r>
          </w:p>
          <w:p w14:paraId="54976A21">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jc w:val="left"/>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2.水环境影响分析</w:t>
            </w:r>
          </w:p>
          <w:p w14:paraId="0CDEFF1C">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本项目大门设置在厂区</w:t>
            </w:r>
            <w:r>
              <w:rPr>
                <w:rFonts w:hint="eastAsia" w:cs="Times New Roman"/>
                <w:b w:val="0"/>
                <w:bCs w:val="0"/>
                <w:color w:val="auto"/>
                <w:sz w:val="24"/>
                <w:szCs w:val="24"/>
                <w:lang w:val="en-US" w:eastAsia="zh-CN"/>
              </w:rPr>
              <w:t>西</w:t>
            </w:r>
            <w:r>
              <w:rPr>
                <w:rFonts w:hint="default" w:ascii="Times New Roman" w:hAnsi="Times New Roman" w:cs="Times New Roman"/>
                <w:b w:val="0"/>
                <w:bCs w:val="0"/>
                <w:color w:val="auto"/>
                <w:sz w:val="24"/>
                <w:szCs w:val="24"/>
                <w:lang w:val="en-US" w:eastAsia="zh-CN"/>
              </w:rPr>
              <w:t>侧，在大门口处设</w:t>
            </w:r>
            <w:r>
              <w:rPr>
                <w:rFonts w:hint="eastAsia" w:cs="Times New Roman"/>
                <w:b w:val="0"/>
                <w:bCs w:val="0"/>
                <w:color w:val="auto"/>
                <w:sz w:val="24"/>
                <w:szCs w:val="24"/>
                <w:lang w:val="en-US" w:eastAsia="zh-CN"/>
              </w:rPr>
              <w:t>设置1座全自动</w:t>
            </w:r>
            <w:r>
              <w:rPr>
                <w:rFonts w:hint="default" w:ascii="Times New Roman" w:hAnsi="Times New Roman" w:cs="Times New Roman"/>
                <w:b w:val="0"/>
                <w:bCs w:val="0"/>
                <w:color w:val="auto"/>
                <w:sz w:val="24"/>
                <w:szCs w:val="24"/>
                <w:lang w:val="en-US" w:eastAsia="zh-CN"/>
              </w:rPr>
              <w:t>洗车平台，可方便确保在车辆进出前进行冲洗，同时在洗车平台旁边是设置循环水池，可最大限度保证洗车废水不外排；根据占地范围内地形条件可知，厂区内</w:t>
            </w:r>
            <w:r>
              <w:rPr>
                <w:rFonts w:hint="eastAsia"/>
                <w:color w:val="auto"/>
                <w:sz w:val="24"/>
                <w:lang w:val="en-US" w:eastAsia="zh-CN"/>
              </w:rPr>
              <w:t>东南侧</w:t>
            </w:r>
            <w:r>
              <w:rPr>
                <w:rFonts w:hint="default" w:ascii="Times New Roman" w:hAnsi="Times New Roman" w:cs="Times New Roman"/>
                <w:b w:val="0"/>
                <w:bCs w:val="0"/>
                <w:color w:val="auto"/>
                <w:sz w:val="24"/>
                <w:szCs w:val="24"/>
                <w:lang w:val="en-US" w:eastAsia="zh-CN"/>
              </w:rPr>
              <w:t xml:space="preserve">地势最低，在地势最低处设置初期雨水池可满足需求。由上述废水产排环节分析可知，在采取环评规定的治理措施后，本项目运营期内各类废水均可全部综合利用，全厂不设废水排放口，不会对周边地表水环境产生不利影响，建设项目对周边地表水环境影响在可接受范围内。 </w:t>
            </w:r>
          </w:p>
          <w:p w14:paraId="5B314C82">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jc w:val="left"/>
              <w:textAlignment w:val="auto"/>
              <w:rPr>
                <w:rFonts w:hint="eastAsia" w:eastAsia="宋体"/>
                <w:color w:val="auto"/>
                <w:highlight w:val="none"/>
                <w:vertAlign w:val="baseline"/>
                <w:lang w:val="en-US" w:eastAsia="zh-CN"/>
              </w:rPr>
            </w:pPr>
            <w:r>
              <w:rPr>
                <w:rFonts w:hint="default" w:ascii="Times New Roman" w:hAnsi="Times New Roman" w:cs="Times New Roman"/>
                <w:b w:val="0"/>
                <w:bCs w:val="0"/>
                <w:color w:val="auto"/>
                <w:sz w:val="24"/>
                <w:szCs w:val="24"/>
                <w:lang w:val="en-US" w:eastAsia="zh-CN"/>
              </w:rPr>
              <w:t>综上所述，本项目运营期间无废水外排，不会对区域地表水环境产生</w:t>
            </w:r>
            <w:r>
              <w:rPr>
                <w:rFonts w:hint="eastAsia" w:cs="Times New Roman"/>
                <w:b w:val="0"/>
                <w:bCs w:val="0"/>
                <w:color w:val="auto"/>
                <w:sz w:val="24"/>
                <w:szCs w:val="24"/>
                <w:lang w:val="en-US" w:eastAsia="zh-CN"/>
              </w:rPr>
              <w:t>影响。</w:t>
            </w:r>
          </w:p>
          <w:p w14:paraId="00102E04">
            <w:pPr>
              <w:pStyle w:val="6"/>
              <w:pageBreakBefore w:val="0"/>
              <w:numPr>
                <w:ilvl w:val="3"/>
                <w:numId w:val="0"/>
              </w:numPr>
              <w:suppressLineNumbers w:val="0"/>
              <w:kinsoku/>
              <w:wordWrap/>
              <w:overflowPunct/>
              <w:topLinePunct w:val="0"/>
              <w:autoSpaceDE/>
              <w:autoSpaceDN/>
              <w:bidi w:val="0"/>
              <w:adjustRightInd/>
              <w:spacing w:before="0" w:beforeLines="0" w:beforeAutospacing="0" w:after="0" w:afterAutospacing="0" w:line="480" w:lineRule="exact"/>
              <w:ind w:left="0" w:leftChars="0" w:right="0" w:rightChars="0"/>
              <w:textAlignment w:val="auto"/>
              <w:rPr>
                <w:rFonts w:hint="default"/>
                <w:color w:val="auto"/>
                <w:lang w:val="en-US" w:eastAsia="zh-CN"/>
              </w:rPr>
            </w:pPr>
          </w:p>
          <w:p w14:paraId="5D0B028E">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6EEDD595">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380AFEB0">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48AD3B57">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3CF8FA29">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23F9677E">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66599BF4">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1086BAB9">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5C5B7F4F">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524F2FD4">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2D586ADF">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67153182">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17BCEDB9">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075BE252">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6EF6B320">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00F51903">
            <w:pPr>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09B16023">
            <w:pPr>
              <w:pStyle w:val="16"/>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right="0"/>
              <w:textAlignment w:val="auto"/>
              <w:rPr>
                <w:rFonts w:hint="default"/>
                <w:color w:val="auto"/>
                <w:lang w:val="en-US" w:eastAsia="zh-CN"/>
              </w:rPr>
            </w:pPr>
          </w:p>
          <w:p w14:paraId="09196B5C">
            <w:pPr>
              <w:keepNext w:val="0"/>
              <w:keepLines w:val="0"/>
              <w:suppressLineNumbers w:val="0"/>
              <w:spacing w:before="0" w:beforeAutospacing="0" w:after="0" w:afterAutospacing="0"/>
              <w:ind w:left="0" w:right="0"/>
              <w:rPr>
                <w:rFonts w:hint="default"/>
                <w:color w:val="auto"/>
                <w:lang w:val="en-US" w:eastAsia="zh-CN"/>
              </w:rPr>
            </w:pPr>
          </w:p>
        </w:tc>
      </w:tr>
    </w:tbl>
    <w:p w14:paraId="21979571">
      <w:pPr>
        <w:pStyle w:val="12"/>
        <w:rPr>
          <w:rFonts w:hint="default"/>
          <w:color w:val="auto"/>
          <w:highlight w:val="none"/>
        </w:rPr>
        <w:sectPr>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29"/>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4088"/>
      </w:tblGrid>
      <w:tr w14:paraId="5189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652" w:type="dxa"/>
            <w:vAlign w:val="center"/>
          </w:tcPr>
          <w:p w14:paraId="530D39B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val="0"/>
                <w:color w:val="auto"/>
                <w:spacing w:val="-10"/>
                <w:sz w:val="24"/>
                <w:szCs w:val="24"/>
                <w:highlight w:val="none"/>
                <w:vertAlign w:val="baseline"/>
                <w:lang w:val="en-US" w:eastAsia="zh-CN"/>
              </w:rPr>
            </w:pPr>
            <w:r>
              <w:rPr>
                <w:rFonts w:hint="default" w:ascii="Times New Roman" w:hAnsi="Times New Roman" w:eastAsia="宋体" w:cs="Times New Roman"/>
                <w:bCs/>
                <w:color w:val="auto"/>
                <w:szCs w:val="21"/>
                <w:highlight w:val="none"/>
                <w:lang w:val="en-US" w:eastAsia="zh-CN"/>
              </w:rPr>
              <w:t>运营期环境影响和保护措施</w:t>
            </w:r>
          </w:p>
        </w:tc>
        <w:tc>
          <w:tcPr>
            <w:tcW w:w="14088" w:type="dxa"/>
          </w:tcPr>
          <w:p w14:paraId="5DFF359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z w:val="24"/>
                <w:szCs w:val="24"/>
                <w:highlight w:val="none"/>
                <w:lang w:val="en-US"/>
              </w:rPr>
            </w:pPr>
            <w:r>
              <w:rPr>
                <w:rFonts w:hint="eastAsia" w:cs="Times New Roman"/>
                <w:b/>
                <w:color w:val="auto"/>
                <w:sz w:val="24"/>
                <w:szCs w:val="24"/>
                <w:highlight w:val="none"/>
                <w:lang w:val="en-US" w:eastAsia="zh-CN"/>
              </w:rPr>
              <w:t>三、</w:t>
            </w:r>
            <w:r>
              <w:rPr>
                <w:rFonts w:hint="eastAsia" w:ascii="Times New Roman" w:hAnsi="Times New Roman" w:eastAsia="宋体" w:cs="Times New Roman"/>
                <w:b/>
                <w:color w:val="auto"/>
                <w:sz w:val="24"/>
                <w:szCs w:val="24"/>
                <w:highlight w:val="none"/>
                <w:lang w:val="en-US" w:eastAsia="zh-CN"/>
              </w:rPr>
              <w:t>噪声</w:t>
            </w:r>
          </w:p>
          <w:p w14:paraId="0BDCD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噪声源分析</w:t>
            </w:r>
          </w:p>
          <w:p w14:paraId="3605C3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w:t>
            </w:r>
            <w:r>
              <w:rPr>
                <w:rFonts w:hint="eastAsia" w:ascii="Times New Roman" w:hAnsi="Times New Roman" w:eastAsia="宋体" w:cs="Times New Roman"/>
                <w:color w:val="auto"/>
                <w:sz w:val="24"/>
                <w:highlight w:val="none"/>
                <w:lang w:eastAsia="zh-CN"/>
              </w:rPr>
              <w:t>项目</w:t>
            </w:r>
            <w:r>
              <w:rPr>
                <w:rFonts w:hint="eastAsia" w:ascii="Times New Roman" w:hAnsi="Times New Roman" w:eastAsia="宋体" w:cs="Times New Roman"/>
                <w:color w:val="auto"/>
                <w:sz w:val="24"/>
                <w:highlight w:val="none"/>
                <w:lang w:val="en-US" w:eastAsia="zh-CN"/>
              </w:rPr>
              <w:t>噪声源强</w:t>
            </w:r>
            <w:r>
              <w:rPr>
                <w:rFonts w:hint="eastAsia" w:ascii="Times New Roman" w:hAnsi="Times New Roman" w:eastAsia="宋体" w:cs="Times New Roman"/>
                <w:color w:val="auto"/>
                <w:sz w:val="24"/>
                <w:highlight w:val="none"/>
                <w:lang w:eastAsia="zh-CN"/>
              </w:rPr>
              <w:t>见</w:t>
            </w:r>
            <w:r>
              <w:rPr>
                <w:rFonts w:hint="eastAsia" w:ascii="Times New Roman" w:hAnsi="Times New Roman" w:eastAsia="宋体" w:cs="Times New Roman"/>
                <w:color w:val="auto"/>
                <w:sz w:val="24"/>
                <w:highlight w:val="none"/>
                <w:lang w:val="en-US" w:eastAsia="zh-CN"/>
              </w:rPr>
              <w:t>表4</w:t>
            </w:r>
            <w:r>
              <w:rPr>
                <w:rFonts w:hint="eastAsia" w:cs="Times New Roman"/>
                <w:color w:val="auto"/>
                <w:sz w:val="24"/>
                <w:highlight w:val="none"/>
                <w:lang w:val="en-US" w:eastAsia="zh-CN"/>
              </w:rPr>
              <w:t>-8、表4-9</w:t>
            </w:r>
            <w:r>
              <w:rPr>
                <w:rFonts w:hint="default" w:ascii="Times New Roman" w:hAnsi="Times New Roman" w:eastAsia="宋体" w:cs="Times New Roman"/>
                <w:color w:val="auto"/>
                <w:spacing w:val="4"/>
                <w:sz w:val="24"/>
                <w:highlight w:val="none"/>
                <w:lang w:val="en-US" w:eastAsia="zh-CN"/>
              </w:rPr>
              <w:t>。</w:t>
            </w:r>
          </w:p>
          <w:p w14:paraId="5449A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表4-</w:t>
            </w:r>
            <w:r>
              <w:rPr>
                <w:rFonts w:hint="eastAsia" w:cs="Times New Roman"/>
                <w:b/>
                <w:bCs/>
                <w:color w:val="auto"/>
                <w:spacing w:val="0"/>
                <w:kern w:val="2"/>
                <w:sz w:val="21"/>
                <w:szCs w:val="21"/>
                <w:highlight w:val="none"/>
                <w:lang w:val="en-US" w:eastAsia="zh-CN" w:bidi="ar-SA"/>
              </w:rPr>
              <w:t>8</w:t>
            </w:r>
            <w:r>
              <w:rPr>
                <w:rFonts w:hint="default" w:ascii="Times New Roman" w:hAnsi="Times New Roman" w:eastAsia="宋体" w:cs="Times New Roman"/>
                <w:b/>
                <w:bCs/>
                <w:color w:val="auto"/>
                <w:spacing w:val="0"/>
                <w:kern w:val="2"/>
                <w:sz w:val="21"/>
                <w:szCs w:val="21"/>
                <w:highlight w:val="none"/>
                <w:lang w:val="en-US" w:eastAsia="zh-CN" w:bidi="ar-SA"/>
              </w:rPr>
              <w:t xml:space="preserve">  室内噪声源源强调查清单</w:t>
            </w:r>
          </w:p>
          <w:tbl>
            <w:tblPr>
              <w:tblStyle w:val="28"/>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768"/>
              <w:gridCol w:w="1483"/>
              <w:gridCol w:w="735"/>
              <w:gridCol w:w="1010"/>
              <w:gridCol w:w="1034"/>
              <w:gridCol w:w="561"/>
              <w:gridCol w:w="560"/>
              <w:gridCol w:w="598"/>
              <w:gridCol w:w="1010"/>
              <w:gridCol w:w="984"/>
              <w:gridCol w:w="1296"/>
              <w:gridCol w:w="1018"/>
              <w:gridCol w:w="955"/>
              <w:gridCol w:w="1134"/>
            </w:tblGrid>
            <w:tr w14:paraId="4ECF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vMerge w:val="restart"/>
                  <w:tcBorders>
                    <w:tl2br w:val="nil"/>
                    <w:tr2bl w:val="nil"/>
                  </w:tcBorders>
                  <w:vAlign w:val="center"/>
                </w:tcPr>
                <w:p w14:paraId="07477F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序号</w:t>
                  </w:r>
                </w:p>
              </w:tc>
              <w:tc>
                <w:tcPr>
                  <w:tcW w:w="280" w:type="pct"/>
                  <w:vMerge w:val="restart"/>
                  <w:tcBorders>
                    <w:tl2br w:val="nil"/>
                    <w:tr2bl w:val="nil"/>
                  </w:tcBorders>
                  <w:vAlign w:val="center"/>
                </w:tcPr>
                <w:p w14:paraId="5DF2F6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建筑物</w:t>
                  </w:r>
                  <w:r>
                    <w:rPr>
                      <w:rFonts w:hint="default" w:ascii="Times New Roman" w:hAnsi="Times New Roman" w:eastAsia="宋体" w:cs="Times New Roman"/>
                      <w:b/>
                      <w:bCs/>
                      <w:color w:val="auto"/>
                      <w:spacing w:val="0"/>
                      <w:sz w:val="21"/>
                      <w:szCs w:val="21"/>
                      <w:highlight w:val="none"/>
                    </w:rPr>
                    <w:t>名称</w:t>
                  </w:r>
                </w:p>
              </w:tc>
              <w:tc>
                <w:tcPr>
                  <w:tcW w:w="542" w:type="pct"/>
                  <w:vMerge w:val="restart"/>
                  <w:tcBorders>
                    <w:tl2br w:val="nil"/>
                    <w:tr2bl w:val="nil"/>
                  </w:tcBorders>
                  <w:vAlign w:val="center"/>
                </w:tcPr>
                <w:p w14:paraId="514D24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声源</w:t>
                  </w:r>
                  <w:r>
                    <w:rPr>
                      <w:rFonts w:hint="default" w:ascii="Times New Roman" w:hAnsi="Times New Roman" w:eastAsia="宋体" w:cs="Times New Roman"/>
                      <w:b/>
                      <w:bCs/>
                      <w:color w:val="auto"/>
                      <w:spacing w:val="0"/>
                      <w:sz w:val="21"/>
                      <w:szCs w:val="21"/>
                      <w:highlight w:val="none"/>
                    </w:rPr>
                    <w:t>名称</w:t>
                  </w:r>
                </w:p>
              </w:tc>
              <w:tc>
                <w:tcPr>
                  <w:tcW w:w="268" w:type="pct"/>
                  <w:vMerge w:val="restart"/>
                  <w:tcBorders>
                    <w:tl2br w:val="nil"/>
                    <w:tr2bl w:val="nil"/>
                  </w:tcBorders>
                  <w:vAlign w:val="center"/>
                </w:tcPr>
                <w:p w14:paraId="1E46DE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数量（台/套）</w:t>
                  </w:r>
                </w:p>
              </w:tc>
              <w:tc>
                <w:tcPr>
                  <w:tcW w:w="369" w:type="pct"/>
                  <w:vMerge w:val="restart"/>
                  <w:tcBorders>
                    <w:tl2br w:val="nil"/>
                    <w:tr2bl w:val="nil"/>
                  </w:tcBorders>
                  <w:vAlign w:val="center"/>
                </w:tcPr>
                <w:p w14:paraId="1998B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声功率级</w:t>
                  </w:r>
                  <w:r>
                    <w:rPr>
                      <w:rFonts w:hint="default" w:ascii="Times New Roman" w:hAnsi="Times New Roman" w:eastAsia="宋体" w:cs="Times New Roman"/>
                      <w:b/>
                      <w:bCs/>
                      <w:color w:val="auto"/>
                      <w:spacing w:val="0"/>
                      <w:sz w:val="21"/>
                      <w:szCs w:val="21"/>
                      <w:highlight w:val="none"/>
                    </w:rPr>
                    <w:t>dB</w:t>
                  </w:r>
                  <w:r>
                    <w:rPr>
                      <w:rFonts w:hint="eastAsia" w:ascii="Times New Roman" w:hAnsi="Times New Roman" w:eastAsia="宋体" w:cs="Times New Roman"/>
                      <w:b/>
                      <w:bCs/>
                      <w:color w:val="auto"/>
                      <w:spacing w:val="0"/>
                      <w:sz w:val="21"/>
                      <w:szCs w:val="21"/>
                      <w:highlight w:val="none"/>
                    </w:rPr>
                    <w:t>(</w:t>
                  </w:r>
                  <w:r>
                    <w:rPr>
                      <w:rFonts w:hint="default" w:ascii="Times New Roman" w:hAnsi="Times New Roman" w:eastAsia="宋体" w:cs="Times New Roman"/>
                      <w:b/>
                      <w:bCs/>
                      <w:color w:val="auto"/>
                      <w:spacing w:val="0"/>
                      <w:sz w:val="21"/>
                      <w:szCs w:val="21"/>
                      <w:highlight w:val="none"/>
                    </w:rPr>
                    <w:t>A</w:t>
                  </w:r>
                  <w:r>
                    <w:rPr>
                      <w:rFonts w:hint="eastAsia" w:ascii="Times New Roman" w:hAnsi="Times New Roman" w:eastAsia="宋体" w:cs="Times New Roman"/>
                      <w:b/>
                      <w:bCs/>
                      <w:color w:val="auto"/>
                      <w:spacing w:val="0"/>
                      <w:sz w:val="21"/>
                      <w:szCs w:val="21"/>
                      <w:highlight w:val="none"/>
                    </w:rPr>
                    <w:t>)</w:t>
                  </w:r>
                </w:p>
              </w:tc>
              <w:tc>
                <w:tcPr>
                  <w:tcW w:w="378" w:type="pct"/>
                  <w:vMerge w:val="restart"/>
                  <w:tcBorders>
                    <w:tl2br w:val="nil"/>
                    <w:tr2bl w:val="nil"/>
                  </w:tcBorders>
                  <w:vAlign w:val="center"/>
                </w:tcPr>
                <w:p w14:paraId="4717E3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声源</w:t>
                  </w:r>
                  <w:r>
                    <w:rPr>
                      <w:rFonts w:hint="default" w:ascii="Times New Roman" w:hAnsi="Times New Roman" w:eastAsia="宋体" w:cs="Times New Roman"/>
                      <w:b/>
                      <w:bCs/>
                      <w:color w:val="auto"/>
                      <w:spacing w:val="0"/>
                      <w:sz w:val="21"/>
                      <w:szCs w:val="21"/>
                      <w:highlight w:val="none"/>
                    </w:rPr>
                    <w:t>控制措施</w:t>
                  </w:r>
                </w:p>
              </w:tc>
              <w:tc>
                <w:tcPr>
                  <w:tcW w:w="629" w:type="pct"/>
                  <w:gridSpan w:val="3"/>
                  <w:tcBorders>
                    <w:tl2br w:val="nil"/>
                    <w:tr2bl w:val="nil"/>
                  </w:tcBorders>
                  <w:vAlign w:val="center"/>
                </w:tcPr>
                <w:p w14:paraId="6DF9B6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空间</w:t>
                  </w:r>
                  <w:r>
                    <w:rPr>
                      <w:rFonts w:hint="default" w:ascii="Times New Roman" w:hAnsi="Times New Roman" w:eastAsia="宋体" w:cs="Times New Roman"/>
                      <w:b/>
                      <w:bCs/>
                      <w:color w:val="auto"/>
                      <w:spacing w:val="0"/>
                      <w:sz w:val="21"/>
                      <w:szCs w:val="21"/>
                      <w:highlight w:val="none"/>
                    </w:rPr>
                    <w:t>相对位置</w:t>
                  </w:r>
                  <w:r>
                    <w:rPr>
                      <w:rFonts w:hint="eastAsia" w:ascii="Times New Roman" w:hAnsi="Times New Roman" w:eastAsia="宋体" w:cs="Times New Roman"/>
                      <w:b/>
                      <w:bCs/>
                      <w:color w:val="auto"/>
                      <w:spacing w:val="0"/>
                      <w:sz w:val="21"/>
                      <w:szCs w:val="21"/>
                      <w:highlight w:val="none"/>
                    </w:rPr>
                    <w:t>/m</w:t>
                  </w:r>
                </w:p>
              </w:tc>
              <w:tc>
                <w:tcPr>
                  <w:tcW w:w="369" w:type="pct"/>
                  <w:vMerge w:val="restart"/>
                  <w:tcBorders>
                    <w:tl2br w:val="nil"/>
                    <w:tr2bl w:val="nil"/>
                  </w:tcBorders>
                  <w:vAlign w:val="center"/>
                </w:tcPr>
                <w:p w14:paraId="41E756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距</w:t>
                  </w:r>
                  <w:r>
                    <w:rPr>
                      <w:rFonts w:hint="default" w:ascii="Times New Roman" w:hAnsi="Times New Roman" w:eastAsia="宋体" w:cs="Times New Roman"/>
                      <w:b/>
                      <w:bCs/>
                      <w:color w:val="auto"/>
                      <w:spacing w:val="0"/>
                      <w:sz w:val="21"/>
                      <w:szCs w:val="21"/>
                      <w:highlight w:val="none"/>
                    </w:rPr>
                    <w:t>室内边界距离</w:t>
                  </w:r>
                  <w:r>
                    <w:rPr>
                      <w:rFonts w:hint="eastAsia" w:ascii="Times New Roman" w:hAnsi="Times New Roman" w:eastAsia="宋体" w:cs="Times New Roman"/>
                      <w:b/>
                      <w:bCs/>
                      <w:color w:val="auto"/>
                      <w:spacing w:val="0"/>
                      <w:sz w:val="21"/>
                      <w:szCs w:val="21"/>
                      <w:highlight w:val="none"/>
                    </w:rPr>
                    <w:t>/m</w:t>
                  </w:r>
                </w:p>
              </w:tc>
              <w:tc>
                <w:tcPr>
                  <w:tcW w:w="360" w:type="pct"/>
                  <w:vMerge w:val="restart"/>
                  <w:tcBorders>
                    <w:tl2br w:val="nil"/>
                    <w:tr2bl w:val="nil"/>
                  </w:tcBorders>
                  <w:vAlign w:val="center"/>
                </w:tcPr>
                <w:p w14:paraId="0DCD79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室内</w:t>
                  </w:r>
                  <w:r>
                    <w:rPr>
                      <w:rFonts w:hint="default" w:ascii="Times New Roman" w:hAnsi="Times New Roman" w:eastAsia="宋体" w:cs="Times New Roman"/>
                      <w:b/>
                      <w:bCs/>
                      <w:color w:val="auto"/>
                      <w:spacing w:val="0"/>
                      <w:sz w:val="21"/>
                      <w:szCs w:val="21"/>
                      <w:highlight w:val="none"/>
                    </w:rPr>
                    <w:t>边界声级</w:t>
                  </w:r>
                  <w:r>
                    <w:rPr>
                      <w:rFonts w:hint="eastAsia" w:ascii="Times New Roman" w:hAnsi="Times New Roman" w:eastAsia="宋体" w:cs="Times New Roman"/>
                      <w:b/>
                      <w:bCs/>
                      <w:color w:val="auto"/>
                      <w:spacing w:val="0"/>
                      <w:sz w:val="21"/>
                      <w:szCs w:val="21"/>
                      <w:highlight w:val="none"/>
                    </w:rPr>
                    <w:t>d</w:t>
                  </w:r>
                  <w:r>
                    <w:rPr>
                      <w:rFonts w:hint="default" w:ascii="Times New Roman" w:hAnsi="Times New Roman" w:eastAsia="宋体" w:cs="Times New Roman"/>
                      <w:b/>
                      <w:bCs/>
                      <w:color w:val="auto"/>
                      <w:spacing w:val="0"/>
                      <w:sz w:val="21"/>
                      <w:szCs w:val="21"/>
                      <w:highlight w:val="none"/>
                    </w:rPr>
                    <w:t>B</w:t>
                  </w:r>
                  <w:r>
                    <w:rPr>
                      <w:rFonts w:hint="eastAsia" w:ascii="Times New Roman" w:hAnsi="Times New Roman" w:eastAsia="宋体" w:cs="Times New Roman"/>
                      <w:b/>
                      <w:bCs/>
                      <w:color w:val="auto"/>
                      <w:spacing w:val="0"/>
                      <w:sz w:val="21"/>
                      <w:szCs w:val="21"/>
                      <w:highlight w:val="none"/>
                    </w:rPr>
                    <w:t>(</w:t>
                  </w:r>
                  <w:r>
                    <w:rPr>
                      <w:rFonts w:hint="default" w:ascii="Times New Roman" w:hAnsi="Times New Roman" w:eastAsia="宋体" w:cs="Times New Roman"/>
                      <w:b/>
                      <w:bCs/>
                      <w:color w:val="auto"/>
                      <w:spacing w:val="0"/>
                      <w:sz w:val="21"/>
                      <w:szCs w:val="21"/>
                      <w:highlight w:val="none"/>
                    </w:rPr>
                    <w:t>A</w:t>
                  </w:r>
                  <w:r>
                    <w:rPr>
                      <w:rFonts w:hint="eastAsia" w:ascii="Times New Roman" w:hAnsi="Times New Roman" w:eastAsia="宋体" w:cs="Times New Roman"/>
                      <w:b/>
                      <w:bCs/>
                      <w:color w:val="auto"/>
                      <w:spacing w:val="0"/>
                      <w:sz w:val="21"/>
                      <w:szCs w:val="21"/>
                      <w:highlight w:val="none"/>
                    </w:rPr>
                    <w:t>)</w:t>
                  </w:r>
                </w:p>
              </w:tc>
              <w:tc>
                <w:tcPr>
                  <w:tcW w:w="474" w:type="pct"/>
                  <w:vMerge w:val="restart"/>
                  <w:tcBorders>
                    <w:tl2br w:val="nil"/>
                    <w:tr2bl w:val="nil"/>
                  </w:tcBorders>
                  <w:vAlign w:val="center"/>
                </w:tcPr>
                <w:p w14:paraId="3FAA65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运行</w:t>
                  </w:r>
                  <w:r>
                    <w:rPr>
                      <w:rFonts w:hint="default" w:ascii="Times New Roman" w:hAnsi="Times New Roman" w:eastAsia="宋体" w:cs="Times New Roman"/>
                      <w:b/>
                      <w:bCs/>
                      <w:color w:val="auto"/>
                      <w:spacing w:val="0"/>
                      <w:sz w:val="21"/>
                      <w:szCs w:val="21"/>
                      <w:highlight w:val="none"/>
                    </w:rPr>
                    <w:t>时段</w:t>
                  </w:r>
                </w:p>
              </w:tc>
              <w:tc>
                <w:tcPr>
                  <w:tcW w:w="372" w:type="pct"/>
                  <w:vMerge w:val="restart"/>
                  <w:tcBorders>
                    <w:tl2br w:val="nil"/>
                    <w:tr2bl w:val="nil"/>
                  </w:tcBorders>
                  <w:vAlign w:val="center"/>
                </w:tcPr>
                <w:p w14:paraId="37F14B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建筑物</w:t>
                  </w:r>
                  <w:r>
                    <w:rPr>
                      <w:rFonts w:hint="default" w:ascii="Times New Roman" w:hAnsi="Times New Roman" w:eastAsia="宋体" w:cs="Times New Roman"/>
                      <w:b/>
                      <w:bCs/>
                      <w:color w:val="auto"/>
                      <w:spacing w:val="0"/>
                      <w:sz w:val="21"/>
                      <w:szCs w:val="21"/>
                      <w:highlight w:val="none"/>
                    </w:rPr>
                    <w:t>插入损失</w:t>
                  </w:r>
                  <w:r>
                    <w:rPr>
                      <w:rFonts w:hint="eastAsia" w:ascii="Times New Roman" w:hAnsi="Times New Roman" w:eastAsia="宋体" w:cs="Times New Roman"/>
                      <w:b/>
                      <w:bCs/>
                      <w:color w:val="auto"/>
                      <w:spacing w:val="0"/>
                      <w:sz w:val="21"/>
                      <w:szCs w:val="21"/>
                      <w:highlight w:val="none"/>
                    </w:rPr>
                    <w:t>d</w:t>
                  </w:r>
                  <w:r>
                    <w:rPr>
                      <w:rFonts w:hint="default" w:ascii="Times New Roman" w:hAnsi="Times New Roman" w:eastAsia="宋体" w:cs="Times New Roman"/>
                      <w:b/>
                      <w:bCs/>
                      <w:color w:val="auto"/>
                      <w:spacing w:val="0"/>
                      <w:sz w:val="21"/>
                      <w:szCs w:val="21"/>
                      <w:highlight w:val="none"/>
                    </w:rPr>
                    <w:t>B</w:t>
                  </w:r>
                  <w:r>
                    <w:rPr>
                      <w:rFonts w:hint="eastAsia" w:ascii="Times New Roman" w:hAnsi="Times New Roman" w:eastAsia="宋体" w:cs="Times New Roman"/>
                      <w:b/>
                      <w:bCs/>
                      <w:color w:val="auto"/>
                      <w:spacing w:val="0"/>
                      <w:sz w:val="21"/>
                      <w:szCs w:val="21"/>
                      <w:highlight w:val="none"/>
                    </w:rPr>
                    <w:t>(</w:t>
                  </w:r>
                  <w:r>
                    <w:rPr>
                      <w:rFonts w:hint="default" w:ascii="Times New Roman" w:hAnsi="Times New Roman" w:eastAsia="宋体" w:cs="Times New Roman"/>
                      <w:b/>
                      <w:bCs/>
                      <w:color w:val="auto"/>
                      <w:spacing w:val="0"/>
                      <w:sz w:val="21"/>
                      <w:szCs w:val="21"/>
                      <w:highlight w:val="none"/>
                    </w:rPr>
                    <w:t>A)</w:t>
                  </w:r>
                </w:p>
              </w:tc>
              <w:tc>
                <w:tcPr>
                  <w:tcW w:w="764" w:type="pct"/>
                  <w:gridSpan w:val="2"/>
                  <w:tcBorders>
                    <w:tl2br w:val="nil"/>
                    <w:tr2bl w:val="nil"/>
                  </w:tcBorders>
                  <w:vAlign w:val="center"/>
                </w:tcPr>
                <w:p w14:paraId="1784E6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建筑物</w:t>
                  </w:r>
                  <w:r>
                    <w:rPr>
                      <w:rFonts w:hint="default" w:ascii="Times New Roman" w:hAnsi="Times New Roman" w:eastAsia="宋体" w:cs="Times New Roman"/>
                      <w:b/>
                      <w:bCs/>
                      <w:color w:val="auto"/>
                      <w:spacing w:val="0"/>
                      <w:sz w:val="21"/>
                      <w:szCs w:val="21"/>
                      <w:highlight w:val="none"/>
                    </w:rPr>
                    <w:t>外噪声</w:t>
                  </w:r>
                </w:p>
              </w:tc>
            </w:tr>
            <w:tr w14:paraId="2658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vMerge w:val="continue"/>
                  <w:tcBorders>
                    <w:tl2br w:val="nil"/>
                    <w:tr2bl w:val="nil"/>
                  </w:tcBorders>
                  <w:vAlign w:val="center"/>
                </w:tcPr>
                <w:p w14:paraId="0FBA11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280" w:type="pct"/>
                  <w:vMerge w:val="continue"/>
                  <w:tcBorders>
                    <w:tl2br w:val="nil"/>
                    <w:tr2bl w:val="nil"/>
                  </w:tcBorders>
                  <w:vAlign w:val="center"/>
                </w:tcPr>
                <w:p w14:paraId="5378B8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542" w:type="pct"/>
                  <w:vMerge w:val="continue"/>
                  <w:tcBorders>
                    <w:tl2br w:val="nil"/>
                    <w:tr2bl w:val="nil"/>
                  </w:tcBorders>
                  <w:vAlign w:val="center"/>
                </w:tcPr>
                <w:p w14:paraId="228A44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268" w:type="pct"/>
                  <w:vMerge w:val="continue"/>
                  <w:tcBorders>
                    <w:tl2br w:val="nil"/>
                    <w:tr2bl w:val="nil"/>
                  </w:tcBorders>
                  <w:vAlign w:val="center"/>
                </w:tcPr>
                <w:p w14:paraId="2BE0D0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369" w:type="pct"/>
                  <w:vMerge w:val="continue"/>
                  <w:tcBorders>
                    <w:tl2br w:val="nil"/>
                    <w:tr2bl w:val="nil"/>
                  </w:tcBorders>
                  <w:vAlign w:val="center"/>
                </w:tcPr>
                <w:p w14:paraId="3B0B96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378" w:type="pct"/>
                  <w:vMerge w:val="continue"/>
                  <w:tcBorders>
                    <w:tl2br w:val="nil"/>
                    <w:tr2bl w:val="nil"/>
                  </w:tcBorders>
                  <w:vAlign w:val="center"/>
                </w:tcPr>
                <w:p w14:paraId="4EC0E2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205" w:type="pct"/>
                  <w:tcBorders>
                    <w:tl2br w:val="nil"/>
                    <w:tr2bl w:val="nil"/>
                  </w:tcBorders>
                  <w:vAlign w:val="center"/>
                </w:tcPr>
                <w:p w14:paraId="0D559C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X</w:t>
                  </w:r>
                </w:p>
              </w:tc>
              <w:tc>
                <w:tcPr>
                  <w:tcW w:w="205" w:type="pct"/>
                  <w:tcBorders>
                    <w:tl2br w:val="nil"/>
                    <w:tr2bl w:val="nil"/>
                  </w:tcBorders>
                  <w:vAlign w:val="center"/>
                </w:tcPr>
                <w:p w14:paraId="2014B5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Y</w:t>
                  </w:r>
                </w:p>
              </w:tc>
              <w:tc>
                <w:tcPr>
                  <w:tcW w:w="218" w:type="pct"/>
                  <w:tcBorders>
                    <w:tl2br w:val="nil"/>
                    <w:tr2bl w:val="nil"/>
                  </w:tcBorders>
                  <w:vAlign w:val="center"/>
                </w:tcPr>
                <w:p w14:paraId="50C219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Z</w:t>
                  </w:r>
                </w:p>
              </w:tc>
              <w:tc>
                <w:tcPr>
                  <w:tcW w:w="369" w:type="pct"/>
                  <w:vMerge w:val="continue"/>
                  <w:tcBorders>
                    <w:tl2br w:val="nil"/>
                    <w:tr2bl w:val="nil"/>
                  </w:tcBorders>
                  <w:vAlign w:val="center"/>
                </w:tcPr>
                <w:p w14:paraId="100A72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360" w:type="pct"/>
                  <w:vMerge w:val="continue"/>
                  <w:tcBorders>
                    <w:tl2br w:val="nil"/>
                    <w:tr2bl w:val="nil"/>
                  </w:tcBorders>
                  <w:vAlign w:val="center"/>
                </w:tcPr>
                <w:p w14:paraId="2688EE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474" w:type="pct"/>
                  <w:vMerge w:val="continue"/>
                  <w:tcBorders>
                    <w:tl2br w:val="nil"/>
                    <w:tr2bl w:val="nil"/>
                  </w:tcBorders>
                  <w:vAlign w:val="center"/>
                </w:tcPr>
                <w:p w14:paraId="31989E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372" w:type="pct"/>
                  <w:vMerge w:val="continue"/>
                  <w:tcBorders>
                    <w:tl2br w:val="nil"/>
                    <w:tr2bl w:val="nil"/>
                  </w:tcBorders>
                  <w:vAlign w:val="center"/>
                </w:tcPr>
                <w:p w14:paraId="1165E1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p>
              </w:tc>
              <w:tc>
                <w:tcPr>
                  <w:tcW w:w="349" w:type="pct"/>
                  <w:tcBorders>
                    <w:tl2br w:val="nil"/>
                    <w:tr2bl w:val="nil"/>
                  </w:tcBorders>
                  <w:vAlign w:val="center"/>
                </w:tcPr>
                <w:p w14:paraId="47F473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声压级dB(A)</w:t>
                  </w:r>
                </w:p>
              </w:tc>
              <w:tc>
                <w:tcPr>
                  <w:tcW w:w="414" w:type="pct"/>
                  <w:tcBorders>
                    <w:tl2br w:val="nil"/>
                    <w:tr2bl w:val="nil"/>
                  </w:tcBorders>
                  <w:vAlign w:val="center"/>
                </w:tcPr>
                <w:p w14:paraId="385254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rPr>
                    <w:t>建筑物</w:t>
                  </w:r>
                  <w:r>
                    <w:rPr>
                      <w:rFonts w:hint="default" w:ascii="Times New Roman" w:hAnsi="Times New Roman" w:eastAsia="宋体" w:cs="Times New Roman"/>
                      <w:b/>
                      <w:bCs/>
                      <w:color w:val="auto"/>
                      <w:spacing w:val="0"/>
                      <w:sz w:val="21"/>
                      <w:szCs w:val="21"/>
                      <w:highlight w:val="none"/>
                    </w:rPr>
                    <w:t>外距离</w:t>
                  </w:r>
                  <w:r>
                    <w:rPr>
                      <w:rFonts w:hint="eastAsia" w:ascii="Times New Roman" w:hAnsi="Times New Roman" w:eastAsia="宋体" w:cs="Times New Roman"/>
                      <w:b/>
                      <w:bCs/>
                      <w:color w:val="auto"/>
                      <w:spacing w:val="0"/>
                      <w:sz w:val="21"/>
                      <w:szCs w:val="21"/>
                      <w:highlight w:val="none"/>
                      <w:lang w:val="en-US" w:eastAsia="zh-CN"/>
                    </w:rPr>
                    <w:t>m</w:t>
                  </w:r>
                </w:p>
              </w:tc>
            </w:tr>
            <w:tr w14:paraId="3649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221D3D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c>
                <w:tcPr>
                  <w:tcW w:w="280" w:type="pct"/>
                  <w:vMerge w:val="restart"/>
                  <w:tcBorders>
                    <w:tl2br w:val="nil"/>
                    <w:tr2bl w:val="nil"/>
                  </w:tcBorders>
                  <w:vAlign w:val="center"/>
                </w:tcPr>
                <w:p w14:paraId="6DD6C3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r>
                    <w:rPr>
                      <w:rFonts w:hint="eastAsia" w:ascii="Calibri" w:hAnsi="Calibri" w:eastAsia="宋体" w:cs="Times New Roman"/>
                      <w:color w:val="auto"/>
                      <w:spacing w:val="0"/>
                      <w:kern w:val="0"/>
                      <w:sz w:val="21"/>
                      <w:szCs w:val="21"/>
                      <w:highlight w:val="none"/>
                      <w:lang w:val="en-US" w:eastAsia="zh-CN"/>
                    </w:rPr>
                    <w:t>生产车间</w:t>
                  </w:r>
                </w:p>
              </w:tc>
              <w:tc>
                <w:tcPr>
                  <w:tcW w:w="542" w:type="pct"/>
                  <w:tcBorders>
                    <w:tl2br w:val="nil"/>
                    <w:tr2bl w:val="nil"/>
                  </w:tcBorders>
                  <w:vAlign w:val="center"/>
                </w:tcPr>
                <w:p w14:paraId="71BE8FF4">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bCs/>
                      <w:color w:val="auto"/>
                      <w:szCs w:val="21"/>
                      <w:lang w:val="en-US" w:eastAsia="zh-CN"/>
                    </w:rPr>
                    <w:t>振动</w:t>
                  </w:r>
                  <w:r>
                    <w:rPr>
                      <w:rFonts w:hint="default"/>
                      <w:bCs/>
                      <w:color w:val="auto"/>
                      <w:szCs w:val="21"/>
                    </w:rPr>
                    <w:t>给料机</w:t>
                  </w:r>
                </w:p>
              </w:tc>
              <w:tc>
                <w:tcPr>
                  <w:tcW w:w="268" w:type="pct"/>
                  <w:tcBorders>
                    <w:tl2br w:val="nil"/>
                    <w:tr2bl w:val="nil"/>
                  </w:tcBorders>
                  <w:vAlign w:val="center"/>
                </w:tcPr>
                <w:p w14:paraId="129E1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369" w:type="pct"/>
                  <w:tcBorders>
                    <w:tl2br w:val="nil"/>
                    <w:tr2bl w:val="nil"/>
                  </w:tcBorders>
                  <w:vAlign w:val="center"/>
                </w:tcPr>
                <w:p w14:paraId="25F2C3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378" w:type="pct"/>
                  <w:vMerge w:val="restart"/>
                  <w:tcBorders>
                    <w:tl2br w:val="nil"/>
                    <w:tr2bl w:val="nil"/>
                  </w:tcBorders>
                  <w:vAlign w:val="center"/>
                </w:tcPr>
                <w:p w14:paraId="257786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rPr>
                  </w:pPr>
                  <w:r>
                    <w:rPr>
                      <w:rFonts w:hint="eastAsia" w:ascii="Times New Roman" w:hAnsi="Times New Roman" w:eastAsia="宋体" w:cs="Times New Roman"/>
                      <w:color w:val="auto"/>
                      <w:spacing w:val="0"/>
                      <w:sz w:val="21"/>
                      <w:szCs w:val="21"/>
                      <w:highlight w:val="none"/>
                    </w:rPr>
                    <w:t>采用低噪声设备；减振；</w:t>
                  </w:r>
                  <w:r>
                    <w:rPr>
                      <w:rFonts w:hint="eastAsia" w:ascii="Times New Roman" w:hAnsi="Times New Roman" w:eastAsia="宋体" w:cs="Times New Roman"/>
                      <w:color w:val="auto"/>
                      <w:spacing w:val="0"/>
                      <w:sz w:val="21"/>
                      <w:szCs w:val="21"/>
                      <w:highlight w:val="none"/>
                      <w:lang w:val="en-US" w:eastAsia="zh-CN"/>
                    </w:rPr>
                    <w:t>隔声；风机出口安装消声器；定期维护</w:t>
                  </w:r>
                </w:p>
              </w:tc>
              <w:tc>
                <w:tcPr>
                  <w:tcW w:w="205" w:type="pct"/>
                  <w:tcBorders>
                    <w:tl2br w:val="nil"/>
                    <w:tr2bl w:val="nil"/>
                  </w:tcBorders>
                  <w:vAlign w:val="center"/>
                </w:tcPr>
                <w:p w14:paraId="17BBAE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33</w:t>
                  </w:r>
                </w:p>
              </w:tc>
              <w:tc>
                <w:tcPr>
                  <w:tcW w:w="205" w:type="pct"/>
                  <w:tcBorders>
                    <w:tl2br w:val="nil"/>
                    <w:tr2bl w:val="nil"/>
                  </w:tcBorders>
                  <w:vAlign w:val="center"/>
                </w:tcPr>
                <w:p w14:paraId="21939D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38</w:t>
                  </w:r>
                </w:p>
              </w:tc>
              <w:tc>
                <w:tcPr>
                  <w:tcW w:w="218" w:type="pct"/>
                  <w:tcBorders>
                    <w:tl2br w:val="nil"/>
                    <w:tr2bl w:val="nil"/>
                  </w:tcBorders>
                  <w:vAlign w:val="center"/>
                </w:tcPr>
                <w:p w14:paraId="334B65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69" w:type="pct"/>
                  <w:tcBorders>
                    <w:tl2br w:val="nil"/>
                    <w:tr2bl w:val="nil"/>
                  </w:tcBorders>
                  <w:vAlign w:val="center"/>
                </w:tcPr>
                <w:p w14:paraId="0C7023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w:t>
                  </w:r>
                </w:p>
              </w:tc>
              <w:tc>
                <w:tcPr>
                  <w:tcW w:w="984" w:type="dxa"/>
                  <w:tcBorders>
                    <w:tl2br w:val="nil"/>
                    <w:tr2bl w:val="nil"/>
                  </w:tcBorders>
                  <w:vAlign w:val="center"/>
                </w:tcPr>
                <w:p w14:paraId="36C0C7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68.0 </w:t>
                  </w:r>
                </w:p>
              </w:tc>
              <w:tc>
                <w:tcPr>
                  <w:tcW w:w="474" w:type="pct"/>
                  <w:vMerge w:val="restart"/>
                  <w:tcBorders>
                    <w:tl2br w:val="nil"/>
                    <w:tr2bl w:val="nil"/>
                  </w:tcBorders>
                  <w:vAlign w:val="center"/>
                </w:tcPr>
                <w:p w14:paraId="01999F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6:00-22:00</w:t>
                  </w:r>
                </w:p>
              </w:tc>
              <w:tc>
                <w:tcPr>
                  <w:tcW w:w="372" w:type="pct"/>
                  <w:tcBorders>
                    <w:tl2br w:val="nil"/>
                    <w:tr2bl w:val="nil"/>
                  </w:tcBorders>
                  <w:vAlign w:val="center"/>
                </w:tcPr>
                <w:p w14:paraId="6B2594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02A9BF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 xml:space="preserve">48.0 </w:t>
                  </w:r>
                </w:p>
              </w:tc>
              <w:tc>
                <w:tcPr>
                  <w:tcW w:w="414" w:type="pct"/>
                  <w:tcBorders>
                    <w:tl2br w:val="nil"/>
                    <w:tr2bl w:val="nil"/>
                  </w:tcBorders>
                  <w:vAlign w:val="center"/>
                </w:tcPr>
                <w:p w14:paraId="509E42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0066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0" w:type="pct"/>
                  <w:tcBorders>
                    <w:tl2br w:val="nil"/>
                    <w:tr2bl w:val="nil"/>
                  </w:tcBorders>
                  <w:shd w:val="clear" w:color="auto" w:fill="auto"/>
                  <w:vAlign w:val="center"/>
                </w:tcPr>
                <w:p w14:paraId="5071DF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2</w:t>
                  </w:r>
                </w:p>
              </w:tc>
              <w:tc>
                <w:tcPr>
                  <w:tcW w:w="280" w:type="pct"/>
                  <w:vMerge w:val="continue"/>
                  <w:tcBorders>
                    <w:tl2br w:val="nil"/>
                    <w:tr2bl w:val="nil"/>
                  </w:tcBorders>
                  <w:vAlign w:val="center"/>
                </w:tcPr>
                <w:p w14:paraId="5710E6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24EB4ADB">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w w:val="100"/>
                      <w:kern w:val="0"/>
                      <w:sz w:val="21"/>
                      <w:szCs w:val="21"/>
                      <w:highlight w:val="none"/>
                      <w:lang w:val="en-US" w:eastAsia="zh-CN" w:bidi="zh-CN"/>
                    </w:rPr>
                    <w:t>箱式破碎机</w:t>
                  </w:r>
                </w:p>
              </w:tc>
              <w:tc>
                <w:tcPr>
                  <w:tcW w:w="268" w:type="pct"/>
                  <w:tcBorders>
                    <w:tl2br w:val="nil"/>
                    <w:tr2bl w:val="nil"/>
                  </w:tcBorders>
                  <w:vAlign w:val="center"/>
                </w:tcPr>
                <w:p w14:paraId="78D707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369" w:type="pct"/>
                  <w:tcBorders>
                    <w:tl2br w:val="nil"/>
                    <w:tr2bl w:val="nil"/>
                  </w:tcBorders>
                  <w:vAlign w:val="center"/>
                </w:tcPr>
                <w:p w14:paraId="607872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85</w:t>
                  </w:r>
                </w:p>
              </w:tc>
              <w:tc>
                <w:tcPr>
                  <w:tcW w:w="378" w:type="pct"/>
                  <w:vMerge w:val="continue"/>
                  <w:tcBorders>
                    <w:tl2br w:val="nil"/>
                    <w:tr2bl w:val="nil"/>
                  </w:tcBorders>
                  <w:vAlign w:val="center"/>
                </w:tcPr>
                <w:p w14:paraId="3BB30E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556A7F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33</w:t>
                  </w:r>
                </w:p>
              </w:tc>
              <w:tc>
                <w:tcPr>
                  <w:tcW w:w="205" w:type="pct"/>
                  <w:tcBorders>
                    <w:tl2br w:val="nil"/>
                    <w:tr2bl w:val="nil"/>
                  </w:tcBorders>
                  <w:vAlign w:val="center"/>
                </w:tcPr>
                <w:p w14:paraId="52AD50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w:t>
                  </w:r>
                </w:p>
              </w:tc>
              <w:tc>
                <w:tcPr>
                  <w:tcW w:w="218" w:type="pct"/>
                  <w:tcBorders>
                    <w:tl2br w:val="nil"/>
                    <w:tr2bl w:val="nil"/>
                  </w:tcBorders>
                  <w:vAlign w:val="center"/>
                </w:tcPr>
                <w:p w14:paraId="723B65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69" w:type="pct"/>
                  <w:tcBorders>
                    <w:tl2br w:val="nil"/>
                    <w:tr2bl w:val="nil"/>
                  </w:tcBorders>
                  <w:vAlign w:val="center"/>
                </w:tcPr>
                <w:p w14:paraId="6DDB5D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984" w:type="dxa"/>
                  <w:tcBorders>
                    <w:tl2br w:val="nil"/>
                    <w:tr2bl w:val="nil"/>
                  </w:tcBorders>
                  <w:vAlign w:val="center"/>
                </w:tcPr>
                <w:p w14:paraId="622F02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71.0 </w:t>
                  </w:r>
                </w:p>
              </w:tc>
              <w:tc>
                <w:tcPr>
                  <w:tcW w:w="474" w:type="pct"/>
                  <w:vMerge w:val="continue"/>
                  <w:tcBorders>
                    <w:tl2br w:val="nil"/>
                    <w:tr2bl w:val="nil"/>
                  </w:tcBorders>
                  <w:vAlign w:val="center"/>
                </w:tcPr>
                <w:p w14:paraId="4ED378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72" w:type="pct"/>
                  <w:tcBorders>
                    <w:tl2br w:val="nil"/>
                    <w:tr2bl w:val="nil"/>
                  </w:tcBorders>
                  <w:vAlign w:val="center"/>
                </w:tcPr>
                <w:p w14:paraId="5F6ADB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09A06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 xml:space="preserve">51.0 </w:t>
                  </w:r>
                </w:p>
              </w:tc>
              <w:tc>
                <w:tcPr>
                  <w:tcW w:w="414" w:type="pct"/>
                  <w:tcBorders>
                    <w:tl2br w:val="nil"/>
                    <w:tr2bl w:val="nil"/>
                  </w:tcBorders>
                  <w:vAlign w:val="center"/>
                </w:tcPr>
                <w:p w14:paraId="07E8E0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57FF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0" w:type="pct"/>
                  <w:tcBorders>
                    <w:tl2br w:val="nil"/>
                    <w:tr2bl w:val="nil"/>
                  </w:tcBorders>
                  <w:shd w:val="clear" w:color="auto" w:fill="auto"/>
                  <w:vAlign w:val="center"/>
                </w:tcPr>
                <w:p w14:paraId="7AB6C6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w:t>
                  </w:r>
                </w:p>
              </w:tc>
              <w:tc>
                <w:tcPr>
                  <w:tcW w:w="280" w:type="pct"/>
                  <w:vMerge w:val="continue"/>
                  <w:tcBorders>
                    <w:tl2br w:val="nil"/>
                    <w:tr2bl w:val="nil"/>
                  </w:tcBorders>
                  <w:vAlign w:val="center"/>
                </w:tcPr>
                <w:p w14:paraId="528AC3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shd w:val="clear" w:color="auto" w:fill="auto"/>
                  <w:vAlign w:val="center"/>
                </w:tcPr>
                <w:p w14:paraId="13489BDC">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w w:val="100"/>
                      <w:kern w:val="0"/>
                      <w:sz w:val="21"/>
                      <w:szCs w:val="21"/>
                      <w:highlight w:val="none"/>
                      <w:lang w:val="en-US" w:eastAsia="zh-CN" w:bidi="zh-CN"/>
                    </w:rPr>
                    <w:t>锤式制砂机</w:t>
                  </w:r>
                </w:p>
              </w:tc>
              <w:tc>
                <w:tcPr>
                  <w:tcW w:w="268" w:type="pct"/>
                  <w:tcBorders>
                    <w:tl2br w:val="nil"/>
                    <w:tr2bl w:val="nil"/>
                  </w:tcBorders>
                  <w:shd w:val="clear" w:color="auto" w:fill="auto"/>
                  <w:vAlign w:val="center"/>
                </w:tcPr>
                <w:p w14:paraId="3E1A9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c>
                <w:tcPr>
                  <w:tcW w:w="369" w:type="pct"/>
                  <w:tcBorders>
                    <w:tl2br w:val="nil"/>
                    <w:tr2bl w:val="nil"/>
                  </w:tcBorders>
                  <w:shd w:val="clear" w:color="auto" w:fill="auto"/>
                  <w:vAlign w:val="center"/>
                </w:tcPr>
                <w:p w14:paraId="370D50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85</w:t>
                  </w:r>
                </w:p>
              </w:tc>
              <w:tc>
                <w:tcPr>
                  <w:tcW w:w="378" w:type="pct"/>
                  <w:vMerge w:val="continue"/>
                  <w:tcBorders>
                    <w:tl2br w:val="nil"/>
                    <w:tr2bl w:val="nil"/>
                  </w:tcBorders>
                  <w:vAlign w:val="center"/>
                </w:tcPr>
                <w:p w14:paraId="5D27F9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rPr>
                  </w:pPr>
                </w:p>
              </w:tc>
              <w:tc>
                <w:tcPr>
                  <w:tcW w:w="205" w:type="pct"/>
                  <w:tcBorders>
                    <w:tl2br w:val="nil"/>
                    <w:tr2bl w:val="nil"/>
                  </w:tcBorders>
                  <w:shd w:val="clear" w:color="auto" w:fill="auto"/>
                  <w:vAlign w:val="center"/>
                </w:tcPr>
                <w:p w14:paraId="109C96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28</w:t>
                  </w:r>
                </w:p>
              </w:tc>
              <w:tc>
                <w:tcPr>
                  <w:tcW w:w="205" w:type="pct"/>
                  <w:tcBorders>
                    <w:tl2br w:val="nil"/>
                    <w:tr2bl w:val="nil"/>
                  </w:tcBorders>
                  <w:shd w:val="clear" w:color="auto" w:fill="auto"/>
                  <w:vAlign w:val="center"/>
                </w:tcPr>
                <w:p w14:paraId="0CC5FC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35</w:t>
                  </w:r>
                </w:p>
              </w:tc>
              <w:tc>
                <w:tcPr>
                  <w:tcW w:w="218" w:type="pct"/>
                  <w:tcBorders>
                    <w:tl2br w:val="nil"/>
                    <w:tr2bl w:val="nil"/>
                  </w:tcBorders>
                  <w:shd w:val="clear" w:color="auto" w:fill="auto"/>
                  <w:vAlign w:val="center"/>
                </w:tcPr>
                <w:p w14:paraId="0A18D7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w:t>
                  </w:r>
                </w:p>
              </w:tc>
              <w:tc>
                <w:tcPr>
                  <w:tcW w:w="369" w:type="pct"/>
                  <w:tcBorders>
                    <w:tl2br w:val="nil"/>
                    <w:tr2bl w:val="nil"/>
                  </w:tcBorders>
                  <w:shd w:val="clear" w:color="auto" w:fill="auto"/>
                  <w:vAlign w:val="center"/>
                </w:tcPr>
                <w:p w14:paraId="025071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w:t>
                  </w:r>
                </w:p>
              </w:tc>
              <w:tc>
                <w:tcPr>
                  <w:tcW w:w="984" w:type="dxa"/>
                  <w:tcBorders>
                    <w:tl2br w:val="nil"/>
                    <w:tr2bl w:val="nil"/>
                  </w:tcBorders>
                  <w:shd w:val="clear" w:color="auto" w:fill="auto"/>
                  <w:vAlign w:val="center"/>
                </w:tcPr>
                <w:p w14:paraId="023948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66.9 </w:t>
                  </w:r>
                </w:p>
              </w:tc>
              <w:tc>
                <w:tcPr>
                  <w:tcW w:w="474" w:type="pct"/>
                  <w:vMerge w:val="continue"/>
                  <w:tcBorders>
                    <w:tl2br w:val="nil"/>
                    <w:tr2bl w:val="nil"/>
                  </w:tcBorders>
                  <w:vAlign w:val="center"/>
                </w:tcPr>
                <w:p w14:paraId="1AFB6C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72" w:type="pct"/>
                  <w:tcBorders>
                    <w:tl2br w:val="nil"/>
                    <w:tr2bl w:val="nil"/>
                  </w:tcBorders>
                  <w:vAlign w:val="center"/>
                </w:tcPr>
                <w:p w14:paraId="7B309D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279D7C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 xml:space="preserve">46.9 </w:t>
                  </w:r>
                </w:p>
              </w:tc>
              <w:tc>
                <w:tcPr>
                  <w:tcW w:w="414" w:type="pct"/>
                  <w:tcBorders>
                    <w:tl2br w:val="nil"/>
                    <w:tr2bl w:val="nil"/>
                  </w:tcBorders>
                  <w:vAlign w:val="center"/>
                </w:tcPr>
                <w:p w14:paraId="7BA86D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452C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0" w:type="pct"/>
                  <w:tcBorders>
                    <w:tl2br w:val="nil"/>
                    <w:tr2bl w:val="nil"/>
                  </w:tcBorders>
                  <w:shd w:val="clear" w:color="auto" w:fill="auto"/>
                  <w:vAlign w:val="center"/>
                </w:tcPr>
                <w:p w14:paraId="32184C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4</w:t>
                  </w:r>
                </w:p>
              </w:tc>
              <w:tc>
                <w:tcPr>
                  <w:tcW w:w="280" w:type="pct"/>
                  <w:vMerge w:val="continue"/>
                  <w:tcBorders>
                    <w:tl2br w:val="nil"/>
                    <w:tr2bl w:val="nil"/>
                  </w:tcBorders>
                  <w:vAlign w:val="center"/>
                </w:tcPr>
                <w:p w14:paraId="4309DE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7F89CA90">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w w:val="100"/>
                      <w:kern w:val="0"/>
                      <w:sz w:val="21"/>
                      <w:szCs w:val="21"/>
                      <w:highlight w:val="none"/>
                      <w:lang w:val="en-US" w:eastAsia="zh-CN" w:bidi="zh-CN"/>
                    </w:rPr>
                    <w:t>振动筛</w:t>
                  </w:r>
                </w:p>
              </w:tc>
              <w:tc>
                <w:tcPr>
                  <w:tcW w:w="268" w:type="pct"/>
                  <w:tcBorders>
                    <w:tl2br w:val="nil"/>
                    <w:tr2bl w:val="nil"/>
                  </w:tcBorders>
                  <w:vAlign w:val="center"/>
                </w:tcPr>
                <w:p w14:paraId="7F9C2C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22B0B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85</w:t>
                  </w:r>
                </w:p>
              </w:tc>
              <w:tc>
                <w:tcPr>
                  <w:tcW w:w="378" w:type="pct"/>
                  <w:vMerge w:val="continue"/>
                  <w:tcBorders>
                    <w:tl2br w:val="nil"/>
                    <w:tr2bl w:val="nil"/>
                  </w:tcBorders>
                  <w:vAlign w:val="center"/>
                </w:tcPr>
                <w:p w14:paraId="135546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5EB04E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w:t>
                  </w:r>
                </w:p>
              </w:tc>
              <w:tc>
                <w:tcPr>
                  <w:tcW w:w="205" w:type="pct"/>
                  <w:tcBorders>
                    <w:tl2br w:val="nil"/>
                    <w:tr2bl w:val="nil"/>
                  </w:tcBorders>
                  <w:vAlign w:val="center"/>
                </w:tcPr>
                <w:p w14:paraId="7771AB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38</w:t>
                  </w:r>
                </w:p>
              </w:tc>
              <w:tc>
                <w:tcPr>
                  <w:tcW w:w="218" w:type="pct"/>
                  <w:tcBorders>
                    <w:tl2br w:val="nil"/>
                    <w:tr2bl w:val="nil"/>
                  </w:tcBorders>
                  <w:vAlign w:val="center"/>
                </w:tcPr>
                <w:p w14:paraId="41666B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2.5</w:t>
                  </w:r>
                </w:p>
              </w:tc>
              <w:tc>
                <w:tcPr>
                  <w:tcW w:w="369" w:type="pct"/>
                  <w:tcBorders>
                    <w:tl2br w:val="nil"/>
                    <w:tr2bl w:val="nil"/>
                  </w:tcBorders>
                  <w:vAlign w:val="center"/>
                </w:tcPr>
                <w:p w14:paraId="0534A7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984" w:type="dxa"/>
                  <w:tcBorders>
                    <w:tl2br w:val="nil"/>
                    <w:tr2bl w:val="nil"/>
                  </w:tcBorders>
                  <w:vAlign w:val="center"/>
                </w:tcPr>
                <w:p w14:paraId="17CC2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71.0 </w:t>
                  </w:r>
                </w:p>
              </w:tc>
              <w:tc>
                <w:tcPr>
                  <w:tcW w:w="474" w:type="pct"/>
                  <w:vMerge w:val="continue"/>
                  <w:tcBorders>
                    <w:tl2br w:val="nil"/>
                    <w:tr2bl w:val="nil"/>
                  </w:tcBorders>
                  <w:vAlign w:val="center"/>
                </w:tcPr>
                <w:p w14:paraId="61A64F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72" w:type="pct"/>
                  <w:tcBorders>
                    <w:tl2br w:val="nil"/>
                    <w:tr2bl w:val="nil"/>
                  </w:tcBorders>
                  <w:vAlign w:val="center"/>
                </w:tcPr>
                <w:p w14:paraId="0195E8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22B14B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 xml:space="preserve">51.0 </w:t>
                  </w:r>
                </w:p>
              </w:tc>
              <w:tc>
                <w:tcPr>
                  <w:tcW w:w="414" w:type="pct"/>
                  <w:tcBorders>
                    <w:tl2br w:val="nil"/>
                    <w:tr2bl w:val="nil"/>
                  </w:tcBorders>
                  <w:vAlign w:val="center"/>
                </w:tcPr>
                <w:p w14:paraId="655919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1771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 w:type="pct"/>
                  <w:tcBorders>
                    <w:tl2br w:val="nil"/>
                    <w:tr2bl w:val="nil"/>
                  </w:tcBorders>
                  <w:shd w:val="clear" w:color="auto" w:fill="auto"/>
                  <w:vAlign w:val="center"/>
                </w:tcPr>
                <w:p w14:paraId="609308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5</w:t>
                  </w:r>
                </w:p>
              </w:tc>
              <w:tc>
                <w:tcPr>
                  <w:tcW w:w="280" w:type="pct"/>
                  <w:vMerge w:val="continue"/>
                  <w:tcBorders>
                    <w:tl2br w:val="nil"/>
                    <w:tr2bl w:val="nil"/>
                  </w:tcBorders>
                  <w:vAlign w:val="center"/>
                </w:tcPr>
                <w:p w14:paraId="5F8E2E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6D1C1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78D85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708201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254EDA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68ECB8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33</w:t>
                  </w:r>
                </w:p>
              </w:tc>
              <w:tc>
                <w:tcPr>
                  <w:tcW w:w="205" w:type="pct"/>
                  <w:tcBorders>
                    <w:tl2br w:val="nil"/>
                    <w:tr2bl w:val="nil"/>
                  </w:tcBorders>
                  <w:vAlign w:val="center"/>
                </w:tcPr>
                <w:p w14:paraId="750314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39</w:t>
                  </w:r>
                </w:p>
              </w:tc>
              <w:tc>
                <w:tcPr>
                  <w:tcW w:w="218" w:type="pct"/>
                  <w:tcBorders>
                    <w:tl2br w:val="nil"/>
                    <w:tr2bl w:val="nil"/>
                  </w:tcBorders>
                  <w:vAlign w:val="center"/>
                </w:tcPr>
                <w:p w14:paraId="4181D2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69" w:type="pct"/>
                  <w:tcBorders>
                    <w:tl2br w:val="nil"/>
                    <w:tr2bl w:val="nil"/>
                  </w:tcBorders>
                  <w:vAlign w:val="center"/>
                </w:tcPr>
                <w:p w14:paraId="499396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984" w:type="dxa"/>
                  <w:tcBorders>
                    <w:tl2br w:val="nil"/>
                    <w:tr2bl w:val="nil"/>
                  </w:tcBorders>
                  <w:vAlign w:val="center"/>
                </w:tcPr>
                <w:p w14:paraId="759067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61.0 </w:t>
                  </w:r>
                </w:p>
              </w:tc>
              <w:tc>
                <w:tcPr>
                  <w:tcW w:w="474" w:type="pct"/>
                  <w:vMerge w:val="continue"/>
                  <w:tcBorders>
                    <w:tl2br w:val="nil"/>
                    <w:tr2bl w:val="nil"/>
                  </w:tcBorders>
                  <w:vAlign w:val="center"/>
                </w:tcPr>
                <w:p w14:paraId="484A1C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2" w:type="pct"/>
                  <w:tcBorders>
                    <w:tl2br w:val="nil"/>
                    <w:tr2bl w:val="nil"/>
                  </w:tcBorders>
                  <w:vAlign w:val="center"/>
                </w:tcPr>
                <w:p w14:paraId="0FE964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0660EA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41.0 </w:t>
                  </w:r>
                </w:p>
              </w:tc>
              <w:tc>
                <w:tcPr>
                  <w:tcW w:w="414" w:type="pct"/>
                  <w:tcBorders>
                    <w:tl2br w:val="nil"/>
                    <w:tr2bl w:val="nil"/>
                  </w:tcBorders>
                  <w:vAlign w:val="center"/>
                </w:tcPr>
                <w:p w14:paraId="78B5CC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14:paraId="315D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6BA3FF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6</w:t>
                  </w:r>
                </w:p>
              </w:tc>
              <w:tc>
                <w:tcPr>
                  <w:tcW w:w="280" w:type="pct"/>
                  <w:vMerge w:val="continue"/>
                  <w:tcBorders>
                    <w:tl2br w:val="nil"/>
                    <w:tr2bl w:val="nil"/>
                  </w:tcBorders>
                  <w:vAlign w:val="center"/>
                </w:tcPr>
                <w:p w14:paraId="56E0A9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73552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61386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438F4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07C389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164C73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32</w:t>
                  </w:r>
                </w:p>
              </w:tc>
              <w:tc>
                <w:tcPr>
                  <w:tcW w:w="205" w:type="pct"/>
                  <w:tcBorders>
                    <w:tl2br w:val="nil"/>
                    <w:tr2bl w:val="nil"/>
                  </w:tcBorders>
                  <w:vAlign w:val="center"/>
                </w:tcPr>
                <w:p w14:paraId="6B1F7D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37</w:t>
                  </w:r>
                </w:p>
              </w:tc>
              <w:tc>
                <w:tcPr>
                  <w:tcW w:w="218" w:type="pct"/>
                  <w:tcBorders>
                    <w:tl2br w:val="nil"/>
                    <w:tr2bl w:val="nil"/>
                  </w:tcBorders>
                  <w:vAlign w:val="center"/>
                </w:tcPr>
                <w:p w14:paraId="1CEA74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69" w:type="pct"/>
                  <w:tcBorders>
                    <w:tl2br w:val="nil"/>
                    <w:tr2bl w:val="nil"/>
                  </w:tcBorders>
                  <w:vAlign w:val="center"/>
                </w:tcPr>
                <w:p w14:paraId="4B205A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984" w:type="dxa"/>
                  <w:tcBorders>
                    <w:tl2br w:val="nil"/>
                    <w:tr2bl w:val="nil"/>
                  </w:tcBorders>
                  <w:vAlign w:val="center"/>
                </w:tcPr>
                <w:p w14:paraId="50DBF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61.0 </w:t>
                  </w:r>
                </w:p>
              </w:tc>
              <w:tc>
                <w:tcPr>
                  <w:tcW w:w="474" w:type="pct"/>
                  <w:vMerge w:val="continue"/>
                  <w:tcBorders>
                    <w:tl2br w:val="nil"/>
                    <w:tr2bl w:val="nil"/>
                  </w:tcBorders>
                  <w:vAlign w:val="center"/>
                </w:tcPr>
                <w:p w14:paraId="29C7FF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2" w:type="pct"/>
                  <w:tcBorders>
                    <w:tl2br w:val="nil"/>
                    <w:tr2bl w:val="nil"/>
                  </w:tcBorders>
                  <w:vAlign w:val="center"/>
                </w:tcPr>
                <w:p w14:paraId="262921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0DBB5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41.0 </w:t>
                  </w:r>
                </w:p>
              </w:tc>
              <w:tc>
                <w:tcPr>
                  <w:tcW w:w="414" w:type="pct"/>
                  <w:tcBorders>
                    <w:tl2br w:val="nil"/>
                    <w:tr2bl w:val="nil"/>
                  </w:tcBorders>
                  <w:vAlign w:val="center"/>
                </w:tcPr>
                <w:p w14:paraId="5068B3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14:paraId="7FFD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 w:type="pct"/>
                  <w:tcBorders>
                    <w:tl2br w:val="nil"/>
                    <w:tr2bl w:val="nil"/>
                  </w:tcBorders>
                  <w:shd w:val="clear" w:color="auto" w:fill="auto"/>
                  <w:vAlign w:val="center"/>
                </w:tcPr>
                <w:p w14:paraId="2A93E8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7</w:t>
                  </w:r>
                </w:p>
              </w:tc>
              <w:tc>
                <w:tcPr>
                  <w:tcW w:w="280" w:type="pct"/>
                  <w:vMerge w:val="continue"/>
                  <w:tcBorders>
                    <w:tl2br w:val="nil"/>
                    <w:tr2bl w:val="nil"/>
                  </w:tcBorders>
                  <w:vAlign w:val="center"/>
                </w:tcPr>
                <w:p w14:paraId="702CEA2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13DB63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667E5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5B1A5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035221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7FFE90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26</w:t>
                  </w:r>
                </w:p>
              </w:tc>
              <w:tc>
                <w:tcPr>
                  <w:tcW w:w="205" w:type="pct"/>
                  <w:tcBorders>
                    <w:tl2br w:val="nil"/>
                    <w:tr2bl w:val="nil"/>
                  </w:tcBorders>
                  <w:vAlign w:val="center"/>
                </w:tcPr>
                <w:p w14:paraId="478879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40</w:t>
                  </w:r>
                </w:p>
              </w:tc>
              <w:tc>
                <w:tcPr>
                  <w:tcW w:w="218" w:type="pct"/>
                  <w:tcBorders>
                    <w:tl2br w:val="nil"/>
                    <w:tr2bl w:val="nil"/>
                  </w:tcBorders>
                  <w:vAlign w:val="center"/>
                </w:tcPr>
                <w:p w14:paraId="75682A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c>
                <w:tcPr>
                  <w:tcW w:w="369" w:type="pct"/>
                  <w:tcBorders>
                    <w:tl2br w:val="nil"/>
                    <w:tr2bl w:val="nil"/>
                  </w:tcBorders>
                  <w:vAlign w:val="center"/>
                </w:tcPr>
                <w:p w14:paraId="699E6F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6</w:t>
                  </w:r>
                </w:p>
              </w:tc>
              <w:tc>
                <w:tcPr>
                  <w:tcW w:w="984" w:type="dxa"/>
                  <w:tcBorders>
                    <w:tl2br w:val="nil"/>
                    <w:tr2bl w:val="nil"/>
                  </w:tcBorders>
                  <w:vAlign w:val="center"/>
                </w:tcPr>
                <w:p w14:paraId="6F658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59.4 </w:t>
                  </w:r>
                </w:p>
              </w:tc>
              <w:tc>
                <w:tcPr>
                  <w:tcW w:w="474" w:type="pct"/>
                  <w:vMerge w:val="continue"/>
                  <w:tcBorders>
                    <w:tl2br w:val="nil"/>
                    <w:tr2bl w:val="nil"/>
                  </w:tcBorders>
                  <w:vAlign w:val="center"/>
                </w:tcPr>
                <w:p w14:paraId="3CAC6F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372" w:type="pct"/>
                  <w:tcBorders>
                    <w:tl2br w:val="nil"/>
                    <w:tr2bl w:val="nil"/>
                  </w:tcBorders>
                  <w:vAlign w:val="center"/>
                </w:tcPr>
                <w:p w14:paraId="0C9CE3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03CBA8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39.4 </w:t>
                  </w:r>
                </w:p>
              </w:tc>
              <w:tc>
                <w:tcPr>
                  <w:tcW w:w="414" w:type="pct"/>
                  <w:tcBorders>
                    <w:tl2br w:val="nil"/>
                    <w:tr2bl w:val="nil"/>
                  </w:tcBorders>
                  <w:vAlign w:val="center"/>
                </w:tcPr>
                <w:p w14:paraId="17CA9E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14:paraId="2662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03CA2E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w:t>
                  </w:r>
                </w:p>
              </w:tc>
              <w:tc>
                <w:tcPr>
                  <w:tcW w:w="280" w:type="pct"/>
                  <w:vMerge w:val="continue"/>
                  <w:tcBorders>
                    <w:tl2br w:val="nil"/>
                    <w:tr2bl w:val="nil"/>
                  </w:tcBorders>
                  <w:vAlign w:val="center"/>
                </w:tcPr>
                <w:p w14:paraId="264AA6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2E41F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5DA0BC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3D409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59A4E4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1CBDC2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205" w:type="pct"/>
                  <w:tcBorders>
                    <w:tl2br w:val="nil"/>
                    <w:tr2bl w:val="nil"/>
                  </w:tcBorders>
                  <w:vAlign w:val="center"/>
                </w:tcPr>
                <w:p w14:paraId="23760B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39</w:t>
                  </w:r>
                </w:p>
              </w:tc>
              <w:tc>
                <w:tcPr>
                  <w:tcW w:w="218" w:type="pct"/>
                  <w:tcBorders>
                    <w:tl2br w:val="nil"/>
                    <w:tr2bl w:val="nil"/>
                  </w:tcBorders>
                  <w:vAlign w:val="center"/>
                </w:tcPr>
                <w:p w14:paraId="00427D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c>
                <w:tcPr>
                  <w:tcW w:w="369" w:type="pct"/>
                  <w:tcBorders>
                    <w:tl2br w:val="nil"/>
                    <w:tr2bl w:val="nil"/>
                  </w:tcBorders>
                  <w:vAlign w:val="center"/>
                </w:tcPr>
                <w:p w14:paraId="6095FB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w:t>
                  </w:r>
                </w:p>
              </w:tc>
              <w:tc>
                <w:tcPr>
                  <w:tcW w:w="984" w:type="dxa"/>
                  <w:tcBorders>
                    <w:tl2br w:val="nil"/>
                    <w:tr2bl w:val="nil"/>
                  </w:tcBorders>
                  <w:vAlign w:val="center"/>
                </w:tcPr>
                <w:p w14:paraId="070DE6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58.1 </w:t>
                  </w:r>
                </w:p>
              </w:tc>
              <w:tc>
                <w:tcPr>
                  <w:tcW w:w="474" w:type="pct"/>
                  <w:vMerge w:val="continue"/>
                  <w:tcBorders>
                    <w:tl2br w:val="nil"/>
                    <w:tr2bl w:val="nil"/>
                  </w:tcBorders>
                  <w:vAlign w:val="center"/>
                </w:tcPr>
                <w:p w14:paraId="60DCE3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372" w:type="pct"/>
                  <w:tcBorders>
                    <w:tl2br w:val="nil"/>
                    <w:tr2bl w:val="nil"/>
                  </w:tcBorders>
                  <w:vAlign w:val="center"/>
                </w:tcPr>
                <w:p w14:paraId="6A8827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6C7DEC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SA"/>
                    </w:rPr>
                    <w:t xml:space="preserve">38.1 </w:t>
                  </w:r>
                </w:p>
              </w:tc>
              <w:tc>
                <w:tcPr>
                  <w:tcW w:w="414" w:type="pct"/>
                  <w:tcBorders>
                    <w:tl2br w:val="nil"/>
                    <w:tr2bl w:val="nil"/>
                  </w:tcBorders>
                  <w:vAlign w:val="center"/>
                </w:tcPr>
                <w:p w14:paraId="43A85F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62FE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2D80E4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280" w:type="pct"/>
                  <w:vMerge w:val="continue"/>
                  <w:tcBorders>
                    <w:tl2br w:val="nil"/>
                    <w:tr2bl w:val="nil"/>
                  </w:tcBorders>
                  <w:vAlign w:val="center"/>
                </w:tcPr>
                <w:p w14:paraId="67F9F0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0054E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4DCB3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43011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650BB0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3A595C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24</w:t>
                  </w:r>
                </w:p>
              </w:tc>
              <w:tc>
                <w:tcPr>
                  <w:tcW w:w="205" w:type="pct"/>
                  <w:tcBorders>
                    <w:tl2br w:val="nil"/>
                    <w:tr2bl w:val="nil"/>
                  </w:tcBorders>
                  <w:vAlign w:val="center"/>
                </w:tcPr>
                <w:p w14:paraId="2ACBE1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41</w:t>
                  </w:r>
                </w:p>
              </w:tc>
              <w:tc>
                <w:tcPr>
                  <w:tcW w:w="218" w:type="pct"/>
                  <w:tcBorders>
                    <w:tl2br w:val="nil"/>
                    <w:tr2bl w:val="nil"/>
                  </w:tcBorders>
                  <w:vAlign w:val="center"/>
                </w:tcPr>
                <w:p w14:paraId="20F695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0CE36F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w:t>
                  </w:r>
                </w:p>
              </w:tc>
              <w:tc>
                <w:tcPr>
                  <w:tcW w:w="984" w:type="dxa"/>
                  <w:tcBorders>
                    <w:tl2br w:val="nil"/>
                    <w:tr2bl w:val="nil"/>
                  </w:tcBorders>
                  <w:vAlign w:val="center"/>
                </w:tcPr>
                <w:p w14:paraId="2B61BA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61.0 </w:t>
                  </w:r>
                </w:p>
              </w:tc>
              <w:tc>
                <w:tcPr>
                  <w:tcW w:w="474" w:type="pct"/>
                  <w:vMerge w:val="continue"/>
                  <w:tcBorders>
                    <w:tl2br w:val="nil"/>
                    <w:tr2bl w:val="nil"/>
                  </w:tcBorders>
                  <w:vAlign w:val="center"/>
                </w:tcPr>
                <w:p w14:paraId="11B963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372" w:type="pct"/>
                  <w:tcBorders>
                    <w:tl2br w:val="nil"/>
                    <w:tr2bl w:val="nil"/>
                  </w:tcBorders>
                  <w:vAlign w:val="center"/>
                </w:tcPr>
                <w:p w14:paraId="7F129E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66A513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SA"/>
                    </w:rPr>
                    <w:t xml:space="preserve">41.0 </w:t>
                  </w:r>
                </w:p>
              </w:tc>
              <w:tc>
                <w:tcPr>
                  <w:tcW w:w="414" w:type="pct"/>
                  <w:tcBorders>
                    <w:tl2br w:val="nil"/>
                    <w:tr2bl w:val="nil"/>
                  </w:tcBorders>
                  <w:vAlign w:val="center"/>
                </w:tcPr>
                <w:p w14:paraId="657680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4B05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266ED7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c>
                <w:tcPr>
                  <w:tcW w:w="280" w:type="pct"/>
                  <w:vMerge w:val="continue"/>
                  <w:tcBorders>
                    <w:tl2br w:val="nil"/>
                    <w:tr2bl w:val="nil"/>
                  </w:tcBorders>
                  <w:vAlign w:val="center"/>
                </w:tcPr>
                <w:p w14:paraId="759770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6CE42A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326FC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448D41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24A227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6AFEC0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205" w:type="pct"/>
                  <w:tcBorders>
                    <w:tl2br w:val="nil"/>
                    <w:tr2bl w:val="nil"/>
                  </w:tcBorders>
                  <w:vAlign w:val="center"/>
                </w:tcPr>
                <w:p w14:paraId="48AA3F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37</w:t>
                  </w:r>
                </w:p>
              </w:tc>
              <w:tc>
                <w:tcPr>
                  <w:tcW w:w="218" w:type="pct"/>
                  <w:tcBorders>
                    <w:tl2br w:val="nil"/>
                    <w:tr2bl w:val="nil"/>
                  </w:tcBorders>
                  <w:vAlign w:val="center"/>
                </w:tcPr>
                <w:p w14:paraId="0F5B09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778929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w:t>
                  </w:r>
                </w:p>
              </w:tc>
              <w:tc>
                <w:tcPr>
                  <w:tcW w:w="984" w:type="dxa"/>
                  <w:tcBorders>
                    <w:tl2br w:val="nil"/>
                    <w:tr2bl w:val="nil"/>
                  </w:tcBorders>
                  <w:vAlign w:val="center"/>
                </w:tcPr>
                <w:p w14:paraId="659C89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58.1 </w:t>
                  </w:r>
                </w:p>
              </w:tc>
              <w:tc>
                <w:tcPr>
                  <w:tcW w:w="474" w:type="pct"/>
                  <w:vMerge w:val="continue"/>
                  <w:tcBorders>
                    <w:tl2br w:val="nil"/>
                    <w:tr2bl w:val="nil"/>
                  </w:tcBorders>
                  <w:vAlign w:val="center"/>
                </w:tcPr>
                <w:p w14:paraId="5709A5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372" w:type="pct"/>
                  <w:tcBorders>
                    <w:tl2br w:val="nil"/>
                    <w:tr2bl w:val="nil"/>
                  </w:tcBorders>
                  <w:vAlign w:val="center"/>
                </w:tcPr>
                <w:p w14:paraId="015B64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59CD63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SA"/>
                    </w:rPr>
                    <w:t xml:space="preserve">38.1 </w:t>
                  </w:r>
                </w:p>
              </w:tc>
              <w:tc>
                <w:tcPr>
                  <w:tcW w:w="414" w:type="pct"/>
                  <w:tcBorders>
                    <w:tl2br w:val="nil"/>
                    <w:tr2bl w:val="nil"/>
                  </w:tcBorders>
                  <w:vAlign w:val="center"/>
                </w:tcPr>
                <w:p w14:paraId="3330BF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2A7C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576B93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w:t>
                  </w:r>
                </w:p>
              </w:tc>
              <w:tc>
                <w:tcPr>
                  <w:tcW w:w="280" w:type="pct"/>
                  <w:vMerge w:val="continue"/>
                  <w:tcBorders>
                    <w:tl2br w:val="nil"/>
                    <w:tr2bl w:val="nil"/>
                  </w:tcBorders>
                  <w:vAlign w:val="center"/>
                </w:tcPr>
                <w:p w14:paraId="28D2CC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633749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pacing w:val="0"/>
                      <w:w w:val="100"/>
                      <w:kern w:val="0"/>
                      <w:sz w:val="21"/>
                      <w:szCs w:val="21"/>
                      <w:highlight w:val="none"/>
                      <w:lang w:val="en-US" w:eastAsia="zh-CN" w:bidi="zh-CN"/>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7A416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7FA53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20E59F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353692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24</w:t>
                  </w:r>
                </w:p>
              </w:tc>
              <w:tc>
                <w:tcPr>
                  <w:tcW w:w="205" w:type="pct"/>
                  <w:tcBorders>
                    <w:tl2br w:val="nil"/>
                    <w:tr2bl w:val="nil"/>
                  </w:tcBorders>
                  <w:vAlign w:val="center"/>
                </w:tcPr>
                <w:p w14:paraId="25C9EB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51</w:t>
                  </w:r>
                </w:p>
              </w:tc>
              <w:tc>
                <w:tcPr>
                  <w:tcW w:w="218" w:type="pct"/>
                  <w:tcBorders>
                    <w:tl2br w:val="nil"/>
                    <w:tr2bl w:val="nil"/>
                  </w:tcBorders>
                  <w:vAlign w:val="center"/>
                </w:tcPr>
                <w:p w14:paraId="0EA41B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7891AB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984" w:type="dxa"/>
                  <w:tcBorders>
                    <w:tl2br w:val="nil"/>
                    <w:tr2bl w:val="nil"/>
                  </w:tcBorders>
                  <w:vAlign w:val="center"/>
                </w:tcPr>
                <w:p w14:paraId="0CA1CB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55.9 </w:t>
                  </w:r>
                </w:p>
              </w:tc>
              <w:tc>
                <w:tcPr>
                  <w:tcW w:w="474" w:type="pct"/>
                  <w:vMerge w:val="continue"/>
                  <w:tcBorders>
                    <w:tl2br w:val="nil"/>
                    <w:tr2bl w:val="nil"/>
                  </w:tcBorders>
                  <w:vAlign w:val="center"/>
                </w:tcPr>
                <w:p w14:paraId="309679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372" w:type="pct"/>
                  <w:tcBorders>
                    <w:tl2br w:val="nil"/>
                    <w:tr2bl w:val="nil"/>
                  </w:tcBorders>
                  <w:vAlign w:val="center"/>
                </w:tcPr>
                <w:p w14:paraId="0BACF8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0AFBAB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SA"/>
                    </w:rPr>
                    <w:t xml:space="preserve">35.9 </w:t>
                  </w:r>
                </w:p>
              </w:tc>
              <w:tc>
                <w:tcPr>
                  <w:tcW w:w="414" w:type="pct"/>
                  <w:tcBorders>
                    <w:tl2br w:val="nil"/>
                    <w:tr2bl w:val="nil"/>
                  </w:tcBorders>
                  <w:vAlign w:val="center"/>
                </w:tcPr>
                <w:p w14:paraId="1B3922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4FF6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372977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280" w:type="pct"/>
                  <w:vMerge w:val="continue"/>
                  <w:tcBorders>
                    <w:tl2br w:val="nil"/>
                    <w:tr2bl w:val="nil"/>
                  </w:tcBorders>
                  <w:vAlign w:val="center"/>
                </w:tcPr>
                <w:p w14:paraId="0EDB200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49DF8E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pacing w:val="0"/>
                      <w:w w:val="100"/>
                      <w:kern w:val="0"/>
                      <w:sz w:val="21"/>
                      <w:szCs w:val="21"/>
                      <w:highlight w:val="none"/>
                      <w:lang w:val="en-US" w:eastAsia="zh-CN" w:bidi="zh-CN"/>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37AAA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76FD6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490662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0354D1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205" w:type="pct"/>
                  <w:tcBorders>
                    <w:tl2br w:val="nil"/>
                    <w:tr2bl w:val="nil"/>
                  </w:tcBorders>
                  <w:vAlign w:val="center"/>
                </w:tcPr>
                <w:p w14:paraId="6D11C7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57</w:t>
                  </w:r>
                </w:p>
              </w:tc>
              <w:tc>
                <w:tcPr>
                  <w:tcW w:w="218" w:type="pct"/>
                  <w:tcBorders>
                    <w:tl2br w:val="nil"/>
                    <w:tr2bl w:val="nil"/>
                  </w:tcBorders>
                  <w:vAlign w:val="center"/>
                </w:tcPr>
                <w:p w14:paraId="5C9128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0B0C83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984" w:type="dxa"/>
                  <w:tcBorders>
                    <w:tl2br w:val="nil"/>
                    <w:tr2bl w:val="nil"/>
                  </w:tcBorders>
                  <w:vAlign w:val="center"/>
                </w:tcPr>
                <w:p w14:paraId="7F9097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55.9 </w:t>
                  </w:r>
                </w:p>
              </w:tc>
              <w:tc>
                <w:tcPr>
                  <w:tcW w:w="474" w:type="pct"/>
                  <w:vMerge w:val="continue"/>
                  <w:tcBorders>
                    <w:tl2br w:val="nil"/>
                    <w:tr2bl w:val="nil"/>
                  </w:tcBorders>
                  <w:vAlign w:val="center"/>
                </w:tcPr>
                <w:p w14:paraId="37FDEA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372" w:type="pct"/>
                  <w:tcBorders>
                    <w:tl2br w:val="nil"/>
                    <w:tr2bl w:val="nil"/>
                  </w:tcBorders>
                  <w:vAlign w:val="center"/>
                </w:tcPr>
                <w:p w14:paraId="0F81C7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0B9A8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SA"/>
                    </w:rPr>
                    <w:t xml:space="preserve">35.9 </w:t>
                  </w:r>
                </w:p>
              </w:tc>
              <w:tc>
                <w:tcPr>
                  <w:tcW w:w="414" w:type="pct"/>
                  <w:tcBorders>
                    <w:tl2br w:val="nil"/>
                    <w:tr2bl w:val="nil"/>
                  </w:tcBorders>
                  <w:vAlign w:val="center"/>
                </w:tcPr>
                <w:p w14:paraId="10E01A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6FD0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 w:type="pct"/>
                  <w:tcBorders>
                    <w:tl2br w:val="nil"/>
                    <w:tr2bl w:val="nil"/>
                  </w:tcBorders>
                  <w:shd w:val="clear" w:color="auto" w:fill="auto"/>
                  <w:vAlign w:val="center"/>
                </w:tcPr>
                <w:p w14:paraId="365B9E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w:t>
                  </w:r>
                </w:p>
              </w:tc>
              <w:tc>
                <w:tcPr>
                  <w:tcW w:w="280" w:type="pct"/>
                  <w:vMerge w:val="continue"/>
                  <w:tcBorders>
                    <w:tl2br w:val="nil"/>
                    <w:tr2bl w:val="nil"/>
                  </w:tcBorders>
                  <w:vAlign w:val="center"/>
                </w:tcPr>
                <w:p w14:paraId="6BDD11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Calibri" w:hAnsi="Calibri" w:eastAsia="宋体" w:cs="Times New Roman"/>
                      <w:color w:val="auto"/>
                      <w:spacing w:val="0"/>
                      <w:kern w:val="0"/>
                      <w:sz w:val="21"/>
                      <w:szCs w:val="21"/>
                      <w:highlight w:val="none"/>
                      <w:lang w:val="en-US" w:eastAsia="zh-CN"/>
                    </w:rPr>
                  </w:pPr>
                </w:p>
              </w:tc>
              <w:tc>
                <w:tcPr>
                  <w:tcW w:w="542" w:type="pct"/>
                  <w:tcBorders>
                    <w:tl2br w:val="nil"/>
                    <w:tr2bl w:val="nil"/>
                  </w:tcBorders>
                  <w:vAlign w:val="center"/>
                </w:tcPr>
                <w:p w14:paraId="163FC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pacing w:val="0"/>
                      <w:w w:val="100"/>
                      <w:kern w:val="0"/>
                      <w:sz w:val="21"/>
                      <w:szCs w:val="21"/>
                      <w:highlight w:val="none"/>
                      <w:lang w:val="en-US" w:eastAsia="zh-CN" w:bidi="zh-CN"/>
                    </w:rPr>
                  </w:pPr>
                  <w:r>
                    <w:rPr>
                      <w:rFonts w:hint="eastAsia" w:ascii="Times New Roman" w:hAnsi="Times New Roman" w:eastAsia="宋体" w:cs="Times New Roman"/>
                      <w:color w:val="auto"/>
                      <w:spacing w:val="0"/>
                      <w:w w:val="100"/>
                      <w:kern w:val="0"/>
                      <w:sz w:val="21"/>
                      <w:szCs w:val="21"/>
                      <w:highlight w:val="none"/>
                      <w:lang w:val="en-US" w:eastAsia="zh-CN" w:bidi="zh-CN"/>
                    </w:rPr>
                    <w:t>皮带输送机</w:t>
                  </w:r>
                </w:p>
              </w:tc>
              <w:tc>
                <w:tcPr>
                  <w:tcW w:w="268" w:type="pct"/>
                  <w:tcBorders>
                    <w:tl2br w:val="nil"/>
                    <w:tr2bl w:val="nil"/>
                  </w:tcBorders>
                  <w:vAlign w:val="center"/>
                </w:tcPr>
                <w:p w14:paraId="3DEFD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6C72A4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78" w:type="pct"/>
                  <w:vMerge w:val="continue"/>
                  <w:tcBorders>
                    <w:tl2br w:val="nil"/>
                    <w:tr2bl w:val="nil"/>
                  </w:tcBorders>
                  <w:vAlign w:val="center"/>
                </w:tcPr>
                <w:p w14:paraId="6065E7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205" w:type="pct"/>
                  <w:tcBorders>
                    <w:tl2br w:val="nil"/>
                    <w:tr2bl w:val="nil"/>
                  </w:tcBorders>
                  <w:vAlign w:val="center"/>
                </w:tcPr>
                <w:p w14:paraId="479C99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205" w:type="pct"/>
                  <w:tcBorders>
                    <w:tl2br w:val="nil"/>
                    <w:tr2bl w:val="nil"/>
                  </w:tcBorders>
                  <w:vAlign w:val="center"/>
                </w:tcPr>
                <w:p w14:paraId="780822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55</w:t>
                  </w:r>
                </w:p>
              </w:tc>
              <w:tc>
                <w:tcPr>
                  <w:tcW w:w="218" w:type="pct"/>
                  <w:tcBorders>
                    <w:tl2br w:val="nil"/>
                    <w:tr2bl w:val="nil"/>
                  </w:tcBorders>
                  <w:vAlign w:val="center"/>
                </w:tcPr>
                <w:p w14:paraId="00ACF9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69" w:type="pct"/>
                  <w:tcBorders>
                    <w:tl2br w:val="nil"/>
                    <w:tr2bl w:val="nil"/>
                  </w:tcBorders>
                  <w:vAlign w:val="center"/>
                </w:tcPr>
                <w:p w14:paraId="4F4520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w:t>
                  </w:r>
                </w:p>
              </w:tc>
              <w:tc>
                <w:tcPr>
                  <w:tcW w:w="984" w:type="dxa"/>
                  <w:tcBorders>
                    <w:tl2br w:val="nil"/>
                    <w:tr2bl w:val="nil"/>
                  </w:tcBorders>
                  <w:vAlign w:val="center"/>
                </w:tcPr>
                <w:p w14:paraId="6BE96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 xml:space="preserve">56.9 </w:t>
                  </w:r>
                </w:p>
              </w:tc>
              <w:tc>
                <w:tcPr>
                  <w:tcW w:w="474" w:type="pct"/>
                  <w:vMerge w:val="continue"/>
                  <w:tcBorders>
                    <w:tl2br w:val="nil"/>
                    <w:tr2bl w:val="nil"/>
                  </w:tcBorders>
                  <w:vAlign w:val="center"/>
                </w:tcPr>
                <w:p w14:paraId="0C0FF7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372" w:type="pct"/>
                  <w:tcBorders>
                    <w:tl2br w:val="nil"/>
                    <w:tr2bl w:val="nil"/>
                  </w:tcBorders>
                  <w:vAlign w:val="center"/>
                </w:tcPr>
                <w:p w14:paraId="2A4A7E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958" w:type="dxa"/>
                  <w:tcBorders>
                    <w:tl2br w:val="nil"/>
                    <w:tr2bl w:val="nil"/>
                  </w:tcBorders>
                  <w:vAlign w:val="center"/>
                </w:tcPr>
                <w:p w14:paraId="1BAF67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SA"/>
                    </w:rPr>
                    <w:t xml:space="preserve">36.9 </w:t>
                  </w:r>
                </w:p>
              </w:tc>
              <w:tc>
                <w:tcPr>
                  <w:tcW w:w="414" w:type="pct"/>
                  <w:tcBorders>
                    <w:tl2br w:val="nil"/>
                    <w:tr2bl w:val="nil"/>
                  </w:tcBorders>
                  <w:vAlign w:val="center"/>
                </w:tcPr>
                <w:p w14:paraId="6767C5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bl>
          <w:p w14:paraId="15A7F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p>
          <w:p w14:paraId="59DA8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p>
          <w:p w14:paraId="1DDC6D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p>
          <w:p w14:paraId="703AEE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表4</w:t>
            </w:r>
            <w:r>
              <w:rPr>
                <w:rFonts w:hint="eastAsia" w:ascii="Times New Roman" w:hAnsi="Times New Roman" w:eastAsia="宋体" w:cs="Times New Roman"/>
                <w:b/>
                <w:bCs/>
                <w:color w:val="auto"/>
                <w:spacing w:val="0"/>
                <w:kern w:val="2"/>
                <w:sz w:val="21"/>
                <w:szCs w:val="21"/>
                <w:highlight w:val="none"/>
                <w:lang w:val="en-US" w:eastAsia="zh-CN" w:bidi="ar-SA"/>
              </w:rPr>
              <w:t>-</w:t>
            </w:r>
            <w:r>
              <w:rPr>
                <w:rFonts w:hint="eastAsia" w:cs="Times New Roman"/>
                <w:b/>
                <w:bCs/>
                <w:color w:val="auto"/>
                <w:spacing w:val="0"/>
                <w:kern w:val="2"/>
                <w:sz w:val="21"/>
                <w:szCs w:val="21"/>
                <w:highlight w:val="none"/>
                <w:lang w:val="en-US" w:eastAsia="zh-CN" w:bidi="ar-SA"/>
              </w:rPr>
              <w:t>9</w:t>
            </w:r>
            <w:r>
              <w:rPr>
                <w:rFonts w:hint="default" w:ascii="Times New Roman" w:hAnsi="Times New Roman" w:eastAsia="宋体" w:cs="Times New Roman"/>
                <w:b/>
                <w:bCs/>
                <w:color w:val="auto"/>
                <w:spacing w:val="0"/>
                <w:kern w:val="2"/>
                <w:sz w:val="21"/>
                <w:szCs w:val="21"/>
                <w:highlight w:val="none"/>
                <w:lang w:val="en-US" w:eastAsia="zh-CN" w:bidi="ar-SA"/>
              </w:rPr>
              <w:t xml:space="preserve">  </w:t>
            </w:r>
            <w:r>
              <w:rPr>
                <w:rFonts w:hint="eastAsia" w:ascii="Times New Roman" w:hAnsi="Times New Roman" w:eastAsia="宋体" w:cs="Times New Roman"/>
                <w:b/>
                <w:bCs/>
                <w:color w:val="auto"/>
                <w:spacing w:val="0"/>
                <w:kern w:val="2"/>
                <w:sz w:val="21"/>
                <w:szCs w:val="21"/>
                <w:highlight w:val="none"/>
                <w:lang w:val="en-US" w:eastAsia="zh-CN" w:bidi="ar-SA"/>
              </w:rPr>
              <w:t>室外</w:t>
            </w:r>
            <w:r>
              <w:rPr>
                <w:rFonts w:hint="default" w:ascii="Times New Roman" w:hAnsi="Times New Roman" w:eastAsia="宋体" w:cs="Times New Roman"/>
                <w:b/>
                <w:bCs/>
                <w:color w:val="auto"/>
                <w:spacing w:val="0"/>
                <w:kern w:val="2"/>
                <w:sz w:val="21"/>
                <w:szCs w:val="21"/>
                <w:highlight w:val="none"/>
                <w:lang w:val="en-US" w:eastAsia="zh-CN" w:bidi="ar-SA"/>
              </w:rPr>
              <w:t>噪声源源强调查清单</w:t>
            </w:r>
          </w:p>
          <w:tbl>
            <w:tblPr>
              <w:tblStyle w:val="28"/>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888"/>
              <w:gridCol w:w="1381"/>
              <w:gridCol w:w="1381"/>
              <w:gridCol w:w="1386"/>
              <w:gridCol w:w="2051"/>
              <w:gridCol w:w="3398"/>
              <w:gridCol w:w="1362"/>
            </w:tblGrid>
            <w:tr w14:paraId="1706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0" w:type="pct"/>
                  <w:vMerge w:val="restart"/>
                  <w:tcBorders>
                    <w:tl2br w:val="nil"/>
                    <w:tr2bl w:val="nil"/>
                  </w:tcBorders>
                  <w:vAlign w:val="center"/>
                </w:tcPr>
                <w:p w14:paraId="548A27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序号</w:t>
                  </w:r>
                </w:p>
              </w:tc>
              <w:tc>
                <w:tcPr>
                  <w:tcW w:w="690" w:type="pct"/>
                  <w:vMerge w:val="restart"/>
                  <w:tcBorders>
                    <w:tl2br w:val="nil"/>
                    <w:tr2bl w:val="nil"/>
                  </w:tcBorders>
                  <w:vAlign w:val="center"/>
                </w:tcPr>
                <w:p w14:paraId="6AFAE3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声源</w:t>
                  </w:r>
                  <w:r>
                    <w:rPr>
                      <w:rFonts w:hint="default" w:ascii="Times New Roman" w:hAnsi="Times New Roman" w:eastAsia="宋体" w:cs="Times New Roman"/>
                      <w:b/>
                      <w:bCs/>
                      <w:color w:val="auto"/>
                      <w:spacing w:val="0"/>
                      <w:sz w:val="21"/>
                      <w:szCs w:val="21"/>
                      <w:highlight w:val="none"/>
                    </w:rPr>
                    <w:t>名称</w:t>
                  </w:r>
                </w:p>
              </w:tc>
              <w:tc>
                <w:tcPr>
                  <w:tcW w:w="1517" w:type="pct"/>
                  <w:gridSpan w:val="3"/>
                  <w:tcBorders>
                    <w:tl2br w:val="nil"/>
                    <w:tr2bl w:val="nil"/>
                  </w:tcBorders>
                  <w:vAlign w:val="center"/>
                </w:tcPr>
                <w:p w14:paraId="1FD1CE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空间</w:t>
                  </w:r>
                  <w:r>
                    <w:rPr>
                      <w:rFonts w:hint="default" w:ascii="Times New Roman" w:hAnsi="Times New Roman" w:eastAsia="宋体" w:cs="Times New Roman"/>
                      <w:b/>
                      <w:bCs/>
                      <w:color w:val="auto"/>
                      <w:spacing w:val="0"/>
                      <w:sz w:val="21"/>
                      <w:szCs w:val="21"/>
                      <w:highlight w:val="none"/>
                    </w:rPr>
                    <w:t>相对位置</w:t>
                  </w:r>
                  <w:r>
                    <w:rPr>
                      <w:rFonts w:hint="eastAsia" w:ascii="Times New Roman" w:hAnsi="Times New Roman" w:eastAsia="宋体" w:cs="Times New Roman"/>
                      <w:b/>
                      <w:bCs/>
                      <w:color w:val="auto"/>
                      <w:spacing w:val="0"/>
                      <w:sz w:val="21"/>
                      <w:szCs w:val="21"/>
                      <w:highlight w:val="none"/>
                    </w:rPr>
                    <w:t>/m</w:t>
                  </w:r>
                </w:p>
              </w:tc>
              <w:tc>
                <w:tcPr>
                  <w:tcW w:w="750" w:type="pct"/>
                  <w:tcBorders>
                    <w:tl2br w:val="nil"/>
                    <w:tr2bl w:val="nil"/>
                  </w:tcBorders>
                  <w:vAlign w:val="center"/>
                </w:tcPr>
                <w:p w14:paraId="1252EC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eastAsia" w:ascii="Times New Roman" w:hAnsi="Times New Roman" w:eastAsia="宋体" w:cs="Times New Roman"/>
                      <w:b/>
                      <w:bCs/>
                      <w:color w:val="auto"/>
                      <w:spacing w:val="0"/>
                      <w:sz w:val="21"/>
                      <w:szCs w:val="21"/>
                      <w:highlight w:val="none"/>
                    </w:rPr>
                    <w:t>声源</w:t>
                  </w:r>
                  <w:r>
                    <w:rPr>
                      <w:rFonts w:hint="default" w:ascii="Times New Roman" w:hAnsi="Times New Roman" w:eastAsia="宋体" w:cs="Times New Roman"/>
                      <w:b/>
                      <w:bCs/>
                      <w:color w:val="auto"/>
                      <w:spacing w:val="0"/>
                      <w:sz w:val="21"/>
                      <w:szCs w:val="21"/>
                      <w:highlight w:val="none"/>
                    </w:rPr>
                    <w:t>源强</w:t>
                  </w:r>
                </w:p>
              </w:tc>
              <w:tc>
                <w:tcPr>
                  <w:tcW w:w="1242" w:type="pct"/>
                  <w:vMerge w:val="restart"/>
                  <w:tcBorders>
                    <w:tl2br w:val="nil"/>
                    <w:tr2bl w:val="nil"/>
                  </w:tcBorders>
                  <w:vAlign w:val="center"/>
                </w:tcPr>
                <w:p w14:paraId="5CA419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声源控制措施</w:t>
                  </w:r>
                </w:p>
              </w:tc>
              <w:tc>
                <w:tcPr>
                  <w:tcW w:w="498" w:type="pct"/>
                  <w:vMerge w:val="restart"/>
                  <w:tcBorders>
                    <w:tl2br w:val="nil"/>
                    <w:tr2bl w:val="nil"/>
                  </w:tcBorders>
                  <w:vAlign w:val="center"/>
                </w:tcPr>
                <w:p w14:paraId="65D96E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运行时段</w:t>
                  </w:r>
                </w:p>
              </w:tc>
            </w:tr>
            <w:tr w14:paraId="38BA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0" w:type="pct"/>
                  <w:vMerge w:val="continue"/>
                  <w:tcBorders>
                    <w:tl2br w:val="nil"/>
                    <w:tr2bl w:val="nil"/>
                  </w:tcBorders>
                  <w:vAlign w:val="center"/>
                </w:tcPr>
                <w:p w14:paraId="1A0F65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690" w:type="pct"/>
                  <w:vMerge w:val="continue"/>
                  <w:tcBorders>
                    <w:tl2br w:val="nil"/>
                    <w:tr2bl w:val="nil"/>
                  </w:tcBorders>
                  <w:vAlign w:val="center"/>
                </w:tcPr>
                <w:p w14:paraId="72861F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505" w:type="pct"/>
                  <w:tcBorders>
                    <w:tl2br w:val="nil"/>
                    <w:tr2bl w:val="nil"/>
                  </w:tcBorders>
                  <w:vAlign w:val="center"/>
                </w:tcPr>
                <w:p w14:paraId="10B0B0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X</w:t>
                  </w:r>
                </w:p>
              </w:tc>
              <w:tc>
                <w:tcPr>
                  <w:tcW w:w="505" w:type="pct"/>
                  <w:tcBorders>
                    <w:tl2br w:val="nil"/>
                    <w:tr2bl w:val="nil"/>
                  </w:tcBorders>
                  <w:vAlign w:val="center"/>
                </w:tcPr>
                <w:p w14:paraId="0AB77D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Y</w:t>
                  </w:r>
                </w:p>
              </w:tc>
              <w:tc>
                <w:tcPr>
                  <w:tcW w:w="507" w:type="pct"/>
                  <w:tcBorders>
                    <w:tl2br w:val="nil"/>
                    <w:tr2bl w:val="nil"/>
                  </w:tcBorders>
                  <w:vAlign w:val="center"/>
                </w:tcPr>
                <w:p w14:paraId="5C4A60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Z</w:t>
                  </w:r>
                </w:p>
              </w:tc>
              <w:tc>
                <w:tcPr>
                  <w:tcW w:w="750" w:type="pct"/>
                  <w:tcBorders>
                    <w:tl2br w:val="nil"/>
                    <w:tr2bl w:val="nil"/>
                  </w:tcBorders>
                  <w:vAlign w:val="center"/>
                </w:tcPr>
                <w:p w14:paraId="70327B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声功率级</w:t>
                  </w:r>
                  <w:r>
                    <w:rPr>
                      <w:rFonts w:hint="default" w:ascii="Times New Roman" w:hAnsi="Times New Roman" w:eastAsia="宋体" w:cs="Times New Roman"/>
                      <w:color w:val="auto"/>
                      <w:spacing w:val="0"/>
                      <w:sz w:val="21"/>
                      <w:szCs w:val="21"/>
                      <w:highlight w:val="none"/>
                    </w:rPr>
                    <w:t>dB</w:t>
                  </w:r>
                  <w:r>
                    <w:rPr>
                      <w:rFonts w:hint="eastAsia"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rPr>
                    <w:t>A</w:t>
                  </w:r>
                  <w:r>
                    <w:rPr>
                      <w:rFonts w:hint="eastAsia" w:ascii="Times New Roman" w:hAnsi="Times New Roman" w:eastAsia="宋体" w:cs="Times New Roman"/>
                      <w:color w:val="auto"/>
                      <w:spacing w:val="0"/>
                      <w:sz w:val="21"/>
                      <w:szCs w:val="21"/>
                      <w:highlight w:val="none"/>
                    </w:rPr>
                    <w:t>)</w:t>
                  </w:r>
                </w:p>
              </w:tc>
              <w:tc>
                <w:tcPr>
                  <w:tcW w:w="1242" w:type="pct"/>
                  <w:vMerge w:val="continue"/>
                  <w:tcBorders>
                    <w:tl2br w:val="nil"/>
                    <w:tr2bl w:val="nil"/>
                  </w:tcBorders>
                  <w:vAlign w:val="center"/>
                </w:tcPr>
                <w:p w14:paraId="63261F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c>
                <w:tcPr>
                  <w:tcW w:w="498" w:type="pct"/>
                  <w:vMerge w:val="continue"/>
                  <w:tcBorders>
                    <w:tl2br w:val="nil"/>
                    <w:tr2bl w:val="nil"/>
                  </w:tcBorders>
                  <w:vAlign w:val="center"/>
                </w:tcPr>
                <w:p w14:paraId="79AF9F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rPr>
                  </w:pPr>
                </w:p>
              </w:tc>
            </w:tr>
            <w:tr w14:paraId="6DB5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0" w:type="pct"/>
                  <w:tcBorders>
                    <w:tl2br w:val="nil"/>
                    <w:tr2bl w:val="nil"/>
                  </w:tcBorders>
                  <w:vAlign w:val="center"/>
                </w:tcPr>
                <w:p w14:paraId="503667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690" w:type="pct"/>
                  <w:tcBorders>
                    <w:tl2br w:val="nil"/>
                    <w:tr2bl w:val="nil"/>
                  </w:tcBorders>
                  <w:vAlign w:val="center"/>
                </w:tcPr>
                <w:p w14:paraId="13C75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除尘风机</w:t>
                  </w:r>
                </w:p>
              </w:tc>
              <w:tc>
                <w:tcPr>
                  <w:tcW w:w="505" w:type="pct"/>
                  <w:tcBorders>
                    <w:tl2br w:val="nil"/>
                    <w:tr2bl w:val="nil"/>
                  </w:tcBorders>
                  <w:vAlign w:val="center"/>
                </w:tcPr>
                <w:p w14:paraId="0CA213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42</w:t>
                  </w:r>
                </w:p>
              </w:tc>
              <w:tc>
                <w:tcPr>
                  <w:tcW w:w="505" w:type="pct"/>
                  <w:tcBorders>
                    <w:tl2br w:val="nil"/>
                    <w:tr2bl w:val="nil"/>
                  </w:tcBorders>
                  <w:vAlign w:val="center"/>
                </w:tcPr>
                <w:p w14:paraId="0433FD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38</w:t>
                  </w:r>
                </w:p>
              </w:tc>
              <w:tc>
                <w:tcPr>
                  <w:tcW w:w="507" w:type="pct"/>
                  <w:tcBorders>
                    <w:tl2br w:val="nil"/>
                    <w:tr2bl w:val="nil"/>
                  </w:tcBorders>
                  <w:vAlign w:val="center"/>
                </w:tcPr>
                <w:p w14:paraId="75FACE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750" w:type="pct"/>
                  <w:tcBorders>
                    <w:tl2br w:val="nil"/>
                    <w:tr2bl w:val="nil"/>
                  </w:tcBorders>
                  <w:vAlign w:val="center"/>
                </w:tcPr>
                <w:p w14:paraId="034F51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w:t>
                  </w:r>
                  <w:r>
                    <w:rPr>
                      <w:rFonts w:hint="eastAsia" w:cs="Times New Roman"/>
                      <w:color w:val="auto"/>
                      <w:spacing w:val="0"/>
                      <w:kern w:val="2"/>
                      <w:sz w:val="21"/>
                      <w:szCs w:val="21"/>
                      <w:highlight w:val="none"/>
                      <w:lang w:val="en-US" w:eastAsia="zh-CN" w:bidi="ar-SA"/>
                    </w:rPr>
                    <w:t>5</w:t>
                  </w:r>
                </w:p>
              </w:tc>
              <w:tc>
                <w:tcPr>
                  <w:tcW w:w="1242" w:type="pct"/>
                  <w:vMerge w:val="restart"/>
                  <w:tcBorders>
                    <w:tl2br w:val="nil"/>
                    <w:tr2bl w:val="nil"/>
                  </w:tcBorders>
                  <w:vAlign w:val="center"/>
                </w:tcPr>
                <w:p w14:paraId="580AD5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rPr>
                    <w:t>减振</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风机</w:t>
                  </w:r>
                  <w:r>
                    <w:rPr>
                      <w:rFonts w:hint="default" w:ascii="Times New Roman" w:cs="Times New Roman"/>
                      <w:color w:val="auto"/>
                      <w:sz w:val="21"/>
                      <w:szCs w:val="21"/>
                      <w:highlight w:val="none"/>
                    </w:rPr>
                    <w:t>出口安装消声器</w:t>
                  </w:r>
                  <w:r>
                    <w:rPr>
                      <w:rFonts w:hint="eastAsia"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定期维护</w:t>
                  </w:r>
                  <w:r>
                    <w:rPr>
                      <w:rFonts w:hint="eastAsia" w:cs="Times New Roman"/>
                      <w:color w:val="auto"/>
                      <w:spacing w:val="0"/>
                      <w:sz w:val="21"/>
                      <w:szCs w:val="21"/>
                      <w:highlight w:val="none"/>
                      <w:lang w:val="en-US" w:eastAsia="zh-CN"/>
                    </w:rPr>
                    <w:t>；加强绿化等</w:t>
                  </w:r>
                </w:p>
              </w:tc>
              <w:tc>
                <w:tcPr>
                  <w:tcW w:w="498" w:type="pct"/>
                  <w:vMerge w:val="restart"/>
                  <w:tcBorders>
                    <w:tl2br w:val="nil"/>
                    <w:tr2bl w:val="nil"/>
                  </w:tcBorders>
                  <w:vAlign w:val="center"/>
                </w:tcPr>
                <w:p w14:paraId="4B43AC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6:00-22:00</w:t>
                  </w:r>
                </w:p>
              </w:tc>
            </w:tr>
            <w:tr w14:paraId="3995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0" w:type="pct"/>
                  <w:tcBorders>
                    <w:tl2br w:val="nil"/>
                    <w:tr2bl w:val="nil"/>
                  </w:tcBorders>
                  <w:vAlign w:val="center"/>
                </w:tcPr>
                <w:p w14:paraId="6B6679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690" w:type="pct"/>
                  <w:tcBorders>
                    <w:tl2br w:val="nil"/>
                    <w:tr2bl w:val="nil"/>
                  </w:tcBorders>
                  <w:vAlign w:val="center"/>
                </w:tcPr>
                <w:p w14:paraId="76FE8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除尘风机</w:t>
                  </w:r>
                </w:p>
              </w:tc>
              <w:tc>
                <w:tcPr>
                  <w:tcW w:w="505" w:type="pct"/>
                  <w:tcBorders>
                    <w:tl2br w:val="nil"/>
                    <w:tr2bl w:val="nil"/>
                  </w:tcBorders>
                  <w:vAlign w:val="center"/>
                </w:tcPr>
                <w:p w14:paraId="1C922D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505" w:type="pct"/>
                  <w:tcBorders>
                    <w:tl2br w:val="nil"/>
                    <w:tr2bl w:val="nil"/>
                  </w:tcBorders>
                  <w:vAlign w:val="center"/>
                </w:tcPr>
                <w:p w14:paraId="5BFD3B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50</w:t>
                  </w:r>
                </w:p>
              </w:tc>
              <w:tc>
                <w:tcPr>
                  <w:tcW w:w="507" w:type="pct"/>
                  <w:tcBorders>
                    <w:tl2br w:val="nil"/>
                    <w:tr2bl w:val="nil"/>
                  </w:tcBorders>
                  <w:vAlign w:val="center"/>
                </w:tcPr>
                <w:p w14:paraId="480DB7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750" w:type="pct"/>
                  <w:tcBorders>
                    <w:tl2br w:val="nil"/>
                    <w:tr2bl w:val="nil"/>
                  </w:tcBorders>
                  <w:vAlign w:val="center"/>
                </w:tcPr>
                <w:p w14:paraId="2057B2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w:t>
                  </w:r>
                  <w:r>
                    <w:rPr>
                      <w:rFonts w:hint="eastAsia" w:cs="Times New Roman"/>
                      <w:color w:val="auto"/>
                      <w:spacing w:val="0"/>
                      <w:kern w:val="2"/>
                      <w:sz w:val="21"/>
                      <w:szCs w:val="21"/>
                      <w:highlight w:val="none"/>
                      <w:lang w:val="en-US" w:eastAsia="zh-CN" w:bidi="ar-SA"/>
                    </w:rPr>
                    <w:t>5</w:t>
                  </w:r>
                </w:p>
              </w:tc>
              <w:tc>
                <w:tcPr>
                  <w:tcW w:w="1242" w:type="pct"/>
                  <w:vMerge w:val="continue"/>
                  <w:tcBorders>
                    <w:tl2br w:val="nil"/>
                    <w:tr2bl w:val="nil"/>
                  </w:tcBorders>
                  <w:vAlign w:val="center"/>
                </w:tcPr>
                <w:p w14:paraId="4AFA97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color w:val="auto"/>
                      <w:spacing w:val="0"/>
                      <w:sz w:val="21"/>
                      <w:szCs w:val="21"/>
                      <w:highlight w:val="none"/>
                    </w:rPr>
                  </w:pPr>
                </w:p>
              </w:tc>
              <w:tc>
                <w:tcPr>
                  <w:tcW w:w="498" w:type="pct"/>
                  <w:vMerge w:val="continue"/>
                  <w:tcBorders>
                    <w:tl2br w:val="nil"/>
                    <w:tr2bl w:val="nil"/>
                  </w:tcBorders>
                  <w:vAlign w:val="center"/>
                </w:tcPr>
                <w:p w14:paraId="6E75C4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cs="Times New Roman"/>
                      <w:color w:val="auto"/>
                      <w:spacing w:val="0"/>
                      <w:sz w:val="21"/>
                      <w:szCs w:val="21"/>
                      <w:highlight w:val="none"/>
                      <w:lang w:val="en-US" w:eastAsia="zh-CN"/>
                    </w:rPr>
                  </w:pPr>
                </w:p>
              </w:tc>
            </w:tr>
          </w:tbl>
          <w:p w14:paraId="457CF8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both"/>
              <w:textAlignment w:val="auto"/>
              <w:rPr>
                <w:rFonts w:hint="eastAsia" w:ascii="Times New Roman" w:hAnsi="Times New Roman" w:eastAsia="宋体" w:cs="Times New Roman"/>
                <w:b/>
                <w:bCs w:val="0"/>
                <w:color w:val="auto"/>
                <w:spacing w:val="-10"/>
                <w:sz w:val="24"/>
                <w:szCs w:val="24"/>
                <w:highlight w:val="none"/>
                <w:vertAlign w:val="baseline"/>
                <w:lang w:val="en-US" w:eastAsia="zh-CN"/>
              </w:rPr>
            </w:pPr>
          </w:p>
        </w:tc>
      </w:tr>
    </w:tbl>
    <w:p w14:paraId="35B621CC">
      <w:pPr>
        <w:rPr>
          <w:rFonts w:hint="default"/>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8396"/>
      </w:tblGrid>
      <w:tr w14:paraId="2134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vAlign w:val="center"/>
          </w:tcPr>
          <w:p w14:paraId="2B835D20">
            <w:pPr>
              <w:keepNext w:val="0"/>
              <w:keepLines w:val="0"/>
              <w:suppressLineNumbers w:val="0"/>
              <w:adjustRightInd w:val="0"/>
              <w:snapToGrid w:val="0"/>
              <w:spacing w:before="0" w:beforeAutospacing="0" w:after="0" w:afterAutospacing="0"/>
              <w:ind w:left="0" w:right="0"/>
              <w:jc w:val="center"/>
              <w:rPr>
                <w:rFonts w:hint="default"/>
                <w:color w:val="auto"/>
                <w:highlight w:val="none"/>
                <w:vertAlign w:val="baseline"/>
              </w:rPr>
            </w:pPr>
            <w:r>
              <w:rPr>
                <w:rFonts w:hint="default" w:ascii="Times New Roman" w:hAnsi="Times New Roman" w:eastAsia="宋体" w:cs="Times New Roman"/>
                <w:bCs/>
                <w:color w:val="auto"/>
                <w:szCs w:val="21"/>
                <w:highlight w:val="none"/>
                <w:lang w:val="en-US" w:eastAsia="zh-CN"/>
              </w:rPr>
              <w:t>运营期环境影响和保护措施</w:t>
            </w:r>
          </w:p>
        </w:tc>
        <w:tc>
          <w:tcPr>
            <w:tcW w:w="8396" w:type="dxa"/>
          </w:tcPr>
          <w:p w14:paraId="1DFEA21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噪声预测</w:t>
            </w:r>
          </w:p>
          <w:p w14:paraId="6D7BD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auto"/>
                <w:spacing w:val="0"/>
                <w:sz w:val="24"/>
                <w:szCs w:val="24"/>
                <w:highlight w:val="none"/>
                <w:lang w:eastAsia="zh-CN"/>
              </w:rPr>
            </w:pPr>
            <w:r>
              <w:rPr>
                <w:rFonts w:hint="default" w:ascii="Times New Roman" w:hAnsi="Times New Roman" w:eastAsia="宋体" w:cs="Times New Roman"/>
                <w:bCs/>
                <w:color w:val="auto"/>
                <w:spacing w:val="0"/>
                <w:sz w:val="24"/>
                <w:szCs w:val="24"/>
                <w:highlight w:val="none"/>
              </w:rPr>
              <w:t>本次预测采用《环境影响评价技术导则</w:t>
            </w:r>
            <w:r>
              <w:rPr>
                <w:rFonts w:hint="eastAsia" w:ascii="Times New Roman" w:hAnsi="Times New Roman" w:eastAsia="宋体" w:cs="Times New Roman"/>
                <w:bCs/>
                <w:color w:val="auto"/>
                <w:spacing w:val="0"/>
                <w:sz w:val="24"/>
                <w:szCs w:val="24"/>
                <w:highlight w:val="none"/>
                <w:lang w:val="en-US" w:eastAsia="zh-CN"/>
              </w:rPr>
              <w:t xml:space="preserve"> </w:t>
            </w:r>
            <w:r>
              <w:rPr>
                <w:rFonts w:hint="default" w:ascii="Times New Roman" w:hAnsi="Times New Roman" w:eastAsia="宋体" w:cs="Times New Roman"/>
                <w:bCs/>
                <w:color w:val="auto"/>
                <w:spacing w:val="0"/>
                <w:sz w:val="24"/>
                <w:szCs w:val="24"/>
                <w:highlight w:val="none"/>
              </w:rPr>
              <w:t>声环境》（HJ2.4-2021）中推荐的工业噪声预测计算模式</w:t>
            </w:r>
            <w:r>
              <w:rPr>
                <w:rFonts w:hint="eastAsia" w:ascii="Times New Roman" w:hAnsi="Times New Roman" w:eastAsia="宋体" w:cs="Times New Roman"/>
                <w:bCs/>
                <w:color w:val="auto"/>
                <w:spacing w:val="0"/>
                <w:sz w:val="24"/>
                <w:szCs w:val="24"/>
                <w:highlight w:val="none"/>
                <w:lang w:eastAsia="zh-CN"/>
              </w:rPr>
              <w:t>。</w:t>
            </w:r>
          </w:p>
          <w:p w14:paraId="5E92952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828800" cy="219075"/>
                  <wp:effectExtent l="0" t="0" r="0" b="8255"/>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21"/>
                          <a:stretch>
                            <a:fillRect/>
                          </a:stretch>
                        </pic:blipFill>
                        <pic:spPr>
                          <a:xfrm>
                            <a:off x="0" y="0"/>
                            <a:ext cx="1828800" cy="219075"/>
                          </a:xfrm>
                          <a:prstGeom prst="rect">
                            <a:avLst/>
                          </a:prstGeom>
                          <a:noFill/>
                          <a:ln>
                            <a:noFill/>
                          </a:ln>
                        </pic:spPr>
                      </pic:pic>
                    </a:graphicData>
                  </a:graphic>
                </wp:inline>
              </w:drawing>
            </w:r>
          </w:p>
          <w:p w14:paraId="2BAD2C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（r）为距声源r处的A声级；</w:t>
            </w:r>
          </w:p>
          <w:p w14:paraId="17067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）为参考位置r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的A声级；</w:t>
            </w:r>
          </w:p>
          <w:p w14:paraId="09183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vertAlign w:val="subscript"/>
              </w:rPr>
              <w:t>div</w:t>
            </w:r>
            <w:r>
              <w:rPr>
                <w:rFonts w:hint="default" w:ascii="Times New Roman" w:hAnsi="Times New Roman" w:eastAsia="宋体" w:cs="Times New Roman"/>
                <w:color w:val="auto"/>
                <w:sz w:val="24"/>
              </w:rPr>
              <w:t>为声波几何发散引起的A声级衰减量；</w:t>
            </w:r>
          </w:p>
          <w:p w14:paraId="2BC2F3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Aatm为大气吸收引起的A声级衰减量。</w:t>
            </w:r>
          </w:p>
          <w:p w14:paraId="0248B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本评价根据各噪声源的噪声水平及其采取的降噪及隔声效果，综合考虑Adiv、Aatm和Agr的衰减量，来预测本工程主要噪声源对周围声环境的影响。其中几何发散引起的A声级衰减量的计算公式如下：</w:t>
            </w:r>
          </w:p>
          <w:p w14:paraId="2A9662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143000" cy="447675"/>
                  <wp:effectExtent l="0" t="0" r="0" b="762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22"/>
                          <a:stretch>
                            <a:fillRect/>
                          </a:stretch>
                        </pic:blipFill>
                        <pic:spPr>
                          <a:xfrm>
                            <a:off x="0" y="0"/>
                            <a:ext cx="1143000" cy="447675"/>
                          </a:xfrm>
                          <a:prstGeom prst="rect">
                            <a:avLst/>
                          </a:prstGeom>
                          <a:noFill/>
                          <a:ln>
                            <a:noFill/>
                          </a:ln>
                        </pic:spPr>
                      </pic:pic>
                    </a:graphicData>
                  </a:graphic>
                </wp:inline>
              </w:drawing>
            </w:r>
          </w:p>
          <w:p w14:paraId="551C6C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大气吸收引起的A声级衰减量的计算公式如下：</w:t>
            </w:r>
          </w:p>
          <w:p w14:paraId="229152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171575" cy="419100"/>
                  <wp:effectExtent l="0" t="0" r="9525" b="0"/>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23"/>
                          <a:stretch>
                            <a:fillRect/>
                          </a:stretch>
                        </pic:blipFill>
                        <pic:spPr>
                          <a:xfrm>
                            <a:off x="0" y="0"/>
                            <a:ext cx="1171575" cy="419100"/>
                          </a:xfrm>
                          <a:prstGeom prst="rect">
                            <a:avLst/>
                          </a:prstGeom>
                          <a:noFill/>
                          <a:ln>
                            <a:noFill/>
                          </a:ln>
                        </pic:spPr>
                      </pic:pic>
                    </a:graphicData>
                  </a:graphic>
                </wp:inline>
              </w:drawing>
            </w:r>
          </w:p>
          <w:p w14:paraId="5F2F1E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式中：α为温度、湿度和声波频率的函数，预测计算中一般根据当地常年平均气温和湿度选择相应的空气吸收系数。</w:t>
            </w:r>
          </w:p>
          <w:p w14:paraId="1C33E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对多个声源同时存在时，其总A声级用下式计算：</w:t>
            </w:r>
          </w:p>
          <w:p w14:paraId="6BAC1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562100" cy="457200"/>
                  <wp:effectExtent l="0" t="0" r="0" b="0"/>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24"/>
                          <a:stretch>
                            <a:fillRect/>
                          </a:stretch>
                        </pic:blipFill>
                        <pic:spPr>
                          <a:xfrm>
                            <a:off x="0" y="0"/>
                            <a:ext cx="1562100" cy="457200"/>
                          </a:xfrm>
                          <a:prstGeom prst="rect">
                            <a:avLst/>
                          </a:prstGeom>
                          <a:noFill/>
                          <a:ln>
                            <a:noFill/>
                          </a:ln>
                        </pic:spPr>
                      </pic:pic>
                    </a:graphicData>
                  </a:graphic>
                </wp:inline>
              </w:drawing>
            </w:r>
          </w:p>
          <w:p w14:paraId="664BFF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eqg</w:t>
            </w:r>
            <w:r>
              <w:rPr>
                <w:rFonts w:hint="default" w:ascii="Times New Roman" w:hAnsi="Times New Roman" w:eastAsia="宋体" w:cs="Times New Roman"/>
                <w:color w:val="auto"/>
                <w:sz w:val="24"/>
              </w:rPr>
              <w:t>为本项目声源在预测点的等效声级贡献值，dB（A）；L</w:t>
            </w:r>
            <w:r>
              <w:rPr>
                <w:rFonts w:hint="default" w:ascii="Times New Roman" w:hAnsi="Times New Roman" w:eastAsia="宋体" w:cs="Times New Roman"/>
                <w:color w:val="auto"/>
                <w:sz w:val="24"/>
                <w:vertAlign w:val="subscript"/>
              </w:rPr>
              <w:t>Ai</w:t>
            </w:r>
            <w:r>
              <w:rPr>
                <w:rFonts w:hint="default" w:ascii="Times New Roman" w:hAnsi="Times New Roman" w:eastAsia="宋体" w:cs="Times New Roman"/>
                <w:color w:val="auto"/>
                <w:sz w:val="24"/>
              </w:rPr>
              <w:t>为i声源在预测点产生的A声级，dB（A）；T预测计算的时间段，s；t</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为i声源在T时段内的运行时间，s。</w:t>
            </w:r>
          </w:p>
          <w:p w14:paraId="4CC54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现状监测值与预测贡献值叠加的预测总A声级计算公式如下：</w:t>
            </w:r>
          </w:p>
          <w:p w14:paraId="60AD478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790700" cy="266700"/>
                  <wp:effectExtent l="0" t="0" r="0" b="0"/>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25"/>
                          <a:stretch>
                            <a:fillRect/>
                          </a:stretch>
                        </pic:blipFill>
                        <pic:spPr>
                          <a:xfrm>
                            <a:off x="0" y="0"/>
                            <a:ext cx="1790700" cy="266700"/>
                          </a:xfrm>
                          <a:prstGeom prst="rect">
                            <a:avLst/>
                          </a:prstGeom>
                          <a:noFill/>
                          <a:ln>
                            <a:noFill/>
                          </a:ln>
                        </pic:spPr>
                      </pic:pic>
                    </a:graphicData>
                  </a:graphic>
                </wp:inline>
              </w:drawing>
            </w:r>
          </w:p>
          <w:p w14:paraId="7E225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eqg</w:t>
            </w:r>
            <w:r>
              <w:rPr>
                <w:rFonts w:hint="default" w:ascii="Times New Roman" w:hAnsi="Times New Roman" w:eastAsia="宋体" w:cs="Times New Roman"/>
                <w:color w:val="auto"/>
                <w:sz w:val="24"/>
              </w:rPr>
              <w:t>为本项目声源在预测点的等效声级贡献值；L</w:t>
            </w:r>
            <w:r>
              <w:rPr>
                <w:rFonts w:hint="default" w:ascii="Times New Roman" w:hAnsi="Times New Roman" w:eastAsia="宋体" w:cs="Times New Roman"/>
                <w:color w:val="auto"/>
                <w:sz w:val="24"/>
                <w:vertAlign w:val="subscript"/>
              </w:rPr>
              <w:t>eqb</w:t>
            </w:r>
            <w:r>
              <w:rPr>
                <w:rFonts w:hint="default" w:ascii="Times New Roman" w:hAnsi="Times New Roman" w:eastAsia="宋体" w:cs="Times New Roman"/>
                <w:color w:val="auto"/>
                <w:sz w:val="24"/>
              </w:rPr>
              <w:t>为预测点的背景值。</w:t>
            </w:r>
          </w:p>
          <w:p w14:paraId="3B030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根据《环境影响评价技术导则声环境》（HJ2.4-2021</w:t>
            </w:r>
            <w:r>
              <w:rPr>
                <w:rFonts w:hint="default" w:ascii="Times New Roman" w:hAnsi="Times New Roman" w:eastAsia="宋体" w:cs="Times New Roman"/>
                <w:color w:val="auto"/>
                <w:sz w:val="24"/>
                <w:highlight w:val="none"/>
              </w:rPr>
              <w:t>），项目厂界噪声以工程噪声预测值作为评价量进行分析预测，同时考虑建筑物的屏蔽和遮挡，本项目夜间不运行，只进行昼间噪声预测。</w:t>
            </w:r>
            <w:r>
              <w:rPr>
                <w:rFonts w:hint="eastAsia"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lang w:val="en-US" w:eastAsia="zh-CN"/>
              </w:rPr>
              <w:t>噪声预测结果见表</w:t>
            </w: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p>
          <w:p w14:paraId="676F3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2741" w:firstLineChars="1300"/>
              <w:jc w:val="both"/>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10</w:t>
            </w:r>
            <w:r>
              <w:rPr>
                <w:rFonts w:hint="default" w:ascii="Times New Roman" w:hAnsi="Times New Roman" w:eastAsia="宋体" w:cs="Times New Roman"/>
                <w:b/>
                <w:bCs/>
                <w:color w:val="auto"/>
                <w:kern w:val="2"/>
                <w:sz w:val="21"/>
                <w:szCs w:val="21"/>
                <w:highlight w:val="none"/>
                <w:lang w:val="en-US" w:eastAsia="zh-CN" w:bidi="ar-SA"/>
              </w:rPr>
              <w:t xml:space="preserve">  环境噪声预测结果</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297"/>
              <w:gridCol w:w="1318"/>
              <w:gridCol w:w="1367"/>
              <w:gridCol w:w="1343"/>
              <w:gridCol w:w="1327"/>
            </w:tblGrid>
            <w:tr w14:paraId="7A7B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927" w:type="pct"/>
                  <w:vMerge w:val="restart"/>
                  <w:tcBorders>
                    <w:tl2br w:val="nil"/>
                    <w:tr2bl w:val="nil"/>
                  </w:tcBorders>
                  <w:noWrap w:val="0"/>
                  <w:vAlign w:val="center"/>
                </w:tcPr>
                <w:p w14:paraId="08271934">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预测点</w:t>
                  </w:r>
                </w:p>
              </w:tc>
              <w:tc>
                <w:tcPr>
                  <w:tcW w:w="2438" w:type="pct"/>
                  <w:gridSpan w:val="3"/>
                  <w:tcBorders>
                    <w:tl2br w:val="nil"/>
                    <w:tr2bl w:val="nil"/>
                  </w:tcBorders>
                  <w:noWrap w:val="0"/>
                  <w:vAlign w:val="center"/>
                </w:tcPr>
                <w:p w14:paraId="54A997B1">
                  <w:pPr>
                    <w:keepNext w:val="0"/>
                    <w:keepLines w:val="0"/>
                    <w:suppressLineNumbers w:val="0"/>
                    <w:spacing w:before="0" w:beforeAutospacing="0" w:after="0" w:afterAutospacing="0"/>
                    <w:ind w:left="0" w:right="0"/>
                    <w:jc w:val="center"/>
                    <w:rPr>
                      <w:rFonts w:hint="default"/>
                      <w:b/>
                      <w:bCs w:val="0"/>
                      <w:color w:val="auto"/>
                      <w:szCs w:val="21"/>
                    </w:rPr>
                  </w:pPr>
                  <w:r>
                    <w:rPr>
                      <w:rFonts w:hint="default"/>
                      <w:b/>
                      <w:bCs w:val="0"/>
                      <w:color w:val="auto"/>
                      <w:szCs w:val="21"/>
                    </w:rPr>
                    <w:t>昼间</w:t>
                  </w:r>
                  <w:r>
                    <w:rPr>
                      <w:rFonts w:hint="default" w:ascii="Times New Roman" w:hAnsi="Times New Roman" w:eastAsia="宋体" w:cs="Times New Roman"/>
                      <w:b/>
                      <w:bCs w:val="0"/>
                      <w:color w:val="auto"/>
                      <w:kern w:val="2"/>
                      <w:sz w:val="21"/>
                      <w:szCs w:val="21"/>
                      <w:highlight w:val="none"/>
                      <w:lang w:val="en-US" w:eastAsia="zh-CN" w:bidi="ar-SA"/>
                    </w:rPr>
                    <w:t>dB（A）</w:t>
                  </w:r>
                </w:p>
              </w:tc>
              <w:tc>
                <w:tcPr>
                  <w:tcW w:w="1634" w:type="pct"/>
                  <w:gridSpan w:val="2"/>
                  <w:tcBorders>
                    <w:tl2br w:val="nil"/>
                    <w:tr2bl w:val="nil"/>
                  </w:tcBorders>
                  <w:noWrap w:val="0"/>
                  <w:vAlign w:val="center"/>
                </w:tcPr>
                <w:p w14:paraId="432F0C8A">
                  <w:pPr>
                    <w:keepNext w:val="0"/>
                    <w:keepLines w:val="0"/>
                    <w:suppressLineNumbers w:val="0"/>
                    <w:spacing w:before="0" w:beforeAutospacing="0" w:after="0" w:afterAutospacing="0"/>
                    <w:ind w:left="0" w:right="0"/>
                    <w:jc w:val="center"/>
                    <w:rPr>
                      <w:rFonts w:hint="default"/>
                      <w:b/>
                      <w:bCs w:val="0"/>
                      <w:color w:val="auto"/>
                      <w:szCs w:val="21"/>
                    </w:rPr>
                  </w:pPr>
                  <w:r>
                    <w:rPr>
                      <w:rFonts w:hint="default"/>
                      <w:b/>
                      <w:bCs w:val="0"/>
                      <w:color w:val="auto"/>
                      <w:szCs w:val="21"/>
                    </w:rPr>
                    <w:t>夜间</w:t>
                  </w:r>
                  <w:r>
                    <w:rPr>
                      <w:rFonts w:hint="default" w:ascii="Times New Roman" w:hAnsi="Times New Roman" w:eastAsia="宋体" w:cs="Times New Roman"/>
                      <w:b/>
                      <w:bCs w:val="0"/>
                      <w:color w:val="auto"/>
                      <w:kern w:val="2"/>
                      <w:sz w:val="21"/>
                      <w:szCs w:val="21"/>
                      <w:highlight w:val="none"/>
                      <w:lang w:val="en-US" w:eastAsia="zh-CN" w:bidi="ar-SA"/>
                    </w:rPr>
                    <w:t>dB（A）</w:t>
                  </w:r>
                </w:p>
              </w:tc>
            </w:tr>
            <w:tr w14:paraId="4904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27" w:type="pct"/>
                  <w:vMerge w:val="continue"/>
                  <w:tcBorders>
                    <w:tl2br w:val="nil"/>
                    <w:tr2bl w:val="nil"/>
                  </w:tcBorders>
                  <w:noWrap w:val="0"/>
                  <w:vAlign w:val="center"/>
                </w:tcPr>
                <w:p w14:paraId="0A2263BB">
                  <w:pPr>
                    <w:keepNext w:val="0"/>
                    <w:keepLines w:val="0"/>
                    <w:suppressLineNumbers w:val="0"/>
                    <w:spacing w:before="0" w:beforeAutospacing="0" w:after="0" w:afterAutospacing="0"/>
                    <w:ind w:left="0" w:right="0" w:firstLine="480"/>
                    <w:jc w:val="center"/>
                    <w:rPr>
                      <w:rFonts w:hint="default"/>
                      <w:b/>
                      <w:color w:val="auto"/>
                      <w:szCs w:val="21"/>
                    </w:rPr>
                  </w:pPr>
                </w:p>
              </w:tc>
              <w:tc>
                <w:tcPr>
                  <w:tcW w:w="794" w:type="pct"/>
                  <w:tcBorders>
                    <w:tl2br w:val="nil"/>
                    <w:tr2bl w:val="nil"/>
                  </w:tcBorders>
                  <w:noWrap w:val="0"/>
                  <w:vAlign w:val="center"/>
                </w:tcPr>
                <w:p w14:paraId="09D89B6B">
                  <w:pPr>
                    <w:keepNext w:val="0"/>
                    <w:keepLines w:val="0"/>
                    <w:suppressLineNumbers w:val="0"/>
                    <w:spacing w:before="0" w:beforeAutospacing="0" w:after="0" w:afterAutospacing="0"/>
                    <w:ind w:left="0" w:right="0"/>
                    <w:jc w:val="center"/>
                    <w:rPr>
                      <w:rFonts w:hint="default"/>
                      <w:b/>
                      <w:bCs w:val="0"/>
                      <w:color w:val="auto"/>
                      <w:szCs w:val="21"/>
                    </w:rPr>
                  </w:pPr>
                  <w:r>
                    <w:rPr>
                      <w:rFonts w:hint="default"/>
                      <w:b/>
                      <w:bCs w:val="0"/>
                      <w:color w:val="auto"/>
                      <w:szCs w:val="21"/>
                    </w:rPr>
                    <w:t>贡献值</w:t>
                  </w:r>
                </w:p>
              </w:tc>
              <w:tc>
                <w:tcPr>
                  <w:tcW w:w="807" w:type="pct"/>
                  <w:tcBorders>
                    <w:tl2br w:val="nil"/>
                    <w:tr2bl w:val="nil"/>
                  </w:tcBorders>
                  <w:noWrap w:val="0"/>
                  <w:vAlign w:val="center"/>
                </w:tcPr>
                <w:p w14:paraId="7E54F819">
                  <w:pPr>
                    <w:keepNext w:val="0"/>
                    <w:keepLines w:val="0"/>
                    <w:suppressLineNumbers w:val="0"/>
                    <w:spacing w:before="0" w:beforeAutospacing="0" w:after="0" w:afterAutospacing="0"/>
                    <w:ind w:left="0" w:right="0"/>
                    <w:jc w:val="center"/>
                    <w:rPr>
                      <w:rFonts w:hint="default"/>
                      <w:b/>
                      <w:bCs w:val="0"/>
                      <w:color w:val="auto"/>
                      <w:szCs w:val="21"/>
                    </w:rPr>
                  </w:pPr>
                  <w:r>
                    <w:rPr>
                      <w:rFonts w:hint="default"/>
                      <w:b/>
                      <w:bCs w:val="0"/>
                      <w:color w:val="auto"/>
                      <w:szCs w:val="21"/>
                    </w:rPr>
                    <w:t>标准值</w:t>
                  </w:r>
                </w:p>
              </w:tc>
              <w:tc>
                <w:tcPr>
                  <w:tcW w:w="837" w:type="pct"/>
                  <w:tcBorders>
                    <w:tl2br w:val="nil"/>
                    <w:tr2bl w:val="nil"/>
                  </w:tcBorders>
                  <w:noWrap w:val="0"/>
                  <w:vAlign w:val="center"/>
                </w:tcPr>
                <w:p w14:paraId="3648DABC">
                  <w:pPr>
                    <w:keepNext w:val="0"/>
                    <w:keepLines w:val="0"/>
                    <w:suppressLineNumbers w:val="0"/>
                    <w:spacing w:before="0" w:beforeAutospacing="0" w:after="0" w:afterAutospacing="0"/>
                    <w:ind w:left="0" w:right="0"/>
                    <w:jc w:val="center"/>
                    <w:rPr>
                      <w:rFonts w:hint="eastAsia" w:eastAsia="宋体"/>
                      <w:b/>
                      <w:bCs w:val="0"/>
                      <w:color w:val="auto"/>
                      <w:szCs w:val="21"/>
                      <w:lang w:val="en-US" w:eastAsia="zh-CN"/>
                    </w:rPr>
                  </w:pPr>
                  <w:r>
                    <w:rPr>
                      <w:rFonts w:hint="eastAsia"/>
                      <w:b/>
                      <w:bCs w:val="0"/>
                      <w:color w:val="auto"/>
                      <w:szCs w:val="21"/>
                      <w:lang w:val="en-US" w:eastAsia="zh-CN"/>
                    </w:rPr>
                    <w:t>达标情况</w:t>
                  </w:r>
                </w:p>
              </w:tc>
              <w:tc>
                <w:tcPr>
                  <w:tcW w:w="822" w:type="pct"/>
                  <w:tcBorders>
                    <w:tl2br w:val="nil"/>
                    <w:tr2bl w:val="nil"/>
                  </w:tcBorders>
                  <w:noWrap w:val="0"/>
                  <w:vAlign w:val="center"/>
                </w:tcPr>
                <w:p w14:paraId="2F22E2FB">
                  <w:pPr>
                    <w:keepNext w:val="0"/>
                    <w:keepLines w:val="0"/>
                    <w:suppressLineNumbers w:val="0"/>
                    <w:spacing w:before="0" w:beforeAutospacing="0" w:after="0" w:afterAutospacing="0"/>
                    <w:ind w:left="0" w:right="0"/>
                    <w:jc w:val="center"/>
                    <w:rPr>
                      <w:rFonts w:hint="default"/>
                      <w:b/>
                      <w:bCs w:val="0"/>
                      <w:color w:val="auto"/>
                      <w:szCs w:val="21"/>
                    </w:rPr>
                  </w:pPr>
                  <w:r>
                    <w:rPr>
                      <w:rFonts w:hint="default"/>
                      <w:b/>
                      <w:bCs w:val="0"/>
                      <w:color w:val="auto"/>
                      <w:szCs w:val="21"/>
                    </w:rPr>
                    <w:t>贡献值</w:t>
                  </w:r>
                </w:p>
              </w:tc>
              <w:tc>
                <w:tcPr>
                  <w:tcW w:w="811" w:type="pct"/>
                  <w:tcBorders>
                    <w:tl2br w:val="nil"/>
                    <w:tr2bl w:val="nil"/>
                  </w:tcBorders>
                  <w:noWrap w:val="0"/>
                  <w:vAlign w:val="center"/>
                </w:tcPr>
                <w:p w14:paraId="5B6CD2AB">
                  <w:pPr>
                    <w:keepNext w:val="0"/>
                    <w:keepLines w:val="0"/>
                    <w:suppressLineNumbers w:val="0"/>
                    <w:spacing w:before="0" w:beforeAutospacing="0" w:after="0" w:afterAutospacing="0"/>
                    <w:ind w:left="0" w:right="0"/>
                    <w:jc w:val="center"/>
                    <w:rPr>
                      <w:rFonts w:hint="default"/>
                      <w:b/>
                      <w:bCs w:val="0"/>
                      <w:color w:val="auto"/>
                      <w:szCs w:val="21"/>
                    </w:rPr>
                  </w:pPr>
                  <w:r>
                    <w:rPr>
                      <w:rFonts w:hint="default"/>
                      <w:b/>
                      <w:bCs w:val="0"/>
                      <w:color w:val="auto"/>
                      <w:szCs w:val="21"/>
                    </w:rPr>
                    <w:t>标准值</w:t>
                  </w:r>
                </w:p>
              </w:tc>
            </w:tr>
            <w:tr w14:paraId="0D36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27" w:type="pct"/>
                  <w:tcBorders>
                    <w:tl2br w:val="nil"/>
                    <w:tr2bl w:val="nil"/>
                  </w:tcBorders>
                  <w:noWrap w:val="0"/>
                  <w:vAlign w:val="center"/>
                </w:tcPr>
                <w:p w14:paraId="136F9C6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厂界</w:t>
                  </w:r>
                  <w:r>
                    <w:rPr>
                      <w:rFonts w:hint="eastAsia"/>
                      <w:color w:val="auto"/>
                      <w:szCs w:val="21"/>
                    </w:rPr>
                    <w:t>北侧</w:t>
                  </w:r>
                </w:p>
              </w:tc>
              <w:tc>
                <w:tcPr>
                  <w:tcW w:w="794" w:type="pct"/>
                  <w:tcBorders>
                    <w:tl2br w:val="nil"/>
                    <w:tr2bl w:val="nil"/>
                  </w:tcBorders>
                  <w:noWrap w:val="0"/>
                  <w:vAlign w:val="center"/>
                </w:tcPr>
                <w:p w14:paraId="42650D0F">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leftChars="0" w:right="0" w:rightChars="0"/>
                    <w:jc w:val="center"/>
                    <w:textAlignment w:val="baseline"/>
                    <w:rPr>
                      <w:rFonts w:hint="default" w:eastAsia="宋体"/>
                      <w:color w:val="auto"/>
                      <w:kern w:val="0"/>
                      <w:szCs w:val="21"/>
                      <w:lang w:val="en-US" w:eastAsia="zh-CN"/>
                    </w:rPr>
                  </w:pPr>
                  <w:r>
                    <w:rPr>
                      <w:rFonts w:hint="eastAsia"/>
                      <w:color w:val="auto"/>
                      <w:kern w:val="0"/>
                      <w:szCs w:val="21"/>
                      <w:lang w:val="en-US" w:eastAsia="zh-CN"/>
                    </w:rPr>
                    <w:t>40.53</w:t>
                  </w:r>
                </w:p>
              </w:tc>
              <w:tc>
                <w:tcPr>
                  <w:tcW w:w="807" w:type="pct"/>
                  <w:tcBorders>
                    <w:tl2br w:val="nil"/>
                    <w:tr2bl w:val="nil"/>
                  </w:tcBorders>
                  <w:noWrap w:val="0"/>
                  <w:vAlign w:val="center"/>
                </w:tcPr>
                <w:p w14:paraId="4F9E422C">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60</w:t>
                  </w:r>
                </w:p>
              </w:tc>
              <w:tc>
                <w:tcPr>
                  <w:tcW w:w="837" w:type="pct"/>
                  <w:tcBorders>
                    <w:tl2br w:val="nil"/>
                    <w:tr2bl w:val="nil"/>
                  </w:tcBorders>
                  <w:noWrap w:val="0"/>
                  <w:vAlign w:val="center"/>
                </w:tcPr>
                <w:p w14:paraId="4EF05CFF">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达标</w:t>
                  </w:r>
                </w:p>
              </w:tc>
              <w:tc>
                <w:tcPr>
                  <w:tcW w:w="822" w:type="pct"/>
                  <w:tcBorders>
                    <w:tl2br w:val="nil"/>
                    <w:tr2bl w:val="nil"/>
                  </w:tcBorders>
                  <w:noWrap w:val="0"/>
                  <w:vAlign w:val="center"/>
                </w:tcPr>
                <w:p w14:paraId="02BFA819">
                  <w:pPr>
                    <w:keepNext w:val="0"/>
                    <w:keepLines w:val="0"/>
                    <w:widowControl/>
                    <w:suppressLineNumbers w:val="0"/>
                    <w:autoSpaceDE w:val="0"/>
                    <w:autoSpaceDN w:val="0"/>
                    <w:adjustRightInd w:val="0"/>
                    <w:spacing w:before="0" w:beforeAutospacing="0" w:after="0" w:afterAutospacing="0"/>
                    <w:ind w:left="0" w:right="0"/>
                    <w:jc w:val="center"/>
                    <w:rPr>
                      <w:rFonts w:hint="default"/>
                      <w:color w:val="auto"/>
                      <w:kern w:val="0"/>
                      <w:szCs w:val="21"/>
                    </w:rPr>
                  </w:pPr>
                  <w:r>
                    <w:rPr>
                      <w:rFonts w:hint="eastAsia"/>
                      <w:color w:val="auto"/>
                      <w:kern w:val="0"/>
                      <w:szCs w:val="21"/>
                    </w:rPr>
                    <w:t>/</w:t>
                  </w:r>
                </w:p>
              </w:tc>
              <w:tc>
                <w:tcPr>
                  <w:tcW w:w="811" w:type="pct"/>
                  <w:tcBorders>
                    <w:tl2br w:val="nil"/>
                    <w:tr2bl w:val="nil"/>
                  </w:tcBorders>
                  <w:noWrap w:val="0"/>
                  <w:vAlign w:val="center"/>
                </w:tcPr>
                <w:p w14:paraId="7D1B8D41">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50</w:t>
                  </w:r>
                </w:p>
              </w:tc>
            </w:tr>
            <w:tr w14:paraId="65FC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27" w:type="pct"/>
                  <w:tcBorders>
                    <w:tl2br w:val="nil"/>
                    <w:tr2bl w:val="nil"/>
                  </w:tcBorders>
                  <w:noWrap w:val="0"/>
                  <w:vAlign w:val="center"/>
                </w:tcPr>
                <w:p w14:paraId="47955461">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厂界</w:t>
                  </w:r>
                  <w:r>
                    <w:rPr>
                      <w:rFonts w:hint="eastAsia"/>
                      <w:color w:val="auto"/>
                      <w:szCs w:val="21"/>
                    </w:rPr>
                    <w:t>西侧</w:t>
                  </w:r>
                </w:p>
              </w:tc>
              <w:tc>
                <w:tcPr>
                  <w:tcW w:w="794" w:type="pct"/>
                  <w:tcBorders>
                    <w:tl2br w:val="nil"/>
                    <w:tr2bl w:val="nil"/>
                  </w:tcBorders>
                  <w:noWrap w:val="0"/>
                  <w:vAlign w:val="center"/>
                </w:tcPr>
                <w:p w14:paraId="7374A855">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leftChars="0" w:right="0" w:rightChars="0"/>
                    <w:jc w:val="center"/>
                    <w:textAlignment w:val="baseline"/>
                    <w:rPr>
                      <w:rFonts w:hint="default" w:eastAsia="宋体"/>
                      <w:color w:val="auto"/>
                      <w:kern w:val="0"/>
                      <w:szCs w:val="21"/>
                      <w:lang w:val="en-US" w:eastAsia="zh-CN"/>
                    </w:rPr>
                  </w:pPr>
                  <w:r>
                    <w:rPr>
                      <w:rFonts w:hint="eastAsia"/>
                      <w:color w:val="auto"/>
                      <w:kern w:val="0"/>
                      <w:szCs w:val="21"/>
                      <w:lang w:val="en-US" w:eastAsia="zh-CN"/>
                    </w:rPr>
                    <w:t>38.42</w:t>
                  </w:r>
                </w:p>
              </w:tc>
              <w:tc>
                <w:tcPr>
                  <w:tcW w:w="807" w:type="pct"/>
                  <w:tcBorders>
                    <w:tl2br w:val="nil"/>
                    <w:tr2bl w:val="nil"/>
                  </w:tcBorders>
                  <w:noWrap w:val="0"/>
                  <w:vAlign w:val="center"/>
                </w:tcPr>
                <w:p w14:paraId="34EC1938">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60</w:t>
                  </w:r>
                </w:p>
              </w:tc>
              <w:tc>
                <w:tcPr>
                  <w:tcW w:w="837" w:type="pct"/>
                  <w:tcBorders>
                    <w:tl2br w:val="nil"/>
                    <w:tr2bl w:val="nil"/>
                  </w:tcBorders>
                  <w:noWrap w:val="0"/>
                  <w:vAlign w:val="center"/>
                </w:tcPr>
                <w:p w14:paraId="61DB9E72">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达标</w:t>
                  </w:r>
                </w:p>
              </w:tc>
              <w:tc>
                <w:tcPr>
                  <w:tcW w:w="822" w:type="pct"/>
                  <w:tcBorders>
                    <w:tl2br w:val="nil"/>
                    <w:tr2bl w:val="nil"/>
                  </w:tcBorders>
                  <w:noWrap w:val="0"/>
                  <w:vAlign w:val="center"/>
                </w:tcPr>
                <w:p w14:paraId="00818639">
                  <w:pPr>
                    <w:keepNext w:val="0"/>
                    <w:keepLines w:val="0"/>
                    <w:widowControl/>
                    <w:suppressLineNumbers w:val="0"/>
                    <w:autoSpaceDE w:val="0"/>
                    <w:autoSpaceDN w:val="0"/>
                    <w:adjustRightInd w:val="0"/>
                    <w:spacing w:before="0" w:beforeAutospacing="0" w:after="0" w:afterAutospacing="0"/>
                    <w:ind w:left="0" w:right="0"/>
                    <w:jc w:val="center"/>
                    <w:rPr>
                      <w:rFonts w:hint="default"/>
                      <w:color w:val="auto"/>
                      <w:kern w:val="0"/>
                      <w:szCs w:val="21"/>
                    </w:rPr>
                  </w:pPr>
                  <w:r>
                    <w:rPr>
                      <w:rFonts w:hint="eastAsia"/>
                      <w:color w:val="auto"/>
                      <w:kern w:val="0"/>
                      <w:szCs w:val="21"/>
                    </w:rPr>
                    <w:t>/</w:t>
                  </w:r>
                </w:p>
              </w:tc>
              <w:tc>
                <w:tcPr>
                  <w:tcW w:w="811" w:type="pct"/>
                  <w:tcBorders>
                    <w:tl2br w:val="nil"/>
                    <w:tr2bl w:val="nil"/>
                  </w:tcBorders>
                  <w:noWrap w:val="0"/>
                  <w:vAlign w:val="center"/>
                </w:tcPr>
                <w:p w14:paraId="14C87DD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50</w:t>
                  </w:r>
                </w:p>
              </w:tc>
            </w:tr>
            <w:tr w14:paraId="0242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27" w:type="pct"/>
                  <w:tcBorders>
                    <w:tl2br w:val="nil"/>
                    <w:tr2bl w:val="nil"/>
                  </w:tcBorders>
                  <w:noWrap w:val="0"/>
                  <w:vAlign w:val="center"/>
                </w:tcPr>
                <w:p w14:paraId="3BBCBD37">
                  <w:pPr>
                    <w:keepNext w:val="0"/>
                    <w:keepLines w:val="0"/>
                    <w:suppressLineNumbers w:val="0"/>
                    <w:tabs>
                      <w:tab w:val="left" w:pos="360"/>
                    </w:tabs>
                    <w:spacing w:before="0" w:beforeAutospacing="0" w:after="0" w:afterAutospacing="0"/>
                    <w:ind w:left="0" w:right="0"/>
                    <w:jc w:val="center"/>
                    <w:rPr>
                      <w:rFonts w:hint="default"/>
                      <w:color w:val="auto"/>
                      <w:szCs w:val="21"/>
                    </w:rPr>
                  </w:pPr>
                  <w:r>
                    <w:rPr>
                      <w:rFonts w:hint="eastAsia"/>
                      <w:color w:val="auto"/>
                      <w:szCs w:val="21"/>
                      <w:lang w:val="en-US" w:eastAsia="zh-CN"/>
                    </w:rPr>
                    <w:t>厂界</w:t>
                  </w:r>
                  <w:r>
                    <w:rPr>
                      <w:rFonts w:hint="eastAsia"/>
                      <w:color w:val="auto"/>
                      <w:szCs w:val="21"/>
                    </w:rPr>
                    <w:t>南侧</w:t>
                  </w:r>
                </w:p>
              </w:tc>
              <w:tc>
                <w:tcPr>
                  <w:tcW w:w="794" w:type="pct"/>
                  <w:tcBorders>
                    <w:tl2br w:val="nil"/>
                    <w:tr2bl w:val="nil"/>
                  </w:tcBorders>
                  <w:noWrap w:val="0"/>
                  <w:vAlign w:val="center"/>
                </w:tcPr>
                <w:p w14:paraId="230A35D4">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leftChars="0" w:right="0" w:rightChars="0"/>
                    <w:jc w:val="center"/>
                    <w:textAlignment w:val="baseline"/>
                    <w:rPr>
                      <w:rFonts w:hint="default" w:eastAsia="宋体"/>
                      <w:color w:val="auto"/>
                      <w:kern w:val="0"/>
                      <w:szCs w:val="21"/>
                      <w:lang w:val="en-US" w:eastAsia="zh-CN"/>
                    </w:rPr>
                  </w:pPr>
                  <w:r>
                    <w:rPr>
                      <w:rFonts w:hint="eastAsia"/>
                      <w:color w:val="auto"/>
                      <w:kern w:val="0"/>
                      <w:szCs w:val="21"/>
                      <w:lang w:val="en-US" w:eastAsia="zh-CN"/>
                    </w:rPr>
                    <w:t>35.85</w:t>
                  </w:r>
                </w:p>
              </w:tc>
              <w:tc>
                <w:tcPr>
                  <w:tcW w:w="807" w:type="pct"/>
                  <w:tcBorders>
                    <w:tl2br w:val="nil"/>
                    <w:tr2bl w:val="nil"/>
                  </w:tcBorders>
                  <w:noWrap w:val="0"/>
                  <w:vAlign w:val="center"/>
                </w:tcPr>
                <w:p w14:paraId="096AD7C7">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60</w:t>
                  </w:r>
                </w:p>
              </w:tc>
              <w:tc>
                <w:tcPr>
                  <w:tcW w:w="837" w:type="pct"/>
                  <w:tcBorders>
                    <w:tl2br w:val="nil"/>
                    <w:tr2bl w:val="nil"/>
                  </w:tcBorders>
                  <w:noWrap w:val="0"/>
                  <w:vAlign w:val="center"/>
                </w:tcPr>
                <w:p w14:paraId="75CE953D">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达标</w:t>
                  </w:r>
                </w:p>
              </w:tc>
              <w:tc>
                <w:tcPr>
                  <w:tcW w:w="822" w:type="pct"/>
                  <w:tcBorders>
                    <w:tl2br w:val="nil"/>
                    <w:tr2bl w:val="nil"/>
                  </w:tcBorders>
                  <w:noWrap w:val="0"/>
                  <w:vAlign w:val="center"/>
                </w:tcPr>
                <w:p w14:paraId="0DD88836">
                  <w:pPr>
                    <w:keepNext w:val="0"/>
                    <w:keepLines w:val="0"/>
                    <w:widowControl/>
                    <w:suppressLineNumbers w:val="0"/>
                    <w:autoSpaceDE w:val="0"/>
                    <w:autoSpaceDN w:val="0"/>
                    <w:adjustRightInd w:val="0"/>
                    <w:spacing w:before="0" w:beforeAutospacing="0" w:after="0" w:afterAutospacing="0"/>
                    <w:ind w:left="0" w:right="0"/>
                    <w:jc w:val="center"/>
                    <w:rPr>
                      <w:rFonts w:hint="default"/>
                      <w:color w:val="auto"/>
                      <w:kern w:val="0"/>
                      <w:szCs w:val="21"/>
                    </w:rPr>
                  </w:pPr>
                  <w:r>
                    <w:rPr>
                      <w:rFonts w:hint="eastAsia"/>
                      <w:color w:val="auto"/>
                      <w:kern w:val="0"/>
                      <w:szCs w:val="21"/>
                    </w:rPr>
                    <w:t>/</w:t>
                  </w:r>
                </w:p>
              </w:tc>
              <w:tc>
                <w:tcPr>
                  <w:tcW w:w="811" w:type="pct"/>
                  <w:tcBorders>
                    <w:tl2br w:val="nil"/>
                    <w:tr2bl w:val="nil"/>
                  </w:tcBorders>
                  <w:noWrap w:val="0"/>
                  <w:vAlign w:val="center"/>
                </w:tcPr>
                <w:p w14:paraId="310CF3F0">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50</w:t>
                  </w:r>
                </w:p>
              </w:tc>
            </w:tr>
            <w:tr w14:paraId="724B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27" w:type="pct"/>
                  <w:tcBorders>
                    <w:tl2br w:val="nil"/>
                    <w:tr2bl w:val="nil"/>
                  </w:tcBorders>
                  <w:noWrap w:val="0"/>
                  <w:vAlign w:val="center"/>
                </w:tcPr>
                <w:p w14:paraId="0377CDA4">
                  <w:pPr>
                    <w:keepNext w:val="0"/>
                    <w:keepLines w:val="0"/>
                    <w:suppressLineNumbers w:val="0"/>
                    <w:tabs>
                      <w:tab w:val="left" w:pos="360"/>
                    </w:tabs>
                    <w:spacing w:before="0" w:beforeAutospacing="0" w:after="0" w:afterAutospacing="0"/>
                    <w:ind w:left="0" w:right="0"/>
                    <w:jc w:val="center"/>
                    <w:rPr>
                      <w:rFonts w:hint="default"/>
                      <w:color w:val="auto"/>
                      <w:szCs w:val="21"/>
                    </w:rPr>
                  </w:pPr>
                  <w:r>
                    <w:rPr>
                      <w:rFonts w:hint="eastAsia"/>
                      <w:color w:val="auto"/>
                      <w:szCs w:val="21"/>
                      <w:lang w:val="en-US" w:eastAsia="zh-CN"/>
                    </w:rPr>
                    <w:t>厂界</w:t>
                  </w:r>
                  <w:r>
                    <w:rPr>
                      <w:rFonts w:hint="eastAsia"/>
                      <w:color w:val="auto"/>
                      <w:szCs w:val="21"/>
                    </w:rPr>
                    <w:t>东侧</w:t>
                  </w:r>
                </w:p>
              </w:tc>
              <w:tc>
                <w:tcPr>
                  <w:tcW w:w="794" w:type="pct"/>
                  <w:tcBorders>
                    <w:tl2br w:val="nil"/>
                    <w:tr2bl w:val="nil"/>
                  </w:tcBorders>
                  <w:noWrap w:val="0"/>
                  <w:vAlign w:val="center"/>
                </w:tcPr>
                <w:p w14:paraId="0017B111">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leftChars="0" w:right="0" w:rightChars="0"/>
                    <w:jc w:val="center"/>
                    <w:textAlignment w:val="baseline"/>
                    <w:rPr>
                      <w:rFonts w:hint="default" w:eastAsia="宋体"/>
                      <w:color w:val="auto"/>
                      <w:kern w:val="0"/>
                      <w:szCs w:val="21"/>
                      <w:lang w:val="en-US" w:eastAsia="zh-CN"/>
                    </w:rPr>
                  </w:pPr>
                  <w:r>
                    <w:rPr>
                      <w:rFonts w:hint="eastAsia"/>
                      <w:color w:val="auto"/>
                      <w:kern w:val="0"/>
                      <w:szCs w:val="21"/>
                      <w:lang w:val="en-US" w:eastAsia="zh-CN"/>
                    </w:rPr>
                    <w:t>32.78</w:t>
                  </w:r>
                </w:p>
              </w:tc>
              <w:tc>
                <w:tcPr>
                  <w:tcW w:w="807" w:type="pct"/>
                  <w:tcBorders>
                    <w:tl2br w:val="nil"/>
                    <w:tr2bl w:val="nil"/>
                  </w:tcBorders>
                  <w:noWrap w:val="0"/>
                  <w:vAlign w:val="center"/>
                </w:tcPr>
                <w:p w14:paraId="4E54FC8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60</w:t>
                  </w:r>
                </w:p>
              </w:tc>
              <w:tc>
                <w:tcPr>
                  <w:tcW w:w="837" w:type="pct"/>
                  <w:tcBorders>
                    <w:tl2br w:val="nil"/>
                    <w:tr2bl w:val="nil"/>
                  </w:tcBorders>
                  <w:noWrap w:val="0"/>
                  <w:vAlign w:val="center"/>
                </w:tcPr>
                <w:p w14:paraId="64B0BE9A">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达标</w:t>
                  </w:r>
                </w:p>
              </w:tc>
              <w:tc>
                <w:tcPr>
                  <w:tcW w:w="822" w:type="pct"/>
                  <w:tcBorders>
                    <w:tl2br w:val="nil"/>
                    <w:tr2bl w:val="nil"/>
                  </w:tcBorders>
                  <w:noWrap w:val="0"/>
                  <w:vAlign w:val="center"/>
                </w:tcPr>
                <w:p w14:paraId="40C62C75">
                  <w:pPr>
                    <w:keepNext w:val="0"/>
                    <w:keepLines w:val="0"/>
                    <w:widowControl/>
                    <w:suppressLineNumbers w:val="0"/>
                    <w:autoSpaceDE w:val="0"/>
                    <w:autoSpaceDN w:val="0"/>
                    <w:adjustRightInd w:val="0"/>
                    <w:spacing w:before="0" w:beforeAutospacing="0" w:after="0" w:afterAutospacing="0"/>
                    <w:ind w:left="0" w:right="0"/>
                    <w:jc w:val="center"/>
                    <w:rPr>
                      <w:rFonts w:hint="default"/>
                      <w:color w:val="auto"/>
                      <w:kern w:val="0"/>
                      <w:szCs w:val="21"/>
                    </w:rPr>
                  </w:pPr>
                  <w:r>
                    <w:rPr>
                      <w:rFonts w:hint="eastAsia"/>
                      <w:color w:val="auto"/>
                      <w:kern w:val="0"/>
                      <w:szCs w:val="21"/>
                    </w:rPr>
                    <w:t>/</w:t>
                  </w:r>
                </w:p>
              </w:tc>
              <w:tc>
                <w:tcPr>
                  <w:tcW w:w="811" w:type="pct"/>
                  <w:tcBorders>
                    <w:tl2br w:val="nil"/>
                    <w:tr2bl w:val="nil"/>
                  </w:tcBorders>
                  <w:noWrap w:val="0"/>
                  <w:vAlign w:val="center"/>
                </w:tcPr>
                <w:p w14:paraId="5359210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50</w:t>
                  </w:r>
                </w:p>
              </w:tc>
            </w:tr>
          </w:tbl>
          <w:p w14:paraId="45B99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4"/>
                <w:kern w:val="2"/>
                <w:sz w:val="24"/>
                <w:szCs w:val="24"/>
                <w:highlight w:val="none"/>
                <w:lang w:val="en-US" w:eastAsia="zh-CN" w:bidi="ar-SA"/>
              </w:rPr>
              <w:t>根据</w:t>
            </w:r>
            <w:r>
              <w:rPr>
                <w:rFonts w:hint="eastAsia" w:ascii="Times New Roman" w:hAnsi="Times New Roman" w:eastAsia="宋体" w:cs="Times New Roman"/>
                <w:color w:val="auto"/>
                <w:spacing w:val="4"/>
                <w:kern w:val="2"/>
                <w:sz w:val="24"/>
                <w:szCs w:val="24"/>
                <w:highlight w:val="none"/>
                <w:lang w:val="en-US" w:eastAsia="zh-CN" w:bidi="ar-SA"/>
              </w:rPr>
              <w:t>以上</w:t>
            </w:r>
            <w:r>
              <w:rPr>
                <w:rFonts w:hint="default" w:ascii="Times New Roman" w:hAnsi="Times New Roman" w:eastAsia="宋体" w:cs="Times New Roman"/>
                <w:color w:val="auto"/>
                <w:spacing w:val="4"/>
                <w:kern w:val="2"/>
                <w:sz w:val="24"/>
                <w:szCs w:val="24"/>
                <w:highlight w:val="none"/>
                <w:lang w:val="en-US" w:eastAsia="zh-CN" w:bidi="ar-SA"/>
              </w:rPr>
              <w:t>预测结果可以看出，厂</w:t>
            </w:r>
            <w:r>
              <w:rPr>
                <w:rFonts w:hint="eastAsia" w:ascii="Times New Roman" w:hAnsi="Times New Roman" w:eastAsia="宋体" w:cs="Times New Roman"/>
                <w:color w:val="auto"/>
                <w:spacing w:val="4"/>
                <w:kern w:val="2"/>
                <w:sz w:val="24"/>
                <w:szCs w:val="24"/>
                <w:highlight w:val="none"/>
                <w:lang w:val="en-US" w:eastAsia="zh-CN" w:bidi="ar-SA"/>
              </w:rPr>
              <w:t>区</w:t>
            </w:r>
            <w:r>
              <w:rPr>
                <w:rFonts w:hint="eastAsia" w:cs="Times New Roman"/>
                <w:color w:val="auto"/>
                <w:spacing w:val="4"/>
                <w:kern w:val="2"/>
                <w:sz w:val="24"/>
                <w:szCs w:val="24"/>
                <w:highlight w:val="none"/>
                <w:lang w:val="en-US" w:eastAsia="zh-CN" w:bidi="ar-SA"/>
              </w:rPr>
              <w:t>四周</w:t>
            </w:r>
            <w:r>
              <w:rPr>
                <w:rFonts w:hint="default" w:ascii="Times New Roman" w:hAnsi="Times New Roman" w:eastAsia="宋体" w:cs="Times New Roman"/>
                <w:color w:val="auto"/>
                <w:spacing w:val="4"/>
                <w:kern w:val="2"/>
                <w:sz w:val="24"/>
                <w:szCs w:val="24"/>
                <w:highlight w:val="none"/>
                <w:lang w:val="en-US" w:eastAsia="zh-CN" w:bidi="ar-SA"/>
              </w:rPr>
              <w:t>边界噪声</w:t>
            </w:r>
            <w:r>
              <w:rPr>
                <w:rFonts w:hint="eastAsia" w:cs="Times New Roman"/>
                <w:color w:val="auto"/>
                <w:spacing w:val="4"/>
                <w:kern w:val="2"/>
                <w:sz w:val="24"/>
                <w:szCs w:val="24"/>
                <w:highlight w:val="none"/>
                <w:lang w:val="en-US" w:eastAsia="zh-CN" w:bidi="ar-SA"/>
              </w:rPr>
              <w:t>贡献值</w:t>
            </w:r>
            <w:r>
              <w:rPr>
                <w:rFonts w:hint="default" w:ascii="Times New Roman" w:hAnsi="Times New Roman" w:eastAsia="宋体" w:cs="Times New Roman"/>
                <w:color w:val="auto"/>
                <w:spacing w:val="4"/>
                <w:kern w:val="2"/>
                <w:sz w:val="24"/>
                <w:szCs w:val="24"/>
                <w:highlight w:val="none"/>
                <w:lang w:val="en-US" w:eastAsia="zh-CN" w:bidi="ar-SA"/>
              </w:rPr>
              <w:t>可满足《工业企业厂界环境噪声排放标准》（GB12348-2008）</w:t>
            </w:r>
            <w:r>
              <w:rPr>
                <w:rFonts w:hint="eastAsia" w:cs="Times New Roman"/>
                <w:color w:val="auto"/>
                <w:spacing w:val="4"/>
                <w:kern w:val="2"/>
                <w:sz w:val="24"/>
                <w:szCs w:val="24"/>
                <w:highlight w:val="none"/>
                <w:lang w:val="en-US" w:eastAsia="zh-CN" w:bidi="ar-SA"/>
              </w:rPr>
              <w:t>2</w:t>
            </w:r>
            <w:r>
              <w:rPr>
                <w:rFonts w:hint="default" w:ascii="Times New Roman" w:hAnsi="Times New Roman" w:eastAsia="宋体" w:cs="Times New Roman"/>
                <w:color w:val="auto"/>
                <w:spacing w:val="4"/>
                <w:kern w:val="2"/>
                <w:sz w:val="24"/>
                <w:szCs w:val="24"/>
                <w:highlight w:val="none"/>
                <w:lang w:val="en-US" w:eastAsia="zh-CN" w:bidi="ar-SA"/>
              </w:rPr>
              <w:t>类标准要求</w:t>
            </w:r>
            <w:r>
              <w:rPr>
                <w:rFonts w:hint="eastAsia" w:cs="Times New Roman"/>
                <w:color w:val="auto"/>
                <w:spacing w:val="4"/>
                <w:kern w:val="2"/>
                <w:sz w:val="24"/>
                <w:szCs w:val="24"/>
                <w:highlight w:val="none"/>
                <w:lang w:val="en-US" w:eastAsia="zh-CN" w:bidi="ar-SA"/>
              </w:rPr>
              <w:t>。</w:t>
            </w:r>
          </w:p>
          <w:p w14:paraId="514D8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8" w:firstLineChars="200"/>
              <w:textAlignment w:val="auto"/>
              <w:rPr>
                <w:rFonts w:hint="default" w:ascii="Times New Roman" w:hAnsi="Times New Roman" w:eastAsia="宋体" w:cs="Times New Roman"/>
                <w:b/>
                <w:bCs/>
                <w:color w:val="auto"/>
                <w:spacing w:val="4"/>
                <w:kern w:val="2"/>
                <w:sz w:val="24"/>
                <w:szCs w:val="24"/>
                <w:highlight w:val="none"/>
                <w:lang w:val="en-US" w:eastAsia="zh-CN" w:bidi="ar-SA"/>
              </w:rPr>
            </w:pPr>
            <w:r>
              <w:rPr>
                <w:rFonts w:hint="eastAsia" w:ascii="Times New Roman" w:hAnsi="Times New Roman" w:eastAsia="宋体" w:cs="Times New Roman"/>
                <w:b/>
                <w:bCs/>
                <w:color w:val="auto"/>
                <w:spacing w:val="4"/>
                <w:kern w:val="2"/>
                <w:sz w:val="24"/>
                <w:szCs w:val="24"/>
                <w:highlight w:val="none"/>
                <w:lang w:val="en-US" w:eastAsia="zh-CN" w:bidi="ar-SA"/>
              </w:rPr>
              <w:t>3.</w:t>
            </w:r>
            <w:r>
              <w:rPr>
                <w:rFonts w:hint="default" w:ascii="Times New Roman" w:hAnsi="Times New Roman" w:eastAsia="宋体" w:cs="Times New Roman"/>
                <w:b/>
                <w:bCs/>
                <w:color w:val="auto"/>
                <w:spacing w:val="4"/>
                <w:kern w:val="2"/>
                <w:sz w:val="24"/>
                <w:szCs w:val="24"/>
                <w:highlight w:val="none"/>
                <w:lang w:val="en-US" w:eastAsia="zh-CN" w:bidi="ar-SA"/>
              </w:rPr>
              <w:t>噪声污染防治措施</w:t>
            </w:r>
          </w:p>
          <w:p w14:paraId="67C45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eastAsia"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为了确保项目厂界噪声稳定达标，本环评建议：</w:t>
            </w:r>
          </w:p>
          <w:p w14:paraId="577EF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eastAsia"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①在本项目的平面布置上，将各工序生产设备根据工艺流程进行布置，确保物料在生产线之间流通顺畅，减小重复提升及往返导致的动力噪声；</w:t>
            </w:r>
          </w:p>
          <w:p w14:paraId="0539E0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eastAsia"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②在设备选型时尽可能选择低噪声设备，从源头上控制噪声产生的级别；</w:t>
            </w:r>
          </w:p>
          <w:p w14:paraId="4357F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eastAsia"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③对各种产生气流噪声的设备，应在气体进出口部位安装适当的消声器，消声器的选择应注意噪声源的频率特性、设备的工艺要求和使用环境，对具有中、高频特性的风机，应采用阻性消声器，而对于具有低、中频特性的空压机噪声，则宜安装抗性消声器。设备应采用橡胶材料等软性连接，避免用钢性接头；</w:t>
            </w:r>
          </w:p>
          <w:p w14:paraId="3DB45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96" w:firstLineChars="200"/>
              <w:textAlignment w:val="auto"/>
              <w:rPr>
                <w:rFonts w:hint="eastAsia"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④加强设备的维护，确保设备处于良好的运转状态，杜绝因设备不正常运转时产生的高噪声现象等降噪措施。</w:t>
            </w:r>
          </w:p>
          <w:p w14:paraId="28219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cs="Times New Roman"/>
                <w:color w:val="auto"/>
                <w:spacing w:val="0"/>
                <w:sz w:val="24"/>
                <w:highlight w:val="none"/>
                <w:lang w:val="en-US" w:eastAsia="zh-CN"/>
              </w:rPr>
              <w:t>⑤</w:t>
            </w:r>
            <w:r>
              <w:rPr>
                <w:rFonts w:hint="eastAsia" w:ascii="Times New Roman" w:hAnsi="Times New Roman" w:eastAsia="宋体" w:cs="Times New Roman"/>
                <w:color w:val="auto"/>
                <w:spacing w:val="0"/>
                <w:sz w:val="24"/>
                <w:highlight w:val="none"/>
                <w:lang w:val="en-US" w:eastAsia="zh-CN"/>
              </w:rPr>
              <w:t>除采取以上防治措施外，工程还应充分重视操作人员的劳动保护，为其发放耳塞、耳罩，并设置操作人员值班室，避免操作人员长期处于高噪声环境中，从噪声受体保护方面减轻噪声对操作人员的直接影响；</w:t>
            </w:r>
          </w:p>
          <w:p w14:paraId="365D2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cs="Times New Roman"/>
                <w:color w:val="auto"/>
                <w:spacing w:val="0"/>
                <w:sz w:val="24"/>
                <w:highlight w:val="none"/>
                <w:lang w:val="en-US" w:eastAsia="zh-CN"/>
              </w:rPr>
              <w:t>⑥</w:t>
            </w:r>
            <w:r>
              <w:rPr>
                <w:rFonts w:hint="eastAsia" w:ascii="Times New Roman" w:hAnsi="Times New Roman" w:eastAsia="宋体" w:cs="Times New Roman"/>
                <w:color w:val="auto"/>
                <w:spacing w:val="0"/>
                <w:sz w:val="24"/>
                <w:highlight w:val="none"/>
                <w:lang w:val="en-US" w:eastAsia="zh-CN"/>
              </w:rPr>
              <w:t>重视厂界防护林绿化工作。利用防护林带起到阻滞噪声传播、吸收尘等污染物，减轻污染的作用；</w:t>
            </w:r>
          </w:p>
          <w:p w14:paraId="642E6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⑦对于运输车辆在经过村庄时应限制车速（20km/h），禁止鸣笛，加强管理，严禁在居民休息时间（昼间12时至14时、夜间22时至06时）进行物料运输，可大大减少对周边村民的影响。</w:t>
            </w:r>
          </w:p>
          <w:p w14:paraId="436AB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综上，经采取上述措施后场区四周厂界处均能符合《工业企业厂界环境噪声排放标准》（GB12348-2008）中2类声功能区标准限值。</w:t>
            </w:r>
          </w:p>
          <w:p w14:paraId="4259F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四、</w:t>
            </w:r>
            <w:r>
              <w:rPr>
                <w:rFonts w:hint="default" w:ascii="Times New Roman" w:hAnsi="Times New Roman" w:eastAsia="宋体" w:cs="Times New Roman"/>
                <w:b/>
                <w:color w:val="auto"/>
                <w:sz w:val="24"/>
                <w:szCs w:val="24"/>
                <w:highlight w:val="none"/>
              </w:rPr>
              <w:t>固体废物</w:t>
            </w:r>
          </w:p>
          <w:p w14:paraId="38103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1.固体废物产生及利用处置情况</w:t>
            </w:r>
          </w:p>
          <w:p w14:paraId="52BA9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本项目固体废物产生及利用处置情况见表4-</w:t>
            </w:r>
            <w:r>
              <w:rPr>
                <w:rFonts w:hint="eastAsia" w:cs="Times New Roman"/>
                <w:bCs/>
                <w:color w:val="auto"/>
                <w:sz w:val="24"/>
                <w:highlight w:val="none"/>
                <w:lang w:val="en-US" w:eastAsia="zh-CN"/>
              </w:rPr>
              <w:t>11</w:t>
            </w:r>
            <w:r>
              <w:rPr>
                <w:rFonts w:hint="default" w:ascii="Times New Roman" w:hAnsi="Times New Roman" w:eastAsia="宋体" w:cs="Times New Roman"/>
                <w:bCs/>
                <w:color w:val="auto"/>
                <w:sz w:val="24"/>
                <w:highlight w:val="none"/>
                <w:lang w:val="en-US" w:eastAsia="zh-CN"/>
              </w:rPr>
              <w:t>。</w:t>
            </w:r>
          </w:p>
          <w:p w14:paraId="36F14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1</w:t>
            </w:r>
            <w:r>
              <w:rPr>
                <w:rFonts w:hint="default" w:ascii="Times New Roman" w:hAnsi="Times New Roman" w:eastAsia="宋体" w:cs="Times New Roman"/>
                <w:b/>
                <w:bCs/>
                <w:color w:val="auto"/>
                <w:kern w:val="2"/>
                <w:sz w:val="21"/>
                <w:szCs w:val="21"/>
                <w:highlight w:val="none"/>
                <w:lang w:val="en-US" w:eastAsia="zh-CN" w:bidi="ar-SA"/>
              </w:rPr>
              <w:t xml:space="preserve">  固体废物产生情况及利用处置情况表</w:t>
            </w:r>
          </w:p>
          <w:tbl>
            <w:tblPr>
              <w:tblStyle w:val="2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3"/>
              <w:gridCol w:w="944"/>
              <w:gridCol w:w="1214"/>
              <w:gridCol w:w="887"/>
              <w:gridCol w:w="1142"/>
              <w:gridCol w:w="796"/>
              <w:gridCol w:w="2126"/>
            </w:tblGrid>
            <w:tr w14:paraId="5C98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45" w:type="pct"/>
                  <w:tcBorders>
                    <w:tl2br w:val="nil"/>
                    <w:tr2bl w:val="nil"/>
                  </w:tcBorders>
                  <w:vAlign w:val="center"/>
                </w:tcPr>
                <w:p w14:paraId="3D624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分类</w:t>
                  </w:r>
                </w:p>
              </w:tc>
              <w:tc>
                <w:tcPr>
                  <w:tcW w:w="578" w:type="pct"/>
                  <w:tcBorders>
                    <w:tl2br w:val="nil"/>
                    <w:tr2bl w:val="nil"/>
                  </w:tcBorders>
                  <w:vAlign w:val="center"/>
                </w:tcPr>
                <w:p w14:paraId="433DD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Cs w:val="21"/>
                      <w:highlight w:val="none"/>
                    </w:rPr>
                  </w:pPr>
                  <w:r>
                    <w:rPr>
                      <w:rFonts w:hint="default" w:ascii="Times New Roman" w:hAnsi="Times New Roman" w:eastAsia="宋体" w:cs="Times New Roman"/>
                      <w:b/>
                      <w:bCs/>
                      <w:color w:val="auto"/>
                      <w:spacing w:val="0"/>
                      <w:szCs w:val="21"/>
                      <w:highlight w:val="none"/>
                    </w:rPr>
                    <w:t>名称</w:t>
                  </w:r>
                </w:p>
              </w:tc>
              <w:tc>
                <w:tcPr>
                  <w:tcW w:w="743" w:type="pct"/>
                  <w:tcBorders>
                    <w:tl2br w:val="nil"/>
                    <w:tr2bl w:val="nil"/>
                  </w:tcBorders>
                  <w:vAlign w:val="center"/>
                </w:tcPr>
                <w:p w14:paraId="61E13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代码</w:t>
                  </w:r>
                </w:p>
              </w:tc>
              <w:tc>
                <w:tcPr>
                  <w:tcW w:w="543" w:type="pct"/>
                  <w:tcBorders>
                    <w:tl2br w:val="nil"/>
                    <w:tr2bl w:val="nil"/>
                  </w:tcBorders>
                  <w:vAlign w:val="center"/>
                </w:tcPr>
                <w:p w14:paraId="40789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Cs w:val="21"/>
                      <w:highlight w:val="none"/>
                      <w:lang w:eastAsia="zh-CN"/>
                    </w:rPr>
                  </w:pPr>
                  <w:r>
                    <w:rPr>
                      <w:rFonts w:hint="default" w:ascii="Times New Roman" w:hAnsi="Times New Roman" w:eastAsia="宋体" w:cs="Times New Roman"/>
                      <w:b/>
                      <w:bCs/>
                      <w:color w:val="auto"/>
                      <w:spacing w:val="0"/>
                      <w:szCs w:val="21"/>
                      <w:highlight w:val="none"/>
                    </w:rPr>
                    <w:t>产生量</w:t>
                  </w:r>
                  <w:r>
                    <w:rPr>
                      <w:rFonts w:hint="default" w:ascii="Times New Roman" w:hAnsi="Times New Roman" w:eastAsia="宋体" w:cs="Times New Roman"/>
                      <w:b/>
                      <w:bCs/>
                      <w:color w:val="auto"/>
                      <w:spacing w:val="0"/>
                      <w:szCs w:val="21"/>
                      <w:highlight w:val="none"/>
                      <w:lang w:eastAsia="zh-CN"/>
                    </w:rPr>
                    <w:t>（</w:t>
                  </w:r>
                  <w:r>
                    <w:rPr>
                      <w:rFonts w:hint="default" w:ascii="Times New Roman" w:hAnsi="Times New Roman" w:eastAsia="宋体" w:cs="Times New Roman"/>
                      <w:b/>
                      <w:bCs/>
                      <w:color w:val="auto"/>
                      <w:spacing w:val="0"/>
                      <w:szCs w:val="21"/>
                      <w:highlight w:val="none"/>
                    </w:rPr>
                    <w:t>t/a</w:t>
                  </w:r>
                  <w:r>
                    <w:rPr>
                      <w:rFonts w:hint="default" w:ascii="Times New Roman" w:hAnsi="Times New Roman" w:eastAsia="宋体" w:cs="Times New Roman"/>
                      <w:b/>
                      <w:bCs/>
                      <w:color w:val="auto"/>
                      <w:spacing w:val="0"/>
                      <w:szCs w:val="21"/>
                      <w:highlight w:val="none"/>
                      <w:lang w:eastAsia="zh-CN"/>
                    </w:rPr>
                    <w:t>）</w:t>
                  </w:r>
                </w:p>
              </w:tc>
              <w:tc>
                <w:tcPr>
                  <w:tcW w:w="699" w:type="pct"/>
                  <w:tcBorders>
                    <w:tl2br w:val="nil"/>
                    <w:tr2bl w:val="nil"/>
                  </w:tcBorders>
                  <w:vAlign w:val="center"/>
                </w:tcPr>
                <w:p w14:paraId="38ECE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综合利用量（</w:t>
                  </w:r>
                  <w:r>
                    <w:rPr>
                      <w:rFonts w:hint="default" w:ascii="Times New Roman" w:hAnsi="Times New Roman" w:eastAsia="宋体" w:cs="Times New Roman"/>
                      <w:b/>
                      <w:bCs/>
                      <w:color w:val="auto"/>
                      <w:spacing w:val="0"/>
                      <w:szCs w:val="21"/>
                      <w:highlight w:val="none"/>
                    </w:rPr>
                    <w:t>t/a</w:t>
                  </w:r>
                  <w:r>
                    <w:rPr>
                      <w:rFonts w:hint="default" w:ascii="Times New Roman" w:hAnsi="Times New Roman" w:eastAsia="宋体" w:cs="Times New Roman"/>
                      <w:b/>
                      <w:bCs/>
                      <w:color w:val="auto"/>
                      <w:spacing w:val="0"/>
                      <w:szCs w:val="21"/>
                      <w:highlight w:val="none"/>
                      <w:lang w:val="en-US" w:eastAsia="zh-CN"/>
                    </w:rPr>
                    <w:t>）</w:t>
                  </w:r>
                </w:p>
              </w:tc>
              <w:tc>
                <w:tcPr>
                  <w:tcW w:w="487" w:type="pct"/>
                  <w:tcBorders>
                    <w:tl2br w:val="nil"/>
                    <w:tr2bl w:val="nil"/>
                  </w:tcBorders>
                  <w:vAlign w:val="center"/>
                </w:tcPr>
                <w:p w14:paraId="71C93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处置量（</w:t>
                  </w:r>
                  <w:r>
                    <w:rPr>
                      <w:rFonts w:hint="default" w:ascii="Times New Roman" w:hAnsi="Times New Roman" w:eastAsia="宋体" w:cs="Times New Roman"/>
                      <w:b/>
                      <w:bCs/>
                      <w:color w:val="auto"/>
                      <w:spacing w:val="0"/>
                      <w:szCs w:val="21"/>
                      <w:highlight w:val="none"/>
                    </w:rPr>
                    <w:t>t/a</w:t>
                  </w:r>
                  <w:r>
                    <w:rPr>
                      <w:rFonts w:hint="default" w:ascii="Times New Roman" w:hAnsi="Times New Roman" w:eastAsia="宋体" w:cs="Times New Roman"/>
                      <w:b/>
                      <w:bCs/>
                      <w:color w:val="auto"/>
                      <w:spacing w:val="0"/>
                      <w:szCs w:val="21"/>
                      <w:highlight w:val="none"/>
                      <w:lang w:val="en-US" w:eastAsia="zh-CN"/>
                    </w:rPr>
                    <w:t>）</w:t>
                  </w:r>
                </w:p>
              </w:tc>
              <w:tc>
                <w:tcPr>
                  <w:tcW w:w="1301" w:type="pct"/>
                  <w:tcBorders>
                    <w:tl2br w:val="nil"/>
                    <w:tr2bl w:val="nil"/>
                  </w:tcBorders>
                  <w:vAlign w:val="center"/>
                </w:tcPr>
                <w:p w14:paraId="06FDB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综合利用或处置方式</w:t>
                  </w:r>
                </w:p>
              </w:tc>
            </w:tr>
            <w:tr w14:paraId="742C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45" w:type="pct"/>
                  <w:vMerge w:val="restart"/>
                  <w:tcBorders>
                    <w:tl2br w:val="nil"/>
                    <w:tr2bl w:val="nil"/>
                  </w:tcBorders>
                  <w:vAlign w:val="center"/>
                </w:tcPr>
                <w:p w14:paraId="69303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一般工业固体废物</w:t>
                  </w:r>
                </w:p>
              </w:tc>
              <w:tc>
                <w:tcPr>
                  <w:tcW w:w="578" w:type="pct"/>
                  <w:tcBorders>
                    <w:tl2br w:val="nil"/>
                    <w:tr2bl w:val="nil"/>
                  </w:tcBorders>
                  <w:vAlign w:val="center"/>
                </w:tcPr>
                <w:p w14:paraId="1C5E8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除尘灰</w:t>
                  </w:r>
                </w:p>
              </w:tc>
              <w:tc>
                <w:tcPr>
                  <w:tcW w:w="743" w:type="pct"/>
                  <w:tcBorders>
                    <w:tl2br w:val="nil"/>
                    <w:tr2bl w:val="nil"/>
                  </w:tcBorders>
                  <w:vAlign w:val="center"/>
                </w:tcPr>
                <w:p w14:paraId="69596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kern w:val="0"/>
                      <w:sz w:val="21"/>
                      <w:szCs w:val="21"/>
                      <w:lang w:val="en-US" w:eastAsia="zh-CN" w:bidi="ar"/>
                    </w:rPr>
                    <w:t>900-099-S59</w:t>
                  </w:r>
                </w:p>
              </w:tc>
              <w:tc>
                <w:tcPr>
                  <w:tcW w:w="543" w:type="pct"/>
                  <w:tcBorders>
                    <w:tl2br w:val="nil"/>
                    <w:tr2bl w:val="nil"/>
                  </w:tcBorders>
                  <w:vAlign w:val="center"/>
                </w:tcPr>
                <w:p w14:paraId="305F3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217.3</w:t>
                  </w:r>
                </w:p>
              </w:tc>
              <w:tc>
                <w:tcPr>
                  <w:tcW w:w="699" w:type="pct"/>
                  <w:tcBorders>
                    <w:tl2br w:val="nil"/>
                    <w:tr2bl w:val="nil"/>
                  </w:tcBorders>
                  <w:vAlign w:val="center"/>
                </w:tcPr>
                <w:p w14:paraId="412D9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217.3</w:t>
                  </w:r>
                </w:p>
              </w:tc>
              <w:tc>
                <w:tcPr>
                  <w:tcW w:w="487" w:type="pct"/>
                  <w:tcBorders>
                    <w:tl2br w:val="nil"/>
                    <w:tr2bl w:val="nil"/>
                  </w:tcBorders>
                  <w:vAlign w:val="center"/>
                </w:tcPr>
                <w:p w14:paraId="62EDC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0</w:t>
                  </w:r>
                </w:p>
              </w:tc>
              <w:tc>
                <w:tcPr>
                  <w:tcW w:w="1301" w:type="pct"/>
                  <w:tcBorders>
                    <w:tl2br w:val="nil"/>
                    <w:tr2bl w:val="nil"/>
                  </w:tcBorders>
                  <w:vAlign w:val="center"/>
                </w:tcPr>
                <w:p w14:paraId="7C667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除尘器下方设置收灰桶，收灰桶装满后作为产品外售</w:t>
                  </w:r>
                </w:p>
              </w:tc>
            </w:tr>
            <w:tr w14:paraId="517E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45" w:type="pct"/>
                  <w:vMerge w:val="continue"/>
                  <w:tcBorders>
                    <w:tl2br w:val="nil"/>
                    <w:tr2bl w:val="nil"/>
                  </w:tcBorders>
                  <w:vAlign w:val="center"/>
                </w:tcPr>
                <w:p w14:paraId="49FDF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p>
              </w:tc>
              <w:tc>
                <w:tcPr>
                  <w:tcW w:w="578" w:type="pct"/>
                  <w:tcBorders>
                    <w:tl2br w:val="nil"/>
                    <w:tr2bl w:val="nil"/>
                  </w:tcBorders>
                  <w:vAlign w:val="center"/>
                </w:tcPr>
                <w:p w14:paraId="13E57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废布袋</w:t>
                  </w:r>
                </w:p>
              </w:tc>
              <w:tc>
                <w:tcPr>
                  <w:tcW w:w="743" w:type="pct"/>
                  <w:tcBorders>
                    <w:tl2br w:val="nil"/>
                    <w:tr2bl w:val="nil"/>
                  </w:tcBorders>
                  <w:vAlign w:val="center"/>
                </w:tcPr>
                <w:p w14:paraId="56D0A5B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kern w:val="0"/>
                      <w:sz w:val="21"/>
                      <w:szCs w:val="21"/>
                      <w:lang w:val="en-US" w:eastAsia="zh-CN" w:bidi="ar"/>
                    </w:rPr>
                    <w:t>900-009-S59</w:t>
                  </w:r>
                </w:p>
              </w:tc>
              <w:tc>
                <w:tcPr>
                  <w:tcW w:w="543" w:type="pct"/>
                  <w:tcBorders>
                    <w:tl2br w:val="nil"/>
                    <w:tr2bl w:val="nil"/>
                  </w:tcBorders>
                  <w:vAlign w:val="center"/>
                </w:tcPr>
                <w:p w14:paraId="60952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0.1</w:t>
                  </w:r>
                </w:p>
              </w:tc>
              <w:tc>
                <w:tcPr>
                  <w:tcW w:w="699" w:type="pct"/>
                  <w:tcBorders>
                    <w:tl2br w:val="nil"/>
                    <w:tr2bl w:val="nil"/>
                  </w:tcBorders>
                  <w:vAlign w:val="center"/>
                </w:tcPr>
                <w:p w14:paraId="4225C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0.1</w:t>
                  </w:r>
                </w:p>
              </w:tc>
              <w:tc>
                <w:tcPr>
                  <w:tcW w:w="487" w:type="pct"/>
                  <w:tcBorders>
                    <w:tl2br w:val="nil"/>
                    <w:tr2bl w:val="nil"/>
                  </w:tcBorders>
                  <w:vAlign w:val="center"/>
                </w:tcPr>
                <w:p w14:paraId="37F6B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0</w:t>
                  </w:r>
                </w:p>
              </w:tc>
              <w:tc>
                <w:tcPr>
                  <w:tcW w:w="1301" w:type="pct"/>
                  <w:tcBorders>
                    <w:tl2br w:val="nil"/>
                    <w:tr2bl w:val="nil"/>
                  </w:tcBorders>
                  <w:vAlign w:val="center"/>
                </w:tcPr>
                <w:p w14:paraId="503AA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cs="Times New Roman"/>
                      <w:color w:val="auto"/>
                      <w:spacing w:val="0"/>
                      <w:szCs w:val="21"/>
                      <w:highlight w:val="none"/>
                      <w:lang w:val="en-US" w:eastAsia="zh-CN"/>
                    </w:rPr>
                  </w:pPr>
                  <w:r>
                    <w:rPr>
                      <w:rFonts w:hint="eastAsia" w:cs="Times New Roman"/>
                      <w:color w:val="auto"/>
                      <w:spacing w:val="0"/>
                      <w:szCs w:val="21"/>
                      <w:highlight w:val="none"/>
                      <w:lang w:val="en-US" w:eastAsia="zh-CN"/>
                    </w:rPr>
                    <w:t>更换周期为2-3年，除尘器厂家更换后带走，不在厂区内暂存</w:t>
                  </w:r>
                </w:p>
              </w:tc>
            </w:tr>
            <w:tr w14:paraId="48AA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45" w:type="pct"/>
                  <w:vMerge w:val="continue"/>
                  <w:tcBorders>
                    <w:tl2br w:val="nil"/>
                    <w:tr2bl w:val="nil"/>
                  </w:tcBorders>
                  <w:vAlign w:val="center"/>
                </w:tcPr>
                <w:p w14:paraId="4B087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p>
              </w:tc>
              <w:tc>
                <w:tcPr>
                  <w:tcW w:w="578" w:type="pct"/>
                  <w:tcBorders>
                    <w:tl2br w:val="nil"/>
                    <w:tr2bl w:val="nil"/>
                  </w:tcBorders>
                  <w:vAlign w:val="center"/>
                </w:tcPr>
                <w:p w14:paraId="34AA5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pacing w:val="0"/>
                      <w:szCs w:val="21"/>
                      <w:highlight w:val="none"/>
                      <w:lang w:val="en-US" w:eastAsia="zh-CN"/>
                    </w:rPr>
                  </w:pPr>
                  <w:r>
                    <w:rPr>
                      <w:rFonts w:hint="eastAsia" w:cs="Times New Roman"/>
                      <w:color w:val="auto"/>
                      <w:spacing w:val="0"/>
                      <w:szCs w:val="21"/>
                      <w:highlight w:val="none"/>
                      <w:lang w:val="en-US" w:eastAsia="zh-CN"/>
                    </w:rPr>
                    <w:t>废铁屑</w:t>
                  </w:r>
                </w:p>
              </w:tc>
              <w:tc>
                <w:tcPr>
                  <w:tcW w:w="743" w:type="pct"/>
                  <w:tcBorders>
                    <w:tl2br w:val="nil"/>
                    <w:tr2bl w:val="nil"/>
                  </w:tcBorders>
                  <w:vAlign w:val="center"/>
                </w:tcPr>
                <w:p w14:paraId="5AF220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900-009-S59</w:t>
                  </w:r>
                </w:p>
              </w:tc>
              <w:tc>
                <w:tcPr>
                  <w:tcW w:w="543" w:type="pct"/>
                  <w:tcBorders>
                    <w:tl2br w:val="nil"/>
                    <w:tr2bl w:val="nil"/>
                  </w:tcBorders>
                  <w:vAlign w:val="center"/>
                </w:tcPr>
                <w:p w14:paraId="3B5C7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300</w:t>
                  </w:r>
                </w:p>
              </w:tc>
              <w:tc>
                <w:tcPr>
                  <w:tcW w:w="699" w:type="pct"/>
                  <w:tcBorders>
                    <w:tl2br w:val="nil"/>
                    <w:tr2bl w:val="nil"/>
                  </w:tcBorders>
                  <w:vAlign w:val="center"/>
                </w:tcPr>
                <w:p w14:paraId="166A2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300</w:t>
                  </w:r>
                </w:p>
              </w:tc>
              <w:tc>
                <w:tcPr>
                  <w:tcW w:w="487" w:type="pct"/>
                  <w:tcBorders>
                    <w:tl2br w:val="nil"/>
                    <w:tr2bl w:val="nil"/>
                  </w:tcBorders>
                  <w:vAlign w:val="center"/>
                </w:tcPr>
                <w:p w14:paraId="6333C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0</w:t>
                  </w:r>
                </w:p>
              </w:tc>
              <w:tc>
                <w:tcPr>
                  <w:tcW w:w="1301" w:type="pct"/>
                  <w:tcBorders>
                    <w:tl2br w:val="nil"/>
                    <w:tr2bl w:val="nil"/>
                  </w:tcBorders>
                  <w:vAlign w:val="center"/>
                </w:tcPr>
                <w:p w14:paraId="7A9B1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cs="Times New Roman"/>
                      <w:color w:val="auto"/>
                      <w:spacing w:val="0"/>
                      <w:szCs w:val="21"/>
                      <w:highlight w:val="none"/>
                      <w:lang w:val="en-US" w:eastAsia="zh-CN"/>
                    </w:rPr>
                  </w:pPr>
                  <w:r>
                    <w:rPr>
                      <w:rFonts w:hint="eastAsia" w:cs="Times New Roman"/>
                      <w:color w:val="auto"/>
                      <w:spacing w:val="0"/>
                      <w:szCs w:val="21"/>
                      <w:highlight w:val="none"/>
                      <w:lang w:val="en-US" w:eastAsia="zh-CN"/>
                    </w:rPr>
                    <w:t>收集后外售废品收购站</w:t>
                  </w:r>
                </w:p>
              </w:tc>
            </w:tr>
            <w:tr w14:paraId="3B67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45" w:type="pct"/>
                  <w:tcBorders>
                    <w:tl2br w:val="nil"/>
                    <w:tr2bl w:val="nil"/>
                  </w:tcBorders>
                  <w:vAlign w:val="center"/>
                </w:tcPr>
                <w:p w14:paraId="4160F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职工生活</w:t>
                  </w:r>
                </w:p>
              </w:tc>
              <w:tc>
                <w:tcPr>
                  <w:tcW w:w="578" w:type="pct"/>
                  <w:tcBorders>
                    <w:tl2br w:val="nil"/>
                    <w:tr2bl w:val="nil"/>
                  </w:tcBorders>
                  <w:vAlign w:val="center"/>
                </w:tcPr>
                <w:p w14:paraId="21B65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生活垃圾</w:t>
                  </w:r>
                </w:p>
              </w:tc>
              <w:tc>
                <w:tcPr>
                  <w:tcW w:w="743" w:type="pct"/>
                  <w:tcBorders>
                    <w:tl2br w:val="nil"/>
                    <w:tr2bl w:val="nil"/>
                  </w:tcBorders>
                  <w:vAlign w:val="center"/>
                </w:tcPr>
                <w:p w14:paraId="5B906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w:t>
                  </w:r>
                </w:p>
              </w:tc>
              <w:tc>
                <w:tcPr>
                  <w:tcW w:w="543" w:type="pct"/>
                  <w:tcBorders>
                    <w:tl2br w:val="nil"/>
                    <w:tr2bl w:val="nil"/>
                  </w:tcBorders>
                  <w:vAlign w:val="center"/>
                </w:tcPr>
                <w:p w14:paraId="65DAF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w:t>
                  </w:r>
                  <w:r>
                    <w:rPr>
                      <w:rFonts w:hint="eastAsia" w:cs="Times New Roman"/>
                      <w:color w:val="auto"/>
                      <w:spacing w:val="0"/>
                      <w:kern w:val="2"/>
                      <w:sz w:val="21"/>
                      <w:szCs w:val="21"/>
                      <w:highlight w:val="none"/>
                      <w:lang w:val="en-US" w:eastAsia="zh-CN" w:bidi="ar-SA"/>
                    </w:rPr>
                    <w:t>6</w:t>
                  </w:r>
                  <w:r>
                    <w:rPr>
                      <w:rFonts w:hint="default" w:ascii="Times New Roman" w:hAnsi="Times New Roman" w:eastAsia="宋体" w:cs="Times New Roman"/>
                      <w:color w:val="auto"/>
                      <w:spacing w:val="0"/>
                      <w:kern w:val="2"/>
                      <w:sz w:val="21"/>
                      <w:szCs w:val="21"/>
                      <w:highlight w:val="none"/>
                      <w:lang w:val="en-US" w:eastAsia="zh-CN" w:bidi="ar-SA"/>
                    </w:rPr>
                    <w:t>5</w:t>
                  </w:r>
                </w:p>
              </w:tc>
              <w:tc>
                <w:tcPr>
                  <w:tcW w:w="699" w:type="pct"/>
                  <w:tcBorders>
                    <w:tl2br w:val="nil"/>
                    <w:tr2bl w:val="nil"/>
                  </w:tcBorders>
                  <w:vAlign w:val="center"/>
                </w:tcPr>
                <w:p w14:paraId="7F556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w:t>
                  </w:r>
                </w:p>
              </w:tc>
              <w:tc>
                <w:tcPr>
                  <w:tcW w:w="487" w:type="pct"/>
                  <w:tcBorders>
                    <w:tl2br w:val="nil"/>
                    <w:tr2bl w:val="nil"/>
                  </w:tcBorders>
                  <w:vAlign w:val="center"/>
                </w:tcPr>
                <w:p w14:paraId="3E2DE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w:t>
                  </w:r>
                  <w:r>
                    <w:rPr>
                      <w:rFonts w:hint="eastAsia" w:cs="Times New Roman"/>
                      <w:color w:val="auto"/>
                      <w:spacing w:val="0"/>
                      <w:kern w:val="2"/>
                      <w:sz w:val="21"/>
                      <w:szCs w:val="21"/>
                      <w:highlight w:val="none"/>
                      <w:lang w:val="en-US" w:eastAsia="zh-CN" w:bidi="ar-SA"/>
                    </w:rPr>
                    <w:t>6</w:t>
                  </w:r>
                  <w:r>
                    <w:rPr>
                      <w:rFonts w:hint="default" w:ascii="Times New Roman" w:hAnsi="Times New Roman" w:eastAsia="宋体" w:cs="Times New Roman"/>
                      <w:color w:val="auto"/>
                      <w:spacing w:val="0"/>
                      <w:kern w:val="2"/>
                      <w:sz w:val="21"/>
                      <w:szCs w:val="21"/>
                      <w:highlight w:val="none"/>
                      <w:lang w:val="en-US" w:eastAsia="zh-CN" w:bidi="ar-SA"/>
                    </w:rPr>
                    <w:t>5</w:t>
                  </w:r>
                </w:p>
              </w:tc>
              <w:tc>
                <w:tcPr>
                  <w:tcW w:w="1301" w:type="pct"/>
                  <w:tcBorders>
                    <w:tl2br w:val="nil"/>
                    <w:tr2bl w:val="nil"/>
                  </w:tcBorders>
                  <w:vAlign w:val="center"/>
                </w:tcPr>
                <w:p w14:paraId="7ECB7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厂内设置垃圾桶，定期送至当地环卫部门指定地点</w:t>
                  </w:r>
                </w:p>
              </w:tc>
            </w:tr>
            <w:tr w14:paraId="1674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645" w:type="pct"/>
                  <w:vMerge w:val="restart"/>
                  <w:tcBorders>
                    <w:tl2br w:val="nil"/>
                    <w:tr2bl w:val="nil"/>
                  </w:tcBorders>
                  <w:vAlign w:val="center"/>
                </w:tcPr>
                <w:p w14:paraId="04DF7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危险废物</w:t>
                  </w:r>
                </w:p>
              </w:tc>
              <w:tc>
                <w:tcPr>
                  <w:tcW w:w="578" w:type="pct"/>
                  <w:tcBorders>
                    <w:tl2br w:val="nil"/>
                    <w:tr2bl w:val="nil"/>
                  </w:tcBorders>
                  <w:vAlign w:val="center"/>
                </w:tcPr>
                <w:p w14:paraId="62B5F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废矿物油</w:t>
                  </w:r>
                </w:p>
              </w:tc>
              <w:tc>
                <w:tcPr>
                  <w:tcW w:w="743" w:type="pct"/>
                  <w:tcBorders>
                    <w:tl2br w:val="nil"/>
                    <w:tr2bl w:val="nil"/>
                  </w:tcBorders>
                  <w:vAlign w:val="center"/>
                </w:tcPr>
                <w:p w14:paraId="6F765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900-249-08</w:t>
                  </w:r>
                </w:p>
              </w:tc>
              <w:tc>
                <w:tcPr>
                  <w:tcW w:w="543" w:type="pct"/>
                  <w:tcBorders>
                    <w:tl2br w:val="nil"/>
                    <w:tr2bl w:val="nil"/>
                  </w:tcBorders>
                  <w:vAlign w:val="center"/>
                </w:tcPr>
                <w:p w14:paraId="4F1C9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1</w:t>
                  </w:r>
                </w:p>
              </w:tc>
              <w:tc>
                <w:tcPr>
                  <w:tcW w:w="699" w:type="pct"/>
                  <w:tcBorders>
                    <w:tl2br w:val="nil"/>
                    <w:tr2bl w:val="nil"/>
                  </w:tcBorders>
                  <w:vAlign w:val="center"/>
                </w:tcPr>
                <w:p w14:paraId="29B63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487" w:type="pct"/>
                  <w:tcBorders>
                    <w:tl2br w:val="nil"/>
                    <w:tr2bl w:val="nil"/>
                  </w:tcBorders>
                  <w:vAlign w:val="center"/>
                </w:tcPr>
                <w:p w14:paraId="20584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1</w:t>
                  </w:r>
                </w:p>
              </w:tc>
              <w:tc>
                <w:tcPr>
                  <w:tcW w:w="1301" w:type="pct"/>
                  <w:vMerge w:val="restart"/>
                  <w:tcBorders>
                    <w:tl2br w:val="nil"/>
                    <w:tr2bl w:val="nil"/>
                  </w:tcBorders>
                  <w:vAlign w:val="center"/>
                </w:tcPr>
                <w:p w14:paraId="42BA7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分区</w:t>
                  </w:r>
                  <w:r>
                    <w:rPr>
                      <w:rFonts w:hint="default" w:ascii="Times New Roman" w:hAnsi="Times New Roman" w:eastAsia="宋体" w:cs="Times New Roman"/>
                      <w:color w:val="auto"/>
                      <w:spacing w:val="0"/>
                      <w:kern w:val="2"/>
                      <w:sz w:val="21"/>
                      <w:szCs w:val="21"/>
                      <w:highlight w:val="none"/>
                      <w:lang w:val="en-US" w:eastAsia="zh-CN" w:bidi="ar-SA"/>
                    </w:rPr>
                    <w:t>暂存于</w:t>
                  </w:r>
                  <w:r>
                    <w:rPr>
                      <w:rFonts w:hint="eastAsia" w:cs="Times New Roman"/>
                      <w:color w:val="auto"/>
                      <w:spacing w:val="0"/>
                      <w:kern w:val="2"/>
                      <w:sz w:val="21"/>
                      <w:szCs w:val="21"/>
                      <w:highlight w:val="none"/>
                      <w:lang w:val="en-US" w:eastAsia="zh-CN" w:bidi="ar-SA"/>
                    </w:rPr>
                    <w:t>危废贮存点</w:t>
                  </w:r>
                  <w:r>
                    <w:rPr>
                      <w:rFonts w:hint="default" w:ascii="Times New Roman" w:hAnsi="Times New Roman" w:eastAsia="宋体" w:cs="Times New Roman"/>
                      <w:color w:val="auto"/>
                      <w:spacing w:val="0"/>
                      <w:kern w:val="2"/>
                      <w:sz w:val="21"/>
                      <w:szCs w:val="21"/>
                      <w:highlight w:val="none"/>
                      <w:lang w:val="en-US" w:eastAsia="zh-CN" w:bidi="ar-SA"/>
                    </w:rPr>
                    <w:t>，定期</w:t>
                  </w:r>
                  <w:r>
                    <w:rPr>
                      <w:rFonts w:hint="eastAsia" w:ascii="Times New Roman" w:hAnsi="Times New Roman" w:eastAsia="宋体" w:cs="Times New Roman"/>
                      <w:color w:val="auto"/>
                      <w:spacing w:val="0"/>
                      <w:kern w:val="2"/>
                      <w:sz w:val="21"/>
                      <w:szCs w:val="21"/>
                      <w:highlight w:val="none"/>
                      <w:lang w:val="en-US" w:eastAsia="zh-CN" w:bidi="ar-SA"/>
                    </w:rPr>
                    <w:t>交</w:t>
                  </w:r>
                  <w:r>
                    <w:rPr>
                      <w:rFonts w:hint="default" w:ascii="Times New Roman" w:hAnsi="Times New Roman" w:eastAsia="宋体" w:cs="Times New Roman"/>
                      <w:color w:val="auto"/>
                      <w:spacing w:val="0"/>
                      <w:kern w:val="2"/>
                      <w:sz w:val="21"/>
                      <w:szCs w:val="21"/>
                      <w:highlight w:val="none"/>
                      <w:lang w:val="en-US" w:eastAsia="zh-CN" w:bidi="ar-SA"/>
                    </w:rPr>
                    <w:t>由有资质单位处置</w:t>
                  </w:r>
                </w:p>
              </w:tc>
            </w:tr>
            <w:tr w14:paraId="5808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45" w:type="pct"/>
                  <w:vMerge w:val="continue"/>
                  <w:tcBorders>
                    <w:tl2br w:val="nil"/>
                    <w:tr2bl w:val="nil"/>
                  </w:tcBorders>
                  <w:vAlign w:val="center"/>
                </w:tcPr>
                <w:p w14:paraId="34717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0"/>
                      <w:szCs w:val="21"/>
                      <w:highlight w:val="none"/>
                      <w:lang w:val="en-US" w:eastAsia="zh-CN"/>
                    </w:rPr>
                  </w:pPr>
                </w:p>
              </w:tc>
              <w:tc>
                <w:tcPr>
                  <w:tcW w:w="578" w:type="pct"/>
                  <w:tcBorders>
                    <w:tl2br w:val="nil"/>
                    <w:tr2bl w:val="nil"/>
                  </w:tcBorders>
                  <w:vAlign w:val="center"/>
                </w:tcPr>
                <w:p w14:paraId="745FD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废油桶</w:t>
                  </w:r>
                </w:p>
              </w:tc>
              <w:tc>
                <w:tcPr>
                  <w:tcW w:w="743" w:type="pct"/>
                  <w:tcBorders>
                    <w:tl2br w:val="nil"/>
                    <w:tr2bl w:val="nil"/>
                  </w:tcBorders>
                  <w:vAlign w:val="center"/>
                </w:tcPr>
                <w:p w14:paraId="3D7AB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900-249-08</w:t>
                  </w:r>
                </w:p>
              </w:tc>
              <w:tc>
                <w:tcPr>
                  <w:tcW w:w="543" w:type="pct"/>
                  <w:tcBorders>
                    <w:tl2br w:val="nil"/>
                    <w:tr2bl w:val="nil"/>
                  </w:tcBorders>
                  <w:vAlign w:val="center"/>
                </w:tcPr>
                <w:p w14:paraId="0138E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05</w:t>
                  </w:r>
                </w:p>
              </w:tc>
              <w:tc>
                <w:tcPr>
                  <w:tcW w:w="699" w:type="pct"/>
                  <w:tcBorders>
                    <w:tl2br w:val="nil"/>
                    <w:tr2bl w:val="nil"/>
                  </w:tcBorders>
                  <w:vAlign w:val="center"/>
                </w:tcPr>
                <w:p w14:paraId="29929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487" w:type="pct"/>
                  <w:tcBorders>
                    <w:tl2br w:val="nil"/>
                    <w:tr2bl w:val="nil"/>
                  </w:tcBorders>
                  <w:vAlign w:val="center"/>
                </w:tcPr>
                <w:p w14:paraId="0CBBF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05</w:t>
                  </w:r>
                </w:p>
              </w:tc>
              <w:tc>
                <w:tcPr>
                  <w:tcW w:w="1301" w:type="pct"/>
                  <w:vMerge w:val="continue"/>
                  <w:tcBorders>
                    <w:tl2br w:val="nil"/>
                    <w:tr2bl w:val="nil"/>
                  </w:tcBorders>
                  <w:vAlign w:val="center"/>
                </w:tcPr>
                <w:p w14:paraId="2C045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p>
              </w:tc>
            </w:tr>
          </w:tbl>
          <w:p w14:paraId="37D03C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S1</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除尘器</w:t>
            </w:r>
            <w:r>
              <w:rPr>
                <w:rFonts w:hint="default" w:ascii="Times New Roman" w:hAnsi="Times New Roman" w:eastAsia="宋体" w:cs="Times New Roman"/>
                <w:bCs/>
                <w:color w:val="auto"/>
                <w:sz w:val="24"/>
                <w:highlight w:val="none"/>
                <w:lang w:val="en-US" w:eastAsia="zh-CN"/>
              </w:rPr>
              <w:t>除尘灰</w:t>
            </w:r>
          </w:p>
          <w:p w14:paraId="6A70FF4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lang w:val="en-US"/>
              </w:rPr>
            </w:pPr>
            <w:r>
              <w:rPr>
                <w:rFonts w:hint="eastAsia" w:ascii="Times New Roman" w:hAnsi="Times New Roman" w:eastAsia="宋体" w:cs="Times New Roman"/>
                <w:color w:val="auto"/>
                <w:sz w:val="24"/>
                <w:highlight w:val="none"/>
                <w:lang w:val="en-US" w:eastAsia="zh-CN"/>
              </w:rPr>
              <w:t>各工序除尘器收集的除尘灰产生量约</w:t>
            </w:r>
            <w:r>
              <w:rPr>
                <w:rFonts w:hint="eastAsia" w:cs="Times New Roman"/>
                <w:color w:val="auto"/>
                <w:sz w:val="24"/>
                <w:highlight w:val="none"/>
                <w:lang w:val="en-US" w:eastAsia="zh-CN"/>
              </w:rPr>
              <w:t>217.3</w:t>
            </w:r>
            <w:r>
              <w:rPr>
                <w:rFonts w:hint="eastAsia" w:ascii="Times New Roman" w:hAnsi="Times New Roman" w:eastAsia="宋体" w:cs="Times New Roman"/>
                <w:color w:val="auto"/>
                <w:sz w:val="24"/>
                <w:highlight w:val="none"/>
                <w:lang w:val="en-US" w:eastAsia="zh-CN"/>
              </w:rPr>
              <w:t>t/a，除尘器下方设置收灰桶，</w:t>
            </w:r>
            <w:r>
              <w:rPr>
                <w:rFonts w:hint="eastAsia" w:cs="Times New Roman"/>
                <w:color w:val="auto"/>
                <w:sz w:val="24"/>
                <w:highlight w:val="none"/>
                <w:lang w:val="en-US" w:eastAsia="zh-CN"/>
              </w:rPr>
              <w:t>收灰桶装满后收集后作为产品外售</w:t>
            </w:r>
            <w:r>
              <w:rPr>
                <w:rFonts w:hint="eastAsia" w:ascii="Times New Roman" w:hAnsi="Times New Roman" w:eastAsia="宋体" w:cs="Times New Roman"/>
                <w:color w:val="auto"/>
                <w:sz w:val="24"/>
                <w:highlight w:val="none"/>
                <w:lang w:val="en-US" w:eastAsia="zh-CN"/>
              </w:rPr>
              <w:t>。</w:t>
            </w:r>
          </w:p>
          <w:p w14:paraId="753B627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S</w:t>
            </w:r>
            <w:r>
              <w:rPr>
                <w:rFonts w:hint="eastAsia" w:ascii="Times New Roman" w:hAnsi="Times New Roman" w:eastAsia="宋体" w:cs="Times New Roman"/>
                <w:bCs/>
                <w:color w:val="auto"/>
                <w:sz w:val="24"/>
                <w:highlight w:val="none"/>
                <w:lang w:val="en-US" w:eastAsia="zh-CN"/>
              </w:rPr>
              <w:t>2</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办公、</w:t>
            </w:r>
            <w:r>
              <w:rPr>
                <w:rFonts w:hint="default" w:ascii="Times New Roman" w:hAnsi="Times New Roman" w:eastAsia="宋体" w:cs="Times New Roman"/>
                <w:bCs/>
                <w:color w:val="auto"/>
                <w:sz w:val="24"/>
                <w:highlight w:val="none"/>
              </w:rPr>
              <w:t>生活垃圾</w:t>
            </w:r>
          </w:p>
          <w:p w14:paraId="5DEF7BE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rPr>
              <w:t>本项目职工日常办公、生活会产生生活垃圾，根据我国生活污染源产排污系数，生活垃圾产生量人均按0.5kg/d</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人计，本项目职工共有</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人，预计生活垃圾总产生量为</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5t/a</w:t>
            </w:r>
            <w:r>
              <w:rPr>
                <w:rFonts w:hint="default" w:ascii="Times New Roman" w:hAnsi="Times New Roman" w:cs="Times New Roman"/>
                <w:color w:val="auto"/>
                <w:sz w:val="24"/>
                <w:szCs w:val="24"/>
              </w:rPr>
              <w:t>。厂内设封闭式分类垃圾收集箱若干，将生活垃圾集中分类收集后运送至环卫部门指定的地点进行统一处置，严禁生活垃圾在厂区内长期堆存，随意丢弃</w:t>
            </w:r>
            <w:r>
              <w:rPr>
                <w:rFonts w:hint="eastAsia" w:ascii="Times New Roman" w:hAnsi="Times New Roman" w:cs="Times New Roman"/>
                <w:color w:val="auto"/>
                <w:sz w:val="24"/>
                <w:szCs w:val="24"/>
                <w:lang w:eastAsia="zh-CN"/>
              </w:rPr>
              <w:t>。</w:t>
            </w:r>
          </w:p>
          <w:p w14:paraId="6FEF97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eastAsia"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S</w:t>
            </w:r>
            <w:r>
              <w:rPr>
                <w:rFonts w:hint="eastAsia" w:cs="Times New Roman"/>
                <w:bCs/>
                <w:color w:val="auto"/>
                <w:sz w:val="24"/>
                <w:highlight w:val="none"/>
                <w:lang w:val="en-US" w:eastAsia="zh-CN"/>
              </w:rPr>
              <w:t>3：废铁屑</w:t>
            </w:r>
          </w:p>
          <w:p w14:paraId="773D11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color w:val="auto"/>
                <w:lang w:val="en-US" w:eastAsia="zh-CN"/>
              </w:rPr>
            </w:pPr>
            <w:r>
              <w:rPr>
                <w:rFonts w:hint="eastAsia" w:ascii="宋体" w:hAnsi="宋体" w:eastAsia="宋体" w:cs="宋体"/>
                <w:color w:val="auto"/>
                <w:sz w:val="24"/>
                <w:szCs w:val="24"/>
                <w:lang w:val="en-US" w:eastAsia="zh-CN"/>
              </w:rPr>
              <w:t>根据建</w:t>
            </w:r>
            <w:r>
              <w:rPr>
                <w:rFonts w:hint="default" w:ascii="Times New Roman" w:hAnsi="Times New Roman" w:eastAsia="宋体" w:cs="Times New Roman"/>
                <w:color w:val="auto"/>
                <w:sz w:val="24"/>
                <w:szCs w:val="24"/>
                <w:lang w:val="en-US" w:eastAsia="zh-CN"/>
              </w:rPr>
              <w:t>设单位提供的资料，本项目</w:t>
            </w:r>
            <w:r>
              <w:rPr>
                <w:rFonts w:hint="default" w:ascii="Times New Roman" w:hAnsi="Times New Roman" w:eastAsia="宋体" w:cs="Times New Roman"/>
                <w:color w:val="auto"/>
                <w:sz w:val="24"/>
                <w:szCs w:val="24"/>
              </w:rPr>
              <w:t>废铁</w:t>
            </w:r>
            <w:r>
              <w:rPr>
                <w:rFonts w:hint="default" w:ascii="Times New Roman" w:hAnsi="Times New Roman" w:cs="Times New Roman"/>
                <w:bCs/>
                <w:color w:val="auto"/>
                <w:sz w:val="24"/>
                <w:highlight w:val="none"/>
                <w:lang w:val="en-US" w:eastAsia="zh-CN"/>
              </w:rPr>
              <w:t>屑</w:t>
            </w:r>
            <w:r>
              <w:rPr>
                <w:rFonts w:hint="default" w:ascii="Times New Roman" w:hAnsi="Times New Roman" w:eastAsia="宋体" w:cs="Times New Roman"/>
                <w:color w:val="auto"/>
                <w:sz w:val="24"/>
                <w:szCs w:val="24"/>
              </w:rPr>
              <w:t>产生量约为建筑垃圾的1‰，产生量约为</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收集后外售废品收购站</w:t>
            </w:r>
            <w:r>
              <w:rPr>
                <w:rFonts w:hint="default" w:ascii="Times New Roman" w:hAnsi="Times New Roman" w:eastAsia="宋体" w:cs="Times New Roman"/>
                <w:color w:val="auto"/>
                <w:sz w:val="24"/>
                <w:szCs w:val="24"/>
                <w:lang w:val="en-US" w:eastAsia="zh-CN"/>
              </w:rPr>
              <w:t>。</w:t>
            </w:r>
          </w:p>
          <w:p w14:paraId="44CE02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cs="Times New Roman"/>
                <w:bCs/>
                <w:color w:val="auto"/>
                <w:sz w:val="24"/>
                <w:highlight w:val="none"/>
                <w:lang w:val="en-US" w:eastAsia="zh-CN"/>
              </w:rPr>
            </w:pPr>
            <w:r>
              <w:rPr>
                <w:rFonts w:hint="default" w:ascii="Times New Roman" w:hAnsi="Times New Roman" w:eastAsia="宋体" w:cs="Times New Roman"/>
                <w:bCs/>
                <w:color w:val="auto"/>
                <w:sz w:val="24"/>
                <w:highlight w:val="none"/>
              </w:rPr>
              <w:t>S</w:t>
            </w:r>
            <w:r>
              <w:rPr>
                <w:rFonts w:hint="eastAsia" w:ascii="Times New Roman" w:hAnsi="Times New Roman" w:eastAsia="宋体" w:cs="Times New Roman"/>
                <w:bCs/>
                <w:color w:val="auto"/>
                <w:sz w:val="24"/>
                <w:highlight w:val="none"/>
                <w:lang w:val="en-US" w:eastAsia="zh-CN"/>
              </w:rPr>
              <w:t>4</w:t>
            </w:r>
            <w:r>
              <w:rPr>
                <w:rFonts w:hint="eastAsia" w:cs="Times New Roman"/>
                <w:bCs/>
                <w:color w:val="auto"/>
                <w:sz w:val="24"/>
                <w:highlight w:val="none"/>
                <w:lang w:val="en-US" w:eastAsia="zh-CN"/>
              </w:rPr>
              <w:t>：废布袋</w:t>
            </w:r>
          </w:p>
          <w:p w14:paraId="65548C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cs="Times New Roman"/>
                <w:bCs/>
                <w:color w:val="auto"/>
                <w:sz w:val="24"/>
                <w:highlight w:val="none"/>
                <w:lang w:val="en-US" w:eastAsia="zh-CN"/>
              </w:rPr>
            </w:pPr>
            <w:r>
              <w:rPr>
                <w:rFonts w:hint="eastAsia" w:ascii="宋体" w:hAnsi="宋体" w:eastAsia="宋体" w:cs="宋体"/>
                <w:color w:val="auto"/>
                <w:sz w:val="24"/>
                <w:szCs w:val="24"/>
                <w:lang w:val="en-US" w:eastAsia="zh-CN"/>
              </w:rPr>
              <w:t>根据建</w:t>
            </w:r>
            <w:r>
              <w:rPr>
                <w:rFonts w:hint="default" w:ascii="Times New Roman" w:hAnsi="Times New Roman" w:eastAsia="宋体" w:cs="Times New Roman"/>
                <w:color w:val="auto"/>
                <w:sz w:val="24"/>
                <w:szCs w:val="24"/>
                <w:lang w:val="en-US" w:eastAsia="zh-CN"/>
              </w:rPr>
              <w:t>设单位提供的资料，</w:t>
            </w:r>
            <w:r>
              <w:rPr>
                <w:rFonts w:hint="eastAsia" w:ascii="Times New Roman" w:hAnsi="Times New Roman" w:eastAsia="宋体" w:cs="Times New Roman"/>
                <w:color w:val="auto"/>
                <w:sz w:val="24"/>
                <w:szCs w:val="24"/>
                <w:lang w:val="en-US" w:eastAsia="zh-CN"/>
              </w:rPr>
              <w:t>废布袋产生量约为0.1t/a，布袋除尘器中布袋更换周期为2-3年，由设备厂家更换后带走综合利用，不在厂区内暂存。</w:t>
            </w:r>
          </w:p>
          <w:p w14:paraId="4EE13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S5：</w:t>
            </w:r>
            <w:r>
              <w:rPr>
                <w:rFonts w:hint="default" w:ascii="Times New Roman" w:hAnsi="Times New Roman" w:eastAsia="宋体" w:cs="Times New Roman"/>
                <w:bCs/>
                <w:color w:val="auto"/>
                <w:sz w:val="24"/>
                <w:highlight w:val="none"/>
                <w:lang w:val="en-US" w:eastAsia="zh-CN"/>
              </w:rPr>
              <w:t>废矿物油</w:t>
            </w:r>
            <w:r>
              <w:rPr>
                <w:rFonts w:hint="eastAsia" w:ascii="Times New Roman" w:hAnsi="Times New Roman" w:eastAsia="宋体" w:cs="Times New Roman"/>
                <w:bCs/>
                <w:color w:val="auto"/>
                <w:sz w:val="24"/>
                <w:highlight w:val="none"/>
                <w:lang w:val="en-US" w:eastAsia="zh-CN"/>
              </w:rPr>
              <w:t>、废油桶</w:t>
            </w:r>
          </w:p>
          <w:p w14:paraId="7ACA4E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本项目生产过程各设备</w:t>
            </w:r>
            <w:r>
              <w:rPr>
                <w:rFonts w:hint="eastAsia" w:ascii="Times New Roman" w:hAnsi="Times New Roman" w:eastAsia="宋体" w:cs="Times New Roman"/>
                <w:bCs/>
                <w:color w:val="auto"/>
                <w:sz w:val="24"/>
                <w:highlight w:val="none"/>
                <w:lang w:val="en-US" w:eastAsia="zh-CN"/>
              </w:rPr>
              <w:t>需日常维修保养，在此过程中</w:t>
            </w:r>
            <w:r>
              <w:rPr>
                <w:rFonts w:hint="default" w:ascii="Times New Roman" w:hAnsi="Times New Roman" w:eastAsia="宋体" w:cs="Times New Roman"/>
                <w:bCs/>
                <w:color w:val="auto"/>
                <w:sz w:val="24"/>
                <w:highlight w:val="none"/>
                <w:lang w:val="en-US" w:eastAsia="zh-CN"/>
              </w:rPr>
              <w:t>会产生少量废矿物油</w:t>
            </w:r>
            <w:r>
              <w:rPr>
                <w:rFonts w:hint="eastAsia" w:ascii="Times New Roman" w:hAnsi="Times New Roman" w:eastAsia="宋体" w:cs="Times New Roman"/>
                <w:bCs/>
                <w:color w:val="auto"/>
                <w:sz w:val="24"/>
                <w:highlight w:val="none"/>
                <w:lang w:val="en-US" w:eastAsia="zh-CN"/>
              </w:rPr>
              <w:t>及废油桶</w:t>
            </w:r>
            <w:r>
              <w:rPr>
                <w:rFonts w:hint="default" w:ascii="Times New Roman" w:hAnsi="Times New Roman" w:eastAsia="宋体" w:cs="Times New Roman"/>
                <w:bCs/>
                <w:color w:val="auto"/>
                <w:sz w:val="24"/>
                <w:highlight w:val="none"/>
                <w:lang w:val="en-US" w:eastAsia="zh-CN"/>
              </w:rPr>
              <w:t>，按照《国家危险废物名录》（202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年版），废矿物油</w:t>
            </w:r>
            <w:r>
              <w:rPr>
                <w:rFonts w:hint="eastAsia" w:ascii="Times New Roman" w:hAnsi="Times New Roman" w:eastAsia="宋体" w:cs="Times New Roman"/>
                <w:bCs/>
                <w:color w:val="auto"/>
                <w:sz w:val="24"/>
                <w:highlight w:val="none"/>
                <w:lang w:val="en-US" w:eastAsia="zh-CN"/>
              </w:rPr>
              <w:t>、废油桶</w:t>
            </w:r>
            <w:r>
              <w:rPr>
                <w:rFonts w:hint="default" w:ascii="Times New Roman" w:hAnsi="Times New Roman" w:eastAsia="宋体" w:cs="Times New Roman"/>
                <w:bCs/>
                <w:color w:val="auto"/>
                <w:sz w:val="24"/>
                <w:highlight w:val="none"/>
                <w:lang w:val="en-US" w:eastAsia="zh-CN"/>
              </w:rPr>
              <w:t>属于危险废物，废矿物油产生量约为</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t/a，废油桶产生量约0.</w:t>
            </w:r>
            <w:r>
              <w:rPr>
                <w:rFonts w:hint="eastAsia" w:cs="Times New Roman"/>
                <w:bCs/>
                <w:color w:val="auto"/>
                <w:sz w:val="24"/>
                <w:highlight w:val="none"/>
                <w:lang w:val="en-US" w:eastAsia="zh-CN"/>
              </w:rPr>
              <w:t>05</w:t>
            </w:r>
            <w:r>
              <w:rPr>
                <w:rFonts w:hint="eastAsia"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，分区贮存于危废贮存点内，定期交由有资质单位清运处置。</w:t>
            </w:r>
          </w:p>
          <w:p w14:paraId="74F6A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b/>
                <w:bCs w:val="0"/>
                <w:color w:val="auto"/>
                <w:sz w:val="24"/>
                <w:lang w:val="en-US" w:eastAsia="zh-CN"/>
              </w:rPr>
            </w:pPr>
            <w:r>
              <w:rPr>
                <w:rFonts w:hint="eastAsia" w:hAnsi="宋体"/>
                <w:b/>
                <w:bCs w:val="0"/>
                <w:color w:val="auto"/>
                <w:sz w:val="24"/>
                <w:lang w:val="en-US" w:eastAsia="zh-CN"/>
              </w:rPr>
              <w:t>2.一般固体废物</w:t>
            </w:r>
            <w:r>
              <w:rPr>
                <w:rFonts w:hint="eastAsia" w:hAnsi="宋体"/>
                <w:b/>
                <w:bCs w:val="0"/>
                <w:color w:val="auto"/>
                <w:sz w:val="24"/>
              </w:rPr>
              <w:t>污染防治措施及管理要求</w:t>
            </w:r>
          </w:p>
          <w:p w14:paraId="37AFE3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lang w:val="en-US" w:eastAsia="zh-CN"/>
              </w:rPr>
            </w:pPr>
            <w:r>
              <w:rPr>
                <w:rFonts w:hint="eastAsia"/>
                <w:bCs/>
                <w:color w:val="auto"/>
                <w:sz w:val="24"/>
                <w:lang w:val="en-US" w:eastAsia="zh-CN"/>
              </w:rPr>
              <w:t>本项目一般固体废物台账应按照《一般工业固体废物管理台账制定指南（试行）》中以下要求记录：</w:t>
            </w:r>
          </w:p>
          <w:p w14:paraId="58B8F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bCs/>
                <w:color w:val="auto"/>
                <w:sz w:val="24"/>
              </w:rPr>
              <w:t>一般工业固体废物产生清单：应记录一般工业固体废物代码、名称、产生环节、物理性状、主要成分、污染特性、年产量、去向等。</w:t>
            </w:r>
          </w:p>
          <w:p w14:paraId="5E9B7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rPr>
              <w:t>一般工业固体废物流向汇总表：应记录一般工业固体废物代码、名称、产生量、自行利用数量等。</w:t>
            </w:r>
          </w:p>
          <w:p w14:paraId="667BD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bCs/>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rFonts w:hint="eastAsia"/>
                <w:bCs/>
                <w:color w:val="auto"/>
                <w:sz w:val="24"/>
              </w:rPr>
              <w:t>一般工业固体废物出厂环节记录表：应记录一般工业固体废物代码、名称、出厂时间、出厂数量、出厂环节经办人、运输单位、接收单位、废物流向类型等信息。</w:t>
            </w:r>
          </w:p>
          <w:p w14:paraId="4224D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bCs/>
                <w:color w:val="auto"/>
                <w:sz w:val="24"/>
              </w:rPr>
            </w:pPr>
            <w:r>
              <w:rPr>
                <w:rFonts w:hint="eastAsia"/>
                <w:bCs/>
                <w:color w:val="auto"/>
                <w:sz w:val="24"/>
                <w:lang w:eastAsia="zh-CN"/>
              </w:rPr>
              <w:t>（</w:t>
            </w:r>
            <w:r>
              <w:rPr>
                <w:rFonts w:hint="eastAsia"/>
                <w:bCs/>
                <w:color w:val="auto"/>
                <w:sz w:val="24"/>
                <w:lang w:val="en-US" w:eastAsia="zh-CN"/>
              </w:rPr>
              <w:t>4</w:t>
            </w:r>
            <w:r>
              <w:rPr>
                <w:rFonts w:hint="eastAsia"/>
                <w:bCs/>
                <w:color w:val="auto"/>
                <w:sz w:val="24"/>
                <w:lang w:eastAsia="zh-CN"/>
              </w:rPr>
              <w:t>）</w:t>
            </w:r>
            <w:r>
              <w:rPr>
                <w:rFonts w:hint="eastAsia"/>
                <w:bCs/>
                <w:color w:val="auto"/>
                <w:sz w:val="24"/>
              </w:rPr>
              <w:t>一般工业固体废物产生环节记录表：应记录一般工业固体废物代码、名称、产生时间、产生数量（单位）、转移时间、转移去向、废物产生部门经办人等。</w:t>
            </w:r>
          </w:p>
          <w:p w14:paraId="47C56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
                <w:bCs w:val="0"/>
                <w:color w:val="auto"/>
                <w:sz w:val="24"/>
                <w:highlight w:val="none"/>
                <w:lang w:val="en-US" w:eastAsia="zh-CN"/>
              </w:rPr>
            </w:pPr>
            <w:r>
              <w:rPr>
                <w:rFonts w:hint="eastAsia"/>
                <w:bCs/>
                <w:color w:val="auto"/>
                <w:sz w:val="24"/>
                <w:lang w:eastAsia="zh-CN"/>
              </w:rPr>
              <w:t>（</w:t>
            </w:r>
            <w:r>
              <w:rPr>
                <w:rFonts w:hint="eastAsia"/>
                <w:bCs/>
                <w:color w:val="auto"/>
                <w:sz w:val="24"/>
                <w:lang w:val="en-US" w:eastAsia="zh-CN"/>
              </w:rPr>
              <w:t>5</w:t>
            </w:r>
            <w:r>
              <w:rPr>
                <w:rFonts w:hint="eastAsia"/>
                <w:bCs/>
                <w:color w:val="auto"/>
                <w:sz w:val="24"/>
                <w:lang w:eastAsia="zh-CN"/>
              </w:rPr>
              <w:t>）</w:t>
            </w:r>
            <w:r>
              <w:rPr>
                <w:rFonts w:hint="eastAsia"/>
                <w:bCs/>
                <w:color w:val="auto"/>
                <w:sz w:val="24"/>
              </w:rPr>
              <w:t>一般工业固体废物贮存环节记录表：应记录入库情况（入库时间、入库编号等）、出库情况（出库时间、出库数量、废物去向等）。</w:t>
            </w:r>
          </w:p>
          <w:p w14:paraId="07A05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3.</w:t>
            </w:r>
            <w:r>
              <w:rPr>
                <w:rFonts w:hint="eastAsia" w:ascii="Times New Roman" w:hAnsi="Times New Roman" w:eastAsia="宋体" w:cs="Times New Roman"/>
                <w:b/>
                <w:bCs w:val="0"/>
                <w:color w:val="auto"/>
                <w:sz w:val="24"/>
                <w:highlight w:val="none"/>
                <w:lang w:val="en-US" w:eastAsia="zh-CN"/>
              </w:rPr>
              <w:t>危险废物环境管理要求</w:t>
            </w:r>
          </w:p>
          <w:p w14:paraId="47A15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default"/>
                <w:bCs/>
                <w:color w:val="auto"/>
                <w:sz w:val="24"/>
              </w:rPr>
              <w:t>本项目</w:t>
            </w:r>
            <w:r>
              <w:rPr>
                <w:rFonts w:hint="eastAsia"/>
                <w:bCs/>
                <w:color w:val="auto"/>
                <w:sz w:val="24"/>
                <w:lang w:val="en-US" w:eastAsia="zh-CN"/>
              </w:rPr>
              <w:t>生产车间内</w:t>
            </w:r>
            <w:r>
              <w:rPr>
                <w:rFonts w:hint="default"/>
                <w:bCs/>
                <w:color w:val="auto"/>
                <w:sz w:val="24"/>
              </w:rPr>
              <w:t>设置</w:t>
            </w:r>
            <w:r>
              <w:rPr>
                <w:rFonts w:hint="eastAsia"/>
                <w:bCs/>
                <w:color w:val="auto"/>
                <w:sz w:val="24"/>
              </w:rPr>
              <w:t>1座</w:t>
            </w:r>
            <w:r>
              <w:rPr>
                <w:rFonts w:hint="eastAsia"/>
                <w:bCs/>
                <w:color w:val="auto"/>
                <w:sz w:val="24"/>
                <w:lang w:eastAsia="zh-CN"/>
              </w:rPr>
              <w:t>危废贮存点</w:t>
            </w:r>
            <w:r>
              <w:rPr>
                <w:rFonts w:hint="eastAsia"/>
                <w:bCs/>
                <w:color w:val="auto"/>
                <w:sz w:val="24"/>
              </w:rPr>
              <w:t>，占地面积</w:t>
            </w:r>
            <w:r>
              <w:rPr>
                <w:rFonts w:hint="eastAsia"/>
                <w:bCs/>
                <w:color w:val="auto"/>
                <w:sz w:val="24"/>
                <w:lang w:val="en-US" w:eastAsia="zh-CN"/>
              </w:rPr>
              <w:t>10</w:t>
            </w:r>
            <w:r>
              <w:rPr>
                <w:rFonts w:hint="eastAsia"/>
                <w:bCs/>
                <w:color w:val="auto"/>
                <w:sz w:val="24"/>
              </w:rPr>
              <w:t>m</w:t>
            </w:r>
            <w:r>
              <w:rPr>
                <w:rFonts w:hint="default"/>
                <w:bCs/>
                <w:color w:val="auto"/>
                <w:sz w:val="24"/>
                <w:vertAlign w:val="superscript"/>
              </w:rPr>
              <w:t>2</w:t>
            </w:r>
            <w:r>
              <w:rPr>
                <w:rFonts w:hint="default"/>
                <w:bCs/>
                <w:color w:val="auto"/>
                <w:sz w:val="24"/>
              </w:rPr>
              <w:t>，</w:t>
            </w:r>
            <w:r>
              <w:rPr>
                <w:rFonts w:hint="eastAsia"/>
                <w:bCs/>
                <w:color w:val="auto"/>
                <w:sz w:val="24"/>
                <w:lang w:eastAsia="zh-CN"/>
              </w:rPr>
              <w:t>危废贮存点</w:t>
            </w:r>
            <w:r>
              <w:rPr>
                <w:rFonts w:hint="eastAsia"/>
                <w:bCs/>
                <w:color w:val="auto"/>
                <w:sz w:val="24"/>
              </w:rPr>
              <w:t>建设要求及危险废物环境管理要求如下：</w:t>
            </w:r>
          </w:p>
          <w:p w14:paraId="23F1F2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（1）危险废物储存要求</w:t>
            </w:r>
          </w:p>
          <w:p w14:paraId="2FACF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1）不同种类的危险化学品要分区储存，并在储存区贴上符合危险废物种类的相应标签。</w:t>
            </w:r>
          </w:p>
          <w:p w14:paraId="76244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2）贮存场必须做好防渗处理，同时还要略高出地面并加盖防雨措施，防止水流入造成对地表水和大气环境的污染。</w:t>
            </w:r>
          </w:p>
          <w:p w14:paraId="22B1D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3）贮存场设置明显的贮存危险废物种类标识和警示标识，并在贮存场周围显著处标记“严禁烟火”的禁示牌。</w:t>
            </w:r>
          </w:p>
          <w:p w14:paraId="78338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4）厂内要有专人管理危险废物，危险废物出入贮存场前，应登记造册，做好记录，注明危险废物的名称、来源、数量、特性、入库日期、出库日期、接受单位等。</w:t>
            </w:r>
          </w:p>
          <w:p w14:paraId="48BF5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5）定期对所贮存的危险废物包装容器及贮存设施进行检查，发现破损及时清理更换。</w:t>
            </w:r>
          </w:p>
          <w:p w14:paraId="00695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6）危险废物应按照国家有关规定向当地环境保护行政主管部门申报登记，接受当地环境保护行政主管部门监督管理。危险废物应按照国家有关规定向当地环境保护行政主管部门申报登记，接受当地环境保护行政主管部门监督管理。</w:t>
            </w:r>
          </w:p>
          <w:p w14:paraId="4BD72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（2）</w:t>
            </w:r>
            <w:r>
              <w:rPr>
                <w:rFonts w:hint="eastAsia"/>
                <w:bCs/>
                <w:color w:val="auto"/>
                <w:sz w:val="24"/>
                <w:lang w:eastAsia="zh-CN"/>
              </w:rPr>
              <w:t>危废贮存点</w:t>
            </w:r>
            <w:r>
              <w:rPr>
                <w:rFonts w:hint="eastAsia"/>
                <w:bCs/>
                <w:color w:val="auto"/>
                <w:sz w:val="24"/>
              </w:rPr>
              <w:t>建设要求</w:t>
            </w:r>
          </w:p>
          <w:p w14:paraId="1E5AC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lang w:val="en-US" w:eastAsia="zh-CN"/>
              </w:rPr>
              <w:t>环评要求建设单位</w:t>
            </w:r>
            <w:r>
              <w:rPr>
                <w:rFonts w:hint="eastAsia" w:cs="Times New Roman"/>
                <w:bCs/>
                <w:color w:val="auto"/>
                <w:sz w:val="24"/>
                <w:highlight w:val="none"/>
                <w:vertAlign w:val="baseline"/>
                <w:lang w:val="en-US" w:eastAsia="zh-CN"/>
              </w:rPr>
              <w:t>根据《危险废物贮存污染控制标准》（GB 18597-2023）中相关要求，</w:t>
            </w:r>
            <w:r>
              <w:rPr>
                <w:rFonts w:hint="eastAsia" w:cs="Times New Roman"/>
                <w:bCs/>
                <w:color w:val="auto"/>
                <w:sz w:val="24"/>
                <w:highlight w:val="none"/>
                <w:lang w:val="en-US" w:eastAsia="zh-CN"/>
              </w:rPr>
              <w:t>在生产车间内东南侧设置1座危废贮存点，占地面积为10m</w:t>
            </w:r>
            <w:r>
              <w:rPr>
                <w:rFonts w:hint="eastAsia" w:cs="Times New Roman"/>
                <w:bCs/>
                <w:color w:val="auto"/>
                <w:sz w:val="24"/>
                <w:highlight w:val="none"/>
                <w:vertAlign w:val="superscript"/>
                <w:lang w:val="en-US" w:eastAsia="zh-CN"/>
              </w:rPr>
              <w:t>2</w:t>
            </w:r>
            <w:r>
              <w:rPr>
                <w:rFonts w:hint="eastAsia" w:cs="Times New Roman"/>
                <w:bCs/>
                <w:color w:val="auto"/>
                <w:sz w:val="24"/>
                <w:highlight w:val="none"/>
                <w:vertAlign w:val="baseline"/>
                <w:lang w:val="en-US" w:eastAsia="zh-CN"/>
              </w:rPr>
              <w:t>。具体要求如下：</w:t>
            </w:r>
          </w:p>
          <w:p w14:paraId="21E3F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1）贮存设施应根据危险废物的形态、物理化学性质、包装形式和污染物迁移途径，采取必要的防风、防晒、防雨、防渗、防腐以及其他环境污染防治措施，不应露天堆放危险废物。</w:t>
            </w:r>
          </w:p>
          <w:p w14:paraId="013AA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2）贮存设施应根据危险废物的类别、数量、形态、物理化学性质和污染防治等要求设置必要的贮存分区，避免不相容的危险废物接触、混合。</w:t>
            </w:r>
          </w:p>
          <w:p w14:paraId="1DA14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3）贮存设施或贮存分区内地面、墙面裙脚、堵截泄漏的围堰、接触危险废物的隔板和墙体等应采用坚固的材料建造，表面无裂隙。</w:t>
            </w:r>
          </w:p>
          <w:p w14:paraId="08CCE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bCs/>
                <w:color w:val="auto"/>
                <w:sz w:val="24"/>
                <w:highlight w:val="none"/>
                <w:vertAlign w:val="superscript"/>
                <w:lang w:val="en-US" w:eastAsia="zh-CN"/>
              </w:rPr>
              <w:t>-7</w:t>
            </w:r>
            <w:r>
              <w:rPr>
                <w:rFonts w:hint="eastAsia" w:cs="Times New Roman"/>
                <w:bCs/>
                <w:color w:val="auto"/>
                <w:sz w:val="24"/>
                <w:highlight w:val="none"/>
                <w:vertAlign w:val="baseline"/>
                <w:lang w:val="en-US" w:eastAsia="zh-CN"/>
              </w:rPr>
              <w:t>cm/s），或至少2mm厚的高密度聚乙烯膜等人工防渗材料（渗透系数不大于10</w:t>
            </w:r>
            <w:r>
              <w:rPr>
                <w:rFonts w:hint="eastAsia" w:cs="Times New Roman"/>
                <w:bCs/>
                <w:color w:val="auto"/>
                <w:sz w:val="24"/>
                <w:highlight w:val="none"/>
                <w:vertAlign w:val="superscript"/>
                <w:lang w:val="en-US" w:eastAsia="zh-CN"/>
              </w:rPr>
              <w:t>-10</w:t>
            </w:r>
            <w:r>
              <w:rPr>
                <w:rFonts w:hint="eastAsia" w:cs="Times New Roman"/>
                <w:bCs/>
                <w:color w:val="auto"/>
                <w:sz w:val="24"/>
                <w:highlight w:val="none"/>
                <w:vertAlign w:val="baseline"/>
                <w:lang w:val="en-US" w:eastAsia="zh-CN"/>
              </w:rPr>
              <w:t>cm/s），或其他防渗性能等效的材料。</w:t>
            </w:r>
          </w:p>
          <w:p w14:paraId="0618B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5）贮存设施应采取技术和管理措施防止无关人员进入。</w:t>
            </w:r>
          </w:p>
          <w:p w14:paraId="66469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6）贮存库内不同贮存分区之间应采取间隔措施。隔离措施可根据危险废物特性采用过道、隔板或隔墙等方式。</w:t>
            </w:r>
          </w:p>
          <w:p w14:paraId="30D27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bCs/>
                <w:color w:val="auto"/>
                <w:sz w:val="24"/>
                <w:highlight w:val="none"/>
                <w:vertAlign w:val="baseline"/>
                <w:lang w:val="en-US" w:eastAsia="zh-CN"/>
              </w:rPr>
            </w:pPr>
            <w:r>
              <w:rPr>
                <w:rFonts w:hint="eastAsia" w:cs="Times New Roman"/>
                <w:bCs/>
                <w:color w:val="auto"/>
                <w:sz w:val="24"/>
                <w:highlight w:val="none"/>
                <w:vertAlign w:val="baseline"/>
                <w:lang w:val="en-US" w:eastAsia="zh-CN"/>
              </w:rPr>
              <w:t>7）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72FF0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cs="Times New Roman"/>
                <w:bCs/>
                <w:color w:val="auto"/>
                <w:sz w:val="24"/>
                <w:highlight w:val="none"/>
                <w:vertAlign w:val="baseline"/>
                <w:lang w:val="en-US" w:eastAsia="zh-CN"/>
              </w:rPr>
              <w:t>8）危险废物贮存设施都必须按HJ1276-2022的规定设置危险废物识别标志。</w:t>
            </w:r>
          </w:p>
          <w:p w14:paraId="759C6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（3）危险废物控制要求</w:t>
            </w:r>
          </w:p>
          <w:p w14:paraId="5694D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企业应严格加强固体废物贮存和处置全过程的管理，具体可如下执行：</w:t>
            </w:r>
          </w:p>
          <w:p w14:paraId="6BE74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lang w:val="en-US" w:eastAsia="zh-CN"/>
              </w:rPr>
              <w:t>1）</w:t>
            </w:r>
            <w:r>
              <w:rPr>
                <w:rFonts w:hint="eastAsia"/>
                <w:bCs/>
                <w:color w:val="auto"/>
                <w:sz w:val="24"/>
              </w:rPr>
              <w:t>危险废物应与其他固体废物严格隔离，禁止一般工业固废垃圾混入；同时也禁止危险废物混入一般工业固废中。</w:t>
            </w:r>
          </w:p>
          <w:p w14:paraId="6A039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lang w:val="en-US" w:eastAsia="zh-CN"/>
              </w:rPr>
              <w:t>2）</w:t>
            </w:r>
            <w:r>
              <w:rPr>
                <w:rFonts w:hint="eastAsia"/>
                <w:bCs/>
                <w:color w:val="auto"/>
                <w:sz w:val="24"/>
              </w:rPr>
              <w:t>禁止将不相容（相互反应）的危险废物在同一容器内混装；盛装危险废物的容器上必须粘贴符合标准的标签。</w:t>
            </w:r>
          </w:p>
          <w:p w14:paraId="1D569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lang w:val="en-US" w:eastAsia="zh-CN"/>
              </w:rPr>
              <w:t>3）</w:t>
            </w:r>
            <w:r>
              <w:rPr>
                <w:rFonts w:hint="eastAsia"/>
                <w:bCs/>
                <w:color w:val="auto"/>
                <w:sz w:val="24"/>
              </w:rPr>
              <w:t>检查堆场内的通讯设备、照明设施、安全防护服装及工具，检查应急防护设施。</w:t>
            </w:r>
          </w:p>
          <w:p w14:paraId="42CBF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lang w:val="en-US" w:eastAsia="zh-CN"/>
              </w:rPr>
              <w:t>4）</w:t>
            </w:r>
            <w:r>
              <w:rPr>
                <w:rFonts w:hint="eastAsia"/>
                <w:bCs/>
                <w:color w:val="auto"/>
                <w:sz w:val="24"/>
              </w:rPr>
              <w:t>完善维护制度，定期检查维护防渗设施，发现有损坏可能或异常，应及时采取必要措施，以保障正常运行；详细记录入场固体废物的种类和数量以及其他相关资料并长期保存，供随时查阅。</w:t>
            </w:r>
          </w:p>
          <w:p w14:paraId="0FBD7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lang w:val="en-US" w:eastAsia="zh-CN"/>
              </w:rPr>
              <w:t>5）</w:t>
            </w:r>
            <w:r>
              <w:rPr>
                <w:rFonts w:hint="eastAsia"/>
                <w:bCs/>
                <w:color w:val="auto"/>
                <w:sz w:val="24"/>
              </w:rPr>
              <w:t>当贮存库因故不再承担新的贮存、处置任务时，应予以关闭或封场，同时采取措施消除污染，无法消除污染的设备、土壤、墙体等按危险废物处理，并运至正在营运的危险废物处理处置场或其它贮存设施中。关闭或封场后，应设置标志物，注明关闭或封场时间，以及使用该土地时应注意的事项，并继续维护管理，直到稳定为止。监测部门的监测结果表明已不存在污染时，方可摘下警示标志，撤离留守人员。</w:t>
            </w:r>
          </w:p>
          <w:p w14:paraId="48BA5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lang w:val="en-US" w:eastAsia="zh-CN"/>
              </w:rPr>
              <w:t>6）</w:t>
            </w:r>
            <w:r>
              <w:rPr>
                <w:rFonts w:hint="eastAsia"/>
                <w:bCs/>
                <w:color w:val="auto"/>
                <w:sz w:val="24"/>
              </w:rPr>
              <w:t>项目产生的固体废物产生量、拟采取的处置措施及去向按《中华人民共和国固体废物污染环境防治法》的规定向</w:t>
            </w:r>
            <w:r>
              <w:rPr>
                <w:rFonts w:hint="eastAsia"/>
                <w:bCs/>
                <w:color w:val="auto"/>
                <w:sz w:val="24"/>
                <w:lang w:val="en-US" w:eastAsia="zh-CN"/>
              </w:rPr>
              <w:t>当地生态环境部门</w:t>
            </w:r>
            <w:r>
              <w:rPr>
                <w:rFonts w:hint="eastAsia"/>
                <w:bCs/>
                <w:color w:val="auto"/>
                <w:sz w:val="24"/>
              </w:rPr>
              <w:t>申报，填报危险废物转移五联单，按要求对本项目产生的固体废物特别是危险废物进行全过程严格管理和安全处置。</w:t>
            </w:r>
          </w:p>
          <w:p w14:paraId="7E0CC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rPr>
            </w:pPr>
            <w:r>
              <w:rPr>
                <w:rFonts w:hint="eastAsia" w:cs="Times New Roman"/>
                <w:bCs/>
                <w:color w:val="auto"/>
                <w:sz w:val="24"/>
                <w:lang w:val="en-US" w:eastAsia="zh-CN"/>
              </w:rPr>
              <w:t>7</w:t>
            </w:r>
            <w:r>
              <w:rPr>
                <w:rFonts w:hint="eastAsia"/>
                <w:bCs/>
                <w:color w:val="auto"/>
                <w:sz w:val="24"/>
                <w:lang w:val="en-US" w:eastAsia="zh-CN"/>
              </w:rPr>
              <w:t>）</w:t>
            </w:r>
            <w:r>
              <w:rPr>
                <w:rFonts w:hint="default" w:ascii="Times New Roman" w:hAnsi="Times New Roman" w:eastAsia="宋体" w:cs="Times New Roman"/>
                <w:bCs/>
                <w:color w:val="auto"/>
                <w:sz w:val="24"/>
                <w:lang w:val="en-US" w:eastAsia="zh-CN"/>
              </w:rPr>
              <w:t>环评提出项目运营期建设单位按照《危险废物管理计划和台账指定技术导则》（HJ1259-2022）相关要求制定运营期危险废物管理台账，具体如下：</w:t>
            </w:r>
          </w:p>
          <w:p w14:paraId="63F58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A.记录内容</w:t>
            </w:r>
          </w:p>
          <w:p w14:paraId="1E5EE2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rPr>
            </w:pPr>
            <w:r>
              <w:rPr>
                <w:rFonts w:hint="eastAsia" w:cs="Times New Roman"/>
                <w:bCs/>
                <w:color w:val="auto"/>
                <w:sz w:val="24"/>
                <w:lang w:val="en-US" w:eastAsia="zh-CN"/>
              </w:rPr>
              <w:t>①</w:t>
            </w:r>
            <w:r>
              <w:rPr>
                <w:rFonts w:hint="default" w:ascii="Times New Roman" w:hAnsi="Times New Roman" w:eastAsia="宋体" w:cs="Times New Roman"/>
                <w:bCs/>
                <w:color w:val="auto"/>
                <w:sz w:val="24"/>
                <w:lang w:val="en-US" w:eastAsia="zh-CN"/>
              </w:rPr>
              <w:t xml:space="preserve">危险废物产生环节，应记录产生批次编码、产生时间、危险废物名称、危险废物类别、危险废物代码、产生量、计量单位、容器/包装编码、容器/包装类型、容器/包装数量、产生危险废物设施编码、产生部门经办人、去向等。 </w:t>
            </w:r>
          </w:p>
          <w:p w14:paraId="7B166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rPr>
            </w:pPr>
            <w:r>
              <w:rPr>
                <w:rFonts w:hint="eastAsia" w:cs="Times New Roman"/>
                <w:bCs/>
                <w:color w:val="auto"/>
                <w:sz w:val="24"/>
                <w:lang w:val="en-US" w:eastAsia="zh-CN"/>
              </w:rPr>
              <w:t>②</w:t>
            </w:r>
            <w:r>
              <w:rPr>
                <w:rFonts w:hint="default" w:ascii="Times New Roman" w:hAnsi="Times New Roman" w:eastAsia="宋体" w:cs="Times New Roman"/>
                <w:bCs/>
                <w:color w:val="auto"/>
                <w:sz w:val="24"/>
                <w:lang w:val="en-US" w:eastAsia="zh-CN"/>
              </w:rPr>
              <w:t xml:space="preserve">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 </w:t>
            </w:r>
          </w:p>
          <w:p w14:paraId="732F5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③</w:t>
            </w:r>
            <w:r>
              <w:rPr>
                <w:rFonts w:hint="default" w:ascii="Times New Roman" w:hAnsi="Times New Roman" w:eastAsia="宋体" w:cs="Times New Roman"/>
                <w:bCs/>
                <w:color w:val="auto"/>
                <w:sz w:val="24"/>
                <w:lang w:val="en-US" w:eastAsia="zh-CN"/>
              </w:rPr>
              <w:t>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w:t>
            </w:r>
          </w:p>
          <w:p w14:paraId="41CAB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④</w:t>
            </w:r>
            <w:r>
              <w:rPr>
                <w:rFonts w:hint="default" w:ascii="Times New Roman" w:hAnsi="Times New Roman" w:eastAsia="宋体" w:cs="Times New Roman"/>
                <w:bCs/>
                <w:color w:val="auto"/>
                <w:sz w:val="24"/>
                <w:lang w:val="en-US" w:eastAsia="zh-CN"/>
              </w:rPr>
              <w:t>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p>
          <w:p w14:paraId="110E0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B.记录保存</w:t>
            </w:r>
          </w:p>
          <w:p w14:paraId="5859A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bCs/>
                <w:color w:val="auto"/>
                <w:sz w:val="24"/>
              </w:rPr>
            </w:pPr>
            <w:r>
              <w:rPr>
                <w:rFonts w:hint="default" w:ascii="Times New Roman" w:hAnsi="Times New Roman" w:eastAsia="宋体" w:cs="Times New Roman"/>
                <w:bCs/>
                <w:color w:val="auto"/>
                <w:sz w:val="24"/>
                <w:lang w:val="en-US" w:eastAsia="zh-CN"/>
              </w:rPr>
              <w:t>保存时间原则上应存档5年以上。</w:t>
            </w:r>
          </w:p>
          <w:p w14:paraId="351A0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（4）危险废物转移要求</w:t>
            </w:r>
          </w:p>
          <w:p w14:paraId="61E7A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eastAsia"/>
                <w:bCs/>
                <w:color w:val="auto"/>
                <w:sz w:val="24"/>
              </w:rPr>
              <w:t>在送往有资质危险废物定点单位处理时严格执行《危险废物转移联单管理办法》中应严格做好相应防范措施，防止危险废物的泄漏，或发生重大交通事故。</w:t>
            </w:r>
          </w:p>
          <w:p w14:paraId="4CD9A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auto"/>
              </w:rPr>
            </w:pPr>
            <w:r>
              <w:rPr>
                <w:rFonts w:hint="eastAsia"/>
                <w:color w:val="auto"/>
                <w:sz w:val="24"/>
              </w:rPr>
              <w:t>危险废物标签参考样式见下图：</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1"/>
              <w:gridCol w:w="4248"/>
            </w:tblGrid>
            <w:tr w14:paraId="6B6D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3" w:type="dxa"/>
                  <w:noWrap w:val="0"/>
                  <w:vAlign w:val="center"/>
                </w:tcPr>
                <w:p w14:paraId="37B4292B">
                  <w:pPr>
                    <w:keepNext w:val="0"/>
                    <w:keepLines w:val="0"/>
                    <w:suppressLineNumbers w:val="0"/>
                    <w:spacing w:before="0" w:beforeAutospacing="0" w:after="0" w:afterAutospacing="0"/>
                    <w:ind w:left="0" w:right="0"/>
                    <w:jc w:val="center"/>
                    <w:rPr>
                      <w:rFonts w:hint="default"/>
                      <w:color w:val="auto"/>
                      <w:szCs w:val="20"/>
                    </w:rPr>
                  </w:pP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drawing>
                      <wp:inline distT="0" distB="0" distL="114300" distR="114300">
                        <wp:extent cx="2154555" cy="2154555"/>
                        <wp:effectExtent l="0" t="0" r="7620" b="7620"/>
                        <wp:docPr id="164" name="图片 5" descr="W0202305155912176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descr="W020230515591217696563"/>
                                <pic:cNvPicPr>
                                  <a:picLocks noChangeAspect="1"/>
                                </pic:cNvPicPr>
                              </pic:nvPicPr>
                              <pic:blipFill>
                                <a:blip r:embed="rId26"/>
                                <a:stretch>
                                  <a:fillRect/>
                                </a:stretch>
                              </pic:blipFill>
                              <pic:spPr>
                                <a:xfrm>
                                  <a:off x="0" y="0"/>
                                  <a:ext cx="2154555" cy="2154555"/>
                                </a:xfrm>
                                <a:prstGeom prst="rect">
                                  <a:avLst/>
                                </a:prstGeom>
                                <a:noFill/>
                                <a:ln>
                                  <a:noFill/>
                                </a:ln>
                              </pic:spPr>
                            </pic:pic>
                          </a:graphicData>
                        </a:graphic>
                      </wp:inline>
                    </w:drawing>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p>
              </w:tc>
              <w:tc>
                <w:tcPr>
                  <w:tcW w:w="4248" w:type="dxa"/>
                  <w:noWrap w:val="0"/>
                  <w:vAlign w:val="center"/>
                </w:tcPr>
                <w:p w14:paraId="5A5C39F0">
                  <w:pPr>
                    <w:keepNext w:val="0"/>
                    <w:keepLines w:val="0"/>
                    <w:suppressLineNumbers w:val="0"/>
                    <w:spacing w:before="0" w:beforeAutospacing="0" w:after="0" w:afterAutospacing="0"/>
                    <w:ind w:left="0" w:right="0"/>
                    <w:jc w:val="center"/>
                    <w:rPr>
                      <w:rFonts w:hint="default"/>
                      <w:b/>
                      <w:color w:val="auto"/>
                      <w:szCs w:val="20"/>
                    </w:rPr>
                  </w:pPr>
                  <w:r>
                    <w:rPr>
                      <w:rFonts w:hint="eastAsia"/>
                      <w:b/>
                      <w:color w:val="auto"/>
                      <w:szCs w:val="20"/>
                    </w:rPr>
                    <w:t>说明</w:t>
                  </w:r>
                </w:p>
                <w:p w14:paraId="4A4F2704">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1、危险废物标签尺寸颜色</w:t>
                  </w:r>
                </w:p>
                <w:p w14:paraId="1E04C7AC">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最小尺寸：100×100mm</w:t>
                  </w:r>
                </w:p>
                <w:p w14:paraId="6AF2554F">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颜色：背景色为醒目的橘黄色，字体和边框颜色为黑色</w:t>
                  </w:r>
                </w:p>
                <w:p w14:paraId="5238FAE1">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字体：黑体字</w:t>
                  </w:r>
                </w:p>
                <w:p w14:paraId="0B930A27">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字体颜色：黑色</w:t>
                  </w:r>
                </w:p>
                <w:p w14:paraId="0FE22B4D">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2、材质：不干胶印刷品，或印刷品外加防水塑料袋或塑封等。</w:t>
                  </w:r>
                </w:p>
                <w:p w14:paraId="03959FF0">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3、使用于：容器或包装物明显处</w:t>
                  </w:r>
                </w:p>
              </w:tc>
            </w:tr>
          </w:tbl>
          <w:p w14:paraId="1986AADE">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eastAsia"/>
                <w:color w:val="auto"/>
                <w:sz w:val="24"/>
              </w:rPr>
              <w:t>危险废物贮存分区标志牌参考样式见下图：</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1"/>
              <w:gridCol w:w="4288"/>
            </w:tblGrid>
            <w:tr w14:paraId="2994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3" w:type="dxa"/>
                  <w:noWrap w:val="0"/>
                  <w:vAlign w:val="center"/>
                </w:tcPr>
                <w:p w14:paraId="45D28E5B">
                  <w:pPr>
                    <w:keepNext w:val="0"/>
                    <w:keepLines w:val="0"/>
                    <w:suppressLineNumbers w:val="0"/>
                    <w:spacing w:before="0" w:beforeAutospacing="0" w:after="0" w:afterAutospacing="0"/>
                    <w:ind w:left="0" w:right="0"/>
                    <w:jc w:val="center"/>
                    <w:rPr>
                      <w:rFonts w:hint="default"/>
                      <w:color w:val="auto"/>
                      <w:szCs w:val="20"/>
                    </w:rPr>
                  </w:pP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drawing>
                      <wp:inline distT="0" distB="0" distL="114300" distR="114300">
                        <wp:extent cx="2159635" cy="2159635"/>
                        <wp:effectExtent l="0" t="0" r="2540" b="2540"/>
                        <wp:docPr id="175" name="图片 6" descr="W0202305155912213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descr="W020230515591221300736"/>
                                <pic:cNvPicPr>
                                  <a:picLocks noChangeAspect="1"/>
                                </pic:cNvPicPr>
                              </pic:nvPicPr>
                              <pic:blipFill>
                                <a:blip r:embed="rId27"/>
                                <a:stretch>
                                  <a:fillRect/>
                                </a:stretch>
                              </pic:blipFill>
                              <pic:spPr>
                                <a:xfrm>
                                  <a:off x="0" y="0"/>
                                  <a:ext cx="2159635" cy="2159635"/>
                                </a:xfrm>
                                <a:prstGeom prst="rect">
                                  <a:avLst/>
                                </a:prstGeom>
                                <a:noFill/>
                                <a:ln>
                                  <a:noFill/>
                                </a:ln>
                              </pic:spPr>
                            </pic:pic>
                          </a:graphicData>
                        </a:graphic>
                      </wp:inline>
                    </w:drawing>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p>
              </w:tc>
              <w:tc>
                <w:tcPr>
                  <w:tcW w:w="4288" w:type="dxa"/>
                  <w:noWrap w:val="0"/>
                  <w:vAlign w:val="center"/>
                </w:tcPr>
                <w:p w14:paraId="503AC27B">
                  <w:pPr>
                    <w:keepNext w:val="0"/>
                    <w:keepLines w:val="0"/>
                    <w:suppressLineNumbers w:val="0"/>
                    <w:spacing w:before="0" w:beforeAutospacing="0" w:after="0" w:afterAutospacing="0"/>
                    <w:ind w:left="0" w:right="0"/>
                    <w:jc w:val="center"/>
                    <w:rPr>
                      <w:rFonts w:hint="default"/>
                      <w:b/>
                      <w:color w:val="auto"/>
                      <w:szCs w:val="20"/>
                    </w:rPr>
                  </w:pPr>
                  <w:r>
                    <w:rPr>
                      <w:rFonts w:hint="eastAsia"/>
                      <w:b/>
                      <w:color w:val="auto"/>
                      <w:szCs w:val="20"/>
                    </w:rPr>
                    <w:t>说明</w:t>
                  </w:r>
                </w:p>
                <w:p w14:paraId="7D67869B">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1、颜色：背景颜色为黄色，字体和边框颜色为黑色</w:t>
                  </w:r>
                </w:p>
                <w:p w14:paraId="76CCD751">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2、字体：黑体字</w:t>
                  </w:r>
                </w:p>
                <w:p w14:paraId="6DE9E09E">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3、标志整体外形最小尺寸：300×300mm</w:t>
                  </w:r>
                </w:p>
                <w:p w14:paraId="1CB501DD">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4、材质：衬底宜采用坚固耐用的材料，废物贮存种类信息等可采用印刷纸张、不粘胶材质或塑料卡片等，以便固定在衬底上。</w:t>
                  </w:r>
                </w:p>
                <w:p w14:paraId="367FFE3E">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5、印刷：危险废物贮存分区标志的图形和文字应清晰、完整，保证在足够的观察距离条件下不影响阅读。“危险废物贮存分区标志”字样与其他信息宜加黑色分界线区分，分界线的宽度不小于2mm。</w:t>
                  </w:r>
                </w:p>
              </w:tc>
            </w:tr>
          </w:tbl>
          <w:p w14:paraId="34B035DE">
            <w:pPr>
              <w:keepNext w:val="0"/>
              <w:keepLines w:val="0"/>
              <w:suppressLineNumbers w:val="0"/>
              <w:spacing w:before="0" w:beforeAutospacing="0" w:after="0" w:afterAutospacing="0" w:line="480" w:lineRule="exact"/>
              <w:ind w:left="0" w:right="0" w:firstLine="480" w:firstLineChars="200"/>
              <w:rPr>
                <w:rFonts w:hint="eastAsia"/>
                <w:color w:val="auto"/>
                <w:sz w:val="24"/>
              </w:rPr>
            </w:pPr>
          </w:p>
          <w:p w14:paraId="3EFC8D8F">
            <w:pPr>
              <w:keepNext w:val="0"/>
              <w:keepLines w:val="0"/>
              <w:suppressLineNumbers w:val="0"/>
              <w:spacing w:before="0" w:beforeAutospacing="0" w:after="0" w:afterAutospacing="0" w:line="480" w:lineRule="exact"/>
              <w:ind w:left="0" w:right="0" w:firstLine="480" w:firstLineChars="200"/>
              <w:rPr>
                <w:rFonts w:hint="eastAsia"/>
                <w:color w:val="auto"/>
                <w:sz w:val="24"/>
              </w:rPr>
            </w:pPr>
          </w:p>
          <w:p w14:paraId="0BE0AD0B">
            <w:pPr>
              <w:keepNext w:val="0"/>
              <w:keepLines w:val="0"/>
              <w:suppressLineNumbers w:val="0"/>
              <w:spacing w:before="0" w:beforeAutospacing="0" w:after="0" w:afterAutospacing="0" w:line="480" w:lineRule="exact"/>
              <w:ind w:left="0" w:right="0" w:firstLine="480" w:firstLineChars="200"/>
              <w:rPr>
                <w:rFonts w:hint="eastAsia"/>
                <w:color w:val="auto"/>
                <w:sz w:val="24"/>
              </w:rPr>
            </w:pPr>
          </w:p>
          <w:p w14:paraId="70BA641A">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eastAsia"/>
                <w:color w:val="auto"/>
                <w:sz w:val="24"/>
              </w:rPr>
              <w:t>危险废物</w:t>
            </w:r>
            <w:r>
              <w:rPr>
                <w:rFonts w:hint="eastAsia"/>
                <w:color w:val="auto"/>
                <w:sz w:val="24"/>
                <w:lang w:val="en-US" w:eastAsia="zh-CN"/>
              </w:rPr>
              <w:t>贮存</w:t>
            </w:r>
            <w:r>
              <w:rPr>
                <w:rFonts w:hint="eastAsia"/>
                <w:color w:val="auto"/>
                <w:sz w:val="24"/>
              </w:rPr>
              <w:t>库标志牌参考样式见下图：</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3"/>
              <w:gridCol w:w="4243"/>
            </w:tblGrid>
            <w:tr w14:paraId="447E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3" w:type="dxa"/>
                  <w:noWrap w:val="0"/>
                  <w:vAlign w:val="center"/>
                </w:tcPr>
                <w:p w14:paraId="68DE14E8">
                  <w:pPr>
                    <w:keepNext w:val="0"/>
                    <w:keepLines w:val="0"/>
                    <w:suppressLineNumbers w:val="0"/>
                    <w:spacing w:before="0" w:beforeAutospacing="0" w:after="0" w:afterAutospacing="0"/>
                    <w:ind w:left="0" w:right="0"/>
                    <w:jc w:val="center"/>
                    <w:rPr>
                      <w:rFonts w:hint="default"/>
                      <w:color w:val="auto"/>
                    </w:rPr>
                  </w:pPr>
                  <w:r>
                    <w:rPr>
                      <w:rFonts w:hint="default"/>
                      <w:color w:val="auto"/>
                      <w:szCs w:val="20"/>
                    </w:rPr>
                    <w:drawing>
                      <wp:inline distT="0" distB="0" distL="114300" distR="114300">
                        <wp:extent cx="2159635" cy="1371600"/>
                        <wp:effectExtent l="0" t="0" r="2540" b="0"/>
                        <wp:docPr id="186" name="图片 7"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descr="W020230515591221879653"/>
                                <pic:cNvPicPr>
                                  <a:picLocks noChangeAspect="1"/>
                                </pic:cNvPicPr>
                              </pic:nvPicPr>
                              <pic:blipFill>
                                <a:blip r:embed="rId28"/>
                                <a:stretch>
                                  <a:fillRect/>
                                </a:stretch>
                              </pic:blipFill>
                              <pic:spPr>
                                <a:xfrm>
                                  <a:off x="0" y="0"/>
                                  <a:ext cx="2159635" cy="1371600"/>
                                </a:xfrm>
                                <a:prstGeom prst="rect">
                                  <a:avLst/>
                                </a:prstGeom>
                                <a:noFill/>
                                <a:ln>
                                  <a:noFill/>
                                </a:ln>
                              </pic:spPr>
                            </pic:pic>
                          </a:graphicData>
                        </a:graphic>
                      </wp:inline>
                    </w:drawing>
                  </w:r>
                </w:p>
              </w:tc>
              <w:tc>
                <w:tcPr>
                  <w:tcW w:w="4243" w:type="dxa"/>
                  <w:noWrap w:val="0"/>
                  <w:vAlign w:val="center"/>
                </w:tcPr>
                <w:p w14:paraId="1503B4B9">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drawing>
                      <wp:inline distT="0" distB="0" distL="114300" distR="114300">
                        <wp:extent cx="1379855" cy="2159635"/>
                        <wp:effectExtent l="0" t="0" r="1270" b="2540"/>
                        <wp:docPr id="187" name="图片 8" descr="W0202305155912229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 descr="W020230515591222963411"/>
                                <pic:cNvPicPr>
                                  <a:picLocks noChangeAspect="1"/>
                                </pic:cNvPicPr>
                              </pic:nvPicPr>
                              <pic:blipFill>
                                <a:blip r:embed="rId29"/>
                                <a:stretch>
                                  <a:fillRect/>
                                </a:stretch>
                              </pic:blipFill>
                              <pic:spPr>
                                <a:xfrm>
                                  <a:off x="0" y="0"/>
                                  <a:ext cx="1379855" cy="2159635"/>
                                </a:xfrm>
                                <a:prstGeom prst="rect">
                                  <a:avLst/>
                                </a:prstGeom>
                                <a:noFill/>
                                <a:ln>
                                  <a:noFill/>
                                </a:ln>
                              </pic:spPr>
                            </pic:pic>
                          </a:graphicData>
                        </a:graphic>
                      </wp:inline>
                    </w:drawing>
                  </w:r>
                </w:p>
              </w:tc>
            </w:tr>
            <w:tr w14:paraId="31A3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6" w:type="dxa"/>
                  <w:gridSpan w:val="2"/>
                  <w:noWrap w:val="0"/>
                  <w:vAlign w:val="center"/>
                </w:tcPr>
                <w:p w14:paraId="69AB7F70">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说明</w:t>
                  </w:r>
                </w:p>
                <w:p w14:paraId="09C57902">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1、颜色：背景颜色为黄色，字体和边框为黑色；</w:t>
                  </w:r>
                </w:p>
                <w:p w14:paraId="22F2A397">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2、字体：黑体字</w:t>
                  </w:r>
                </w:p>
                <w:p w14:paraId="342542D8">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3、标志牌整体外形最小尺寸：露天/室外入口900×558mm</w:t>
                  </w:r>
                </w:p>
                <w:p w14:paraId="5EA5A24F">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4、材质：采用坚固耐用的材料（如1.5mm～2mm冷轧钢板），并做搪瓷处理或贴膜处理。标志的图形和文字应清晰、完整，保证在足够的观察距离条件下也不影响阅读。三角形警告性图形与其他信息间宜加黑色分界线区分，分界线的宽度宜不小于3mm。</w:t>
                  </w:r>
                </w:p>
                <w:p w14:paraId="455410D4">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5、可采用横版或竖版的形式</w:t>
                  </w:r>
                </w:p>
              </w:tc>
            </w:tr>
          </w:tbl>
          <w:p w14:paraId="04C6B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bCs/>
                <w:color w:val="auto"/>
                <w:sz w:val="24"/>
              </w:rPr>
            </w:pPr>
            <w:r>
              <w:rPr>
                <w:rFonts w:hint="default"/>
                <w:bCs/>
                <w:color w:val="auto"/>
                <w:sz w:val="24"/>
              </w:rPr>
              <w:t>综上所述，本项目所产生的固体废物均得到了综合利用或合理处置，对周围环境影响较小。</w:t>
            </w:r>
          </w:p>
          <w:p w14:paraId="791E6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eastAsia" w:cs="Times New Roman"/>
                <w:b/>
                <w:bCs/>
                <w:color w:val="auto"/>
                <w:kern w:val="2"/>
                <w:sz w:val="21"/>
                <w:szCs w:val="21"/>
                <w:highlight w:val="none"/>
                <w:lang w:val="en-US" w:eastAsia="zh-CN" w:bidi="ar-SA"/>
              </w:rPr>
              <w:t>本</w:t>
            </w:r>
            <w:r>
              <w:rPr>
                <w:rFonts w:hint="default" w:ascii="Times New Roman" w:hAnsi="Times New Roman" w:eastAsia="宋体" w:cs="Times New Roman"/>
                <w:b/>
                <w:bCs/>
                <w:color w:val="auto"/>
                <w:kern w:val="2"/>
                <w:sz w:val="21"/>
                <w:szCs w:val="21"/>
                <w:highlight w:val="none"/>
                <w:lang w:val="en-US" w:eastAsia="zh-CN" w:bidi="ar-SA"/>
              </w:rPr>
              <w:t>项目危险废物汇总情况</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987"/>
              <w:gridCol w:w="2854"/>
              <w:gridCol w:w="3326"/>
            </w:tblGrid>
            <w:tr w14:paraId="7D84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6BC03DC7">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危险废物名称</w:t>
                  </w:r>
                </w:p>
              </w:tc>
              <w:tc>
                <w:tcPr>
                  <w:tcW w:w="1747" w:type="pct"/>
                  <w:tcBorders>
                    <w:tl2br w:val="nil"/>
                    <w:tr2bl w:val="nil"/>
                  </w:tcBorders>
                  <w:shd w:val="clear" w:color="auto" w:fill="auto"/>
                  <w:noWrap w:val="0"/>
                  <w:vAlign w:val="center"/>
                </w:tcPr>
                <w:p w14:paraId="7C590B70">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废</w:t>
                  </w:r>
                  <w:r>
                    <w:rPr>
                      <w:rFonts w:hint="eastAsia" w:ascii="Times New Roman" w:hAnsi="Times New Roman" w:eastAsia="宋体" w:cs="Times New Roman"/>
                      <w:color w:val="auto"/>
                      <w:highlight w:val="none"/>
                      <w:lang w:val="en-US" w:eastAsia="zh-CN"/>
                    </w:rPr>
                    <w:t>矿物油</w:t>
                  </w:r>
                </w:p>
              </w:tc>
              <w:tc>
                <w:tcPr>
                  <w:tcW w:w="2036" w:type="pct"/>
                  <w:tcBorders>
                    <w:tl2br w:val="nil"/>
                    <w:tr2bl w:val="nil"/>
                  </w:tcBorders>
                  <w:shd w:val="clear" w:color="auto" w:fill="auto"/>
                  <w:noWrap w:val="0"/>
                  <w:vAlign w:val="center"/>
                </w:tcPr>
                <w:p w14:paraId="594E86E8">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废</w:t>
                  </w:r>
                  <w:r>
                    <w:rPr>
                      <w:rFonts w:hint="eastAsia" w:ascii="Times New Roman" w:hAnsi="Times New Roman" w:eastAsia="宋体" w:cs="Times New Roman"/>
                      <w:color w:val="auto"/>
                      <w:highlight w:val="none"/>
                      <w:lang w:val="en-US" w:eastAsia="zh-CN"/>
                    </w:rPr>
                    <w:t>油桶</w:t>
                  </w:r>
                </w:p>
              </w:tc>
            </w:tr>
            <w:tr w14:paraId="63F3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1A74455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危险废物类别</w:t>
                  </w:r>
                </w:p>
              </w:tc>
              <w:tc>
                <w:tcPr>
                  <w:tcW w:w="2854" w:type="dxa"/>
                  <w:tcBorders>
                    <w:tl2br w:val="nil"/>
                    <w:tr2bl w:val="nil"/>
                  </w:tcBorders>
                  <w:shd w:val="clear" w:color="auto" w:fill="auto"/>
                  <w:noWrap w:val="0"/>
                  <w:vAlign w:val="center"/>
                </w:tcPr>
                <w:p w14:paraId="596D4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HW</w:t>
                  </w:r>
                  <w:r>
                    <w:rPr>
                      <w:rFonts w:hint="eastAsia" w:cs="Times New Roman"/>
                      <w:color w:val="auto"/>
                      <w:highlight w:val="none"/>
                      <w:lang w:val="en-US" w:eastAsia="zh-CN"/>
                    </w:rPr>
                    <w:t>08</w:t>
                  </w:r>
                </w:p>
              </w:tc>
              <w:tc>
                <w:tcPr>
                  <w:tcW w:w="2036" w:type="pct"/>
                  <w:tcBorders>
                    <w:tl2br w:val="nil"/>
                    <w:tr2bl w:val="nil"/>
                  </w:tcBorders>
                  <w:shd w:val="clear" w:color="auto" w:fill="auto"/>
                  <w:noWrap w:val="0"/>
                  <w:vAlign w:val="center"/>
                </w:tcPr>
                <w:p w14:paraId="045030C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HW</w:t>
                  </w:r>
                  <w:r>
                    <w:rPr>
                      <w:rFonts w:hint="eastAsia" w:cs="Times New Roman"/>
                      <w:color w:val="auto"/>
                      <w:highlight w:val="none"/>
                      <w:lang w:val="en-US" w:eastAsia="zh-CN"/>
                    </w:rPr>
                    <w:t>08</w:t>
                  </w:r>
                </w:p>
              </w:tc>
            </w:tr>
            <w:tr w14:paraId="5517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0A1D2894">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危险废物代码</w:t>
                  </w:r>
                </w:p>
              </w:tc>
              <w:tc>
                <w:tcPr>
                  <w:tcW w:w="2854" w:type="dxa"/>
                  <w:tcBorders>
                    <w:tl2br w:val="nil"/>
                    <w:tr2bl w:val="nil"/>
                  </w:tcBorders>
                  <w:shd w:val="clear" w:color="auto" w:fill="auto"/>
                  <w:noWrap w:val="0"/>
                  <w:vAlign w:val="center"/>
                </w:tcPr>
                <w:p w14:paraId="76F0C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spacing w:val="0"/>
                      <w:szCs w:val="21"/>
                      <w:highlight w:val="none"/>
                      <w:lang w:val="en-US" w:eastAsia="zh-CN"/>
                    </w:rPr>
                    <w:t>900-249-08</w:t>
                  </w:r>
                </w:p>
              </w:tc>
              <w:tc>
                <w:tcPr>
                  <w:tcW w:w="2036" w:type="pct"/>
                  <w:tcBorders>
                    <w:tl2br w:val="nil"/>
                    <w:tr2bl w:val="nil"/>
                  </w:tcBorders>
                  <w:shd w:val="clear" w:color="auto" w:fill="auto"/>
                  <w:noWrap w:val="0"/>
                  <w:vAlign w:val="center"/>
                </w:tcPr>
                <w:p w14:paraId="3850EAB3">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pacing w:val="0"/>
                      <w:szCs w:val="21"/>
                      <w:highlight w:val="none"/>
                      <w:lang w:val="en-US" w:eastAsia="zh-CN"/>
                    </w:rPr>
                    <w:t>900-249-08</w:t>
                  </w:r>
                </w:p>
              </w:tc>
            </w:tr>
            <w:tr w14:paraId="66CC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03333057">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产生量(吨/年)</w:t>
                  </w:r>
                </w:p>
              </w:tc>
              <w:tc>
                <w:tcPr>
                  <w:tcW w:w="1747" w:type="pct"/>
                  <w:tcBorders>
                    <w:tl2br w:val="nil"/>
                    <w:tr2bl w:val="nil"/>
                  </w:tcBorders>
                  <w:shd w:val="clear" w:color="auto" w:fill="auto"/>
                  <w:noWrap w:val="0"/>
                  <w:vAlign w:val="center"/>
                </w:tcPr>
                <w:p w14:paraId="5B4A6984">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ascii="Times New Roman" w:hAnsi="Times New Roman" w:cs="Times New Roman"/>
                      <w:color w:val="auto"/>
                      <w:highlight w:val="none"/>
                      <w:lang w:val="en-US" w:eastAsia="zh-CN"/>
                    </w:rPr>
                    <w:t>1</w:t>
                  </w:r>
                </w:p>
              </w:tc>
              <w:tc>
                <w:tcPr>
                  <w:tcW w:w="2036" w:type="pct"/>
                  <w:tcBorders>
                    <w:tl2br w:val="nil"/>
                    <w:tr2bl w:val="nil"/>
                  </w:tcBorders>
                  <w:shd w:val="clear" w:color="auto" w:fill="auto"/>
                  <w:noWrap w:val="0"/>
                  <w:vAlign w:val="center"/>
                </w:tcPr>
                <w:p w14:paraId="3012C4E2">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5</w:t>
                  </w:r>
                </w:p>
              </w:tc>
            </w:tr>
            <w:tr w14:paraId="5A41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42D2E905">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产生工序及装置</w:t>
                  </w:r>
                </w:p>
              </w:tc>
              <w:tc>
                <w:tcPr>
                  <w:tcW w:w="1747" w:type="pct"/>
                  <w:tcBorders>
                    <w:tl2br w:val="nil"/>
                    <w:tr2bl w:val="nil"/>
                  </w:tcBorders>
                  <w:shd w:val="clear" w:color="auto" w:fill="auto"/>
                  <w:noWrap w:val="0"/>
                  <w:vAlign w:val="center"/>
                </w:tcPr>
                <w:p w14:paraId="6524EA46">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生产工艺及设备维护</w:t>
                  </w:r>
                </w:p>
              </w:tc>
              <w:tc>
                <w:tcPr>
                  <w:tcW w:w="2036" w:type="pct"/>
                  <w:tcBorders>
                    <w:tl2br w:val="nil"/>
                    <w:tr2bl w:val="nil"/>
                  </w:tcBorders>
                  <w:shd w:val="clear" w:color="auto" w:fill="auto"/>
                  <w:noWrap w:val="0"/>
                  <w:vAlign w:val="center"/>
                </w:tcPr>
                <w:p w14:paraId="25B133E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生产工艺及设备维护</w:t>
                  </w:r>
                </w:p>
              </w:tc>
            </w:tr>
            <w:tr w14:paraId="0308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03CA7EA1">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形态</w:t>
                  </w:r>
                </w:p>
              </w:tc>
              <w:tc>
                <w:tcPr>
                  <w:tcW w:w="1747" w:type="pct"/>
                  <w:tcBorders>
                    <w:tl2br w:val="nil"/>
                    <w:tr2bl w:val="nil"/>
                  </w:tcBorders>
                  <w:shd w:val="clear" w:color="auto" w:fill="auto"/>
                  <w:noWrap w:val="0"/>
                  <w:vAlign w:val="center"/>
                </w:tcPr>
                <w:p w14:paraId="734618A2">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液态</w:t>
                  </w:r>
                </w:p>
              </w:tc>
              <w:tc>
                <w:tcPr>
                  <w:tcW w:w="2036" w:type="pct"/>
                  <w:tcBorders>
                    <w:tl2br w:val="nil"/>
                    <w:tr2bl w:val="nil"/>
                  </w:tcBorders>
                  <w:shd w:val="clear" w:color="auto" w:fill="auto"/>
                  <w:noWrap w:val="0"/>
                  <w:vAlign w:val="center"/>
                </w:tcPr>
                <w:p w14:paraId="25A4643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固态</w:t>
                  </w:r>
                </w:p>
              </w:tc>
            </w:tr>
            <w:tr w14:paraId="7E1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101E80A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主要成分</w:t>
                  </w:r>
                </w:p>
              </w:tc>
              <w:tc>
                <w:tcPr>
                  <w:tcW w:w="1747" w:type="pct"/>
                  <w:tcBorders>
                    <w:tl2br w:val="nil"/>
                    <w:tr2bl w:val="nil"/>
                  </w:tcBorders>
                  <w:shd w:val="clear" w:color="auto" w:fill="auto"/>
                  <w:noWrap w:val="0"/>
                  <w:vAlign w:val="center"/>
                </w:tcPr>
                <w:p w14:paraId="1D44E9A0">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矿物油</w:t>
                  </w:r>
                </w:p>
              </w:tc>
              <w:tc>
                <w:tcPr>
                  <w:tcW w:w="2036" w:type="pct"/>
                  <w:tcBorders>
                    <w:tl2br w:val="nil"/>
                    <w:tr2bl w:val="nil"/>
                  </w:tcBorders>
                  <w:shd w:val="clear" w:color="auto" w:fill="auto"/>
                  <w:noWrap w:val="0"/>
                  <w:vAlign w:val="center"/>
                </w:tcPr>
                <w:p w14:paraId="03417698">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矿物油</w:t>
                  </w:r>
                </w:p>
              </w:tc>
            </w:tr>
            <w:tr w14:paraId="0EAF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2B0AB0E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有害成分</w:t>
                  </w:r>
                </w:p>
              </w:tc>
              <w:tc>
                <w:tcPr>
                  <w:tcW w:w="1747" w:type="pct"/>
                  <w:tcBorders>
                    <w:tl2br w:val="nil"/>
                    <w:tr2bl w:val="nil"/>
                  </w:tcBorders>
                  <w:shd w:val="clear" w:color="auto" w:fill="auto"/>
                  <w:noWrap w:val="0"/>
                  <w:vAlign w:val="center"/>
                </w:tcPr>
                <w:p w14:paraId="132E7D2E">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矿物油</w:t>
                  </w:r>
                </w:p>
              </w:tc>
              <w:tc>
                <w:tcPr>
                  <w:tcW w:w="2036" w:type="pct"/>
                  <w:tcBorders>
                    <w:tl2br w:val="nil"/>
                    <w:tr2bl w:val="nil"/>
                  </w:tcBorders>
                  <w:shd w:val="clear" w:color="auto" w:fill="auto"/>
                  <w:noWrap w:val="0"/>
                  <w:vAlign w:val="center"/>
                </w:tcPr>
                <w:p w14:paraId="7AAB15B6">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矿物油</w:t>
                  </w:r>
                </w:p>
              </w:tc>
            </w:tr>
            <w:tr w14:paraId="6127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216" w:type="pct"/>
                  <w:tcBorders>
                    <w:tl2br w:val="nil"/>
                    <w:tr2bl w:val="nil"/>
                  </w:tcBorders>
                  <w:shd w:val="clear" w:color="auto" w:fill="auto"/>
                  <w:noWrap w:val="0"/>
                  <w:vAlign w:val="center"/>
                </w:tcPr>
                <w:p w14:paraId="5E9DBD6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产废周期</w:t>
                  </w:r>
                </w:p>
              </w:tc>
              <w:tc>
                <w:tcPr>
                  <w:tcW w:w="1747" w:type="pct"/>
                  <w:tcBorders>
                    <w:tl2br w:val="nil"/>
                    <w:tr2bl w:val="nil"/>
                  </w:tcBorders>
                  <w:shd w:val="clear" w:color="auto" w:fill="auto"/>
                  <w:noWrap w:val="0"/>
                  <w:vAlign w:val="center"/>
                </w:tcPr>
                <w:p w14:paraId="59928CB3">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2月</w:t>
                  </w:r>
                </w:p>
              </w:tc>
              <w:tc>
                <w:tcPr>
                  <w:tcW w:w="2036" w:type="pct"/>
                  <w:tcBorders>
                    <w:tl2br w:val="nil"/>
                    <w:tr2bl w:val="nil"/>
                  </w:tcBorders>
                  <w:shd w:val="clear" w:color="auto" w:fill="auto"/>
                  <w:noWrap w:val="0"/>
                  <w:vAlign w:val="center"/>
                </w:tcPr>
                <w:p w14:paraId="2D61E339">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1月</w:t>
                  </w:r>
                </w:p>
              </w:tc>
            </w:tr>
            <w:tr w14:paraId="4F12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11374E7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危险特性</w:t>
                  </w:r>
                </w:p>
              </w:tc>
              <w:tc>
                <w:tcPr>
                  <w:tcW w:w="1747" w:type="pct"/>
                  <w:tcBorders>
                    <w:tl2br w:val="nil"/>
                    <w:tr2bl w:val="nil"/>
                  </w:tcBorders>
                  <w:shd w:val="clear" w:color="auto" w:fill="auto"/>
                  <w:noWrap w:val="0"/>
                  <w:vAlign w:val="center"/>
                </w:tcPr>
                <w:p w14:paraId="697BC437">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T、I</w:t>
                  </w:r>
                </w:p>
              </w:tc>
              <w:tc>
                <w:tcPr>
                  <w:tcW w:w="2036" w:type="pct"/>
                  <w:tcBorders>
                    <w:tl2br w:val="nil"/>
                    <w:tr2bl w:val="nil"/>
                  </w:tcBorders>
                  <w:shd w:val="clear" w:color="auto" w:fill="auto"/>
                  <w:noWrap w:val="0"/>
                  <w:vAlign w:val="center"/>
                </w:tcPr>
                <w:p w14:paraId="520D7D7E">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I</w:t>
                  </w:r>
                </w:p>
              </w:tc>
            </w:tr>
            <w:tr w14:paraId="692B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4D506985">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储存周期</w:t>
                  </w:r>
                </w:p>
              </w:tc>
              <w:tc>
                <w:tcPr>
                  <w:tcW w:w="1747" w:type="pct"/>
                  <w:tcBorders>
                    <w:tl2br w:val="nil"/>
                    <w:tr2bl w:val="nil"/>
                  </w:tcBorders>
                  <w:shd w:val="clear" w:color="auto" w:fill="auto"/>
                  <w:noWrap w:val="0"/>
                  <w:vAlign w:val="center"/>
                </w:tcPr>
                <w:p w14:paraId="26710283">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1年</w:t>
                  </w:r>
                </w:p>
              </w:tc>
              <w:tc>
                <w:tcPr>
                  <w:tcW w:w="2036" w:type="pct"/>
                  <w:tcBorders>
                    <w:tl2br w:val="nil"/>
                    <w:tr2bl w:val="nil"/>
                  </w:tcBorders>
                  <w:shd w:val="clear" w:color="auto" w:fill="auto"/>
                  <w:noWrap w:val="0"/>
                  <w:vAlign w:val="center"/>
                </w:tcPr>
                <w:p w14:paraId="1F528D22">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1年</w:t>
                  </w:r>
                </w:p>
              </w:tc>
            </w:tr>
            <w:tr w14:paraId="4882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633690C2">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储存方式</w:t>
                  </w:r>
                </w:p>
              </w:tc>
              <w:tc>
                <w:tcPr>
                  <w:tcW w:w="1747" w:type="pct"/>
                  <w:tcBorders>
                    <w:tl2br w:val="nil"/>
                    <w:tr2bl w:val="nil"/>
                  </w:tcBorders>
                  <w:shd w:val="clear" w:color="auto" w:fill="auto"/>
                  <w:noWrap w:val="0"/>
                  <w:vAlign w:val="center"/>
                </w:tcPr>
                <w:p w14:paraId="2CFC4F95">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密闭废油桶，置于防渗托盘上</w:t>
                  </w:r>
                </w:p>
              </w:tc>
              <w:tc>
                <w:tcPr>
                  <w:tcW w:w="2036" w:type="pct"/>
                  <w:tcBorders>
                    <w:tl2br w:val="nil"/>
                    <w:tr2bl w:val="nil"/>
                  </w:tcBorders>
                  <w:shd w:val="clear" w:color="auto" w:fill="auto"/>
                  <w:noWrap w:val="0"/>
                  <w:vAlign w:val="center"/>
                </w:tcPr>
                <w:p w14:paraId="78040F4B">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置于防渗托盘上</w:t>
                  </w:r>
                </w:p>
              </w:tc>
            </w:tr>
            <w:tr w14:paraId="6DA1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pct"/>
                  <w:tcBorders>
                    <w:tl2br w:val="nil"/>
                    <w:tr2bl w:val="nil"/>
                  </w:tcBorders>
                  <w:shd w:val="clear" w:color="auto" w:fill="auto"/>
                  <w:noWrap w:val="0"/>
                  <w:vAlign w:val="center"/>
                </w:tcPr>
                <w:p w14:paraId="46234154">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处置方式</w:t>
                  </w:r>
                </w:p>
              </w:tc>
              <w:tc>
                <w:tcPr>
                  <w:tcW w:w="3783" w:type="pct"/>
                  <w:gridSpan w:val="2"/>
                  <w:tcBorders>
                    <w:tl2br w:val="nil"/>
                    <w:tr2bl w:val="nil"/>
                  </w:tcBorders>
                  <w:shd w:val="clear" w:color="auto" w:fill="auto"/>
                  <w:noWrap w:val="0"/>
                  <w:vAlign w:val="center"/>
                </w:tcPr>
                <w:p w14:paraId="1EF187FD">
                  <w:pPr>
                    <w:keepNext w:val="0"/>
                    <w:keepLines w:val="0"/>
                    <w:pageBreakBefore w:val="0"/>
                    <w:suppressLineNumbers w:val="0"/>
                    <w:kinsoku/>
                    <w:wordWrap/>
                    <w:overflowPunct/>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1"/>
                      <w:szCs w:val="21"/>
                      <w:highlight w:val="none"/>
                    </w:rPr>
                    <w:t>收集至</w:t>
                  </w:r>
                  <w:r>
                    <w:rPr>
                      <w:rFonts w:hint="eastAsia" w:cs="Times New Roman"/>
                      <w:color w:val="auto"/>
                      <w:kern w:val="0"/>
                      <w:sz w:val="21"/>
                      <w:szCs w:val="21"/>
                      <w:highlight w:val="none"/>
                      <w:lang w:eastAsia="zh-CN"/>
                    </w:rPr>
                    <w:t>危废贮存点</w:t>
                  </w:r>
                  <w:r>
                    <w:rPr>
                      <w:rFonts w:hint="default" w:ascii="Times New Roman" w:hAnsi="Times New Roman" w:eastAsia="宋体" w:cs="Times New Roman"/>
                      <w:color w:val="auto"/>
                      <w:kern w:val="0"/>
                      <w:sz w:val="21"/>
                      <w:szCs w:val="21"/>
                      <w:highlight w:val="none"/>
                    </w:rPr>
                    <w:t>内</w:t>
                  </w:r>
                  <w:r>
                    <w:rPr>
                      <w:rFonts w:hint="eastAsia" w:ascii="Times New Roman" w:hAnsi="Times New Roman" w:eastAsia="宋体" w:cs="Times New Roman"/>
                      <w:color w:val="auto"/>
                      <w:kern w:val="0"/>
                      <w:sz w:val="21"/>
                      <w:szCs w:val="21"/>
                      <w:highlight w:val="none"/>
                      <w:lang w:val="en-US" w:eastAsia="zh-CN"/>
                    </w:rPr>
                    <w:t>分区贮存</w:t>
                  </w:r>
                  <w:r>
                    <w:rPr>
                      <w:rFonts w:hint="default" w:ascii="Times New Roman" w:hAnsi="Times New Roman" w:eastAsia="宋体" w:cs="Times New Roman"/>
                      <w:color w:val="auto"/>
                      <w:kern w:val="0"/>
                      <w:sz w:val="21"/>
                      <w:szCs w:val="21"/>
                      <w:highlight w:val="none"/>
                    </w:rPr>
                    <w:t>，定期交由有资质的单位处置</w:t>
                  </w:r>
                </w:p>
              </w:tc>
            </w:tr>
          </w:tbl>
          <w:p w14:paraId="284A5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五、</w:t>
            </w:r>
            <w:r>
              <w:rPr>
                <w:rFonts w:hint="eastAsia" w:ascii="Times New Roman" w:hAnsi="Times New Roman" w:eastAsia="宋体" w:cs="Times New Roman"/>
                <w:b/>
                <w:color w:val="auto"/>
                <w:sz w:val="24"/>
                <w:szCs w:val="24"/>
                <w:highlight w:val="none"/>
                <w:lang w:val="en-US" w:eastAsia="zh-CN"/>
              </w:rPr>
              <w:t>地下水</w:t>
            </w:r>
            <w:r>
              <w:rPr>
                <w:rFonts w:hint="eastAsia"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土壤</w:t>
            </w:r>
          </w:p>
          <w:p w14:paraId="5A399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污染源</w:t>
            </w:r>
            <w:r>
              <w:rPr>
                <w:rFonts w:hint="default" w:ascii="Times New Roman" w:hAnsi="Times New Roman" w:eastAsia="宋体" w:cs="Times New Roman"/>
                <w:b/>
                <w:bCs/>
                <w:color w:val="auto"/>
                <w:sz w:val="24"/>
                <w:highlight w:val="none"/>
                <w:lang w:val="en-US" w:eastAsia="zh-CN"/>
              </w:rPr>
              <w:t>和污染途径</w:t>
            </w:r>
          </w:p>
          <w:p w14:paraId="421DFC4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通过工程分析可知，本项目正常工况下不涉及地下水环境污染源；且经现场踏勘了解，厂区边界向外延伸500m范围内无地下水型集中式饮用水水源和热水、矿泉水、温泉等特殊地下水资源。</w:t>
            </w:r>
          </w:p>
          <w:p w14:paraId="7B9EC3C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rPr>
              <w:t>项目从源头控制污染，废矿物油收集桶采用HDPE桶或者铁桶储存，对危废贮存点进行重点防渗。在采取以上防控措施后，可有效切断污染途径，使本项目不存在污染土壤和地下水的可能。</w:t>
            </w:r>
          </w:p>
          <w:p w14:paraId="4A47D0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2.防控措施</w:t>
            </w:r>
          </w:p>
          <w:p w14:paraId="1B2F28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污染防治措施针对项目可能发生的地下水、土壤污染，本项目按照分区防控的要求提出了以下的防控措施：</w:t>
            </w:r>
          </w:p>
          <w:p w14:paraId="430BA860">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eastAsia="zh-CN"/>
              </w:rPr>
              <w:t>（</w:t>
            </w:r>
            <w:r>
              <w:rPr>
                <w:rFonts w:hint="eastAsia"/>
                <w:bCs/>
                <w:color w:val="auto"/>
                <w:sz w:val="24"/>
              </w:rPr>
              <w:t>1）源头控制</w:t>
            </w:r>
          </w:p>
          <w:p w14:paraId="28C2B62E">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rPr>
              <w:t>源头控制措施主要包括在工艺、管道、设备采取相应措施，防止和降低污染物跑、冒、滴、漏，将污染物泄漏的环境风险事故降到最低程度。</w:t>
            </w:r>
          </w:p>
          <w:p w14:paraId="0ECED8E0">
            <w:pPr>
              <w:keepNext w:val="0"/>
              <w:keepLines w:val="0"/>
              <w:suppressLineNumbers w:val="0"/>
              <w:spacing w:before="0" w:beforeAutospacing="0" w:after="0" w:afterAutospacing="0" w:line="480" w:lineRule="exact"/>
              <w:ind w:left="0" w:right="0" w:firstLine="480" w:firstLineChars="200"/>
              <w:rPr>
                <w:rFonts w:hint="eastAsia"/>
                <w:bCs/>
                <w:color w:val="auto"/>
                <w:sz w:val="24"/>
              </w:rPr>
            </w:pPr>
            <w:r>
              <w:rPr>
                <w:rFonts w:hint="eastAsia"/>
                <w:bCs/>
                <w:color w:val="auto"/>
                <w:sz w:val="24"/>
                <w:lang w:eastAsia="zh-CN"/>
              </w:rPr>
              <w:t>（</w:t>
            </w:r>
            <w:r>
              <w:rPr>
                <w:rFonts w:hint="eastAsia"/>
                <w:bCs/>
                <w:color w:val="auto"/>
                <w:sz w:val="24"/>
              </w:rPr>
              <w:t>2）分区防控措施</w:t>
            </w:r>
          </w:p>
          <w:p w14:paraId="367026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eastAsia"/>
                <w:bCs/>
                <w:color w:val="auto"/>
                <w:sz w:val="24"/>
              </w:rPr>
              <w:t>参照《环境影响评价技术导则  地下水环境》（HJ610-2016）及《危险废物贮存污染控制标准》（GB18597-2023），</w:t>
            </w:r>
            <w:r>
              <w:rPr>
                <w:rFonts w:hint="default" w:hAnsi="宋体"/>
                <w:color w:val="auto"/>
                <w:sz w:val="24"/>
              </w:rPr>
              <w:t>结合项目区天然包气带的防污性能及本项目的污染控制难易程度，评价要求厂区进行地下水污染的分区防控，其中，</w:t>
            </w:r>
            <w:r>
              <w:rPr>
                <w:rFonts w:hint="eastAsia" w:hAnsi="宋体"/>
                <w:color w:val="auto"/>
                <w:sz w:val="24"/>
                <w:lang w:val="en-US" w:eastAsia="zh-CN"/>
              </w:rPr>
              <w:t>危废贮存点为重点防渗区，</w:t>
            </w:r>
            <w:r>
              <w:rPr>
                <w:rFonts w:hint="default" w:hAnsi="宋体"/>
                <w:color w:val="auto"/>
                <w:sz w:val="24"/>
              </w:rPr>
              <w:t>雨水</w:t>
            </w:r>
            <w:r>
              <w:rPr>
                <w:rFonts w:hint="eastAsia" w:hAnsi="宋体"/>
                <w:color w:val="auto"/>
                <w:sz w:val="24"/>
                <w:lang w:val="en-US" w:eastAsia="zh-CN"/>
              </w:rPr>
              <w:t>收集</w:t>
            </w:r>
            <w:r>
              <w:rPr>
                <w:rFonts w:hint="default" w:hAnsi="宋体"/>
                <w:color w:val="auto"/>
                <w:sz w:val="24"/>
              </w:rPr>
              <w:t>池、</w:t>
            </w:r>
            <w:r>
              <w:rPr>
                <w:rFonts w:hint="eastAsia" w:hAnsi="宋体"/>
                <w:color w:val="auto"/>
                <w:sz w:val="24"/>
                <w:lang w:val="en-US" w:eastAsia="zh-CN"/>
              </w:rPr>
              <w:t>洗车平台</w:t>
            </w:r>
            <w:r>
              <w:rPr>
                <w:rFonts w:hint="default" w:hAnsi="宋体"/>
                <w:color w:val="auto"/>
                <w:sz w:val="24"/>
              </w:rPr>
              <w:t>沉淀池、</w:t>
            </w:r>
            <w:r>
              <w:rPr>
                <w:rFonts w:hint="eastAsia" w:hAnsi="宋体"/>
                <w:color w:val="auto"/>
                <w:sz w:val="24"/>
                <w:lang w:val="en-US" w:eastAsia="zh-CN"/>
              </w:rPr>
              <w:t>生产车间为一般防渗区</w:t>
            </w:r>
            <w:r>
              <w:rPr>
                <w:rFonts w:hint="eastAsia" w:ascii="宋体" w:hAnsi="宋体" w:cs="宋体"/>
                <w:color w:val="auto"/>
                <w:sz w:val="24"/>
              </w:rPr>
              <w:t>，</w:t>
            </w:r>
            <w:r>
              <w:rPr>
                <w:rFonts w:hint="eastAsia" w:ascii="宋体" w:hAnsi="宋体" w:cs="宋体"/>
                <w:color w:val="auto"/>
                <w:sz w:val="24"/>
                <w:lang w:val="en-US" w:eastAsia="zh-CN"/>
              </w:rPr>
              <w:t>其他为简单防渗区。</w:t>
            </w:r>
          </w:p>
          <w:p w14:paraId="0B67F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防渗分区及防渗要求情况表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384"/>
              <w:gridCol w:w="5498"/>
            </w:tblGrid>
            <w:tr w14:paraId="7737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pct"/>
                  <w:tcBorders>
                    <w:tl2br w:val="nil"/>
                    <w:tr2bl w:val="nil"/>
                  </w:tcBorders>
                  <w:vAlign w:val="center"/>
                </w:tcPr>
                <w:p w14:paraId="462F063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防渗分区</w:t>
                  </w:r>
                </w:p>
              </w:tc>
              <w:tc>
                <w:tcPr>
                  <w:tcW w:w="847" w:type="pct"/>
                  <w:tcBorders>
                    <w:tl2br w:val="nil"/>
                    <w:tr2bl w:val="nil"/>
                  </w:tcBorders>
                  <w:vAlign w:val="center"/>
                </w:tcPr>
                <w:p w14:paraId="0870421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防渗区域</w:t>
                  </w:r>
                </w:p>
              </w:tc>
              <w:tc>
                <w:tcPr>
                  <w:tcW w:w="3365" w:type="pct"/>
                  <w:tcBorders>
                    <w:tl2br w:val="nil"/>
                    <w:tr2bl w:val="nil"/>
                  </w:tcBorders>
                  <w:vAlign w:val="center"/>
                </w:tcPr>
                <w:p w14:paraId="32B588A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防渗要求</w:t>
                  </w:r>
                </w:p>
              </w:tc>
            </w:tr>
            <w:tr w14:paraId="4203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pct"/>
                  <w:tcBorders>
                    <w:tl2br w:val="nil"/>
                    <w:tr2bl w:val="nil"/>
                  </w:tcBorders>
                  <w:vAlign w:val="center"/>
                </w:tcPr>
                <w:p w14:paraId="580B2D9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重点防渗区</w:t>
                  </w:r>
                </w:p>
              </w:tc>
              <w:tc>
                <w:tcPr>
                  <w:tcW w:w="847" w:type="pct"/>
                  <w:tcBorders>
                    <w:tl2br w:val="nil"/>
                    <w:tr2bl w:val="nil"/>
                  </w:tcBorders>
                  <w:vAlign w:val="center"/>
                </w:tcPr>
                <w:p w14:paraId="0FD1165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危废贮存点</w:t>
                  </w:r>
                </w:p>
              </w:tc>
              <w:tc>
                <w:tcPr>
                  <w:tcW w:w="3365" w:type="pct"/>
                  <w:tcBorders>
                    <w:tl2br w:val="nil"/>
                    <w:tr2bl w:val="nil"/>
                  </w:tcBorders>
                  <w:vAlign w:val="center"/>
                </w:tcPr>
                <w:p w14:paraId="62556B6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等效黏土防渗层Mb≥6.0m，</w:t>
                  </w:r>
                  <w:r>
                    <w:rPr>
                      <w:rFonts w:hint="eastAsia" w:cs="Times New Roman"/>
                      <w:bCs/>
                      <w:color w:val="auto"/>
                      <w:sz w:val="21"/>
                      <w:szCs w:val="21"/>
                      <w:highlight w:val="none"/>
                      <w:vertAlign w:val="baseline"/>
                      <w:lang w:val="en-US" w:eastAsia="zh-CN"/>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w:t>
                  </w:r>
                  <w:r>
                    <w:rPr>
                      <w:rFonts w:hint="eastAsia" w:ascii="宋体" w:hAnsi="宋体" w:eastAsia="宋体" w:cs="宋体"/>
                      <w:color w:val="auto"/>
                      <w:kern w:val="2"/>
                      <w:sz w:val="21"/>
                      <w:szCs w:val="21"/>
                      <w:highlight w:val="none"/>
                    </w:rPr>
                    <w:t>≤</w:t>
                  </w:r>
                  <w:r>
                    <w:rPr>
                      <w:rFonts w:hint="eastAsia" w:cs="Times New Roman"/>
                      <w:bCs/>
                      <w:color w:val="auto"/>
                      <w:sz w:val="21"/>
                      <w:szCs w:val="21"/>
                      <w:highlight w:val="none"/>
                      <w:vertAlign w:val="baseline"/>
                      <w:lang w:val="en-US" w:eastAsia="zh-CN"/>
                    </w:rPr>
                    <w:t>10</w:t>
                  </w:r>
                  <w:r>
                    <w:rPr>
                      <w:rFonts w:hint="eastAsia" w:cs="Times New Roman"/>
                      <w:bCs/>
                      <w:color w:val="auto"/>
                      <w:sz w:val="21"/>
                      <w:szCs w:val="21"/>
                      <w:highlight w:val="none"/>
                      <w:vertAlign w:val="superscript"/>
                      <w:lang w:val="en-US" w:eastAsia="zh-CN"/>
                    </w:rPr>
                    <w:t>-7</w:t>
                  </w:r>
                  <w:r>
                    <w:rPr>
                      <w:rFonts w:hint="eastAsia" w:cs="Times New Roman"/>
                      <w:bCs/>
                      <w:color w:val="auto"/>
                      <w:sz w:val="21"/>
                      <w:szCs w:val="21"/>
                      <w:highlight w:val="none"/>
                      <w:vertAlign w:val="baseline"/>
                      <w:lang w:val="en-US" w:eastAsia="zh-CN"/>
                    </w:rPr>
                    <w:t>cm/s），或至少2mm厚的高密度聚乙烯膜等人工防渗材料（渗透系数</w:t>
                  </w:r>
                  <w:r>
                    <w:rPr>
                      <w:rFonts w:hint="eastAsia" w:ascii="宋体" w:hAnsi="宋体" w:eastAsia="宋体" w:cs="宋体"/>
                      <w:color w:val="auto"/>
                      <w:kern w:val="2"/>
                      <w:sz w:val="21"/>
                      <w:szCs w:val="21"/>
                      <w:highlight w:val="none"/>
                    </w:rPr>
                    <w:t>≤</w:t>
                  </w:r>
                  <w:r>
                    <w:rPr>
                      <w:rFonts w:hint="eastAsia" w:cs="Times New Roman"/>
                      <w:bCs/>
                      <w:color w:val="auto"/>
                      <w:sz w:val="21"/>
                      <w:szCs w:val="21"/>
                      <w:highlight w:val="none"/>
                      <w:vertAlign w:val="baseline"/>
                      <w:lang w:val="en-US" w:eastAsia="zh-CN"/>
                    </w:rPr>
                    <w:t>10</w:t>
                  </w:r>
                  <w:r>
                    <w:rPr>
                      <w:rFonts w:hint="eastAsia" w:cs="Times New Roman"/>
                      <w:bCs/>
                      <w:color w:val="auto"/>
                      <w:sz w:val="21"/>
                      <w:szCs w:val="21"/>
                      <w:highlight w:val="none"/>
                      <w:vertAlign w:val="superscript"/>
                      <w:lang w:val="en-US" w:eastAsia="zh-CN"/>
                    </w:rPr>
                    <w:t>-10</w:t>
                  </w:r>
                  <w:r>
                    <w:rPr>
                      <w:rFonts w:hint="eastAsia" w:cs="Times New Roman"/>
                      <w:bCs/>
                      <w:color w:val="auto"/>
                      <w:sz w:val="21"/>
                      <w:szCs w:val="21"/>
                      <w:highlight w:val="none"/>
                      <w:vertAlign w:val="baseline"/>
                      <w:lang w:val="en-US" w:eastAsia="zh-CN"/>
                    </w:rPr>
                    <w:t>cm/s），或其他防渗性能等效的材料</w:t>
                  </w:r>
                </w:p>
              </w:tc>
            </w:tr>
            <w:tr w14:paraId="2FE3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87" w:type="pct"/>
                  <w:vMerge w:val="restart"/>
                  <w:tcBorders>
                    <w:tl2br w:val="nil"/>
                    <w:tr2bl w:val="nil"/>
                  </w:tcBorders>
                  <w:vAlign w:val="center"/>
                </w:tcPr>
                <w:p w14:paraId="7012618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一般防渗区</w:t>
                  </w:r>
                </w:p>
              </w:tc>
              <w:tc>
                <w:tcPr>
                  <w:tcW w:w="847" w:type="pct"/>
                  <w:tcBorders>
                    <w:tl2br w:val="nil"/>
                    <w:tr2bl w:val="nil"/>
                  </w:tcBorders>
                  <w:vAlign w:val="center"/>
                </w:tcPr>
                <w:p w14:paraId="7812260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生产车间</w:t>
                  </w:r>
                </w:p>
              </w:tc>
              <w:tc>
                <w:tcPr>
                  <w:tcW w:w="3365" w:type="pct"/>
                  <w:tcBorders>
                    <w:tl2br w:val="nil"/>
                    <w:tr2bl w:val="nil"/>
                  </w:tcBorders>
                  <w:vAlign w:val="center"/>
                </w:tcPr>
                <w:p w14:paraId="7FA56D2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等效黏土防渗层Mb≥1.5m，</w:t>
                  </w:r>
                  <w:r>
                    <w:rPr>
                      <w:rFonts w:hint="eastAsia" w:cs="Times New Roman"/>
                      <w:color w:val="auto"/>
                      <w:sz w:val="21"/>
                      <w:szCs w:val="21"/>
                      <w:highlight w:val="none"/>
                      <w:lang w:val="en-US" w:eastAsia="zh-CN"/>
                    </w:rPr>
                    <w:t>已做混凝土硬化，保证各单元</w:t>
                  </w:r>
                  <w:r>
                    <w:rPr>
                      <w:rFonts w:hint="default" w:hAnsi="宋体"/>
                      <w:color w:val="auto"/>
                      <w:sz w:val="21"/>
                      <w:szCs w:val="21"/>
                      <w:highlight w:val="none"/>
                    </w:rPr>
                    <w:t>防水层渗透系数</w:t>
                  </w:r>
                  <w:r>
                    <w:rPr>
                      <w:rFonts w:hint="default"/>
                      <w:color w:val="auto"/>
                      <w:sz w:val="21"/>
                      <w:szCs w:val="21"/>
                      <w:highlight w:val="none"/>
                    </w:rPr>
                    <w:t>≤10</w:t>
                  </w:r>
                  <w:r>
                    <w:rPr>
                      <w:rFonts w:hint="default"/>
                      <w:color w:val="auto"/>
                      <w:sz w:val="21"/>
                      <w:szCs w:val="21"/>
                      <w:highlight w:val="none"/>
                      <w:vertAlign w:val="superscript"/>
                    </w:rPr>
                    <w:t>-7</w:t>
                  </w:r>
                  <w:r>
                    <w:rPr>
                      <w:rFonts w:hint="default"/>
                      <w:color w:val="auto"/>
                      <w:sz w:val="21"/>
                      <w:szCs w:val="21"/>
                      <w:highlight w:val="none"/>
                    </w:rPr>
                    <w:t>cm/s</w:t>
                  </w:r>
                </w:p>
              </w:tc>
            </w:tr>
            <w:tr w14:paraId="594D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87" w:type="pct"/>
                  <w:vMerge w:val="continue"/>
                  <w:tcBorders>
                    <w:tl2br w:val="nil"/>
                    <w:tr2bl w:val="nil"/>
                  </w:tcBorders>
                  <w:vAlign w:val="center"/>
                </w:tcPr>
                <w:p w14:paraId="7F33DFF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color w:val="auto"/>
                      <w:sz w:val="21"/>
                      <w:szCs w:val="21"/>
                    </w:rPr>
                  </w:pPr>
                </w:p>
              </w:tc>
              <w:tc>
                <w:tcPr>
                  <w:tcW w:w="847" w:type="pct"/>
                  <w:tcBorders>
                    <w:tl2br w:val="nil"/>
                    <w:tr2bl w:val="nil"/>
                  </w:tcBorders>
                  <w:vAlign w:val="center"/>
                </w:tcPr>
                <w:p w14:paraId="5355A2B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洗车平台沉淀池</w:t>
                  </w:r>
                </w:p>
              </w:tc>
              <w:tc>
                <w:tcPr>
                  <w:tcW w:w="3365" w:type="pct"/>
                  <w:tcBorders>
                    <w:tl2br w:val="nil"/>
                    <w:tr2bl w:val="nil"/>
                  </w:tcBorders>
                  <w:vAlign w:val="center"/>
                </w:tcPr>
                <w:p w14:paraId="0E38CD1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rPr>
                    <w:t>采用刚性防渗结构，下铺1.0m砌砂石基层+粘土层，池底及四周铺设混凝土垫层，渗透系数为≤10</w:t>
                  </w:r>
                  <w:r>
                    <w:rPr>
                      <w:rFonts w:hint="eastAsia"/>
                      <w:color w:val="auto"/>
                      <w:sz w:val="21"/>
                      <w:szCs w:val="21"/>
                      <w:vertAlign w:val="superscript"/>
                    </w:rPr>
                    <w:t>-7</w:t>
                  </w:r>
                  <w:r>
                    <w:rPr>
                      <w:rFonts w:hint="eastAsia"/>
                      <w:color w:val="auto"/>
                      <w:sz w:val="21"/>
                      <w:szCs w:val="21"/>
                    </w:rPr>
                    <w:t>cm/s</w:t>
                  </w:r>
                </w:p>
              </w:tc>
            </w:tr>
            <w:tr w14:paraId="4AA2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87" w:type="pct"/>
                  <w:vMerge w:val="continue"/>
                  <w:tcBorders>
                    <w:tl2br w:val="nil"/>
                    <w:tr2bl w:val="nil"/>
                  </w:tcBorders>
                  <w:vAlign w:val="center"/>
                </w:tcPr>
                <w:p w14:paraId="13EBA40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color w:val="auto"/>
                      <w:sz w:val="21"/>
                      <w:szCs w:val="21"/>
                    </w:rPr>
                  </w:pPr>
                </w:p>
              </w:tc>
              <w:tc>
                <w:tcPr>
                  <w:tcW w:w="847" w:type="pct"/>
                  <w:tcBorders>
                    <w:tl2br w:val="nil"/>
                    <w:tr2bl w:val="nil"/>
                  </w:tcBorders>
                  <w:vAlign w:val="center"/>
                </w:tcPr>
                <w:p w14:paraId="3ECA627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初期雨水收集池</w:t>
                  </w:r>
                </w:p>
              </w:tc>
              <w:tc>
                <w:tcPr>
                  <w:tcW w:w="3365" w:type="pct"/>
                  <w:tcBorders>
                    <w:tl2br w:val="nil"/>
                    <w:tr2bl w:val="nil"/>
                  </w:tcBorders>
                  <w:vAlign w:val="center"/>
                </w:tcPr>
                <w:p w14:paraId="3300724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eastAsia"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池体和四周做混凝土硬化，</w:t>
                  </w:r>
                  <w:r>
                    <w:rPr>
                      <w:rFonts w:hint="default" w:ascii="Times New Roman" w:hAnsi="Times New Roman" w:eastAsia="宋体" w:cs="Times New Roman"/>
                      <w:color w:val="auto"/>
                      <w:sz w:val="21"/>
                      <w:szCs w:val="21"/>
                    </w:rPr>
                    <w:t>强度等级为C30，抗渗等级为P6，池体内表面刷防腐防渗涂料，基础土分层夯实</w:t>
                  </w:r>
                  <w:r>
                    <w:rPr>
                      <w:rFonts w:hint="eastAsia" w:cs="Times New Roman"/>
                      <w:color w:val="auto"/>
                      <w:sz w:val="21"/>
                      <w:szCs w:val="21"/>
                      <w:lang w:eastAsia="zh-CN"/>
                    </w:rPr>
                    <w:t>，</w:t>
                  </w:r>
                  <w:r>
                    <w:rPr>
                      <w:rFonts w:hint="eastAsia" w:ascii="Times New Roman" w:hAnsi="Times New Roman" w:eastAsia="宋体" w:cs="Times New Roman"/>
                      <w:color w:val="auto"/>
                      <w:spacing w:val="0"/>
                      <w:sz w:val="21"/>
                      <w:szCs w:val="21"/>
                      <w:highlight w:val="none"/>
                      <w:lang w:val="en-US" w:eastAsia="zh-CN"/>
                    </w:rPr>
                    <w:t>等效黏土防渗层Mb≥1.5m，</w:t>
                  </w:r>
                  <w:r>
                    <w:rPr>
                      <w:rFonts w:hint="eastAsia"/>
                      <w:color w:val="auto"/>
                      <w:sz w:val="21"/>
                      <w:szCs w:val="21"/>
                    </w:rPr>
                    <w:t>渗透系数为≤10</w:t>
                  </w:r>
                  <w:r>
                    <w:rPr>
                      <w:rFonts w:hint="eastAsia"/>
                      <w:color w:val="auto"/>
                      <w:sz w:val="21"/>
                      <w:szCs w:val="21"/>
                      <w:vertAlign w:val="superscript"/>
                    </w:rPr>
                    <w:t>-7</w:t>
                  </w:r>
                  <w:r>
                    <w:rPr>
                      <w:rFonts w:hint="eastAsia"/>
                      <w:color w:val="auto"/>
                      <w:sz w:val="21"/>
                      <w:szCs w:val="21"/>
                    </w:rPr>
                    <w:t>cm/s</w:t>
                  </w:r>
                </w:p>
              </w:tc>
            </w:tr>
            <w:tr w14:paraId="6E8B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87" w:type="pct"/>
                  <w:tcBorders>
                    <w:tl2br w:val="nil"/>
                    <w:tr2bl w:val="nil"/>
                  </w:tcBorders>
                  <w:vAlign w:val="center"/>
                </w:tcPr>
                <w:p w14:paraId="04F270F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简单防渗区</w:t>
                  </w:r>
                </w:p>
              </w:tc>
              <w:tc>
                <w:tcPr>
                  <w:tcW w:w="847" w:type="pct"/>
                  <w:tcBorders>
                    <w:tl2br w:val="nil"/>
                    <w:tr2bl w:val="nil"/>
                  </w:tcBorders>
                  <w:vAlign w:val="center"/>
                </w:tcPr>
                <w:p w14:paraId="7CF4D7D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厂区道路</w:t>
                  </w:r>
                </w:p>
              </w:tc>
              <w:tc>
                <w:tcPr>
                  <w:tcW w:w="3365" w:type="pct"/>
                  <w:tcBorders>
                    <w:tl2br w:val="nil"/>
                    <w:tr2bl w:val="nil"/>
                  </w:tcBorders>
                  <w:vAlign w:val="center"/>
                </w:tcPr>
                <w:p w14:paraId="323B866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20" w:lineRule="exact"/>
                    <w:ind w:left="0" w:right="0"/>
                    <w:jc w:val="both"/>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一般地面硬化，</w:t>
                  </w:r>
                  <w:r>
                    <w:rPr>
                      <w:rFonts w:hint="eastAsia" w:ascii="Times New Roman" w:hAnsi="Times New Roman" w:eastAsia="宋体" w:cs="Times New Roman"/>
                      <w:color w:val="auto"/>
                      <w:spacing w:val="-4"/>
                      <w:sz w:val="21"/>
                      <w:szCs w:val="21"/>
                      <w:lang w:val="en-US" w:eastAsia="zh-CN"/>
                    </w:rPr>
                    <w:t>沥青</w:t>
                  </w:r>
                  <w:r>
                    <w:rPr>
                      <w:rFonts w:hint="default" w:ascii="Times New Roman" w:hAnsi="Times New Roman" w:eastAsia="宋体" w:cs="Times New Roman"/>
                      <w:color w:val="auto"/>
                      <w:spacing w:val="-4"/>
                      <w:sz w:val="21"/>
                      <w:szCs w:val="21"/>
                    </w:rPr>
                    <w:t>混凝土硬化</w:t>
                  </w:r>
                  <w:r>
                    <w:rPr>
                      <w:rFonts w:hint="default" w:ascii="Times New Roman" w:hAnsi="Times New Roman" w:eastAsia="宋体" w:cs="Times New Roman"/>
                      <w:color w:val="auto"/>
                      <w:sz w:val="21"/>
                      <w:szCs w:val="21"/>
                    </w:rPr>
                    <w:t>；基础土分层夯实，压实系数不小于0.95</w:t>
                  </w:r>
                </w:p>
              </w:tc>
            </w:tr>
          </w:tbl>
          <w:p w14:paraId="5D51A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六、</w:t>
            </w:r>
            <w:r>
              <w:rPr>
                <w:rFonts w:hint="default" w:ascii="Times New Roman" w:hAnsi="Times New Roman" w:eastAsia="宋体" w:cs="Times New Roman"/>
                <w:b/>
                <w:color w:val="auto"/>
                <w:sz w:val="24"/>
                <w:szCs w:val="24"/>
                <w:highlight w:val="none"/>
              </w:rPr>
              <w:t>环境风险</w:t>
            </w:r>
            <w:r>
              <w:rPr>
                <w:rFonts w:hint="default" w:ascii="Times New Roman" w:hAnsi="Times New Roman" w:eastAsia="宋体" w:cs="Times New Roman"/>
                <w:b/>
                <w:color w:val="auto"/>
                <w:sz w:val="24"/>
                <w:szCs w:val="24"/>
                <w:highlight w:val="none"/>
                <w:lang w:val="en-US" w:eastAsia="zh-CN"/>
              </w:rPr>
              <w:t>评价</w:t>
            </w:r>
          </w:p>
          <w:p w14:paraId="63F8F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风险评价等级判定</w:t>
            </w:r>
          </w:p>
          <w:p w14:paraId="5D60C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）风险调查</w:t>
            </w:r>
          </w:p>
          <w:p w14:paraId="3458D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本评价风险识别范围从生产设施风险识别和生产过程所涉及的物质风险识别两方面着手。其中生产设施风险识别包括主要为贮运系统。</w:t>
            </w:r>
          </w:p>
          <w:p w14:paraId="404DC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通过对主要生产装置、生产过程的分析，结合原材料的物性及特点，常见的风险类型主要包括火灾、爆炸和泄漏三种类型。风险识别范围及类型分析见表4-1</w:t>
            </w:r>
            <w:r>
              <w:rPr>
                <w:rFonts w:hint="eastAsia" w:hAnsi="宋体"/>
                <w:bCs/>
                <w:color w:val="auto"/>
                <w:sz w:val="24"/>
                <w:lang w:val="en-US" w:eastAsia="zh-CN"/>
              </w:rPr>
              <w:t>4</w:t>
            </w:r>
            <w:r>
              <w:rPr>
                <w:rFonts w:hint="default" w:hAnsi="宋体"/>
                <w:bCs/>
                <w:color w:val="auto"/>
                <w:sz w:val="24"/>
              </w:rPr>
              <w:t>。</w:t>
            </w:r>
          </w:p>
          <w:p w14:paraId="318FC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b/>
                <w:bCs/>
                <w:color w:val="auto"/>
                <w:szCs w:val="21"/>
              </w:rPr>
            </w:pPr>
            <w:r>
              <w:rPr>
                <w:rFonts w:hint="default"/>
                <w:b/>
                <w:bCs/>
                <w:color w:val="auto"/>
                <w:szCs w:val="21"/>
              </w:rPr>
              <w:t>表4-1</w:t>
            </w:r>
            <w:r>
              <w:rPr>
                <w:rFonts w:hint="eastAsia"/>
                <w:b/>
                <w:bCs/>
                <w:color w:val="auto"/>
                <w:szCs w:val="21"/>
                <w:lang w:val="en-US" w:eastAsia="zh-CN"/>
              </w:rPr>
              <w:t>4</w:t>
            </w:r>
            <w:r>
              <w:rPr>
                <w:rFonts w:hint="eastAsia"/>
                <w:b/>
                <w:bCs/>
                <w:color w:val="auto"/>
                <w:szCs w:val="21"/>
              </w:rPr>
              <w:t xml:space="preserve"> </w:t>
            </w:r>
            <w:r>
              <w:rPr>
                <w:rFonts w:hint="default"/>
                <w:b/>
                <w:bCs/>
                <w:color w:val="auto"/>
                <w:szCs w:val="21"/>
              </w:rPr>
              <w:t xml:space="preserve"> 风险识别范围及类型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2086"/>
              <w:gridCol w:w="2926"/>
              <w:gridCol w:w="1900"/>
            </w:tblGrid>
            <w:tr w14:paraId="67EF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341" w:type="dxa"/>
                  <w:gridSpan w:val="2"/>
                  <w:tcBorders>
                    <w:tl2br w:val="nil"/>
                    <w:tr2bl w:val="nil"/>
                  </w:tcBorders>
                  <w:noWrap w:val="0"/>
                  <w:vAlign w:val="center"/>
                </w:tcPr>
                <w:p w14:paraId="10910F30">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lang w:bidi="ar"/>
                    </w:rPr>
                    <w:t>生产装置风险识别范围</w:t>
                  </w:r>
                </w:p>
              </w:tc>
              <w:tc>
                <w:tcPr>
                  <w:tcW w:w="2926" w:type="dxa"/>
                  <w:tcBorders>
                    <w:tl2br w:val="nil"/>
                    <w:tr2bl w:val="nil"/>
                  </w:tcBorders>
                  <w:noWrap w:val="0"/>
                  <w:vAlign w:val="center"/>
                </w:tcPr>
                <w:p w14:paraId="21BD11BB">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lang w:bidi="ar"/>
                    </w:rPr>
                    <w:t>物质风险识别范围</w:t>
                  </w:r>
                </w:p>
              </w:tc>
              <w:tc>
                <w:tcPr>
                  <w:tcW w:w="1900" w:type="dxa"/>
                  <w:tcBorders>
                    <w:tl2br w:val="nil"/>
                    <w:tr2bl w:val="nil"/>
                  </w:tcBorders>
                  <w:noWrap w:val="0"/>
                  <w:vAlign w:val="center"/>
                </w:tcPr>
                <w:p w14:paraId="0B17A19B">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lang w:bidi="ar"/>
                    </w:rPr>
                    <w:t>风险类别</w:t>
                  </w:r>
                </w:p>
              </w:tc>
            </w:tr>
            <w:tr w14:paraId="558D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55" w:type="dxa"/>
                  <w:tcBorders>
                    <w:tl2br w:val="nil"/>
                    <w:tr2bl w:val="nil"/>
                  </w:tcBorders>
                  <w:noWrap w:val="0"/>
                  <w:vAlign w:val="center"/>
                </w:tcPr>
                <w:p w14:paraId="42A07C0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lang w:bidi="ar"/>
                    </w:rPr>
                    <w:t>贮存系统</w:t>
                  </w:r>
                </w:p>
              </w:tc>
              <w:tc>
                <w:tcPr>
                  <w:tcW w:w="2086" w:type="dxa"/>
                  <w:tcBorders>
                    <w:tl2br w:val="nil"/>
                    <w:tr2bl w:val="nil"/>
                  </w:tcBorders>
                  <w:noWrap w:val="0"/>
                  <w:vAlign w:val="center"/>
                </w:tcPr>
                <w:p w14:paraId="6CA17A5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lang w:bidi="ar"/>
                    </w:rPr>
                    <w:t>危废贮存点</w:t>
                  </w:r>
                </w:p>
              </w:tc>
              <w:tc>
                <w:tcPr>
                  <w:tcW w:w="2926" w:type="dxa"/>
                  <w:tcBorders>
                    <w:tl2br w:val="nil"/>
                    <w:tr2bl w:val="nil"/>
                  </w:tcBorders>
                  <w:noWrap w:val="0"/>
                  <w:vAlign w:val="center"/>
                </w:tcPr>
                <w:p w14:paraId="76EE50F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lang w:bidi="ar"/>
                    </w:rPr>
                    <w:t>废</w:t>
                  </w:r>
                  <w:r>
                    <w:rPr>
                      <w:rFonts w:hint="eastAsia"/>
                      <w:color w:val="auto"/>
                      <w:szCs w:val="21"/>
                      <w:lang w:bidi="ar"/>
                    </w:rPr>
                    <w:t>矿物</w:t>
                  </w:r>
                  <w:r>
                    <w:rPr>
                      <w:rFonts w:hint="default"/>
                      <w:color w:val="auto"/>
                      <w:szCs w:val="21"/>
                      <w:lang w:bidi="ar"/>
                    </w:rPr>
                    <w:t>油</w:t>
                  </w:r>
                </w:p>
              </w:tc>
              <w:tc>
                <w:tcPr>
                  <w:tcW w:w="1900" w:type="dxa"/>
                  <w:tcBorders>
                    <w:tl2br w:val="nil"/>
                    <w:tr2bl w:val="nil"/>
                  </w:tcBorders>
                  <w:noWrap w:val="0"/>
                  <w:vAlign w:val="center"/>
                </w:tcPr>
                <w:p w14:paraId="7C4401E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lang w:bidi="ar"/>
                    </w:rPr>
                    <w:t>泄漏、火灾</w:t>
                  </w:r>
                </w:p>
              </w:tc>
            </w:tr>
          </w:tbl>
          <w:p w14:paraId="5BCAA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环境风险潜势初判</w:t>
            </w:r>
          </w:p>
          <w:p w14:paraId="574EC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根据《建设项目环境风险评价技术导则》（HJ 169-2018）附录B、附录C的有关规定，当存在多种危险物质时，则按式（C.1）计算物质总量与其临界量比值（Q）：</w:t>
            </w:r>
          </w:p>
          <w:p w14:paraId="08F3EC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Q=q1/Q1+ q2/Q2……+ qn/Qn</w:t>
            </w:r>
          </w:p>
          <w:p w14:paraId="6FA74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式中q1.q2…，qn为每种危险物质的最大存在总量，t；</w:t>
            </w:r>
          </w:p>
          <w:p w14:paraId="2E8F8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lang w:val="en-US"/>
              </w:rPr>
            </w:pPr>
            <w:r>
              <w:rPr>
                <w:rFonts w:hint="default" w:hAnsi="宋体"/>
                <w:bCs/>
                <w:color w:val="auto"/>
                <w:sz w:val="24"/>
              </w:rPr>
              <w:t>Q1.Q2…Qn为每种危险物质的临界量，t。</w:t>
            </w:r>
          </w:p>
          <w:p w14:paraId="1B7BF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5</w:t>
            </w:r>
            <w:r>
              <w:rPr>
                <w:rFonts w:hint="default" w:ascii="Times New Roman" w:hAnsi="Times New Roman" w:eastAsia="宋体" w:cs="Times New Roman"/>
                <w:b/>
                <w:bCs/>
                <w:color w:val="auto"/>
                <w:kern w:val="2"/>
                <w:sz w:val="21"/>
                <w:szCs w:val="21"/>
                <w:highlight w:val="none"/>
                <w:lang w:val="en-US" w:eastAsia="zh-CN" w:bidi="ar-SA"/>
              </w:rPr>
              <w:t xml:space="preserve">  重大危险源判定一览表</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1"/>
              <w:gridCol w:w="2291"/>
              <w:gridCol w:w="1972"/>
              <w:gridCol w:w="1864"/>
            </w:tblGrid>
            <w:tr w14:paraId="4D86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9" w:type="pct"/>
                  <w:tcBorders>
                    <w:tl2br w:val="nil"/>
                    <w:tr2bl w:val="nil"/>
                  </w:tcBorders>
                  <w:vAlign w:val="center"/>
                </w:tcPr>
                <w:p w14:paraId="6A39BC6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危险物质名称</w:t>
                  </w:r>
                </w:p>
              </w:tc>
              <w:tc>
                <w:tcPr>
                  <w:tcW w:w="1402" w:type="pct"/>
                  <w:tcBorders>
                    <w:tl2br w:val="nil"/>
                    <w:tr2bl w:val="nil"/>
                  </w:tcBorders>
                  <w:vAlign w:val="center"/>
                </w:tcPr>
                <w:p w14:paraId="0F774B8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物质总量（t）</w:t>
                  </w:r>
                </w:p>
              </w:tc>
              <w:tc>
                <w:tcPr>
                  <w:tcW w:w="1206" w:type="pct"/>
                  <w:tcBorders>
                    <w:tl2br w:val="nil"/>
                    <w:tr2bl w:val="nil"/>
                  </w:tcBorders>
                  <w:vAlign w:val="center"/>
                </w:tcPr>
                <w:p w14:paraId="58F19D4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临界量（t）</w:t>
                  </w:r>
                </w:p>
              </w:tc>
              <w:tc>
                <w:tcPr>
                  <w:tcW w:w="1141" w:type="pct"/>
                  <w:tcBorders>
                    <w:tl2br w:val="nil"/>
                    <w:tr2bl w:val="nil"/>
                  </w:tcBorders>
                  <w:vAlign w:val="center"/>
                </w:tcPr>
                <w:p w14:paraId="1EDE776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Q值</w:t>
                  </w:r>
                </w:p>
              </w:tc>
            </w:tr>
            <w:tr w14:paraId="7515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9" w:type="pct"/>
                  <w:tcBorders>
                    <w:tl2br w:val="nil"/>
                    <w:tr2bl w:val="nil"/>
                  </w:tcBorders>
                  <w:vAlign w:val="center"/>
                </w:tcPr>
                <w:p w14:paraId="1EFFA8A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废矿物油</w:t>
                  </w:r>
                </w:p>
              </w:tc>
              <w:tc>
                <w:tcPr>
                  <w:tcW w:w="1402" w:type="pct"/>
                  <w:tcBorders>
                    <w:tl2br w:val="nil"/>
                    <w:tr2bl w:val="nil"/>
                  </w:tcBorders>
                  <w:vAlign w:val="center"/>
                </w:tcPr>
                <w:p w14:paraId="0E2D417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w:t>
                  </w:r>
                </w:p>
              </w:tc>
              <w:tc>
                <w:tcPr>
                  <w:tcW w:w="1206" w:type="pct"/>
                  <w:tcBorders>
                    <w:tl2br w:val="nil"/>
                    <w:tr2bl w:val="nil"/>
                  </w:tcBorders>
                  <w:vAlign w:val="center"/>
                </w:tcPr>
                <w:p w14:paraId="641569B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5000</w:t>
                  </w:r>
                </w:p>
              </w:tc>
              <w:tc>
                <w:tcPr>
                  <w:tcW w:w="1141" w:type="pct"/>
                  <w:tcBorders>
                    <w:tl2br w:val="nil"/>
                    <w:tr2bl w:val="nil"/>
                  </w:tcBorders>
                  <w:vAlign w:val="center"/>
                </w:tcPr>
                <w:p w14:paraId="0AA84DFD">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0.000</w:t>
                  </w:r>
                  <w:r>
                    <w:rPr>
                      <w:rFonts w:hint="default" w:ascii="Times New Roman" w:hAnsi="Times New Roman" w:cs="Times New Roman"/>
                      <w:color w:val="auto"/>
                      <w:kern w:val="2"/>
                      <w:sz w:val="21"/>
                      <w:szCs w:val="21"/>
                      <w:highlight w:val="none"/>
                      <w:lang w:val="en-US" w:eastAsia="zh-CN" w:bidi="ar-SA"/>
                    </w:rPr>
                    <w:t>02</w:t>
                  </w:r>
                </w:p>
              </w:tc>
            </w:tr>
            <w:tr w14:paraId="1C60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58" w:type="pct"/>
                  <w:gridSpan w:val="3"/>
                  <w:tcBorders>
                    <w:tl2br w:val="nil"/>
                    <w:tr2bl w:val="nil"/>
                  </w:tcBorders>
                  <w:vAlign w:val="center"/>
                </w:tcPr>
                <w:p w14:paraId="6F3CDF6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合计</w:t>
                  </w:r>
                </w:p>
              </w:tc>
              <w:tc>
                <w:tcPr>
                  <w:tcW w:w="1141" w:type="pct"/>
                  <w:tcBorders>
                    <w:tl2br w:val="nil"/>
                    <w:tr2bl w:val="nil"/>
                  </w:tcBorders>
                  <w:vAlign w:val="center"/>
                </w:tcPr>
                <w:p w14:paraId="55EDCE2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0.00002</w:t>
                  </w:r>
                </w:p>
              </w:tc>
            </w:tr>
          </w:tbl>
          <w:p w14:paraId="4093A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经计算，Q&lt;1，本项目风险潜势为I，风险评价仅需简单分析，无需设置风险评价范围。</w:t>
            </w:r>
          </w:p>
          <w:p w14:paraId="06866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r>
              <w:rPr>
                <w:rFonts w:hint="eastAsia" w:hAnsi="宋体"/>
                <w:bCs/>
                <w:color w:val="auto"/>
                <w:sz w:val="24"/>
              </w:rPr>
              <w:t>②</w:t>
            </w:r>
            <w:r>
              <w:rPr>
                <w:rFonts w:hint="default" w:hAnsi="宋体"/>
                <w:bCs/>
                <w:color w:val="auto"/>
                <w:sz w:val="24"/>
              </w:rPr>
              <w:t>物质危险性识别</w:t>
            </w:r>
          </w:p>
          <w:p w14:paraId="1F6D3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风险物质的危险特性及理化性质见表4-</w:t>
            </w:r>
            <w:r>
              <w:rPr>
                <w:rFonts w:hint="eastAsia" w:hAnsi="宋体"/>
                <w:bCs/>
                <w:color w:val="auto"/>
                <w:sz w:val="24"/>
              </w:rPr>
              <w:t>1</w:t>
            </w:r>
            <w:r>
              <w:rPr>
                <w:rFonts w:hint="eastAsia" w:hAnsi="宋体"/>
                <w:bCs/>
                <w:color w:val="auto"/>
                <w:sz w:val="24"/>
                <w:lang w:val="en-US" w:eastAsia="zh-CN"/>
              </w:rPr>
              <w:t>6</w:t>
            </w:r>
            <w:r>
              <w:rPr>
                <w:rFonts w:hint="default" w:hAnsi="宋体"/>
                <w:bCs/>
                <w:color w:val="auto"/>
                <w:sz w:val="24"/>
              </w:rPr>
              <w:t>。</w:t>
            </w:r>
          </w:p>
          <w:p w14:paraId="55DF4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rPr>
                <w:rFonts w:hint="default" w:hAnsi="宋体"/>
                <w:bCs/>
                <w:color w:val="auto"/>
                <w:sz w:val="24"/>
              </w:rPr>
            </w:pPr>
          </w:p>
          <w:p w14:paraId="0CF8F81B">
            <w:pPr>
              <w:keepNext w:val="0"/>
              <w:keepLines w:val="0"/>
              <w:suppressLineNumbers w:val="0"/>
              <w:spacing w:before="0" w:beforeAutospacing="0" w:after="0" w:afterAutospacing="0" w:line="460" w:lineRule="exact"/>
              <w:ind w:left="0" w:right="0"/>
              <w:jc w:val="center"/>
              <w:rPr>
                <w:rFonts w:hint="default"/>
                <w:b/>
                <w:bCs/>
                <w:color w:val="auto"/>
                <w:szCs w:val="21"/>
              </w:rPr>
            </w:pPr>
            <w:r>
              <w:rPr>
                <w:rFonts w:hint="default"/>
                <w:b/>
                <w:bCs/>
                <w:color w:val="auto"/>
                <w:szCs w:val="21"/>
              </w:rPr>
              <w:t>表4-</w:t>
            </w:r>
            <w:r>
              <w:rPr>
                <w:rFonts w:hint="eastAsia"/>
                <w:b/>
                <w:bCs/>
                <w:color w:val="auto"/>
                <w:szCs w:val="21"/>
              </w:rPr>
              <w:t>1</w:t>
            </w:r>
            <w:r>
              <w:rPr>
                <w:rFonts w:hint="eastAsia"/>
                <w:b/>
                <w:bCs/>
                <w:color w:val="auto"/>
                <w:szCs w:val="21"/>
                <w:lang w:val="en-US" w:eastAsia="zh-CN"/>
              </w:rPr>
              <w:t xml:space="preserve">6 </w:t>
            </w:r>
            <w:r>
              <w:rPr>
                <w:rFonts w:hint="default"/>
                <w:b/>
                <w:bCs/>
                <w:color w:val="auto"/>
                <w:szCs w:val="21"/>
              </w:rPr>
              <w:t xml:space="preserve"> </w:t>
            </w:r>
            <w:r>
              <w:rPr>
                <w:rFonts w:hint="eastAsia"/>
                <w:b/>
                <w:bCs/>
                <w:color w:val="auto"/>
                <w:szCs w:val="21"/>
              </w:rPr>
              <w:t>废矿物</w:t>
            </w:r>
            <w:r>
              <w:rPr>
                <w:rFonts w:hint="default"/>
                <w:b/>
                <w:bCs/>
                <w:color w:val="auto"/>
                <w:szCs w:val="21"/>
              </w:rPr>
              <w:t>油（</w:t>
            </w:r>
            <w:r>
              <w:rPr>
                <w:rFonts w:hint="eastAsia"/>
                <w:b/>
                <w:bCs/>
                <w:color w:val="auto"/>
                <w:szCs w:val="21"/>
              </w:rPr>
              <w:t>矿物油</w:t>
            </w:r>
            <w:r>
              <w:rPr>
                <w:rFonts w:hint="default"/>
                <w:b/>
                <w:bCs/>
                <w:color w:val="auto"/>
                <w:szCs w:val="21"/>
              </w:rPr>
              <w:t>）理化性质及危险特性表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783"/>
              <w:gridCol w:w="1633"/>
              <w:gridCol w:w="1633"/>
              <w:gridCol w:w="1635"/>
            </w:tblGrid>
            <w:tr w14:paraId="5BC1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tcBorders>
                    <w:tl2br w:val="nil"/>
                    <w:tr2bl w:val="nil"/>
                  </w:tcBorders>
                  <w:noWrap w:val="0"/>
                  <w:vAlign w:val="center"/>
                </w:tcPr>
                <w:p w14:paraId="3AC179BF">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标识</w:t>
                  </w:r>
                </w:p>
              </w:tc>
              <w:tc>
                <w:tcPr>
                  <w:tcW w:w="1092" w:type="pct"/>
                  <w:tcBorders>
                    <w:tl2br w:val="nil"/>
                    <w:tr2bl w:val="nil"/>
                  </w:tcBorders>
                  <w:noWrap w:val="0"/>
                  <w:vAlign w:val="center"/>
                </w:tcPr>
                <w:p w14:paraId="4F844A7B">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名称</w:t>
                  </w:r>
                </w:p>
              </w:tc>
              <w:tc>
                <w:tcPr>
                  <w:tcW w:w="1000" w:type="pct"/>
                  <w:tcBorders>
                    <w:tl2br w:val="nil"/>
                    <w:tr2bl w:val="nil"/>
                  </w:tcBorders>
                  <w:noWrap w:val="0"/>
                  <w:vAlign w:val="center"/>
                </w:tcPr>
                <w:p w14:paraId="4E4B6A94">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废</w:t>
                  </w:r>
                  <w:r>
                    <w:rPr>
                      <w:rFonts w:hint="default" w:ascii="Times New Roman" w:hAnsi="Times New Roman" w:cs="Times New Roman"/>
                      <w:color w:val="auto"/>
                      <w:kern w:val="2"/>
                      <w:sz w:val="21"/>
                      <w:szCs w:val="21"/>
                      <w:lang w:bidi="ar"/>
                    </w:rPr>
                    <w:t>矿物</w:t>
                  </w:r>
                  <w:r>
                    <w:rPr>
                      <w:rFonts w:hint="default" w:ascii="Times New Roman" w:hAnsi="Times New Roman" w:cs="Times New Roman"/>
                      <w:color w:val="auto"/>
                      <w:sz w:val="21"/>
                      <w:szCs w:val="21"/>
                      <w:lang w:bidi="ar"/>
                    </w:rPr>
                    <w:t>油</w:t>
                  </w:r>
                </w:p>
              </w:tc>
              <w:tc>
                <w:tcPr>
                  <w:tcW w:w="1000" w:type="pct"/>
                  <w:tcBorders>
                    <w:tl2br w:val="nil"/>
                    <w:tr2bl w:val="nil"/>
                  </w:tcBorders>
                  <w:noWrap w:val="0"/>
                  <w:vAlign w:val="center"/>
                </w:tcPr>
                <w:p w14:paraId="69238C7B">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分子量</w:t>
                  </w:r>
                </w:p>
              </w:tc>
              <w:tc>
                <w:tcPr>
                  <w:tcW w:w="1001" w:type="pct"/>
                  <w:tcBorders>
                    <w:tl2br w:val="nil"/>
                    <w:tr2bl w:val="nil"/>
                  </w:tcBorders>
                  <w:noWrap w:val="0"/>
                  <w:vAlign w:val="center"/>
                </w:tcPr>
                <w:p w14:paraId="10EE4F20">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230-500</w:t>
                  </w:r>
                </w:p>
              </w:tc>
            </w:tr>
            <w:tr w14:paraId="6E11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vMerge w:val="restart"/>
                  <w:tcBorders>
                    <w:tl2br w:val="nil"/>
                    <w:tr2bl w:val="nil"/>
                  </w:tcBorders>
                  <w:noWrap w:val="0"/>
                  <w:vAlign w:val="center"/>
                </w:tcPr>
                <w:p w14:paraId="1D49864F">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理化性质</w:t>
                  </w:r>
                </w:p>
              </w:tc>
              <w:tc>
                <w:tcPr>
                  <w:tcW w:w="1092" w:type="pct"/>
                  <w:tcBorders>
                    <w:tl2br w:val="nil"/>
                    <w:tr2bl w:val="nil"/>
                  </w:tcBorders>
                  <w:noWrap w:val="0"/>
                  <w:vAlign w:val="center"/>
                </w:tcPr>
                <w:p w14:paraId="42583DF0">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性状</w:t>
                  </w:r>
                </w:p>
              </w:tc>
              <w:tc>
                <w:tcPr>
                  <w:tcW w:w="3001" w:type="pct"/>
                  <w:gridSpan w:val="3"/>
                  <w:tcBorders>
                    <w:tl2br w:val="nil"/>
                    <w:tr2bl w:val="nil"/>
                  </w:tcBorders>
                  <w:noWrap w:val="0"/>
                  <w:vAlign w:val="center"/>
                </w:tcPr>
                <w:p w14:paraId="3EA60B6A">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油状液体，淡黄色至褐色，无气味或略带异味</w:t>
                  </w:r>
                </w:p>
              </w:tc>
            </w:tr>
            <w:tr w14:paraId="1D27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vMerge w:val="continue"/>
                  <w:tcBorders>
                    <w:tl2br w:val="nil"/>
                    <w:tr2bl w:val="nil"/>
                  </w:tcBorders>
                  <w:noWrap w:val="0"/>
                  <w:vAlign w:val="center"/>
                </w:tcPr>
                <w:p w14:paraId="20EF0E5A">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092" w:type="pct"/>
                  <w:tcBorders>
                    <w:tl2br w:val="nil"/>
                    <w:tr2bl w:val="nil"/>
                  </w:tcBorders>
                  <w:noWrap w:val="0"/>
                  <w:vAlign w:val="center"/>
                </w:tcPr>
                <w:p w14:paraId="2BB6194A">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相对密度</w:t>
                  </w:r>
                </w:p>
              </w:tc>
              <w:tc>
                <w:tcPr>
                  <w:tcW w:w="1000" w:type="pct"/>
                  <w:tcBorders>
                    <w:tl2br w:val="nil"/>
                    <w:tr2bl w:val="nil"/>
                  </w:tcBorders>
                  <w:noWrap w:val="0"/>
                  <w:vAlign w:val="center"/>
                </w:tcPr>
                <w:p w14:paraId="3A23FB03">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w:t>
                  </w:r>
                </w:p>
              </w:tc>
              <w:tc>
                <w:tcPr>
                  <w:tcW w:w="1000" w:type="pct"/>
                  <w:tcBorders>
                    <w:tl2br w:val="nil"/>
                    <w:tr2bl w:val="nil"/>
                  </w:tcBorders>
                  <w:noWrap w:val="0"/>
                  <w:vAlign w:val="center"/>
                </w:tcPr>
                <w:p w14:paraId="5986C381">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溶解性</w:t>
                  </w:r>
                </w:p>
              </w:tc>
              <w:tc>
                <w:tcPr>
                  <w:tcW w:w="1001" w:type="pct"/>
                  <w:tcBorders>
                    <w:tl2br w:val="nil"/>
                    <w:tr2bl w:val="nil"/>
                  </w:tcBorders>
                  <w:noWrap w:val="0"/>
                  <w:vAlign w:val="center"/>
                </w:tcPr>
                <w:p w14:paraId="402FDADB">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不溶于水</w:t>
                  </w:r>
                </w:p>
              </w:tc>
            </w:tr>
            <w:tr w14:paraId="200B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vMerge w:val="restart"/>
                  <w:tcBorders>
                    <w:tl2br w:val="nil"/>
                    <w:tr2bl w:val="nil"/>
                  </w:tcBorders>
                  <w:noWrap w:val="0"/>
                  <w:vAlign w:val="center"/>
                </w:tcPr>
                <w:p w14:paraId="755513FB">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燃烧爆炸危险性</w:t>
                  </w:r>
                </w:p>
              </w:tc>
              <w:tc>
                <w:tcPr>
                  <w:tcW w:w="1092" w:type="pct"/>
                  <w:tcBorders>
                    <w:tl2br w:val="nil"/>
                    <w:tr2bl w:val="nil"/>
                  </w:tcBorders>
                  <w:noWrap w:val="0"/>
                  <w:vAlign w:val="center"/>
                </w:tcPr>
                <w:p w14:paraId="41BA9239">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燃烧性</w:t>
                  </w:r>
                </w:p>
              </w:tc>
              <w:tc>
                <w:tcPr>
                  <w:tcW w:w="1000" w:type="pct"/>
                  <w:tcBorders>
                    <w:tl2br w:val="nil"/>
                    <w:tr2bl w:val="nil"/>
                  </w:tcBorders>
                  <w:noWrap w:val="0"/>
                  <w:vAlign w:val="center"/>
                </w:tcPr>
                <w:p w14:paraId="729A292C">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可燃</w:t>
                  </w:r>
                </w:p>
              </w:tc>
              <w:tc>
                <w:tcPr>
                  <w:tcW w:w="1000" w:type="pct"/>
                  <w:tcBorders>
                    <w:tl2br w:val="nil"/>
                    <w:tr2bl w:val="nil"/>
                  </w:tcBorders>
                  <w:noWrap w:val="0"/>
                  <w:vAlign w:val="center"/>
                </w:tcPr>
                <w:p w14:paraId="6B0D58FE">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闪点</w:t>
                  </w:r>
                </w:p>
              </w:tc>
              <w:tc>
                <w:tcPr>
                  <w:tcW w:w="1001" w:type="pct"/>
                  <w:tcBorders>
                    <w:tl2br w:val="nil"/>
                    <w:tr2bl w:val="nil"/>
                  </w:tcBorders>
                  <w:noWrap w:val="0"/>
                  <w:vAlign w:val="center"/>
                </w:tcPr>
                <w:p w14:paraId="7724D45D">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76</w:t>
                  </w:r>
                </w:p>
              </w:tc>
            </w:tr>
            <w:tr w14:paraId="454B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vMerge w:val="continue"/>
                  <w:tcBorders>
                    <w:tl2br w:val="nil"/>
                    <w:tr2bl w:val="nil"/>
                  </w:tcBorders>
                  <w:noWrap w:val="0"/>
                  <w:vAlign w:val="center"/>
                </w:tcPr>
                <w:p w14:paraId="4FFFC0C7">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092" w:type="pct"/>
                  <w:tcBorders>
                    <w:tl2br w:val="nil"/>
                    <w:tr2bl w:val="nil"/>
                  </w:tcBorders>
                  <w:noWrap w:val="0"/>
                  <w:vAlign w:val="center"/>
                </w:tcPr>
                <w:p w14:paraId="271FCBB3">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引燃温度</w:t>
                  </w:r>
                </w:p>
              </w:tc>
              <w:tc>
                <w:tcPr>
                  <w:tcW w:w="1000" w:type="pct"/>
                  <w:tcBorders>
                    <w:tl2br w:val="nil"/>
                    <w:tr2bl w:val="nil"/>
                  </w:tcBorders>
                  <w:noWrap w:val="0"/>
                  <w:vAlign w:val="center"/>
                </w:tcPr>
                <w:p w14:paraId="071BFA31">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248</w:t>
                  </w:r>
                </w:p>
              </w:tc>
              <w:tc>
                <w:tcPr>
                  <w:tcW w:w="1000" w:type="pct"/>
                  <w:tcBorders>
                    <w:tl2br w:val="nil"/>
                    <w:tr2bl w:val="nil"/>
                  </w:tcBorders>
                  <w:noWrap w:val="0"/>
                  <w:vAlign w:val="center"/>
                </w:tcPr>
                <w:p w14:paraId="1D4B5872">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危险特性</w:t>
                  </w:r>
                </w:p>
              </w:tc>
              <w:tc>
                <w:tcPr>
                  <w:tcW w:w="1001" w:type="pct"/>
                  <w:tcBorders>
                    <w:tl2br w:val="nil"/>
                    <w:tr2bl w:val="nil"/>
                  </w:tcBorders>
                  <w:noWrap w:val="0"/>
                  <w:vAlign w:val="center"/>
                </w:tcPr>
                <w:p w14:paraId="1A79110D">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遇明火、高温可燃</w:t>
                  </w:r>
                </w:p>
              </w:tc>
            </w:tr>
            <w:tr w14:paraId="731C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vMerge w:val="continue"/>
                  <w:tcBorders>
                    <w:tl2br w:val="nil"/>
                    <w:tr2bl w:val="nil"/>
                  </w:tcBorders>
                  <w:noWrap w:val="0"/>
                  <w:vAlign w:val="center"/>
                </w:tcPr>
                <w:p w14:paraId="2B163239">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092" w:type="pct"/>
                  <w:tcBorders>
                    <w:tl2br w:val="nil"/>
                    <w:tr2bl w:val="nil"/>
                  </w:tcBorders>
                  <w:noWrap w:val="0"/>
                  <w:vAlign w:val="center"/>
                </w:tcPr>
                <w:p w14:paraId="2E45BD89">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灭火方法</w:t>
                  </w:r>
                </w:p>
              </w:tc>
              <w:tc>
                <w:tcPr>
                  <w:tcW w:w="3001" w:type="pct"/>
                  <w:gridSpan w:val="3"/>
                  <w:tcBorders>
                    <w:tl2br w:val="nil"/>
                    <w:tr2bl w:val="nil"/>
                  </w:tcBorders>
                  <w:noWrap w:val="0"/>
                  <w:vAlign w:val="center"/>
                </w:tcPr>
                <w:p w14:paraId="4567B099">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消防人员须佩戴防毒面具、全身消防服，在上风向灭火。尽可能将容器从火场移至空旷处。喷水保持火场容器冷却，直至灭火结束。</w:t>
                  </w:r>
                </w:p>
                <w:p w14:paraId="247E3591">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灭火剂：雾状水、泡沫、干粉、二氧化碳、砂土</w:t>
                  </w:r>
                </w:p>
              </w:tc>
            </w:tr>
            <w:tr w14:paraId="195F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vMerge w:val="continue"/>
                  <w:tcBorders>
                    <w:tl2br w:val="nil"/>
                    <w:tr2bl w:val="nil"/>
                  </w:tcBorders>
                  <w:noWrap w:val="0"/>
                  <w:vAlign w:val="center"/>
                </w:tcPr>
                <w:p w14:paraId="399EB11B">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092" w:type="pct"/>
                  <w:tcBorders>
                    <w:tl2br w:val="nil"/>
                    <w:tr2bl w:val="nil"/>
                  </w:tcBorders>
                  <w:noWrap w:val="0"/>
                  <w:vAlign w:val="center"/>
                </w:tcPr>
                <w:p w14:paraId="57E3E694">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聚合危害</w:t>
                  </w:r>
                </w:p>
              </w:tc>
              <w:tc>
                <w:tcPr>
                  <w:tcW w:w="1000" w:type="pct"/>
                  <w:tcBorders>
                    <w:tl2br w:val="nil"/>
                    <w:tr2bl w:val="nil"/>
                  </w:tcBorders>
                  <w:noWrap w:val="0"/>
                  <w:vAlign w:val="center"/>
                </w:tcPr>
                <w:p w14:paraId="08390754">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不聚合</w:t>
                  </w:r>
                </w:p>
              </w:tc>
              <w:tc>
                <w:tcPr>
                  <w:tcW w:w="1000" w:type="pct"/>
                  <w:tcBorders>
                    <w:tl2br w:val="nil"/>
                    <w:tr2bl w:val="nil"/>
                  </w:tcBorders>
                  <w:noWrap w:val="0"/>
                  <w:vAlign w:val="center"/>
                </w:tcPr>
                <w:p w14:paraId="50CC502D">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稳定性</w:t>
                  </w:r>
                </w:p>
              </w:tc>
              <w:tc>
                <w:tcPr>
                  <w:tcW w:w="1001" w:type="pct"/>
                  <w:tcBorders>
                    <w:tl2br w:val="nil"/>
                    <w:tr2bl w:val="nil"/>
                  </w:tcBorders>
                  <w:noWrap w:val="0"/>
                  <w:vAlign w:val="center"/>
                </w:tcPr>
                <w:p w14:paraId="3FC3E498">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稳定</w:t>
                  </w:r>
                </w:p>
              </w:tc>
            </w:tr>
            <w:tr w14:paraId="3F08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tcBorders>
                    <w:tl2br w:val="nil"/>
                    <w:tr2bl w:val="nil"/>
                  </w:tcBorders>
                  <w:noWrap w:val="0"/>
                  <w:vAlign w:val="center"/>
                </w:tcPr>
                <w:p w14:paraId="1CA9E4A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急救措施</w:t>
                  </w:r>
                </w:p>
              </w:tc>
              <w:tc>
                <w:tcPr>
                  <w:tcW w:w="4093" w:type="pct"/>
                  <w:gridSpan w:val="4"/>
                  <w:tcBorders>
                    <w:tl2br w:val="nil"/>
                    <w:tr2bl w:val="nil"/>
                  </w:tcBorders>
                  <w:noWrap w:val="0"/>
                  <w:vAlign w:val="center"/>
                </w:tcPr>
                <w:p w14:paraId="6ABD588B">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吸入：迅速脱离现场至空气新鲜处。保持呼吸道通畅。如呼吸困难，给输氧，如呼吸停止，立即进行人工呼吸，就医。</w:t>
                  </w:r>
                </w:p>
                <w:p w14:paraId="7DC1E752">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眼睛接触：眼睛接触导致冻伤或冻灼伤，立即浸入温水中，用不超过41℃的热水洗，如若没有浸洗条件，用大量温水至少冲洗15分钟。提起眼睑，并充分清洗。如没有医学建议，请勿使用药膏，马上就医。</w:t>
                  </w:r>
                </w:p>
                <w:p w14:paraId="0D42C278">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皮肤接触：立即脱去被污染衣着，用大量清水冲洗</w:t>
                  </w:r>
                </w:p>
                <w:p w14:paraId="711EACA8">
                  <w:pPr>
                    <w:pStyle w:val="20"/>
                    <w:keepNext w:val="0"/>
                    <w:keepLines w:val="0"/>
                    <w:widowControl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lang w:bidi="ar"/>
                    </w:rPr>
                    <w:t>食入：饮足量温水，催吐，就医</w:t>
                  </w:r>
                </w:p>
              </w:tc>
            </w:tr>
            <w:tr w14:paraId="1A81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tcBorders>
                    <w:tl2br w:val="nil"/>
                    <w:tr2bl w:val="nil"/>
                  </w:tcBorders>
                  <w:noWrap w:val="0"/>
                  <w:vAlign w:val="center"/>
                </w:tcPr>
                <w:p w14:paraId="0BB3D7D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泄漏应急处理</w:t>
                  </w:r>
                </w:p>
              </w:tc>
              <w:tc>
                <w:tcPr>
                  <w:tcW w:w="4093" w:type="pct"/>
                  <w:gridSpan w:val="4"/>
                  <w:tcBorders>
                    <w:tl2br w:val="nil"/>
                    <w:tr2bl w:val="nil"/>
                  </w:tcBorders>
                  <w:noWrap w:val="0"/>
                  <w:vAlign w:val="center"/>
                </w:tcPr>
                <w:p w14:paraId="18A5351B">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应急行动：迅速撤离泄漏污染区人员至安全区，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将漏气的容器移至空旷处，注意通风，漏气容器要妥善处理。修复、检验后再用。</w:t>
                  </w:r>
                </w:p>
              </w:tc>
            </w:tr>
            <w:tr w14:paraId="6E9D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tcBorders>
                    <w:tl2br w:val="nil"/>
                    <w:tr2bl w:val="nil"/>
                  </w:tcBorders>
                  <w:noWrap w:val="0"/>
                  <w:vAlign w:val="center"/>
                </w:tcPr>
                <w:p w14:paraId="22768C2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注意事项</w:t>
                  </w:r>
                </w:p>
              </w:tc>
              <w:tc>
                <w:tcPr>
                  <w:tcW w:w="4093" w:type="pct"/>
                  <w:gridSpan w:val="4"/>
                  <w:tcBorders>
                    <w:tl2br w:val="nil"/>
                    <w:tr2bl w:val="nil"/>
                  </w:tcBorders>
                  <w:noWrap w:val="0"/>
                  <w:vAlign w:val="center"/>
                </w:tcPr>
                <w:p w14:paraId="1CF6A14C">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应远离火种、热源，温度不宜超过30℃。采用防爆型照明、通风设施。禁止使用易产生火花的机械设备和工具。应备有泄漏应急处理设备。</w:t>
                  </w:r>
                </w:p>
              </w:tc>
            </w:tr>
            <w:tr w14:paraId="1683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tcBorders>
                    <w:tl2br w:val="nil"/>
                    <w:tr2bl w:val="nil"/>
                  </w:tcBorders>
                  <w:noWrap w:val="0"/>
                  <w:vAlign w:val="center"/>
                </w:tcPr>
                <w:p w14:paraId="798F7B4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操作处置</w:t>
                  </w:r>
                </w:p>
              </w:tc>
              <w:tc>
                <w:tcPr>
                  <w:tcW w:w="4093" w:type="pct"/>
                  <w:gridSpan w:val="4"/>
                  <w:tcBorders>
                    <w:tl2br w:val="nil"/>
                    <w:tr2bl w:val="nil"/>
                  </w:tcBorders>
                  <w:noWrap w:val="0"/>
                  <w:vAlign w:val="center"/>
                </w:tcPr>
                <w:p w14:paraId="7B42FAFA">
                  <w:pPr>
                    <w:pStyle w:val="20"/>
                    <w:keepNext w:val="0"/>
                    <w:keepLines w:val="0"/>
                    <w:widowControl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密闭操作，加强通风。操作人员必须经过专门培训，严格遵守操作规程，远离火种、热源，工作现场严禁吸烟。</w:t>
                  </w:r>
                </w:p>
              </w:tc>
            </w:tr>
          </w:tbl>
          <w:p w14:paraId="49F214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环境风险分析</w:t>
            </w:r>
          </w:p>
          <w:p w14:paraId="7E64BDFB">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影响途径：</w:t>
            </w:r>
            <w:r>
              <w:rPr>
                <w:rFonts w:hint="eastAsia" w:hAnsi="宋体"/>
                <w:bCs/>
                <w:color w:val="auto"/>
                <w:sz w:val="24"/>
              </w:rPr>
              <w:t>①</w:t>
            </w:r>
            <w:r>
              <w:rPr>
                <w:rFonts w:hint="default" w:hAnsi="宋体"/>
                <w:bCs/>
                <w:color w:val="auto"/>
                <w:sz w:val="24"/>
              </w:rPr>
              <w:t>废矿物油</w:t>
            </w:r>
            <w:r>
              <w:rPr>
                <w:rFonts w:hint="eastAsia" w:hAnsi="宋体"/>
                <w:bCs/>
                <w:color w:val="auto"/>
                <w:sz w:val="24"/>
              </w:rPr>
              <w:t>（矿物油）</w:t>
            </w:r>
            <w:r>
              <w:rPr>
                <w:rFonts w:hint="default" w:hAnsi="宋体"/>
                <w:bCs/>
                <w:color w:val="auto"/>
                <w:sz w:val="24"/>
              </w:rPr>
              <w:t>泄漏直接对边土壤和水体环境产生影响；</w:t>
            </w:r>
            <w:r>
              <w:rPr>
                <w:rFonts w:hint="eastAsia" w:hAnsi="宋体"/>
                <w:bCs/>
                <w:color w:val="auto"/>
                <w:sz w:val="24"/>
              </w:rPr>
              <w:t>②</w:t>
            </w:r>
            <w:r>
              <w:rPr>
                <w:rFonts w:hint="default" w:hAnsi="宋体"/>
                <w:bCs/>
                <w:color w:val="auto"/>
                <w:sz w:val="24"/>
              </w:rPr>
              <w:t>废矿物油</w:t>
            </w:r>
            <w:r>
              <w:rPr>
                <w:rFonts w:hint="eastAsia" w:hAnsi="宋体"/>
                <w:bCs/>
                <w:color w:val="auto"/>
                <w:sz w:val="24"/>
              </w:rPr>
              <w:t>（矿物油）</w:t>
            </w:r>
            <w:r>
              <w:rPr>
                <w:rFonts w:hint="default" w:hAnsi="宋体"/>
                <w:bCs/>
                <w:color w:val="auto"/>
                <w:sz w:val="24"/>
              </w:rPr>
              <w:t>燃烧产生的废气及消防废水间接对大气环境、地表水环境及地下水环境产生影响。</w:t>
            </w:r>
          </w:p>
          <w:p w14:paraId="24461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hAnsi="宋体"/>
                <w:bCs/>
                <w:color w:val="auto"/>
                <w:sz w:val="24"/>
              </w:rPr>
              <w:t>危害后果：废矿物油</w:t>
            </w:r>
            <w:r>
              <w:rPr>
                <w:rFonts w:hint="eastAsia" w:hAnsi="宋体"/>
                <w:bCs/>
                <w:color w:val="auto"/>
                <w:sz w:val="24"/>
              </w:rPr>
              <w:t>（矿物油）</w:t>
            </w:r>
            <w:r>
              <w:rPr>
                <w:rFonts w:hint="default" w:hAnsi="宋体"/>
                <w:bCs/>
                <w:color w:val="auto"/>
                <w:sz w:val="24"/>
              </w:rPr>
              <w:t>泄漏后若发生燃烧，会产生有毒有害的气体，使得当地环境空气造成严重污染，对人群健康造成极大危害</w:t>
            </w:r>
            <w:r>
              <w:rPr>
                <w:rFonts w:hint="default" w:ascii="Times New Roman" w:hAnsi="Times New Roman" w:eastAsia="宋体" w:cs="Times New Roman"/>
                <w:color w:val="auto"/>
                <w:sz w:val="24"/>
                <w:szCs w:val="24"/>
                <w:highlight w:val="none"/>
                <w:lang w:val="en-US" w:eastAsia="zh-CN"/>
              </w:rPr>
              <w:t>。</w:t>
            </w:r>
          </w:p>
          <w:p w14:paraId="3AE945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环境风险防范措施</w:t>
            </w:r>
          </w:p>
          <w:p w14:paraId="2F78DC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废矿物油</w:t>
            </w:r>
            <w:r>
              <w:rPr>
                <w:rFonts w:hint="eastAsia"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lang w:val="en-US" w:eastAsia="zh-CN"/>
              </w:rPr>
              <w:t>泄漏风险防范和应急措施</w:t>
            </w:r>
          </w:p>
          <w:p w14:paraId="19DB7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z w:val="24"/>
                <w:szCs w:val="24"/>
                <w:highlight w:val="none"/>
                <w:lang w:val="en-US" w:eastAsia="zh-CN"/>
              </w:rPr>
              <w:t>项目危废贮存点设围堰物料集中储存，专人管理，定期巡查，发生废矿物油泄漏时及时对泄漏处进行围堵，防止废矿物油外排至厂区外，检查泄漏处，紧急维修，泄漏处维修完毕后对泄漏废矿物油进行收集，交由有资质单位合理处置，泄漏处洗消废水拉运至污水处理厂处理。</w:t>
            </w:r>
          </w:p>
          <w:p w14:paraId="1FB1C8E7">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eastAsia="zh-CN"/>
              </w:rPr>
              <w:t>）</w:t>
            </w:r>
            <w:r>
              <w:rPr>
                <w:rFonts w:hint="default" w:hAnsi="宋体"/>
                <w:bCs/>
                <w:color w:val="auto"/>
                <w:sz w:val="24"/>
              </w:rPr>
              <w:t>物料的环境保护、安全与劳动保护措施</w:t>
            </w:r>
          </w:p>
          <w:p w14:paraId="4694994E">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急救与治疗主要治疗原则如下：</w:t>
            </w:r>
          </w:p>
          <w:p w14:paraId="7D2BFA73">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eastAsia" w:hAnsi="宋体"/>
                <w:bCs/>
                <w:color w:val="auto"/>
                <w:sz w:val="24"/>
              </w:rPr>
              <w:t>①</w:t>
            </w:r>
            <w:r>
              <w:rPr>
                <w:rFonts w:hint="default" w:hAnsi="宋体"/>
                <w:bCs/>
                <w:color w:val="auto"/>
                <w:sz w:val="24"/>
              </w:rPr>
              <w:t>吸入：迅速脱离现场至空气新鲜处。保持呼吸道通畅。如呼吸困难，给输氧。如呼吸停止，立即进行人工呼吸。就医；食入：饮足量温水，催吐，用清水或1%硫代硫酸钠溶液洗胃。就医。</w:t>
            </w:r>
          </w:p>
          <w:p w14:paraId="7A355FA3">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eastAsia" w:hAnsi="宋体"/>
                <w:bCs/>
                <w:color w:val="auto"/>
                <w:sz w:val="24"/>
              </w:rPr>
              <w:t>②</w:t>
            </w:r>
            <w:r>
              <w:rPr>
                <w:rFonts w:hint="default" w:hAnsi="宋体"/>
                <w:bCs/>
                <w:color w:val="auto"/>
                <w:sz w:val="24"/>
              </w:rPr>
              <w:t>灭火方法：尽可能将容器从火场移至空旷处。喷水保持火场容器冷却，直至灭火结束。处在火场中的容器若已变色或从安全泄压装置中产生声音，必须马上撤离。灭火剂：抗溶性泡沫、干粉、二氧化碳、砂土。</w:t>
            </w:r>
          </w:p>
          <w:p w14:paraId="1B25D61A">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default" w:hAnsi="宋体"/>
                <w:bCs/>
                <w:color w:val="auto"/>
                <w:sz w:val="24"/>
              </w:rPr>
              <w:t>安全与劳动保护措施：</w:t>
            </w:r>
          </w:p>
          <w:p w14:paraId="5627E6E3">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eastAsia" w:hAnsi="宋体"/>
                <w:bCs/>
                <w:color w:val="auto"/>
                <w:sz w:val="24"/>
              </w:rPr>
              <w:t>①</w:t>
            </w:r>
            <w:r>
              <w:rPr>
                <w:rFonts w:hint="default" w:hAnsi="宋体"/>
                <w:bCs/>
                <w:color w:val="auto"/>
                <w:sz w:val="24"/>
              </w:rPr>
              <w:t>呼吸系统防护：可能接触其蒸气时，应该佩戴过滤式防毒面罩(半面罩)。紧急事态抢救或撤离时，建议佩戴空气呼吸器。</w:t>
            </w:r>
          </w:p>
          <w:p w14:paraId="49A7C47A">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eastAsia" w:hAnsi="宋体"/>
                <w:bCs/>
                <w:color w:val="auto"/>
                <w:sz w:val="24"/>
              </w:rPr>
              <w:t>②</w:t>
            </w:r>
            <w:r>
              <w:rPr>
                <w:rFonts w:hint="default" w:hAnsi="宋体"/>
                <w:bCs/>
                <w:color w:val="auto"/>
                <w:sz w:val="24"/>
              </w:rPr>
              <w:t>眼睛防护：戴化学安全防护眼镜。</w:t>
            </w:r>
          </w:p>
          <w:p w14:paraId="49DABDA2">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eastAsia" w:hAnsi="宋体"/>
                <w:bCs/>
                <w:color w:val="auto"/>
                <w:sz w:val="24"/>
              </w:rPr>
              <w:t>③</w:t>
            </w:r>
            <w:r>
              <w:rPr>
                <w:rFonts w:hint="default" w:hAnsi="宋体"/>
                <w:bCs/>
                <w:color w:val="auto"/>
                <w:sz w:val="24"/>
              </w:rPr>
              <w:t>身体防护：穿防静电工作服。</w:t>
            </w:r>
          </w:p>
          <w:p w14:paraId="0BAB98E8">
            <w:pPr>
              <w:keepNext w:val="0"/>
              <w:keepLines w:val="0"/>
              <w:suppressLineNumbers w:val="0"/>
              <w:spacing w:before="0" w:beforeAutospacing="0" w:after="0" w:afterAutospacing="0" w:line="480" w:lineRule="exact"/>
              <w:ind w:left="0" w:right="0" w:firstLine="480" w:firstLineChars="200"/>
              <w:rPr>
                <w:rFonts w:hint="default" w:hAnsi="宋体"/>
                <w:bCs/>
                <w:color w:val="auto"/>
                <w:sz w:val="24"/>
              </w:rPr>
            </w:pPr>
            <w:r>
              <w:rPr>
                <w:rFonts w:hint="eastAsia" w:hAnsi="宋体"/>
                <w:bCs/>
                <w:color w:val="auto"/>
                <w:sz w:val="24"/>
              </w:rPr>
              <w:t>④</w:t>
            </w:r>
            <w:r>
              <w:rPr>
                <w:rFonts w:hint="default" w:hAnsi="宋体"/>
                <w:bCs/>
                <w:color w:val="auto"/>
                <w:sz w:val="24"/>
              </w:rPr>
              <w:t>手防护：戴橡胶手套。</w:t>
            </w:r>
          </w:p>
          <w:p w14:paraId="478A874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eastAsia" w:hAnsi="宋体"/>
                <w:bCs/>
                <w:color w:val="auto"/>
                <w:sz w:val="24"/>
              </w:rPr>
              <w:t>⑤</w:t>
            </w:r>
            <w:r>
              <w:rPr>
                <w:rFonts w:hint="default" w:hAnsi="宋体"/>
                <w:bCs/>
                <w:color w:val="auto"/>
                <w:sz w:val="24"/>
              </w:rPr>
              <w:t>其它：工作现场禁止吸烟、进食和饮水。实行就业前和定期的体检。企业需按要求</w:t>
            </w:r>
            <w:r>
              <w:rPr>
                <w:rFonts w:hint="eastAsia" w:hAnsi="宋体"/>
                <w:bCs/>
                <w:color w:val="auto"/>
                <w:sz w:val="24"/>
              </w:rPr>
              <w:t>编制突发环境事件应急预案并按要求配备应急资源、进行应急演练等</w:t>
            </w:r>
            <w:r>
              <w:rPr>
                <w:rFonts w:hint="default" w:ascii="Times New Roman" w:hAnsi="Times New Roman" w:eastAsia="宋体" w:cs="Times New Roman"/>
                <w:color w:val="auto"/>
                <w:spacing w:val="0"/>
                <w:sz w:val="24"/>
                <w:szCs w:val="24"/>
                <w:highlight w:val="none"/>
                <w:lang w:val="en-US" w:eastAsia="zh-CN"/>
              </w:rPr>
              <w:t>。</w:t>
            </w:r>
          </w:p>
          <w:p w14:paraId="7AE69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bookmarkStart w:id="9" w:name="_Toc179601982"/>
            <w:bookmarkStart w:id="10" w:name="_Toc219170345"/>
            <w:bookmarkStart w:id="11" w:name="_Toc222586620"/>
            <w:bookmarkStart w:id="12" w:name="_Toc157591136"/>
            <w:bookmarkStart w:id="13" w:name="_Toc164788227"/>
            <w:bookmarkStart w:id="14" w:name="_Toc306609410"/>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环境风险应急预案</w:t>
            </w:r>
            <w:bookmarkEnd w:id="9"/>
            <w:bookmarkEnd w:id="10"/>
            <w:bookmarkEnd w:id="11"/>
            <w:bookmarkEnd w:id="12"/>
            <w:bookmarkEnd w:id="13"/>
            <w:bookmarkEnd w:id="14"/>
          </w:p>
          <w:p w14:paraId="1B07B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对可能发生的事故，应制定应急计划，使各部门在事故发生后能有步骤、有秩序地采取各项应急措施。</w:t>
            </w:r>
          </w:p>
          <w:p w14:paraId="6F657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（1）事故发生后，应根据具体情况采取应急措施，切断泄漏源、火源，控制事故扩大，同时通知控制室，根据事故类型、大小启动相应的应急预案；</w:t>
            </w:r>
          </w:p>
          <w:p w14:paraId="70AE55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（2）发生重大事故，应立即上报相关部门，启动社会救援系统，就近地区调拨到专业救援队伍协助处理；</w:t>
            </w:r>
          </w:p>
          <w:p w14:paraId="20A67B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（3）事故发生后，应立即通知当地</w:t>
            </w:r>
            <w:r>
              <w:rPr>
                <w:rFonts w:hint="eastAsia" w:ascii="Times New Roman" w:hAnsi="Times New Roman" w:eastAsia="宋体" w:cs="Times New Roman"/>
                <w:color w:val="auto"/>
                <w:sz w:val="24"/>
                <w:szCs w:val="24"/>
                <w:highlight w:val="none"/>
                <w:lang w:val="en-US" w:eastAsia="zh-CN"/>
              </w:rPr>
              <w:t>生态环境</w:t>
            </w:r>
            <w:r>
              <w:rPr>
                <w:rFonts w:hint="default" w:ascii="Times New Roman" w:hAnsi="Times New Roman" w:eastAsia="宋体" w:cs="Times New Roman"/>
                <w:color w:val="auto"/>
                <w:sz w:val="24"/>
                <w:szCs w:val="24"/>
                <w:highlight w:val="none"/>
                <w:lang w:val="en-US" w:eastAsia="zh-CN"/>
              </w:rPr>
              <w:t>、消防等部门，进行救援与监控。</w:t>
            </w:r>
          </w:p>
          <w:p w14:paraId="006B6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1</w:t>
            </w:r>
            <w:r>
              <w:rPr>
                <w:rFonts w:hint="eastAsia" w:cs="Times New Roman"/>
                <w:b/>
                <w:bCs/>
                <w:color w:val="auto"/>
                <w:kern w:val="2"/>
                <w:sz w:val="21"/>
                <w:szCs w:val="21"/>
                <w:highlight w:val="none"/>
                <w:lang w:val="en-US" w:eastAsia="zh-CN" w:bidi="ar-SA"/>
              </w:rPr>
              <w:t>7</w:t>
            </w:r>
            <w:r>
              <w:rPr>
                <w:rFonts w:hint="default" w:ascii="Times New Roman" w:hAnsi="Times New Roman" w:eastAsia="宋体" w:cs="Times New Roman"/>
                <w:b/>
                <w:bCs/>
                <w:color w:val="auto"/>
                <w:kern w:val="2"/>
                <w:sz w:val="21"/>
                <w:szCs w:val="21"/>
                <w:highlight w:val="none"/>
                <w:lang w:val="en-US" w:eastAsia="zh-CN" w:bidi="ar-SA"/>
              </w:rPr>
              <w:t xml:space="preserve">  环境风险应急预案内容一览表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643"/>
              <w:gridCol w:w="4815"/>
            </w:tblGrid>
            <w:tr w14:paraId="453A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2FD87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序号</w:t>
                  </w:r>
                </w:p>
              </w:tc>
              <w:tc>
                <w:tcPr>
                  <w:tcW w:w="1618" w:type="pct"/>
                  <w:tcBorders>
                    <w:tl2br w:val="nil"/>
                    <w:tr2bl w:val="nil"/>
                  </w:tcBorders>
                  <w:vAlign w:val="center"/>
                </w:tcPr>
                <w:p w14:paraId="48361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项目</w:t>
                  </w:r>
                </w:p>
              </w:tc>
              <w:tc>
                <w:tcPr>
                  <w:tcW w:w="2947" w:type="pct"/>
                  <w:tcBorders>
                    <w:tl2br w:val="nil"/>
                    <w:tr2bl w:val="nil"/>
                  </w:tcBorders>
                  <w:vAlign w:val="center"/>
                </w:tcPr>
                <w:p w14:paraId="5EE6B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内容及要求</w:t>
                  </w:r>
                </w:p>
              </w:tc>
            </w:tr>
            <w:tr w14:paraId="7A42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1AEBD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1618" w:type="pct"/>
                  <w:tcBorders>
                    <w:tl2br w:val="nil"/>
                    <w:tr2bl w:val="nil"/>
                  </w:tcBorders>
                  <w:vAlign w:val="center"/>
                </w:tcPr>
                <w:p w14:paraId="08B68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应急计划区</w:t>
                  </w:r>
                </w:p>
              </w:tc>
              <w:tc>
                <w:tcPr>
                  <w:tcW w:w="2947" w:type="pct"/>
                  <w:tcBorders>
                    <w:tl2br w:val="nil"/>
                    <w:tr2bl w:val="nil"/>
                  </w:tcBorders>
                  <w:vAlign w:val="center"/>
                </w:tcPr>
                <w:p w14:paraId="50D0D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危险目标：危废贮存库</w:t>
                  </w:r>
                </w:p>
              </w:tc>
            </w:tr>
            <w:tr w14:paraId="5167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4982F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1618" w:type="pct"/>
                  <w:tcBorders>
                    <w:tl2br w:val="nil"/>
                    <w:tr2bl w:val="nil"/>
                  </w:tcBorders>
                  <w:vAlign w:val="center"/>
                </w:tcPr>
                <w:p w14:paraId="4728C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应急组织</w:t>
                  </w:r>
                </w:p>
              </w:tc>
              <w:tc>
                <w:tcPr>
                  <w:tcW w:w="2947" w:type="pct"/>
                  <w:tcBorders>
                    <w:tl2br w:val="nil"/>
                    <w:tr2bl w:val="nil"/>
                  </w:tcBorders>
                  <w:vAlign w:val="center"/>
                </w:tcPr>
                <w:p w14:paraId="23793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企业应急组织机构及人员</w:t>
                  </w:r>
                </w:p>
              </w:tc>
            </w:tr>
            <w:tr w14:paraId="1401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24396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1618" w:type="pct"/>
                  <w:tcBorders>
                    <w:tl2br w:val="nil"/>
                    <w:tr2bl w:val="nil"/>
                  </w:tcBorders>
                  <w:vAlign w:val="center"/>
                </w:tcPr>
                <w:p w14:paraId="38E67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预案分级响应条件</w:t>
                  </w:r>
                </w:p>
              </w:tc>
              <w:tc>
                <w:tcPr>
                  <w:tcW w:w="2947" w:type="pct"/>
                  <w:tcBorders>
                    <w:tl2br w:val="nil"/>
                    <w:tr2bl w:val="nil"/>
                  </w:tcBorders>
                  <w:vAlign w:val="center"/>
                </w:tcPr>
                <w:p w14:paraId="630EC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规定预案的级别及分级响应条件</w:t>
                  </w:r>
                </w:p>
              </w:tc>
            </w:tr>
            <w:tr w14:paraId="3C5D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0C43B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p>
              </w:tc>
              <w:tc>
                <w:tcPr>
                  <w:tcW w:w="1618" w:type="pct"/>
                  <w:tcBorders>
                    <w:tl2br w:val="nil"/>
                    <w:tr2bl w:val="nil"/>
                  </w:tcBorders>
                  <w:vAlign w:val="center"/>
                </w:tcPr>
                <w:p w14:paraId="5E4E5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应急救援保障</w:t>
                  </w:r>
                </w:p>
              </w:tc>
              <w:tc>
                <w:tcPr>
                  <w:tcW w:w="2947" w:type="pct"/>
                  <w:tcBorders>
                    <w:tl2br w:val="nil"/>
                    <w:tr2bl w:val="nil"/>
                  </w:tcBorders>
                  <w:vAlign w:val="center"/>
                </w:tcPr>
                <w:p w14:paraId="101D3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应急设施、设备及器材等</w:t>
                  </w:r>
                </w:p>
              </w:tc>
            </w:tr>
            <w:tr w14:paraId="2959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4AB54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1618" w:type="pct"/>
                  <w:tcBorders>
                    <w:tl2br w:val="nil"/>
                    <w:tr2bl w:val="nil"/>
                  </w:tcBorders>
                  <w:vAlign w:val="center"/>
                </w:tcPr>
                <w:p w14:paraId="65BA1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应急通讯通告与交通</w:t>
                  </w:r>
                </w:p>
              </w:tc>
              <w:tc>
                <w:tcPr>
                  <w:tcW w:w="2947" w:type="pct"/>
                  <w:tcBorders>
                    <w:tl2br w:val="nil"/>
                    <w:tr2bl w:val="nil"/>
                  </w:tcBorders>
                  <w:vAlign w:val="center"/>
                </w:tcPr>
                <w:p w14:paraId="7701D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规定应急状态下的通讯、通告方式和交通保障、管制等事项</w:t>
                  </w:r>
                </w:p>
              </w:tc>
            </w:tr>
            <w:tr w14:paraId="13F4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016FC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w:t>
                  </w:r>
                </w:p>
              </w:tc>
              <w:tc>
                <w:tcPr>
                  <w:tcW w:w="1618" w:type="pct"/>
                  <w:tcBorders>
                    <w:tl2br w:val="nil"/>
                    <w:tr2bl w:val="nil"/>
                  </w:tcBorders>
                  <w:vAlign w:val="center"/>
                </w:tcPr>
                <w:p w14:paraId="78773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应急环境监测及事故评估</w:t>
                  </w:r>
                </w:p>
              </w:tc>
              <w:tc>
                <w:tcPr>
                  <w:tcW w:w="2947" w:type="pct"/>
                  <w:tcBorders>
                    <w:tl2br w:val="nil"/>
                    <w:tr2bl w:val="nil"/>
                  </w:tcBorders>
                  <w:vAlign w:val="center"/>
                </w:tcPr>
                <w:p w14:paraId="226B9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由专业人员对环境风险事故现场进行应急监测，对事故性质、严重程度等所造成的环境危害后果进行评估，吸取经验教训免再次发生事故，为指挥部门提供决策依据。</w:t>
                  </w:r>
                </w:p>
              </w:tc>
            </w:tr>
            <w:tr w14:paraId="3C48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532C2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1618" w:type="pct"/>
                  <w:tcBorders>
                    <w:tl2br w:val="nil"/>
                    <w:tr2bl w:val="nil"/>
                  </w:tcBorders>
                  <w:vAlign w:val="center"/>
                </w:tcPr>
                <w:p w14:paraId="1CDB0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应急防护措施</w:t>
                  </w:r>
                </w:p>
              </w:tc>
              <w:tc>
                <w:tcPr>
                  <w:tcW w:w="2947" w:type="pct"/>
                  <w:tcBorders>
                    <w:tl2br w:val="nil"/>
                    <w:tr2bl w:val="nil"/>
                  </w:tcBorders>
                  <w:vAlign w:val="center"/>
                </w:tcPr>
                <w:p w14:paraId="7622E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事故现场：控制事故发展，防止扩大、蔓延及连锁反应；相应的设施器材配备；临近地区：控制防火区域，控制和消除环境污染的措施及相应的设备设施。</w:t>
                  </w:r>
                </w:p>
              </w:tc>
            </w:tr>
            <w:tr w14:paraId="206F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37D0D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1618" w:type="pct"/>
                  <w:tcBorders>
                    <w:tl2br w:val="nil"/>
                    <w:tr2bl w:val="nil"/>
                  </w:tcBorders>
                  <w:vAlign w:val="center"/>
                </w:tcPr>
                <w:p w14:paraId="29BE5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撤离组织计划，医疗救护与公众健康</w:t>
                  </w:r>
                </w:p>
              </w:tc>
              <w:tc>
                <w:tcPr>
                  <w:tcW w:w="2947" w:type="pct"/>
                  <w:tcBorders>
                    <w:tl2br w:val="nil"/>
                    <w:tr2bl w:val="nil"/>
                  </w:tcBorders>
                  <w:vAlign w:val="center"/>
                </w:tcPr>
                <w:p w14:paraId="42318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事故现场：事故处理人员、现场及临近人员的撤离组织计划和紧急救护方案；邻近地区：制定受事故影响的临近地区人员的疏散组织计划和紧急救护方案。</w:t>
                  </w:r>
                </w:p>
              </w:tc>
            </w:tr>
            <w:tr w14:paraId="091B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6E017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w:t>
                  </w:r>
                </w:p>
              </w:tc>
              <w:tc>
                <w:tcPr>
                  <w:tcW w:w="1618" w:type="pct"/>
                  <w:tcBorders>
                    <w:tl2br w:val="nil"/>
                    <w:tr2bl w:val="nil"/>
                  </w:tcBorders>
                  <w:vAlign w:val="center"/>
                </w:tcPr>
                <w:p w14:paraId="327D9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应急状态终止恢复措施</w:t>
                  </w:r>
                </w:p>
              </w:tc>
              <w:tc>
                <w:tcPr>
                  <w:tcW w:w="2947" w:type="pct"/>
                  <w:tcBorders>
                    <w:tl2br w:val="nil"/>
                    <w:tr2bl w:val="nil"/>
                  </w:tcBorders>
                  <w:vAlign w:val="center"/>
                </w:tcPr>
                <w:p w14:paraId="60038B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事故现场：规定应急状态终止秩序，事故善后处理，恢复生产措施；临近地区：解除事故警戒、公众返回和善后恢复措施。</w:t>
                  </w:r>
                </w:p>
              </w:tc>
            </w:tr>
            <w:tr w14:paraId="7070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5B20B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1618" w:type="pct"/>
                  <w:tcBorders>
                    <w:tl2br w:val="nil"/>
                    <w:tr2bl w:val="nil"/>
                  </w:tcBorders>
                  <w:vAlign w:val="center"/>
                </w:tcPr>
                <w:p w14:paraId="30527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人员培训与演习</w:t>
                  </w:r>
                </w:p>
              </w:tc>
              <w:tc>
                <w:tcPr>
                  <w:tcW w:w="2947" w:type="pct"/>
                  <w:tcBorders>
                    <w:tl2br w:val="nil"/>
                    <w:tr2bl w:val="nil"/>
                  </w:tcBorders>
                  <w:vAlign w:val="center"/>
                </w:tcPr>
                <w:p w14:paraId="3559C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应急计划制定后，平时安排事故处理人员进行相关知识培训、进行事故应急处理演习；对企业职工进行安全卫生教育。</w:t>
                  </w:r>
                </w:p>
              </w:tc>
            </w:tr>
            <w:tr w14:paraId="70DE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354F2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w:t>
                  </w:r>
                </w:p>
              </w:tc>
              <w:tc>
                <w:tcPr>
                  <w:tcW w:w="1618" w:type="pct"/>
                  <w:tcBorders>
                    <w:tl2br w:val="nil"/>
                    <w:tr2bl w:val="nil"/>
                  </w:tcBorders>
                  <w:vAlign w:val="center"/>
                </w:tcPr>
                <w:p w14:paraId="63C72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公众教育</w:t>
                  </w:r>
                </w:p>
              </w:tc>
              <w:tc>
                <w:tcPr>
                  <w:tcW w:w="2947" w:type="pct"/>
                  <w:tcBorders>
                    <w:tl2br w:val="nil"/>
                    <w:tr2bl w:val="nil"/>
                  </w:tcBorders>
                  <w:vAlign w:val="center"/>
                </w:tcPr>
                <w:p w14:paraId="2A790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对企业临近地区公众开展环境风险事故预防教育、应急知识培训并定期发布相关信息。</w:t>
                  </w:r>
                </w:p>
              </w:tc>
            </w:tr>
            <w:tr w14:paraId="01CB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38A46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w:t>
                  </w:r>
                </w:p>
              </w:tc>
              <w:tc>
                <w:tcPr>
                  <w:tcW w:w="1618" w:type="pct"/>
                  <w:tcBorders>
                    <w:tl2br w:val="nil"/>
                    <w:tr2bl w:val="nil"/>
                  </w:tcBorders>
                  <w:vAlign w:val="center"/>
                </w:tcPr>
                <w:p w14:paraId="7A806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记录和报告</w:t>
                  </w:r>
                </w:p>
              </w:tc>
              <w:tc>
                <w:tcPr>
                  <w:tcW w:w="2947" w:type="pct"/>
                  <w:tcBorders>
                    <w:tl2br w:val="nil"/>
                    <w:tr2bl w:val="nil"/>
                  </w:tcBorders>
                  <w:vAlign w:val="center"/>
                </w:tcPr>
                <w:p w14:paraId="3BDED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设应急事故专门记录，建立档案和报告制度，设专门部门负责管理。</w:t>
                  </w:r>
                </w:p>
              </w:tc>
            </w:tr>
            <w:tr w14:paraId="4E70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vAlign w:val="center"/>
                </w:tcPr>
                <w:p w14:paraId="4D45D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13</w:t>
                  </w:r>
                </w:p>
              </w:tc>
              <w:tc>
                <w:tcPr>
                  <w:tcW w:w="1618" w:type="pct"/>
                  <w:tcBorders>
                    <w:tl2br w:val="nil"/>
                    <w:tr2bl w:val="nil"/>
                  </w:tcBorders>
                  <w:vAlign w:val="center"/>
                </w:tcPr>
                <w:p w14:paraId="7609B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附件</w:t>
                  </w:r>
                </w:p>
              </w:tc>
              <w:tc>
                <w:tcPr>
                  <w:tcW w:w="2947" w:type="pct"/>
                  <w:tcBorders>
                    <w:tl2br w:val="nil"/>
                    <w:tr2bl w:val="nil"/>
                  </w:tcBorders>
                  <w:vAlign w:val="center"/>
                </w:tcPr>
                <w:p w14:paraId="5B012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准备并形成环境风险事故应急处理有关的附件材料</w:t>
                  </w:r>
                  <w:r>
                    <w:rPr>
                      <w:rFonts w:hint="eastAsia" w:ascii="Times New Roman" w:hAnsi="Times New Roman" w:eastAsia="宋体" w:cs="Times New Roman"/>
                      <w:color w:val="auto"/>
                      <w:kern w:val="0"/>
                      <w:sz w:val="21"/>
                      <w:szCs w:val="21"/>
                      <w:highlight w:val="none"/>
                      <w:lang w:val="en-US" w:eastAsia="zh-CN" w:bidi="ar-SA"/>
                    </w:rPr>
                    <w:t>。</w:t>
                  </w:r>
                </w:p>
              </w:tc>
            </w:tr>
          </w:tbl>
          <w:p w14:paraId="5F001DE8">
            <w:pPr>
              <w:keepNext w:val="0"/>
              <w:keepLines w:val="0"/>
              <w:widowControl w:val="0"/>
              <w:suppressLineNumbers w:val="0"/>
              <w:spacing w:before="0" w:beforeAutospacing="0" w:after="0" w:afterAutospacing="0" w:line="480" w:lineRule="exact"/>
              <w:ind w:left="0" w:right="0"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环境风险评价小结</w:t>
            </w:r>
          </w:p>
          <w:p w14:paraId="09E2D642">
            <w:pPr>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本次评价通过对项目可能发生的环境风险事故进行定性分析，在采取</w:t>
            </w:r>
            <w:r>
              <w:rPr>
                <w:rFonts w:hint="eastAsia" w:ascii="Times New Roman" w:hAnsi="Times New Roman" w:eastAsia="宋体" w:cs="Times New Roman"/>
                <w:b w:val="0"/>
                <w:bCs w:val="0"/>
                <w:color w:val="auto"/>
                <w:kern w:val="2"/>
                <w:sz w:val="24"/>
                <w:szCs w:val="24"/>
                <w:highlight w:val="none"/>
                <w:lang w:val="en-US" w:eastAsia="zh-CN" w:bidi="ar-SA"/>
              </w:rPr>
              <w:t>应急</w:t>
            </w:r>
            <w:r>
              <w:rPr>
                <w:rFonts w:hint="default" w:ascii="Times New Roman" w:hAnsi="Times New Roman" w:eastAsia="宋体" w:cs="Times New Roman"/>
                <w:b w:val="0"/>
                <w:bCs w:val="0"/>
                <w:color w:val="auto"/>
                <w:kern w:val="2"/>
                <w:sz w:val="24"/>
                <w:szCs w:val="24"/>
                <w:highlight w:val="none"/>
                <w:lang w:val="en-US" w:eastAsia="zh-CN" w:bidi="ar-SA"/>
              </w:rPr>
              <w:t>防范措施、综合管理措施、制定风险应急预案等措施后，可将泄漏、火灾等事故对环境的影响减少到最低和可接受范围，避免使项目本身及周边环境遭受损失。</w:t>
            </w:r>
          </w:p>
          <w:p w14:paraId="624D7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bidi="ar-SA"/>
              </w:rPr>
              <w:t>因此，在加强对各类风险的管理，做到各项管理措施及要求后，本项目风险处于可接受水平，风险管理措施有效、可靠，从风险角度而言是可行的</w:t>
            </w:r>
            <w:r>
              <w:rPr>
                <w:rFonts w:hint="default" w:ascii="Times New Roman" w:hAnsi="Times New Roman" w:eastAsia="宋体" w:cs="Times New Roman"/>
                <w:color w:val="auto"/>
                <w:sz w:val="24"/>
                <w:szCs w:val="24"/>
                <w:highlight w:val="none"/>
              </w:rPr>
              <w:t>。</w:t>
            </w:r>
          </w:p>
          <w:p w14:paraId="70F2F8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七、</w:t>
            </w:r>
            <w:r>
              <w:rPr>
                <w:rFonts w:hint="eastAsia" w:cs="Times New Roman"/>
                <w:b/>
                <w:bCs/>
                <w:color w:val="auto"/>
                <w:sz w:val="24"/>
                <w:szCs w:val="24"/>
                <w:highlight w:val="none"/>
                <w:lang w:val="en-US" w:eastAsia="zh-CN"/>
              </w:rPr>
              <w:t>监测计划</w:t>
            </w:r>
          </w:p>
          <w:p w14:paraId="0A4EB7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根据《排污单位自行监测技术指南</w:t>
            </w:r>
            <w:r>
              <w:rPr>
                <w:rFonts w:hint="eastAsia" w:ascii="Times New Roman" w:hAnsi="Times New Roman" w:eastAsia="宋体" w:cs="Times New Roman"/>
                <w:b w:val="0"/>
                <w:bCs w:val="0"/>
                <w:color w:val="auto"/>
                <w:kern w:val="2"/>
                <w:sz w:val="24"/>
                <w:szCs w:val="24"/>
                <w:highlight w:val="none"/>
                <w:lang w:val="en-US" w:eastAsia="zh-CN" w:bidi="ar-SA"/>
              </w:rPr>
              <w:t xml:space="preserve"> 总则</w:t>
            </w:r>
            <w:r>
              <w:rPr>
                <w:rFonts w:hint="default" w:ascii="Times New Roman" w:hAnsi="Times New Roman" w:eastAsia="宋体" w:cs="Times New Roman"/>
                <w:b w:val="0"/>
                <w:bCs w:val="0"/>
                <w:color w:val="auto"/>
                <w:kern w:val="2"/>
                <w:sz w:val="24"/>
                <w:szCs w:val="24"/>
                <w:highlight w:val="none"/>
                <w:lang w:val="en-US" w:eastAsia="zh-CN" w:bidi="ar-SA"/>
              </w:rPr>
              <w:t>》（HJ819-2017）</w:t>
            </w:r>
            <w:r>
              <w:rPr>
                <w:rFonts w:hint="eastAsia" w:ascii="Times New Roman" w:hAnsi="Times New Roman" w:eastAsia="宋体" w:cs="Times New Roman"/>
                <w:b w:val="0"/>
                <w:bCs w:val="0"/>
                <w:color w:val="auto"/>
                <w:kern w:val="2"/>
                <w:sz w:val="24"/>
                <w:szCs w:val="24"/>
                <w:highlight w:val="none"/>
                <w:lang w:val="en-US" w:eastAsia="zh-CN" w:bidi="ar-SA"/>
              </w:rPr>
              <w:t>，制定监测计划</w:t>
            </w:r>
            <w:r>
              <w:rPr>
                <w:rFonts w:hint="eastAsia" w:cs="Times New Roman"/>
                <w:b w:val="0"/>
                <w:bCs w:val="0"/>
                <w:color w:val="auto"/>
                <w:kern w:val="2"/>
                <w:sz w:val="24"/>
                <w:szCs w:val="24"/>
                <w:highlight w:val="none"/>
                <w:lang w:val="en-US" w:eastAsia="zh-CN" w:bidi="ar-SA"/>
              </w:rPr>
              <w:t>，本项目监测计划一览表见下表</w:t>
            </w:r>
            <w:r>
              <w:rPr>
                <w:rFonts w:hint="eastAsia" w:ascii="Times New Roman" w:hAnsi="Times New Roman" w:eastAsia="宋体" w:cs="Times New Roman"/>
                <w:b w:val="0"/>
                <w:bCs w:val="0"/>
                <w:color w:val="auto"/>
                <w:kern w:val="2"/>
                <w:sz w:val="24"/>
                <w:szCs w:val="24"/>
                <w:highlight w:val="none"/>
                <w:lang w:val="en-US" w:eastAsia="zh-CN" w:bidi="ar-SA"/>
              </w:rPr>
              <w:t>。</w:t>
            </w:r>
          </w:p>
          <w:p w14:paraId="02D665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8</w:t>
            </w:r>
            <w:r>
              <w:rPr>
                <w:rFonts w:hint="eastAsia" w:ascii="Times New Roman" w:hAnsi="Times New Roman" w:eastAsia="宋体" w:cs="Times New Roman"/>
                <w:b/>
                <w:bCs/>
                <w:color w:val="auto"/>
                <w:kern w:val="2"/>
                <w:sz w:val="21"/>
                <w:szCs w:val="21"/>
                <w:highlight w:val="none"/>
                <w:lang w:val="en-US" w:eastAsia="zh-CN" w:bidi="ar-SA"/>
              </w:rPr>
              <w:t xml:space="preserve">  污染源监测计划一览表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3265"/>
              <w:gridCol w:w="949"/>
              <w:gridCol w:w="1998"/>
              <w:gridCol w:w="1149"/>
            </w:tblGrid>
            <w:tr w14:paraId="780D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3" w:type="pct"/>
                  <w:tcBorders>
                    <w:tl2br w:val="nil"/>
                    <w:tr2bl w:val="nil"/>
                  </w:tcBorders>
                  <w:vAlign w:val="center"/>
                </w:tcPr>
                <w:p w14:paraId="18F5C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类别</w:t>
                  </w:r>
                </w:p>
              </w:tc>
              <w:tc>
                <w:tcPr>
                  <w:tcW w:w="1998" w:type="pct"/>
                  <w:tcBorders>
                    <w:tl2br w:val="nil"/>
                    <w:tr2bl w:val="nil"/>
                  </w:tcBorders>
                  <w:vAlign w:val="center"/>
                </w:tcPr>
                <w:p w14:paraId="7E58F0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rPr>
                    <w:t>监测点位</w:t>
                  </w:r>
                </w:p>
              </w:tc>
              <w:tc>
                <w:tcPr>
                  <w:tcW w:w="581" w:type="pct"/>
                  <w:tcBorders>
                    <w:tl2br w:val="nil"/>
                    <w:tr2bl w:val="nil"/>
                  </w:tcBorders>
                  <w:vAlign w:val="center"/>
                </w:tcPr>
                <w:p w14:paraId="7F0153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auto"/>
                      <w:kern w:val="2"/>
                      <w:sz w:val="21"/>
                      <w:szCs w:val="21"/>
                      <w:highlight w:val="none"/>
                      <w:u w:val="none"/>
                      <w:lang w:val="en-US" w:eastAsia="zh-CN"/>
                    </w:rPr>
                  </w:pPr>
                  <w:r>
                    <w:rPr>
                      <w:rFonts w:hint="eastAsia" w:ascii="Times New Roman" w:hAnsi="Times New Roman" w:eastAsia="宋体" w:cs="Times New Roman"/>
                      <w:b/>
                      <w:bCs/>
                      <w:color w:val="auto"/>
                      <w:kern w:val="2"/>
                      <w:sz w:val="21"/>
                      <w:szCs w:val="21"/>
                      <w:highlight w:val="none"/>
                      <w:u w:val="none"/>
                      <w:lang w:val="en-US" w:eastAsia="zh-CN"/>
                    </w:rPr>
                    <w:t>点数</w:t>
                  </w:r>
                </w:p>
              </w:tc>
              <w:tc>
                <w:tcPr>
                  <w:tcW w:w="1223" w:type="pct"/>
                  <w:tcBorders>
                    <w:tl2br w:val="nil"/>
                    <w:tr2bl w:val="nil"/>
                  </w:tcBorders>
                  <w:vAlign w:val="center"/>
                </w:tcPr>
                <w:p w14:paraId="7230F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监测项目</w:t>
                  </w:r>
                </w:p>
              </w:tc>
              <w:tc>
                <w:tcPr>
                  <w:tcW w:w="703" w:type="pct"/>
                  <w:tcBorders>
                    <w:tl2br w:val="nil"/>
                    <w:tr2bl w:val="nil"/>
                  </w:tcBorders>
                  <w:vAlign w:val="center"/>
                </w:tcPr>
                <w:p w14:paraId="422E8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color w:val="auto"/>
                      <w:kern w:val="2"/>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rPr>
                    <w:t>监测</w:t>
                  </w:r>
                  <w:r>
                    <w:rPr>
                      <w:rFonts w:hint="eastAsia" w:ascii="Times New Roman" w:hAnsi="Times New Roman" w:eastAsia="宋体" w:cs="Times New Roman"/>
                      <w:b/>
                      <w:bCs/>
                      <w:color w:val="auto"/>
                      <w:sz w:val="21"/>
                      <w:szCs w:val="21"/>
                      <w:highlight w:val="none"/>
                      <w:u w:val="none"/>
                      <w:lang w:val="en-US" w:eastAsia="zh-CN"/>
                    </w:rPr>
                    <w:t>频次</w:t>
                  </w:r>
                </w:p>
              </w:tc>
            </w:tr>
            <w:tr w14:paraId="06A8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3" w:type="pct"/>
                  <w:vMerge w:val="restart"/>
                  <w:tcBorders>
                    <w:tl2br w:val="nil"/>
                    <w:tr2bl w:val="nil"/>
                  </w:tcBorders>
                  <w:vAlign w:val="center"/>
                </w:tcPr>
                <w:p w14:paraId="3E1A9D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b w:val="0"/>
                      <w:bCs w:val="0"/>
                      <w:color w:val="auto"/>
                      <w:kern w:val="2"/>
                      <w:sz w:val="21"/>
                      <w:szCs w:val="21"/>
                      <w:highlight w:val="none"/>
                      <w:u w:val="none"/>
                      <w:lang w:val="en-US" w:eastAsia="zh-CN" w:bidi="ar-SA"/>
                    </w:rPr>
                    <w:t>废气</w:t>
                  </w:r>
                </w:p>
              </w:tc>
              <w:tc>
                <w:tcPr>
                  <w:tcW w:w="1998" w:type="pct"/>
                  <w:tcBorders>
                    <w:tl2br w:val="nil"/>
                    <w:tr2bl w:val="nil"/>
                  </w:tcBorders>
                  <w:vAlign w:val="center"/>
                </w:tcPr>
                <w:p w14:paraId="1C95666E">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color w:val="auto"/>
                      <w:kern w:val="2"/>
                      <w:sz w:val="21"/>
                      <w:szCs w:val="21"/>
                      <w:highlight w:val="none"/>
                      <w:lang w:val="en-US" w:eastAsia="zh-CN" w:bidi="ar-SA"/>
                    </w:rPr>
                    <w:t>给料、破碎废气</w:t>
                  </w:r>
                  <w:r>
                    <w:rPr>
                      <w:rFonts w:hint="eastAsia" w:ascii="Times New Roman" w:hAnsi="Times New Roman" w:eastAsia="宋体" w:cs="Times New Roman"/>
                      <w:b w:val="0"/>
                      <w:bCs/>
                      <w:color w:val="auto"/>
                      <w:kern w:val="2"/>
                      <w:sz w:val="21"/>
                      <w:szCs w:val="21"/>
                      <w:highlight w:val="none"/>
                      <w:lang w:val="en-US" w:eastAsia="zh-CN" w:bidi="ar-SA"/>
                    </w:rPr>
                    <w:t>排放口</w:t>
                  </w:r>
                </w:p>
              </w:tc>
              <w:tc>
                <w:tcPr>
                  <w:tcW w:w="581" w:type="pct"/>
                  <w:tcBorders>
                    <w:tl2br w:val="nil"/>
                    <w:tr2bl w:val="nil"/>
                  </w:tcBorders>
                  <w:vAlign w:val="center"/>
                </w:tcPr>
                <w:p w14:paraId="7E0AEFE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1个</w:t>
                  </w:r>
                </w:p>
              </w:tc>
              <w:tc>
                <w:tcPr>
                  <w:tcW w:w="1223" w:type="pct"/>
                  <w:tcBorders>
                    <w:tl2br w:val="nil"/>
                    <w:tr2bl w:val="nil"/>
                  </w:tcBorders>
                  <w:vAlign w:val="center"/>
                </w:tcPr>
                <w:p w14:paraId="1AC3D7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03" w:type="pct"/>
                  <w:tcBorders>
                    <w:tl2br w:val="nil"/>
                    <w:tr2bl w:val="nil"/>
                  </w:tcBorders>
                  <w:vAlign w:val="center"/>
                </w:tcPr>
                <w:p w14:paraId="74D74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1144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3" w:type="pct"/>
                  <w:vMerge w:val="continue"/>
                  <w:tcBorders>
                    <w:tl2br w:val="nil"/>
                    <w:tr2bl w:val="nil"/>
                  </w:tcBorders>
                  <w:vAlign w:val="center"/>
                </w:tcPr>
                <w:p w14:paraId="62DDEA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1998" w:type="pct"/>
                  <w:tcBorders>
                    <w:tl2br w:val="nil"/>
                    <w:tr2bl w:val="nil"/>
                  </w:tcBorders>
                  <w:vAlign w:val="center"/>
                </w:tcPr>
                <w:p w14:paraId="4DC9B5CA">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b w:val="0"/>
                      <w:bCs/>
                      <w:color w:val="auto"/>
                      <w:kern w:val="2"/>
                      <w:sz w:val="21"/>
                      <w:szCs w:val="21"/>
                      <w:highlight w:val="none"/>
                      <w:lang w:val="en-US" w:eastAsia="zh-CN" w:bidi="ar-SA"/>
                    </w:rPr>
                    <w:t>制砂、筛分废气排放口</w:t>
                  </w:r>
                </w:p>
              </w:tc>
              <w:tc>
                <w:tcPr>
                  <w:tcW w:w="581" w:type="pct"/>
                  <w:tcBorders>
                    <w:tl2br w:val="nil"/>
                    <w:tr2bl w:val="nil"/>
                  </w:tcBorders>
                  <w:vAlign w:val="center"/>
                </w:tcPr>
                <w:p w14:paraId="79FCF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个</w:t>
                  </w:r>
                </w:p>
              </w:tc>
              <w:tc>
                <w:tcPr>
                  <w:tcW w:w="1223" w:type="pct"/>
                  <w:tcBorders>
                    <w:tl2br w:val="nil"/>
                    <w:tr2bl w:val="nil"/>
                  </w:tcBorders>
                  <w:vAlign w:val="center"/>
                </w:tcPr>
                <w:p w14:paraId="5FCABC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03" w:type="pct"/>
                  <w:tcBorders>
                    <w:tl2br w:val="nil"/>
                    <w:tr2bl w:val="nil"/>
                  </w:tcBorders>
                  <w:vAlign w:val="center"/>
                </w:tcPr>
                <w:p w14:paraId="0C55F4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4C7D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3" w:type="pct"/>
                  <w:vMerge w:val="continue"/>
                  <w:tcBorders>
                    <w:tl2br w:val="nil"/>
                    <w:tr2bl w:val="nil"/>
                  </w:tcBorders>
                  <w:vAlign w:val="center"/>
                </w:tcPr>
                <w:p w14:paraId="20A649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z w:val="21"/>
                      <w:szCs w:val="21"/>
                      <w:highlight w:val="none"/>
                      <w:u w:val="none"/>
                      <w:lang w:val="en-US" w:eastAsia="zh-CN"/>
                    </w:rPr>
                  </w:pPr>
                </w:p>
              </w:tc>
              <w:tc>
                <w:tcPr>
                  <w:tcW w:w="1998" w:type="pct"/>
                  <w:tcBorders>
                    <w:tl2br w:val="nil"/>
                    <w:tr2bl w:val="nil"/>
                  </w:tcBorders>
                  <w:vAlign w:val="center"/>
                </w:tcPr>
                <w:p w14:paraId="24AF6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厂界</w:t>
                  </w:r>
                  <w:r>
                    <w:rPr>
                      <w:rFonts w:hint="default" w:ascii="Times New Roman" w:hAnsi="Times New Roman" w:eastAsia="宋体" w:cs="Times New Roman"/>
                      <w:color w:val="auto"/>
                      <w:sz w:val="21"/>
                      <w:szCs w:val="21"/>
                      <w:highlight w:val="none"/>
                      <w:u w:val="none"/>
                    </w:rPr>
                    <w:t>上风向1个点位，下风向</w:t>
                  </w:r>
                  <w:r>
                    <w:rPr>
                      <w:rFonts w:hint="eastAsia"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rPr>
                    <w:t>个点位</w:t>
                  </w:r>
                </w:p>
              </w:tc>
              <w:tc>
                <w:tcPr>
                  <w:tcW w:w="581" w:type="pct"/>
                  <w:tcBorders>
                    <w:tl2br w:val="nil"/>
                    <w:tr2bl w:val="nil"/>
                  </w:tcBorders>
                  <w:vAlign w:val="center"/>
                </w:tcPr>
                <w:p w14:paraId="046584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5个</w:t>
                  </w:r>
                </w:p>
              </w:tc>
              <w:tc>
                <w:tcPr>
                  <w:tcW w:w="1223" w:type="pct"/>
                  <w:tcBorders>
                    <w:tl2br w:val="nil"/>
                    <w:tr2bl w:val="nil"/>
                  </w:tcBorders>
                  <w:vAlign w:val="center"/>
                </w:tcPr>
                <w:p w14:paraId="20113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03" w:type="pct"/>
                  <w:tcBorders>
                    <w:tl2br w:val="nil"/>
                    <w:tr2bl w:val="nil"/>
                  </w:tcBorders>
                  <w:vAlign w:val="center"/>
                </w:tcPr>
                <w:p w14:paraId="1EF37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1次/年</w:t>
                  </w:r>
                </w:p>
              </w:tc>
            </w:tr>
            <w:tr w14:paraId="061F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3" w:type="pct"/>
                  <w:tcBorders>
                    <w:tl2br w:val="nil"/>
                    <w:tr2bl w:val="nil"/>
                  </w:tcBorders>
                  <w:vAlign w:val="center"/>
                </w:tcPr>
                <w:p w14:paraId="58F30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噪声</w:t>
                  </w:r>
                </w:p>
              </w:tc>
              <w:tc>
                <w:tcPr>
                  <w:tcW w:w="1998" w:type="pct"/>
                  <w:tcBorders>
                    <w:tl2br w:val="nil"/>
                    <w:tr2bl w:val="nil"/>
                  </w:tcBorders>
                  <w:vAlign w:val="center"/>
                </w:tcPr>
                <w:p w14:paraId="0E316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厂界四周外1m</w:t>
                  </w:r>
                </w:p>
              </w:tc>
              <w:tc>
                <w:tcPr>
                  <w:tcW w:w="581" w:type="pct"/>
                  <w:tcBorders>
                    <w:tl2br w:val="nil"/>
                    <w:tr2bl w:val="nil"/>
                  </w:tcBorders>
                  <w:vAlign w:val="center"/>
                </w:tcPr>
                <w:p w14:paraId="77666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4个</w:t>
                  </w:r>
                </w:p>
              </w:tc>
              <w:tc>
                <w:tcPr>
                  <w:tcW w:w="1223" w:type="pct"/>
                  <w:tcBorders>
                    <w:tl2br w:val="nil"/>
                    <w:tr2bl w:val="nil"/>
                  </w:tcBorders>
                  <w:vAlign w:val="center"/>
                </w:tcPr>
                <w:p w14:paraId="2846A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L</w:t>
                  </w:r>
                  <w:r>
                    <w:rPr>
                      <w:rFonts w:hint="eastAsia" w:ascii="Times New Roman" w:hAnsi="Times New Roman" w:eastAsia="宋体" w:cs="Times New Roman"/>
                      <w:color w:val="auto"/>
                      <w:szCs w:val="21"/>
                      <w:highlight w:val="none"/>
                      <w:vertAlign w:val="subscript"/>
                      <w:lang w:val="en-US" w:eastAsia="zh-CN"/>
                    </w:rPr>
                    <w:t>10</w:t>
                  </w:r>
                  <w:r>
                    <w:rPr>
                      <w:rFonts w:hint="eastAsia" w:ascii="Times New Roman" w:hAnsi="Times New Roman" w:eastAsia="宋体" w:cs="Times New Roman"/>
                      <w:color w:val="auto"/>
                      <w:szCs w:val="21"/>
                      <w:highlight w:val="none"/>
                      <w:lang w:val="en-US" w:eastAsia="zh-CN"/>
                    </w:rPr>
                    <w:t>、L</w:t>
                  </w:r>
                  <w:r>
                    <w:rPr>
                      <w:rFonts w:hint="eastAsia" w:ascii="Times New Roman" w:hAnsi="Times New Roman" w:eastAsia="宋体" w:cs="Times New Roman"/>
                      <w:color w:val="auto"/>
                      <w:szCs w:val="21"/>
                      <w:highlight w:val="none"/>
                      <w:vertAlign w:val="subscript"/>
                      <w:lang w:val="en-US" w:eastAsia="zh-CN"/>
                    </w:rPr>
                    <w:t>50</w:t>
                  </w:r>
                  <w:r>
                    <w:rPr>
                      <w:rFonts w:hint="eastAsia" w:ascii="Times New Roman" w:hAnsi="Times New Roman" w:eastAsia="宋体" w:cs="Times New Roman"/>
                      <w:color w:val="auto"/>
                      <w:szCs w:val="21"/>
                      <w:highlight w:val="none"/>
                      <w:lang w:val="en-US" w:eastAsia="zh-CN"/>
                    </w:rPr>
                    <w:t>、L</w:t>
                  </w:r>
                  <w:r>
                    <w:rPr>
                      <w:rFonts w:hint="eastAsia" w:ascii="Times New Roman" w:hAnsi="Times New Roman" w:eastAsia="宋体" w:cs="Times New Roman"/>
                      <w:color w:val="auto"/>
                      <w:szCs w:val="21"/>
                      <w:highlight w:val="none"/>
                      <w:vertAlign w:val="subscript"/>
                      <w:lang w:val="en-US" w:eastAsia="zh-CN"/>
                    </w:rPr>
                    <w:t>90</w:t>
                  </w:r>
                  <w:r>
                    <w:rPr>
                      <w:rFonts w:hint="eastAsia" w:ascii="Times New Roman" w:hAnsi="Times New Roman" w:eastAsia="宋体" w:cs="Times New Roman"/>
                      <w:color w:val="auto"/>
                      <w:szCs w:val="21"/>
                      <w:highlight w:val="none"/>
                      <w:vertAlign w:val="baseline"/>
                      <w:lang w:val="en-US" w:eastAsia="zh-CN"/>
                    </w:rPr>
                    <w:t>、Leq</w:t>
                  </w:r>
                </w:p>
              </w:tc>
              <w:tc>
                <w:tcPr>
                  <w:tcW w:w="703" w:type="pct"/>
                  <w:tcBorders>
                    <w:tl2br w:val="nil"/>
                    <w:tr2bl w:val="nil"/>
                  </w:tcBorders>
                  <w:vAlign w:val="center"/>
                </w:tcPr>
                <w:p w14:paraId="79E56F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1次/季</w:t>
                  </w:r>
                </w:p>
              </w:tc>
            </w:tr>
          </w:tbl>
          <w:p w14:paraId="15F39EED">
            <w:pPr>
              <w:keepNext/>
              <w:keepLines/>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Autospacing="0" w:line="480" w:lineRule="exact"/>
              <w:ind w:left="0" w:leftChars="0" w:right="0" w:rightChars="0" w:firstLine="482" w:firstLineChars="200"/>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八、环保投资估算</w:t>
            </w:r>
          </w:p>
          <w:p w14:paraId="6E92B8B3">
            <w:pPr>
              <w:keepNext w:val="0"/>
              <w:keepLines w:val="0"/>
              <w:suppressLineNumbers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本项目总投资</w:t>
            </w:r>
            <w:r>
              <w:rPr>
                <w:rFonts w:hint="eastAsia"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00</w:t>
            </w:r>
            <w:r>
              <w:rPr>
                <w:rFonts w:hint="default" w:ascii="Times New Roman" w:hAnsi="Times New Roman" w:eastAsia="宋体" w:cs="Times New Roman"/>
                <w:color w:val="auto"/>
                <w:kern w:val="0"/>
                <w:sz w:val="24"/>
                <w:highlight w:val="none"/>
              </w:rPr>
              <w:t>万元</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其中，</w:t>
            </w:r>
            <w:r>
              <w:rPr>
                <w:rFonts w:hint="default" w:ascii="Times New Roman" w:hAnsi="Times New Roman" w:eastAsia="宋体" w:cs="Times New Roman"/>
                <w:color w:val="auto"/>
                <w:kern w:val="0"/>
                <w:sz w:val="24"/>
                <w:highlight w:val="none"/>
              </w:rPr>
              <w:t>环保投资约</w:t>
            </w:r>
            <w:r>
              <w:rPr>
                <w:rFonts w:hint="eastAsia" w:cs="Times New Roman"/>
                <w:color w:val="auto"/>
                <w:kern w:val="0"/>
                <w:sz w:val="24"/>
                <w:highlight w:val="none"/>
                <w:lang w:val="en-US" w:eastAsia="zh-CN"/>
              </w:rPr>
              <w:t>13.2</w:t>
            </w:r>
            <w:r>
              <w:rPr>
                <w:rFonts w:hint="default" w:ascii="Times New Roman" w:hAnsi="Times New Roman" w:eastAsia="宋体" w:cs="Times New Roman"/>
                <w:color w:val="auto"/>
                <w:kern w:val="0"/>
                <w:sz w:val="24"/>
                <w:highlight w:val="none"/>
              </w:rPr>
              <w:t>万元</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占总投资比例为</w:t>
            </w:r>
            <w:r>
              <w:rPr>
                <w:rFonts w:hint="eastAsia" w:cs="Times New Roman"/>
                <w:color w:val="auto"/>
                <w:kern w:val="0"/>
                <w:sz w:val="24"/>
                <w:highlight w:val="none"/>
                <w:lang w:val="en-US" w:eastAsia="zh-CN"/>
              </w:rPr>
              <w:t>13.2</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。具体见表</w:t>
            </w:r>
            <w:r>
              <w:rPr>
                <w:rFonts w:hint="eastAsia" w:ascii="Times New Roman" w:hAnsi="Times New Roman" w:eastAsia="宋体" w:cs="Times New Roman"/>
                <w:color w:val="auto"/>
                <w:kern w:val="0"/>
                <w:sz w:val="24"/>
                <w:highlight w:val="none"/>
                <w:lang w:val="en-US" w:eastAsia="zh-CN"/>
              </w:rPr>
              <w:t>4</w:t>
            </w:r>
            <w:r>
              <w:rPr>
                <w:rFonts w:hint="eastAsia" w:cs="Times New Roman"/>
                <w:color w:val="auto"/>
                <w:kern w:val="0"/>
                <w:sz w:val="24"/>
                <w:highlight w:val="none"/>
                <w:lang w:val="en-US" w:eastAsia="zh-CN"/>
              </w:rPr>
              <w:t>-19</w:t>
            </w:r>
            <w:r>
              <w:rPr>
                <w:rFonts w:hint="default" w:ascii="Times New Roman" w:hAnsi="Times New Roman" w:eastAsia="宋体" w:cs="Times New Roman"/>
                <w:color w:val="auto"/>
                <w:kern w:val="0"/>
                <w:sz w:val="24"/>
                <w:highlight w:val="none"/>
              </w:rPr>
              <w:t>。</w:t>
            </w:r>
          </w:p>
          <w:p w14:paraId="51CA05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9</w:t>
            </w:r>
            <w:r>
              <w:rPr>
                <w:rFonts w:hint="eastAsia" w:ascii="Times New Roman" w:hAnsi="Times New Roman" w:eastAsia="宋体" w:cs="Times New Roman"/>
                <w:b/>
                <w:bCs/>
                <w:color w:val="auto"/>
                <w:kern w:val="2"/>
                <w:sz w:val="21"/>
                <w:szCs w:val="21"/>
                <w:highlight w:val="none"/>
                <w:lang w:val="en-US" w:eastAsia="zh-CN" w:bidi="ar-SA"/>
              </w:rPr>
              <w:t xml:space="preserve">  环保投资估算一览表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680"/>
              <w:gridCol w:w="4846"/>
              <w:gridCol w:w="1024"/>
            </w:tblGrid>
            <w:tr w14:paraId="71F2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tcBorders>
                    <w:tl2br w:val="nil"/>
                    <w:tr2bl w:val="nil"/>
                  </w:tcBorders>
                  <w:vAlign w:val="center"/>
                </w:tcPr>
                <w:p w14:paraId="2F3B4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类型</w:t>
                  </w:r>
                </w:p>
              </w:tc>
              <w:tc>
                <w:tcPr>
                  <w:tcW w:w="1028" w:type="pct"/>
                  <w:tcBorders>
                    <w:tl2br w:val="nil"/>
                    <w:tr2bl w:val="nil"/>
                  </w:tcBorders>
                  <w:vAlign w:val="center"/>
                </w:tcPr>
                <w:p w14:paraId="1E83D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污染源</w:t>
                  </w:r>
                </w:p>
              </w:tc>
              <w:tc>
                <w:tcPr>
                  <w:tcW w:w="2965" w:type="pct"/>
                  <w:tcBorders>
                    <w:tl2br w:val="nil"/>
                    <w:tr2bl w:val="nil"/>
                  </w:tcBorders>
                  <w:vAlign w:val="center"/>
                </w:tcPr>
                <w:p w14:paraId="3A126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环保设施</w:t>
                  </w:r>
                </w:p>
              </w:tc>
              <w:tc>
                <w:tcPr>
                  <w:tcW w:w="627" w:type="pct"/>
                  <w:tcBorders>
                    <w:tl2br w:val="nil"/>
                    <w:tr2bl w:val="nil"/>
                  </w:tcBorders>
                  <w:vAlign w:val="center"/>
                </w:tcPr>
                <w:p w14:paraId="31083F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投资</w:t>
                  </w:r>
                </w:p>
                <w:p w14:paraId="30A209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（万元）</w:t>
                  </w:r>
                </w:p>
              </w:tc>
            </w:tr>
            <w:tr w14:paraId="6E5D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restart"/>
                  <w:tcBorders>
                    <w:tl2br w:val="nil"/>
                    <w:tr2bl w:val="nil"/>
                  </w:tcBorders>
                  <w:vAlign w:val="center"/>
                </w:tcPr>
                <w:p w14:paraId="3AF5C7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1028" w:type="pct"/>
                  <w:tcBorders>
                    <w:tl2br w:val="nil"/>
                    <w:tr2bl w:val="nil"/>
                  </w:tcBorders>
                  <w:vAlign w:val="center"/>
                </w:tcPr>
                <w:p w14:paraId="741BF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spacing w:val="0"/>
                      <w:kern w:val="2"/>
                      <w:sz w:val="21"/>
                      <w:szCs w:val="21"/>
                      <w:highlight w:val="none"/>
                      <w:vertAlign w:val="baseline"/>
                      <w:lang w:val="en-US" w:eastAsia="zh-CN" w:bidi="ar-SA"/>
                    </w:rPr>
                    <w:t>给料、破碎废气</w:t>
                  </w:r>
                </w:p>
              </w:tc>
              <w:tc>
                <w:tcPr>
                  <w:tcW w:w="2965" w:type="pct"/>
                  <w:tcBorders>
                    <w:tl2br w:val="nil"/>
                    <w:tr2bl w:val="nil"/>
                  </w:tcBorders>
                  <w:vAlign w:val="center"/>
                </w:tcPr>
                <w:p w14:paraId="225407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给料机上方安装1个</w:t>
                  </w:r>
                  <w:r>
                    <w:rPr>
                      <w:rFonts w:hint="eastAsia" w:cs="Times New Roman"/>
                      <w:color w:val="auto"/>
                      <w:spacing w:val="0"/>
                      <w:kern w:val="2"/>
                      <w:sz w:val="21"/>
                      <w:szCs w:val="21"/>
                      <w:highlight w:val="none"/>
                      <w:vertAlign w:val="baseline"/>
                      <w:lang w:val="en-US" w:eastAsia="zh-CN" w:bidi="ar-SA"/>
                    </w:rPr>
                    <w:t>柜式</w:t>
                  </w:r>
                  <w:r>
                    <w:rPr>
                      <w:rFonts w:hint="default" w:ascii="Times New Roman" w:hAnsi="Times New Roman" w:eastAsia="宋体" w:cs="Times New Roman"/>
                      <w:color w:val="auto"/>
                      <w:spacing w:val="0"/>
                      <w:kern w:val="2"/>
                      <w:sz w:val="21"/>
                      <w:szCs w:val="21"/>
                      <w:highlight w:val="none"/>
                      <w:vertAlign w:val="baseline"/>
                      <w:lang w:val="en-US" w:eastAsia="zh-CN" w:bidi="ar-SA"/>
                    </w:rPr>
                    <w:t>集气罩，</w:t>
                  </w:r>
                  <w:r>
                    <w:rPr>
                      <w:rFonts w:hint="eastAsia" w:cs="Times New Roman"/>
                      <w:color w:val="auto"/>
                      <w:spacing w:val="0"/>
                      <w:kern w:val="2"/>
                      <w:sz w:val="21"/>
                      <w:szCs w:val="21"/>
                      <w:highlight w:val="none"/>
                      <w:vertAlign w:val="baseline"/>
                      <w:lang w:val="en-US" w:eastAsia="zh-CN" w:bidi="ar-SA"/>
                    </w:rPr>
                    <w:t>箱</w:t>
                  </w:r>
                  <w:r>
                    <w:rPr>
                      <w:rFonts w:hint="default" w:ascii="Times New Roman" w:hAnsi="Times New Roman" w:eastAsia="宋体" w:cs="Times New Roman"/>
                      <w:color w:val="auto"/>
                      <w:spacing w:val="0"/>
                      <w:kern w:val="2"/>
                      <w:sz w:val="21"/>
                      <w:szCs w:val="21"/>
                      <w:highlight w:val="none"/>
                      <w:vertAlign w:val="baseline"/>
                      <w:lang w:val="en-US" w:eastAsia="zh-CN" w:bidi="ar-SA"/>
                    </w:rPr>
                    <w:t>式破碎机为全封闭式，上方设置集气管道，废气收集后共同引入1台布袋除尘器（TA001）处理后，由1根15m高排气筒（DA001）排放</w:t>
                  </w:r>
                </w:p>
              </w:tc>
              <w:tc>
                <w:tcPr>
                  <w:tcW w:w="627" w:type="pct"/>
                  <w:tcBorders>
                    <w:tl2br w:val="nil"/>
                    <w:tr2bl w:val="nil"/>
                  </w:tcBorders>
                  <w:vAlign w:val="center"/>
                </w:tcPr>
                <w:p w14:paraId="173D19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w:t>
                  </w:r>
                  <w:r>
                    <w:rPr>
                      <w:rFonts w:hint="eastAsia" w:ascii="Times New Roman" w:hAnsi="Times New Roman" w:eastAsia="宋体" w:cs="Times New Roman"/>
                      <w:color w:val="auto"/>
                      <w:spacing w:val="0"/>
                      <w:kern w:val="2"/>
                      <w:sz w:val="21"/>
                      <w:szCs w:val="21"/>
                      <w:highlight w:val="none"/>
                      <w:lang w:val="en-US" w:eastAsia="zh-CN" w:bidi="ar-SA"/>
                    </w:rPr>
                    <w:t>.0</w:t>
                  </w:r>
                </w:p>
              </w:tc>
            </w:tr>
            <w:tr w14:paraId="077B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10E80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571994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制砂、筛分</w:t>
                  </w:r>
                  <w:r>
                    <w:rPr>
                      <w:rFonts w:hint="eastAsia" w:cs="Times New Roman"/>
                      <w:color w:val="auto"/>
                      <w:spacing w:val="0"/>
                      <w:kern w:val="2"/>
                      <w:sz w:val="21"/>
                      <w:szCs w:val="21"/>
                      <w:highlight w:val="none"/>
                      <w:vertAlign w:val="baseline"/>
                      <w:lang w:val="en-US" w:eastAsia="zh-CN" w:bidi="ar-SA"/>
                    </w:rPr>
                    <w:t>废气</w:t>
                  </w:r>
                </w:p>
              </w:tc>
              <w:tc>
                <w:tcPr>
                  <w:tcW w:w="2965" w:type="pct"/>
                  <w:tcBorders>
                    <w:tl2br w:val="nil"/>
                    <w:tr2bl w:val="nil"/>
                  </w:tcBorders>
                  <w:shd w:val="clear" w:color="auto" w:fill="auto"/>
                  <w:vAlign w:val="center"/>
                </w:tcPr>
                <w:p w14:paraId="1189DD73">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锤式</w:t>
                  </w:r>
                  <w:r>
                    <w:rPr>
                      <w:rFonts w:hint="default" w:ascii="Times New Roman" w:hAnsi="Times New Roman" w:eastAsia="宋体" w:cs="Times New Roman"/>
                      <w:color w:val="auto"/>
                      <w:kern w:val="2"/>
                      <w:sz w:val="21"/>
                      <w:szCs w:val="21"/>
                      <w:lang w:val="en-US" w:eastAsia="zh-CN" w:bidi="ar-SA"/>
                    </w:rPr>
                    <w:t>制砂机、振动筛</w:t>
                  </w:r>
                  <w:r>
                    <w:rPr>
                      <w:rFonts w:hint="eastAsia" w:cs="Times New Roman"/>
                      <w:color w:val="auto"/>
                      <w:kern w:val="2"/>
                      <w:sz w:val="21"/>
                      <w:szCs w:val="21"/>
                      <w:lang w:val="en-US" w:eastAsia="zh-CN" w:bidi="ar-SA"/>
                    </w:rPr>
                    <w:t>均</w:t>
                  </w:r>
                  <w:r>
                    <w:rPr>
                      <w:rFonts w:hint="default" w:ascii="Times New Roman" w:hAnsi="Times New Roman" w:eastAsia="宋体" w:cs="Times New Roman"/>
                      <w:color w:val="auto"/>
                      <w:kern w:val="2"/>
                      <w:sz w:val="21"/>
                      <w:szCs w:val="21"/>
                      <w:lang w:val="en-US" w:eastAsia="zh-CN" w:bidi="ar-SA"/>
                    </w:rPr>
                    <w:t>为全封闭式，上方设置集气管道，废气收集后共同引入1台布袋除尘器（TA002）处理后，由1根15m高排气筒（DA002）排放</w:t>
                  </w:r>
                </w:p>
              </w:tc>
              <w:tc>
                <w:tcPr>
                  <w:tcW w:w="627" w:type="pct"/>
                  <w:tcBorders>
                    <w:tl2br w:val="nil"/>
                    <w:tr2bl w:val="nil"/>
                  </w:tcBorders>
                  <w:vAlign w:val="center"/>
                </w:tcPr>
                <w:p w14:paraId="0C05A8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4</w:t>
                  </w:r>
                  <w:r>
                    <w:rPr>
                      <w:rFonts w:hint="eastAsia" w:ascii="Times New Roman" w:hAnsi="Times New Roman" w:cs="Times New Roman"/>
                      <w:color w:val="auto"/>
                      <w:spacing w:val="0"/>
                      <w:kern w:val="2"/>
                      <w:sz w:val="21"/>
                      <w:szCs w:val="21"/>
                      <w:highlight w:val="none"/>
                      <w:lang w:val="en-US" w:eastAsia="zh-CN" w:bidi="ar-SA"/>
                    </w:rPr>
                    <w:t>.0</w:t>
                  </w:r>
                </w:p>
              </w:tc>
            </w:tr>
            <w:tr w14:paraId="2D1B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7A5024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11976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eastAsia" w:cs="Times New Roman"/>
                      <w:b w:val="0"/>
                      <w:bCs/>
                      <w:color w:val="auto"/>
                      <w:spacing w:val="0"/>
                      <w:kern w:val="28"/>
                      <w:sz w:val="21"/>
                      <w:szCs w:val="21"/>
                      <w:highlight w:val="none"/>
                      <w:lang w:val="en-US" w:eastAsia="zh-CN" w:bidi="ar-SA"/>
                    </w:rPr>
                    <w:t>原料及成品堆放、卸料</w:t>
                  </w:r>
                  <w:r>
                    <w:rPr>
                      <w:rFonts w:hint="eastAsia" w:cs="Times New Roman"/>
                      <w:color w:val="auto"/>
                      <w:spacing w:val="0"/>
                      <w:kern w:val="2"/>
                      <w:sz w:val="21"/>
                      <w:szCs w:val="21"/>
                      <w:highlight w:val="none"/>
                      <w:vertAlign w:val="baseline"/>
                      <w:lang w:val="en-US" w:eastAsia="zh-CN" w:bidi="ar-SA"/>
                    </w:rPr>
                    <w:t>废气</w:t>
                  </w:r>
                </w:p>
              </w:tc>
              <w:tc>
                <w:tcPr>
                  <w:tcW w:w="2965" w:type="pct"/>
                  <w:tcBorders>
                    <w:tl2br w:val="nil"/>
                    <w:tr2bl w:val="nil"/>
                  </w:tcBorders>
                  <w:vAlign w:val="center"/>
                </w:tcPr>
                <w:p w14:paraId="5ABF1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原料堆放区位于全封闭生产车间内，顶部安装喷雾抑尘措施，成品库为全封闭式，库顶设有喷雾抑尘装置，装卸物料时设有移动式雾炮机同时抑尘</w:t>
                  </w:r>
                </w:p>
              </w:tc>
              <w:tc>
                <w:tcPr>
                  <w:tcW w:w="627" w:type="pct"/>
                  <w:tcBorders>
                    <w:tl2br w:val="nil"/>
                    <w:tr2bl w:val="nil"/>
                  </w:tcBorders>
                  <w:vAlign w:val="center"/>
                </w:tcPr>
                <w:p w14:paraId="27011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1.0</w:t>
                  </w:r>
                </w:p>
              </w:tc>
            </w:tr>
            <w:tr w14:paraId="2189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359387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4540C0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kern w:val="28"/>
                      <w:sz w:val="21"/>
                      <w:szCs w:val="21"/>
                      <w:highlight w:val="none"/>
                      <w:lang w:val="en-US" w:eastAsia="zh-CN" w:bidi="ar-SA"/>
                    </w:rPr>
                  </w:pPr>
                  <w:r>
                    <w:rPr>
                      <w:rFonts w:hint="eastAsia" w:ascii="Times New Roman" w:hAnsi="Times New Roman" w:eastAsia="宋体" w:cs="Times New Roman"/>
                      <w:b w:val="0"/>
                      <w:bCs/>
                      <w:color w:val="auto"/>
                      <w:spacing w:val="0"/>
                      <w:kern w:val="28"/>
                      <w:sz w:val="21"/>
                      <w:szCs w:val="21"/>
                      <w:highlight w:val="none"/>
                      <w:lang w:val="en-US" w:eastAsia="zh-CN" w:bidi="ar-SA"/>
                    </w:rPr>
                    <w:t>物料输送</w:t>
                  </w:r>
                  <w:r>
                    <w:rPr>
                      <w:rFonts w:hint="eastAsia" w:cs="Times New Roman"/>
                      <w:b w:val="0"/>
                      <w:bCs/>
                      <w:color w:val="auto"/>
                      <w:spacing w:val="0"/>
                      <w:kern w:val="28"/>
                      <w:sz w:val="21"/>
                      <w:szCs w:val="21"/>
                      <w:highlight w:val="none"/>
                      <w:lang w:val="en-US" w:eastAsia="zh-CN" w:bidi="ar-SA"/>
                    </w:rPr>
                    <w:t>及转载</w:t>
                  </w:r>
                  <w:r>
                    <w:rPr>
                      <w:rFonts w:hint="eastAsia" w:cs="Times New Roman"/>
                      <w:color w:val="auto"/>
                      <w:spacing w:val="0"/>
                      <w:kern w:val="2"/>
                      <w:sz w:val="21"/>
                      <w:szCs w:val="21"/>
                      <w:highlight w:val="none"/>
                      <w:vertAlign w:val="baseline"/>
                      <w:lang w:val="en-US" w:eastAsia="zh-CN" w:bidi="ar-SA"/>
                    </w:rPr>
                    <w:t>废气</w:t>
                  </w:r>
                </w:p>
              </w:tc>
              <w:tc>
                <w:tcPr>
                  <w:tcW w:w="2965" w:type="pct"/>
                  <w:tcBorders>
                    <w:tl2br w:val="nil"/>
                    <w:tr2bl w:val="nil"/>
                  </w:tcBorders>
                  <w:vAlign w:val="center"/>
                </w:tcPr>
                <w:p w14:paraId="6F468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采用全封闭皮带</w:t>
                  </w:r>
                  <w:r>
                    <w:rPr>
                      <w:rFonts w:hint="default" w:ascii="Times New Roman" w:hAnsi="Times New Roman" w:cs="Times New Roman"/>
                      <w:b w:val="0"/>
                      <w:bCs w:val="0"/>
                      <w:color w:val="auto"/>
                      <w:kern w:val="2"/>
                      <w:sz w:val="21"/>
                      <w:szCs w:val="21"/>
                      <w:highlight w:val="none"/>
                      <w:lang w:val="en-US" w:eastAsia="zh-CN" w:bidi="ar-SA"/>
                    </w:rPr>
                    <w:t>输送</w:t>
                  </w:r>
                  <w:r>
                    <w:rPr>
                      <w:rFonts w:hint="eastAsia" w:ascii="Times New Roman" w:hAnsi="Times New Roman" w:cs="Times New Roman"/>
                      <w:b w:val="0"/>
                      <w:bCs w:val="0"/>
                      <w:color w:val="auto"/>
                      <w:kern w:val="2"/>
                      <w:sz w:val="21"/>
                      <w:szCs w:val="21"/>
                      <w:highlight w:val="none"/>
                      <w:lang w:val="en-US" w:eastAsia="zh-CN" w:bidi="ar-SA"/>
                    </w:rPr>
                    <w:t>，运输转载粉尘就近接入相应的除尘器中，皮带转运跌落点降低高度，并设置固定式雾化喷头</w:t>
                  </w:r>
                </w:p>
              </w:tc>
              <w:tc>
                <w:tcPr>
                  <w:tcW w:w="627" w:type="pct"/>
                  <w:tcBorders>
                    <w:tl2br w:val="nil"/>
                    <w:tr2bl w:val="nil"/>
                  </w:tcBorders>
                  <w:vAlign w:val="center"/>
                </w:tcPr>
                <w:p w14:paraId="6D2C81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0.5</w:t>
                  </w:r>
                </w:p>
              </w:tc>
            </w:tr>
            <w:tr w14:paraId="1AB7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438B9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43729F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0"/>
                      <w:kern w:val="28"/>
                      <w:sz w:val="21"/>
                      <w:szCs w:val="21"/>
                      <w:highlight w:val="none"/>
                      <w:lang w:val="en-US" w:eastAsia="zh-CN" w:bidi="ar-SA"/>
                    </w:rPr>
                  </w:pPr>
                  <w:r>
                    <w:rPr>
                      <w:rFonts w:hint="eastAsia" w:ascii="Times New Roman" w:hAnsi="Times New Roman" w:eastAsia="宋体" w:cs="Times New Roman"/>
                      <w:b w:val="0"/>
                      <w:bCs/>
                      <w:color w:val="auto"/>
                      <w:spacing w:val="0"/>
                      <w:kern w:val="28"/>
                      <w:sz w:val="21"/>
                      <w:szCs w:val="21"/>
                      <w:highlight w:val="none"/>
                      <w:lang w:val="en-US" w:eastAsia="zh-CN" w:bidi="ar-SA"/>
                    </w:rPr>
                    <w:t>道路</w:t>
                  </w:r>
                  <w:r>
                    <w:rPr>
                      <w:rFonts w:hint="eastAsia" w:ascii="Times New Roman" w:hAnsi="Times New Roman" w:cs="Times New Roman"/>
                      <w:b w:val="0"/>
                      <w:bCs/>
                      <w:color w:val="auto"/>
                      <w:spacing w:val="0"/>
                      <w:kern w:val="28"/>
                      <w:sz w:val="21"/>
                      <w:szCs w:val="21"/>
                      <w:highlight w:val="none"/>
                      <w:lang w:val="en-US" w:eastAsia="zh-CN" w:bidi="ar-SA"/>
                    </w:rPr>
                    <w:t>运输</w:t>
                  </w:r>
                  <w:r>
                    <w:rPr>
                      <w:rFonts w:hint="eastAsia" w:cs="Times New Roman"/>
                      <w:color w:val="auto"/>
                      <w:spacing w:val="0"/>
                      <w:kern w:val="2"/>
                      <w:sz w:val="21"/>
                      <w:szCs w:val="21"/>
                      <w:highlight w:val="none"/>
                      <w:vertAlign w:val="baseline"/>
                      <w:lang w:val="en-US" w:eastAsia="zh-CN" w:bidi="ar-SA"/>
                    </w:rPr>
                    <w:t>废气</w:t>
                  </w:r>
                </w:p>
              </w:tc>
              <w:tc>
                <w:tcPr>
                  <w:tcW w:w="2965" w:type="pct"/>
                  <w:tcBorders>
                    <w:tl2br w:val="nil"/>
                    <w:tr2bl w:val="nil"/>
                  </w:tcBorders>
                  <w:vAlign w:val="center"/>
                </w:tcPr>
                <w:p w14:paraId="0BA6D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厂区运输道路全部硬化，对道路定期洒水，并对物料运输车辆采取加盖篷布等封闭措施，限制车速</w:t>
                  </w:r>
                  <w:r>
                    <w:rPr>
                      <w:rFonts w:hint="eastAsia" w:cs="Times New Roman"/>
                      <w:color w:val="auto"/>
                      <w:spacing w:val="0"/>
                      <w:kern w:val="2"/>
                      <w:sz w:val="21"/>
                      <w:szCs w:val="21"/>
                      <w:highlight w:val="none"/>
                      <w:lang w:val="en-US" w:eastAsia="zh-CN" w:bidi="ar-SA"/>
                    </w:rPr>
                    <w:t>，运输车辆进出厂需要在出入口冲洗车轮</w:t>
                  </w:r>
                </w:p>
              </w:tc>
              <w:tc>
                <w:tcPr>
                  <w:tcW w:w="627" w:type="pct"/>
                  <w:tcBorders>
                    <w:tl2br w:val="nil"/>
                    <w:tr2bl w:val="nil"/>
                  </w:tcBorders>
                  <w:vAlign w:val="center"/>
                </w:tcPr>
                <w:p w14:paraId="69ADFB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0.5</w:t>
                  </w:r>
                </w:p>
              </w:tc>
            </w:tr>
            <w:tr w14:paraId="03DA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restart"/>
                  <w:tcBorders>
                    <w:tl2br w:val="nil"/>
                    <w:tr2bl w:val="nil"/>
                  </w:tcBorders>
                  <w:vAlign w:val="center"/>
                </w:tcPr>
                <w:p w14:paraId="65EA7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1028" w:type="pct"/>
                  <w:tcBorders>
                    <w:tl2br w:val="nil"/>
                    <w:tr2bl w:val="nil"/>
                  </w:tcBorders>
                  <w:vAlign w:val="center"/>
                </w:tcPr>
                <w:p w14:paraId="4A62A9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生活污水</w:t>
                  </w:r>
                </w:p>
              </w:tc>
              <w:tc>
                <w:tcPr>
                  <w:tcW w:w="2965" w:type="pct"/>
                  <w:tcBorders>
                    <w:tl2br w:val="nil"/>
                    <w:tr2bl w:val="nil"/>
                  </w:tcBorders>
                  <w:vAlign w:val="center"/>
                </w:tcPr>
                <w:p w14:paraId="4F90F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spacing w:val="0"/>
                      <w:kern w:val="2"/>
                      <w:sz w:val="21"/>
                      <w:szCs w:val="21"/>
                      <w:highlight w:val="none"/>
                      <w:lang w:val="en-US" w:eastAsia="zh-CN" w:bidi="ar-SA"/>
                    </w:rPr>
                    <w:t>设置一座旱厕，生活污水排入旱厕，不外排</w:t>
                  </w:r>
                </w:p>
              </w:tc>
              <w:tc>
                <w:tcPr>
                  <w:tcW w:w="627" w:type="pct"/>
                  <w:tcBorders>
                    <w:tl2br w:val="nil"/>
                    <w:tr2bl w:val="nil"/>
                  </w:tcBorders>
                  <w:vAlign w:val="center"/>
                </w:tcPr>
                <w:p w14:paraId="7D098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0.3</w:t>
                  </w:r>
                </w:p>
              </w:tc>
            </w:tr>
            <w:tr w14:paraId="30F1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6E58BD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71707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rPr>
                    <w:t>洗车废水</w:t>
                  </w:r>
                </w:p>
              </w:tc>
              <w:tc>
                <w:tcPr>
                  <w:tcW w:w="2965" w:type="pct"/>
                  <w:tcBorders>
                    <w:tl2br w:val="nil"/>
                    <w:tr2bl w:val="nil"/>
                  </w:tcBorders>
                  <w:vAlign w:val="center"/>
                </w:tcPr>
                <w:p w14:paraId="4F313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厂区出入口处设置1座全自动</w:t>
                  </w:r>
                  <w:r>
                    <w:rPr>
                      <w:rFonts w:hint="eastAsia" w:ascii="Times New Roman" w:hAnsi="Times New Roman" w:eastAsia="宋体" w:cs="Times New Roman"/>
                      <w:color w:val="auto"/>
                      <w:spacing w:val="0"/>
                      <w:kern w:val="2"/>
                      <w:sz w:val="21"/>
                      <w:szCs w:val="21"/>
                      <w:highlight w:val="none"/>
                      <w:lang w:val="en-US" w:eastAsia="zh-CN" w:bidi="ar-SA"/>
                    </w:rPr>
                    <w:t>洗车平台</w:t>
                  </w:r>
                  <w:r>
                    <w:rPr>
                      <w:rFonts w:hint="eastAsia" w:cs="Times New Roman"/>
                      <w:color w:val="auto"/>
                      <w:spacing w:val="0"/>
                      <w:kern w:val="2"/>
                      <w:sz w:val="21"/>
                      <w:szCs w:val="21"/>
                      <w:highlight w:val="none"/>
                      <w:vertAlign w:val="baseline"/>
                      <w:lang w:val="en-US" w:eastAsia="zh-CN" w:bidi="ar-SA"/>
                    </w:rPr>
                    <w:t>，</w:t>
                  </w:r>
                  <w:r>
                    <w:rPr>
                      <w:rFonts w:hint="eastAsia" w:ascii="Times New Roman" w:hAnsi="Times New Roman" w:eastAsia="宋体" w:cs="Times New Roman"/>
                      <w:color w:val="auto"/>
                      <w:spacing w:val="0"/>
                      <w:kern w:val="2"/>
                      <w:sz w:val="21"/>
                      <w:szCs w:val="21"/>
                      <w:highlight w:val="none"/>
                      <w:lang w:val="en-US" w:eastAsia="zh-CN" w:bidi="ar-SA"/>
                    </w:rPr>
                    <w:t>洗车废水经</w:t>
                  </w:r>
                  <w:r>
                    <w:rPr>
                      <w:rFonts w:hint="default" w:ascii="Times New Roman" w:hAnsi="Times New Roman" w:eastAsia="宋体" w:cs="Times New Roman"/>
                      <w:color w:val="auto"/>
                      <w:spacing w:val="0"/>
                      <w:kern w:val="2"/>
                      <w:sz w:val="21"/>
                      <w:szCs w:val="21"/>
                      <w:highlight w:val="none"/>
                      <w:lang w:val="en-US" w:eastAsia="zh-CN" w:bidi="ar-SA"/>
                    </w:rPr>
                    <w:t>沉淀池沉淀后，回用至洗车工序，循环使用，不</w:t>
                  </w:r>
                  <w:r>
                    <w:rPr>
                      <w:rFonts w:hint="default" w:ascii="Times New Roman" w:hAnsi="Times New Roman" w:eastAsia="宋体" w:cs="Times New Roman"/>
                      <w:color w:val="auto"/>
                      <w:spacing w:val="0"/>
                      <w:sz w:val="21"/>
                      <w:szCs w:val="21"/>
                      <w:highlight w:val="none"/>
                      <w:vertAlign w:val="baseline"/>
                      <w:lang w:val="en-US" w:eastAsia="zh-CN"/>
                    </w:rPr>
                    <w:t>外排</w:t>
                  </w:r>
                </w:p>
              </w:tc>
              <w:tc>
                <w:tcPr>
                  <w:tcW w:w="627" w:type="pct"/>
                  <w:tcBorders>
                    <w:tl2br w:val="nil"/>
                    <w:tr2bl w:val="nil"/>
                  </w:tcBorders>
                  <w:vAlign w:val="center"/>
                </w:tcPr>
                <w:p w14:paraId="3E345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w:t>
                  </w:r>
                </w:p>
              </w:tc>
            </w:tr>
            <w:tr w14:paraId="45C8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359B8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38D56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初期雨水</w:t>
                  </w:r>
                </w:p>
              </w:tc>
              <w:tc>
                <w:tcPr>
                  <w:tcW w:w="2965" w:type="pct"/>
                  <w:tcBorders>
                    <w:tl2br w:val="nil"/>
                    <w:tr2bl w:val="nil"/>
                  </w:tcBorders>
                  <w:vAlign w:val="center"/>
                </w:tcPr>
                <w:p w14:paraId="4D444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厂区东南侧设置</w:t>
                  </w:r>
                  <w:r>
                    <w:rPr>
                      <w:rFonts w:hint="eastAsia" w:cs="Times New Roman"/>
                      <w:color w:val="auto"/>
                      <w:spacing w:val="0"/>
                      <w:sz w:val="21"/>
                      <w:szCs w:val="21"/>
                      <w:highlight w:val="none"/>
                      <w:lang w:val="en-US" w:eastAsia="zh-CN"/>
                    </w:rPr>
                    <w:t>1座150m</w:t>
                  </w:r>
                  <w:r>
                    <w:rPr>
                      <w:rFonts w:hint="eastAsia" w:cs="Times New Roman"/>
                      <w:color w:val="auto"/>
                      <w:spacing w:val="0"/>
                      <w:sz w:val="21"/>
                      <w:szCs w:val="21"/>
                      <w:highlight w:val="none"/>
                      <w:vertAlign w:val="superscript"/>
                      <w:lang w:val="en-US" w:eastAsia="zh-CN"/>
                    </w:rPr>
                    <w:t>3</w:t>
                  </w:r>
                  <w:r>
                    <w:rPr>
                      <w:rFonts w:hint="eastAsia" w:cs="Times New Roman"/>
                      <w:color w:val="auto"/>
                      <w:spacing w:val="0"/>
                      <w:sz w:val="21"/>
                      <w:szCs w:val="21"/>
                      <w:highlight w:val="none"/>
                      <w:vertAlign w:val="baseline"/>
                      <w:lang w:val="en-US" w:eastAsia="zh-CN"/>
                    </w:rPr>
                    <w:t>雨水收集池，雨水经沉淀后回用于厂区洒水抑尘</w:t>
                  </w:r>
                </w:p>
              </w:tc>
              <w:tc>
                <w:tcPr>
                  <w:tcW w:w="627" w:type="pct"/>
                  <w:tcBorders>
                    <w:tl2br w:val="nil"/>
                    <w:tr2bl w:val="nil"/>
                  </w:tcBorders>
                  <w:vAlign w:val="center"/>
                </w:tcPr>
                <w:p w14:paraId="628753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r>
            <w:tr w14:paraId="7BA4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restart"/>
                  <w:tcBorders>
                    <w:tl2br w:val="nil"/>
                    <w:tr2bl w:val="nil"/>
                  </w:tcBorders>
                  <w:vAlign w:val="center"/>
                </w:tcPr>
                <w:p w14:paraId="0AE34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1028" w:type="pct"/>
                  <w:tcBorders>
                    <w:tl2br w:val="nil"/>
                    <w:tr2bl w:val="nil"/>
                  </w:tcBorders>
                  <w:vAlign w:val="center"/>
                </w:tcPr>
                <w:p w14:paraId="51062E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除尘灰</w:t>
                  </w:r>
                </w:p>
              </w:tc>
              <w:tc>
                <w:tcPr>
                  <w:tcW w:w="2965" w:type="pct"/>
                  <w:tcBorders>
                    <w:tl2br w:val="nil"/>
                    <w:tr2bl w:val="nil"/>
                  </w:tcBorders>
                  <w:vAlign w:val="center"/>
                </w:tcPr>
                <w:p w14:paraId="6EC64A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各工序</w:t>
                  </w:r>
                  <w:r>
                    <w:rPr>
                      <w:rFonts w:hint="eastAsia" w:cs="Times New Roman"/>
                      <w:color w:val="auto"/>
                      <w:spacing w:val="0"/>
                      <w:szCs w:val="21"/>
                      <w:highlight w:val="none"/>
                      <w:lang w:val="en-US" w:eastAsia="zh-CN"/>
                    </w:rPr>
                    <w:t>除尘器下方设置收灰桶，收灰桶装满后作为产品外售</w:t>
                  </w:r>
                </w:p>
              </w:tc>
              <w:tc>
                <w:tcPr>
                  <w:tcW w:w="627" w:type="pct"/>
                  <w:tcBorders>
                    <w:tl2br w:val="nil"/>
                    <w:tr2bl w:val="nil"/>
                  </w:tcBorders>
                  <w:vAlign w:val="center"/>
                </w:tcPr>
                <w:p w14:paraId="0AF70B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r>
            <w:tr w14:paraId="17DA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2CEED2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680" w:type="dxa"/>
                  <w:tcBorders>
                    <w:tl2br w:val="nil"/>
                    <w:tr2bl w:val="nil"/>
                  </w:tcBorders>
                  <w:vAlign w:val="center"/>
                </w:tcPr>
                <w:p w14:paraId="060A9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szCs w:val="21"/>
                      <w:highlight w:val="none"/>
                      <w:lang w:val="en-US" w:eastAsia="zh-CN"/>
                    </w:rPr>
                    <w:t>废布袋</w:t>
                  </w:r>
                </w:p>
              </w:tc>
              <w:tc>
                <w:tcPr>
                  <w:tcW w:w="4846" w:type="dxa"/>
                  <w:tcBorders>
                    <w:tl2br w:val="nil"/>
                    <w:tr2bl w:val="nil"/>
                  </w:tcBorders>
                  <w:vAlign w:val="center"/>
                </w:tcPr>
                <w:p w14:paraId="0DC85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更换周期为2-3年，除尘器厂家更换后带走，不在厂区内暂存</w:t>
                  </w:r>
                </w:p>
              </w:tc>
              <w:tc>
                <w:tcPr>
                  <w:tcW w:w="627" w:type="pct"/>
                  <w:tcBorders>
                    <w:tl2br w:val="nil"/>
                    <w:tr2bl w:val="nil"/>
                  </w:tcBorders>
                  <w:vAlign w:val="center"/>
                </w:tcPr>
                <w:p w14:paraId="7905D6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14:paraId="3A74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19775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680" w:type="dxa"/>
                  <w:tcBorders>
                    <w:tl2br w:val="nil"/>
                    <w:tr2bl w:val="nil"/>
                  </w:tcBorders>
                  <w:vAlign w:val="center"/>
                </w:tcPr>
                <w:p w14:paraId="160ED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szCs w:val="21"/>
                      <w:highlight w:val="none"/>
                      <w:lang w:val="en-US" w:eastAsia="zh-CN"/>
                    </w:rPr>
                    <w:t>废铁屑</w:t>
                  </w:r>
                </w:p>
              </w:tc>
              <w:tc>
                <w:tcPr>
                  <w:tcW w:w="4846" w:type="dxa"/>
                  <w:tcBorders>
                    <w:tl2br w:val="nil"/>
                    <w:tr2bl w:val="nil"/>
                  </w:tcBorders>
                  <w:vAlign w:val="center"/>
                </w:tcPr>
                <w:p w14:paraId="11D38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收集后外售废品收购站</w:t>
                  </w:r>
                </w:p>
              </w:tc>
              <w:tc>
                <w:tcPr>
                  <w:tcW w:w="627" w:type="pct"/>
                  <w:tcBorders>
                    <w:tl2br w:val="nil"/>
                    <w:tr2bl w:val="nil"/>
                  </w:tcBorders>
                  <w:vAlign w:val="center"/>
                </w:tcPr>
                <w:p w14:paraId="17101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14:paraId="2AFD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0CE30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7BE4D9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生活垃圾</w:t>
                  </w:r>
                </w:p>
              </w:tc>
              <w:tc>
                <w:tcPr>
                  <w:tcW w:w="2965" w:type="pct"/>
                  <w:tcBorders>
                    <w:tl2br w:val="nil"/>
                    <w:tr2bl w:val="nil"/>
                  </w:tcBorders>
                  <w:vAlign w:val="center"/>
                </w:tcPr>
                <w:p w14:paraId="24EE5F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设置垃圾桶，定期送至当地环卫部门指定地点处置</w:t>
                  </w:r>
                </w:p>
              </w:tc>
              <w:tc>
                <w:tcPr>
                  <w:tcW w:w="627" w:type="pct"/>
                  <w:tcBorders>
                    <w:tl2br w:val="nil"/>
                    <w:tr2bl w:val="nil"/>
                  </w:tcBorders>
                  <w:vAlign w:val="center"/>
                </w:tcPr>
                <w:p w14:paraId="30345E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r>
            <w:tr w14:paraId="71AC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vMerge w:val="continue"/>
                  <w:tcBorders>
                    <w:tl2br w:val="nil"/>
                    <w:tr2bl w:val="nil"/>
                  </w:tcBorders>
                  <w:vAlign w:val="center"/>
                </w:tcPr>
                <w:p w14:paraId="264B6F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1028" w:type="pct"/>
                  <w:tcBorders>
                    <w:tl2br w:val="nil"/>
                    <w:tr2bl w:val="nil"/>
                  </w:tcBorders>
                  <w:vAlign w:val="center"/>
                </w:tcPr>
                <w:p w14:paraId="37D771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r>
                    <w:rPr>
                      <w:rFonts w:hint="eastAsia" w:ascii="Times New Roman" w:hAnsi="Times New Roman" w:eastAsia="宋体" w:cs="Times New Roman"/>
                      <w:color w:val="auto"/>
                      <w:sz w:val="21"/>
                      <w:szCs w:val="21"/>
                      <w:highlight w:val="none"/>
                      <w:lang w:val="en-US" w:eastAsia="zh-CN"/>
                    </w:rPr>
                    <w:t>、</w:t>
                  </w:r>
                </w:p>
                <w:p w14:paraId="7EF109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废油桶</w:t>
                  </w:r>
                </w:p>
              </w:tc>
              <w:tc>
                <w:tcPr>
                  <w:tcW w:w="2965" w:type="pct"/>
                  <w:tcBorders>
                    <w:tl2br w:val="nil"/>
                    <w:tr2bl w:val="nil"/>
                  </w:tcBorders>
                  <w:vAlign w:val="center"/>
                </w:tcPr>
                <w:p w14:paraId="63C78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设置1座10m</w:t>
                  </w:r>
                  <w:r>
                    <w:rPr>
                      <w:rFonts w:hint="eastAsia" w:cs="Times New Roman"/>
                      <w:color w:val="auto"/>
                      <w:spacing w:val="0"/>
                      <w:sz w:val="21"/>
                      <w:szCs w:val="21"/>
                      <w:highlight w:val="none"/>
                      <w:vertAlign w:val="superscript"/>
                      <w:lang w:val="en-US" w:eastAsia="zh-CN"/>
                    </w:rPr>
                    <w:t>2</w:t>
                  </w:r>
                  <w:r>
                    <w:rPr>
                      <w:rFonts w:hint="eastAsia" w:cs="Times New Roman"/>
                      <w:color w:val="auto"/>
                      <w:spacing w:val="0"/>
                      <w:sz w:val="21"/>
                      <w:szCs w:val="21"/>
                      <w:highlight w:val="none"/>
                      <w:vertAlign w:val="baseline"/>
                      <w:lang w:val="en-US" w:eastAsia="zh-CN"/>
                    </w:rPr>
                    <w:t>危废贮存点，废矿物油、废油桶</w:t>
                  </w:r>
                  <w:r>
                    <w:rPr>
                      <w:rFonts w:hint="default" w:ascii="Times New Roman" w:hAnsi="Times New Roman" w:eastAsia="宋体" w:cs="Times New Roman"/>
                      <w:color w:val="auto"/>
                      <w:spacing w:val="0"/>
                      <w:sz w:val="21"/>
                      <w:szCs w:val="21"/>
                      <w:highlight w:val="none"/>
                      <w:lang w:val="en-US" w:eastAsia="zh-CN"/>
                    </w:rPr>
                    <w:t>暂存于</w:t>
                  </w:r>
                  <w:r>
                    <w:rPr>
                      <w:rFonts w:hint="eastAsia" w:cs="Times New Roman"/>
                      <w:color w:val="auto"/>
                      <w:spacing w:val="0"/>
                      <w:sz w:val="21"/>
                      <w:szCs w:val="21"/>
                      <w:highlight w:val="none"/>
                      <w:lang w:val="en-US" w:eastAsia="zh-CN"/>
                    </w:rPr>
                    <w:t>危废贮存点</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定期委托有资质单位处置</w:t>
                  </w:r>
                </w:p>
              </w:tc>
              <w:tc>
                <w:tcPr>
                  <w:tcW w:w="627" w:type="pct"/>
                  <w:tcBorders>
                    <w:tl2br w:val="nil"/>
                    <w:tr2bl w:val="nil"/>
                  </w:tcBorders>
                  <w:vAlign w:val="center"/>
                </w:tcPr>
                <w:p w14:paraId="12A90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r>
            <w:tr w14:paraId="3983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8" w:type="pct"/>
                  <w:tcBorders>
                    <w:tl2br w:val="nil"/>
                    <w:tr2bl w:val="nil"/>
                  </w:tcBorders>
                  <w:vAlign w:val="center"/>
                </w:tcPr>
                <w:p w14:paraId="402B1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1028" w:type="pct"/>
                  <w:tcBorders>
                    <w:tl2br w:val="nil"/>
                    <w:tr2bl w:val="nil"/>
                  </w:tcBorders>
                  <w:vAlign w:val="center"/>
                </w:tcPr>
                <w:p w14:paraId="06918E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车间内各生产设备</w:t>
                  </w:r>
                </w:p>
              </w:tc>
              <w:tc>
                <w:tcPr>
                  <w:tcW w:w="2965" w:type="pct"/>
                  <w:tcBorders>
                    <w:tl2br w:val="nil"/>
                    <w:tr2bl w:val="nil"/>
                  </w:tcBorders>
                  <w:vAlign w:val="center"/>
                </w:tcPr>
                <w:p w14:paraId="0D900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选用低噪声设备，高噪音设备做基础减振、柔性连接，厂房隔声等，保持设备运行良好；车辆限速行驶，减少鸣笛</w:t>
                  </w:r>
                </w:p>
              </w:tc>
              <w:tc>
                <w:tcPr>
                  <w:tcW w:w="627" w:type="pct"/>
                  <w:tcBorders>
                    <w:tl2br w:val="nil"/>
                    <w:tr2bl w:val="nil"/>
                  </w:tcBorders>
                  <w:vAlign w:val="center"/>
                </w:tcPr>
                <w:p w14:paraId="40F4E2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r>
            <w:tr w14:paraId="5A61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72" w:type="pct"/>
                  <w:gridSpan w:val="3"/>
                  <w:tcBorders>
                    <w:tl2br w:val="nil"/>
                    <w:tr2bl w:val="nil"/>
                  </w:tcBorders>
                  <w:vAlign w:val="center"/>
                </w:tcPr>
                <w:p w14:paraId="519539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627" w:type="pct"/>
                  <w:tcBorders>
                    <w:tl2br w:val="nil"/>
                    <w:tr2bl w:val="nil"/>
                  </w:tcBorders>
                  <w:vAlign w:val="center"/>
                </w:tcPr>
                <w:p w14:paraId="0D9DA6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13.2</w:t>
                  </w:r>
                </w:p>
              </w:tc>
            </w:tr>
          </w:tbl>
          <w:p w14:paraId="756FB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68C85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44A15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6347E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6D564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08E86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2CFBF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4C60C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54B8C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046A9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0F317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51298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416A5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57D29A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1A50E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4708D0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436D5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6A16C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785AB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4711C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23E20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highlight w:val="none"/>
                <w:vertAlign w:val="baseline"/>
                <w:lang w:val="en-US" w:eastAsia="zh-CN"/>
              </w:rPr>
            </w:pPr>
          </w:p>
          <w:p w14:paraId="05F2BB9F">
            <w:pPr>
              <w:keepNext w:val="0"/>
              <w:keepLines w:val="0"/>
              <w:suppressLineNumbers w:val="0"/>
              <w:spacing w:before="0" w:beforeAutospacing="0" w:after="0" w:afterAutospacing="0"/>
              <w:ind w:left="0" w:right="0"/>
              <w:rPr>
                <w:rFonts w:hint="default" w:eastAsia="宋体"/>
                <w:color w:val="auto"/>
                <w:highlight w:val="none"/>
                <w:vertAlign w:val="baseline"/>
                <w:lang w:val="en-US" w:eastAsia="zh-CN"/>
              </w:rPr>
            </w:pPr>
          </w:p>
        </w:tc>
      </w:tr>
    </w:tbl>
    <w:p w14:paraId="5508DDBD">
      <w:pPr>
        <w:rPr>
          <w:rFonts w:hint="default"/>
          <w:color w:val="auto"/>
          <w:highlight w:val="none"/>
        </w:rPr>
        <w:sectPr>
          <w:pgSz w:w="11907" w:h="16840"/>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p w14:paraId="728280F0">
      <w:pPr>
        <w:pStyle w:val="20"/>
        <w:jc w:val="center"/>
        <w:outlineLvl w:val="0"/>
        <w:rPr>
          <w:rFonts w:hint="default" w:ascii="Times New Roman" w:hAnsi="Times New Roman" w:eastAsia="黑体" w:cs="Times New Roman"/>
          <w:snapToGrid w:val="0"/>
          <w:color w:val="auto"/>
          <w:sz w:val="30"/>
          <w:szCs w:val="30"/>
          <w:highlight w:val="none"/>
          <w:lang w:val="en-US" w:eastAsia="zh-CN"/>
        </w:rPr>
      </w:pPr>
      <w:bookmarkStart w:id="15" w:name="_Toc2591"/>
      <w:r>
        <w:rPr>
          <w:rFonts w:hint="default" w:ascii="Times New Roman" w:hAnsi="Times New Roman" w:eastAsia="黑体" w:cs="Times New Roman"/>
          <w:snapToGrid w:val="0"/>
          <w:color w:val="auto"/>
          <w:sz w:val="30"/>
          <w:szCs w:val="30"/>
          <w:highlight w:val="none"/>
        </w:rPr>
        <w:t>五、</w:t>
      </w:r>
      <w:bookmarkStart w:id="16" w:name="_Hlk54167917"/>
      <w:r>
        <w:rPr>
          <w:rFonts w:hint="default" w:ascii="Times New Roman" w:hAnsi="Times New Roman" w:eastAsia="黑体" w:cs="Times New Roman"/>
          <w:snapToGrid w:val="0"/>
          <w:color w:val="auto"/>
          <w:sz w:val="30"/>
          <w:szCs w:val="30"/>
          <w:highlight w:val="none"/>
        </w:rPr>
        <w:t>环境保护措施监督检查清单</w:t>
      </w:r>
      <w:bookmarkEnd w:id="15"/>
      <w:bookmarkEnd w:id="16"/>
    </w:p>
    <w:tbl>
      <w:tblPr>
        <w:tblStyle w:val="28"/>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635"/>
        <w:gridCol w:w="1050"/>
        <w:gridCol w:w="3334"/>
        <w:gridCol w:w="1943"/>
      </w:tblGrid>
      <w:tr w14:paraId="4AD92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tcBorders>
              <w:tl2br w:val="single" w:color="auto" w:sz="4" w:space="0"/>
            </w:tcBorders>
          </w:tcPr>
          <w:p w14:paraId="6D6D8F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2" w:firstLineChars="200"/>
              <w:jc w:val="right"/>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内容</w:t>
            </w:r>
          </w:p>
          <w:p w14:paraId="5DD67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要素</w:t>
            </w:r>
          </w:p>
        </w:tc>
        <w:tc>
          <w:tcPr>
            <w:tcW w:w="1635" w:type="dxa"/>
            <w:vAlign w:val="center"/>
          </w:tcPr>
          <w:p w14:paraId="7736C2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rPr>
              <w:t>编号、名称</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rPr>
              <w:t>/污染源</w:t>
            </w:r>
          </w:p>
        </w:tc>
        <w:tc>
          <w:tcPr>
            <w:tcW w:w="1050" w:type="dxa"/>
            <w:vAlign w:val="center"/>
          </w:tcPr>
          <w:p w14:paraId="22D22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污染物项目</w:t>
            </w:r>
          </w:p>
        </w:tc>
        <w:tc>
          <w:tcPr>
            <w:tcW w:w="3334" w:type="dxa"/>
            <w:vAlign w:val="center"/>
          </w:tcPr>
          <w:p w14:paraId="6120B4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rPr>
              <w:t>环境保护措施</w:t>
            </w:r>
          </w:p>
        </w:tc>
        <w:tc>
          <w:tcPr>
            <w:tcW w:w="1943" w:type="dxa"/>
            <w:vAlign w:val="center"/>
          </w:tcPr>
          <w:p w14:paraId="2F60DB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r>
      <w:tr w14:paraId="5345B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75E24E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635" w:type="dxa"/>
            <w:vAlign w:val="center"/>
          </w:tcPr>
          <w:p w14:paraId="44DDCF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spacing w:val="0"/>
                <w:kern w:val="2"/>
                <w:sz w:val="21"/>
                <w:szCs w:val="21"/>
                <w:highlight w:val="none"/>
                <w:vertAlign w:val="baseline"/>
                <w:lang w:val="en-US" w:eastAsia="zh-CN" w:bidi="ar-SA"/>
              </w:rPr>
              <w:t>给料、破碎废气</w:t>
            </w:r>
          </w:p>
        </w:tc>
        <w:tc>
          <w:tcPr>
            <w:tcW w:w="1050" w:type="dxa"/>
            <w:vAlign w:val="center"/>
          </w:tcPr>
          <w:p w14:paraId="3A48352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eastAsia"/>
                <w:color w:val="auto"/>
                <w:sz w:val="21"/>
                <w:szCs w:val="21"/>
                <w:lang w:val="en-US" w:eastAsia="zh-CN"/>
              </w:rPr>
              <w:t>颗粒物</w:t>
            </w:r>
          </w:p>
        </w:tc>
        <w:tc>
          <w:tcPr>
            <w:tcW w:w="3334" w:type="dxa"/>
            <w:shd w:val="clear" w:color="auto" w:fill="auto"/>
            <w:vAlign w:val="center"/>
          </w:tcPr>
          <w:p w14:paraId="09CB9C7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给料机上方安装1个</w:t>
            </w:r>
            <w:r>
              <w:rPr>
                <w:rFonts w:hint="eastAsia" w:cs="Times New Roman"/>
                <w:color w:val="auto"/>
                <w:spacing w:val="0"/>
                <w:kern w:val="2"/>
                <w:sz w:val="21"/>
                <w:szCs w:val="21"/>
                <w:highlight w:val="none"/>
                <w:vertAlign w:val="baseline"/>
                <w:lang w:val="en-US" w:eastAsia="zh-CN" w:bidi="ar-SA"/>
              </w:rPr>
              <w:t>柜式</w:t>
            </w:r>
            <w:r>
              <w:rPr>
                <w:rFonts w:hint="default" w:ascii="Times New Roman" w:hAnsi="Times New Roman" w:eastAsia="宋体" w:cs="Times New Roman"/>
                <w:color w:val="auto"/>
                <w:spacing w:val="0"/>
                <w:kern w:val="2"/>
                <w:sz w:val="21"/>
                <w:szCs w:val="21"/>
                <w:highlight w:val="none"/>
                <w:vertAlign w:val="baseline"/>
                <w:lang w:val="en-US" w:eastAsia="zh-CN" w:bidi="ar-SA"/>
              </w:rPr>
              <w:t>集气罩，</w:t>
            </w:r>
            <w:r>
              <w:rPr>
                <w:rFonts w:hint="eastAsia" w:cs="Times New Roman"/>
                <w:color w:val="auto"/>
                <w:spacing w:val="0"/>
                <w:kern w:val="2"/>
                <w:sz w:val="21"/>
                <w:szCs w:val="21"/>
                <w:highlight w:val="none"/>
                <w:vertAlign w:val="baseline"/>
                <w:lang w:val="en-US" w:eastAsia="zh-CN" w:bidi="ar-SA"/>
              </w:rPr>
              <w:t>箱</w:t>
            </w:r>
            <w:r>
              <w:rPr>
                <w:rFonts w:hint="default" w:ascii="Times New Roman" w:hAnsi="Times New Roman" w:eastAsia="宋体" w:cs="Times New Roman"/>
                <w:color w:val="auto"/>
                <w:spacing w:val="0"/>
                <w:kern w:val="2"/>
                <w:sz w:val="21"/>
                <w:szCs w:val="21"/>
                <w:highlight w:val="none"/>
                <w:vertAlign w:val="baseline"/>
                <w:lang w:val="en-US" w:eastAsia="zh-CN" w:bidi="ar-SA"/>
              </w:rPr>
              <w:t>式破碎机为全封闭式，上方设置集气管道，废气收集后共同引入1台布袋除尘器（TA001）处理后，由1根15m高排气筒（DA001）排放</w:t>
            </w:r>
          </w:p>
        </w:tc>
        <w:tc>
          <w:tcPr>
            <w:tcW w:w="1943" w:type="dxa"/>
            <w:vMerge w:val="restart"/>
            <w:vAlign w:val="center"/>
          </w:tcPr>
          <w:p w14:paraId="625EBF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《长治市大气污染防治工作领导组办公室文件关于印发长治市工业企业无组织排放治理实施方案的通知》（长气防办[2019]9号）</w:t>
            </w:r>
          </w:p>
        </w:tc>
      </w:tr>
      <w:tr w14:paraId="5862E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21A08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p>
        </w:tc>
        <w:tc>
          <w:tcPr>
            <w:tcW w:w="1635" w:type="dxa"/>
            <w:vAlign w:val="center"/>
          </w:tcPr>
          <w:p w14:paraId="09FC1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pacing w:val="0"/>
                <w:kern w:val="2"/>
                <w:sz w:val="21"/>
                <w:szCs w:val="21"/>
                <w:highlight w:val="none"/>
                <w:vertAlign w:val="baseline"/>
                <w:lang w:val="en-US" w:eastAsia="zh-CN" w:bidi="ar-SA"/>
              </w:rPr>
            </w:pPr>
            <w:r>
              <w:rPr>
                <w:rFonts w:hint="eastAsia" w:cs="Times New Roman"/>
                <w:color w:val="auto"/>
                <w:spacing w:val="0"/>
                <w:kern w:val="2"/>
                <w:sz w:val="21"/>
                <w:szCs w:val="21"/>
                <w:highlight w:val="none"/>
                <w:vertAlign w:val="baseline"/>
                <w:lang w:val="en-US" w:eastAsia="zh-CN" w:bidi="ar-SA"/>
              </w:rPr>
              <w:t>制砂、筛分废气</w:t>
            </w:r>
          </w:p>
        </w:tc>
        <w:tc>
          <w:tcPr>
            <w:tcW w:w="1050" w:type="dxa"/>
            <w:vAlign w:val="center"/>
          </w:tcPr>
          <w:p w14:paraId="282356D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s="Times New Roman"/>
                <w:color w:val="auto"/>
                <w:spacing w:val="0"/>
                <w:kern w:val="2"/>
                <w:sz w:val="21"/>
                <w:szCs w:val="21"/>
                <w:highlight w:val="none"/>
                <w:vertAlign w:val="baseline"/>
                <w:lang w:val="en-US" w:eastAsia="zh-CN" w:bidi="ar-SA"/>
              </w:rPr>
            </w:pPr>
            <w:r>
              <w:rPr>
                <w:rFonts w:hint="eastAsia"/>
                <w:color w:val="auto"/>
                <w:sz w:val="21"/>
                <w:szCs w:val="21"/>
                <w:lang w:val="en-US" w:eastAsia="zh-CN"/>
              </w:rPr>
              <w:t>颗粒物</w:t>
            </w:r>
          </w:p>
        </w:tc>
        <w:tc>
          <w:tcPr>
            <w:tcW w:w="3334" w:type="dxa"/>
            <w:shd w:val="clear" w:color="auto" w:fill="auto"/>
            <w:vAlign w:val="center"/>
          </w:tcPr>
          <w:p w14:paraId="171A991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both"/>
              <w:textAlignment w:val="auto"/>
              <w:rPr>
                <w:rFonts w:hint="default"/>
                <w:color w:val="auto"/>
                <w:szCs w:val="21"/>
              </w:rPr>
            </w:pPr>
            <w:r>
              <w:rPr>
                <w:rFonts w:hint="eastAsia"/>
                <w:color w:val="auto"/>
                <w:szCs w:val="21"/>
                <w:lang w:val="en-US" w:eastAsia="zh-CN"/>
              </w:rPr>
              <w:t>锤式</w:t>
            </w:r>
            <w:r>
              <w:rPr>
                <w:rFonts w:hint="default"/>
                <w:color w:val="auto"/>
                <w:szCs w:val="21"/>
                <w:lang w:val="en-US" w:eastAsia="zh-CN"/>
              </w:rPr>
              <w:t>制砂机</w:t>
            </w:r>
            <w:r>
              <w:rPr>
                <w:rFonts w:hint="eastAsia"/>
                <w:color w:val="auto"/>
                <w:szCs w:val="21"/>
                <w:lang w:val="en-US" w:eastAsia="zh-CN"/>
              </w:rPr>
              <w:t>、</w:t>
            </w:r>
            <w:r>
              <w:rPr>
                <w:rFonts w:hint="default"/>
                <w:color w:val="auto"/>
                <w:szCs w:val="21"/>
                <w:lang w:val="en-US" w:eastAsia="zh-CN"/>
              </w:rPr>
              <w:t>振动筛</w:t>
            </w:r>
            <w:r>
              <w:rPr>
                <w:rFonts w:hint="eastAsia"/>
                <w:color w:val="auto"/>
                <w:szCs w:val="21"/>
                <w:lang w:val="en-US" w:eastAsia="zh-CN"/>
              </w:rPr>
              <w:t>均</w:t>
            </w:r>
            <w:r>
              <w:rPr>
                <w:rFonts w:hint="default"/>
                <w:color w:val="auto"/>
                <w:szCs w:val="21"/>
                <w:lang w:val="en-US" w:eastAsia="zh-CN"/>
              </w:rPr>
              <w:t>为全封闭式，上方设置集气管道，</w:t>
            </w:r>
            <w:r>
              <w:rPr>
                <w:rFonts w:hint="default"/>
                <w:color w:val="auto"/>
                <w:szCs w:val="21"/>
              </w:rPr>
              <w:t>废气</w:t>
            </w:r>
            <w:r>
              <w:rPr>
                <w:rFonts w:hint="default"/>
                <w:color w:val="auto"/>
                <w:szCs w:val="21"/>
                <w:lang w:val="en-US" w:eastAsia="zh-CN"/>
              </w:rPr>
              <w:t>收集后共同引入1台</w:t>
            </w:r>
            <w:r>
              <w:rPr>
                <w:rFonts w:hint="default"/>
                <w:color w:val="auto"/>
                <w:szCs w:val="21"/>
              </w:rPr>
              <w:t>布袋除尘器</w:t>
            </w:r>
            <w:r>
              <w:rPr>
                <w:rFonts w:hint="default"/>
                <w:color w:val="auto"/>
                <w:szCs w:val="21"/>
                <w:lang w:eastAsia="zh-CN"/>
              </w:rPr>
              <w:t>（</w:t>
            </w:r>
            <w:r>
              <w:rPr>
                <w:rFonts w:hint="default"/>
                <w:color w:val="auto"/>
                <w:szCs w:val="21"/>
                <w:lang w:val="en-US" w:eastAsia="zh-CN"/>
              </w:rPr>
              <w:t>TA002</w:t>
            </w:r>
            <w:r>
              <w:rPr>
                <w:rFonts w:hint="default"/>
                <w:color w:val="auto"/>
                <w:szCs w:val="21"/>
                <w:lang w:eastAsia="zh-CN"/>
              </w:rPr>
              <w:t>）</w:t>
            </w:r>
            <w:r>
              <w:rPr>
                <w:rFonts w:hint="default"/>
                <w:color w:val="auto"/>
                <w:szCs w:val="21"/>
              </w:rPr>
              <w:t>处理</w:t>
            </w:r>
            <w:r>
              <w:rPr>
                <w:rFonts w:hint="default"/>
                <w:color w:val="auto"/>
                <w:szCs w:val="21"/>
                <w:lang w:val="en-US" w:eastAsia="zh-CN"/>
              </w:rPr>
              <w:t>后</w:t>
            </w:r>
            <w:r>
              <w:rPr>
                <w:rFonts w:hint="default"/>
                <w:color w:val="auto"/>
                <w:szCs w:val="21"/>
              </w:rPr>
              <w:t>，</w:t>
            </w:r>
            <w:r>
              <w:rPr>
                <w:rFonts w:hint="default"/>
                <w:color w:val="auto"/>
                <w:szCs w:val="21"/>
                <w:lang w:val="en-US" w:eastAsia="zh-CN"/>
              </w:rPr>
              <w:t>由</w:t>
            </w:r>
            <w:r>
              <w:rPr>
                <w:rFonts w:hint="default"/>
                <w:color w:val="auto"/>
                <w:szCs w:val="21"/>
              </w:rPr>
              <w:t>1根15m高排气筒（DA00</w:t>
            </w:r>
            <w:r>
              <w:rPr>
                <w:rFonts w:hint="default"/>
                <w:color w:val="auto"/>
                <w:szCs w:val="21"/>
                <w:lang w:val="en-US" w:eastAsia="zh-CN"/>
              </w:rPr>
              <w:t>2</w:t>
            </w:r>
            <w:r>
              <w:rPr>
                <w:rFonts w:hint="default"/>
                <w:color w:val="auto"/>
                <w:szCs w:val="21"/>
              </w:rPr>
              <w:t>）排放</w:t>
            </w:r>
          </w:p>
        </w:tc>
        <w:tc>
          <w:tcPr>
            <w:tcW w:w="1943" w:type="dxa"/>
            <w:vMerge w:val="continue"/>
            <w:vAlign w:val="center"/>
          </w:tcPr>
          <w:p w14:paraId="5A7AE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p>
        </w:tc>
      </w:tr>
      <w:tr w14:paraId="271EB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C420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p>
        </w:tc>
        <w:tc>
          <w:tcPr>
            <w:tcW w:w="1635" w:type="dxa"/>
            <w:vAlign w:val="center"/>
          </w:tcPr>
          <w:p w14:paraId="4E53E5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eastAsia" w:ascii="Times New Roman" w:hAnsi="Times New Roman" w:eastAsia="宋体" w:cs="Times New Roman"/>
                <w:b w:val="0"/>
                <w:bCs/>
                <w:color w:val="auto"/>
                <w:spacing w:val="0"/>
                <w:kern w:val="28"/>
                <w:sz w:val="21"/>
                <w:szCs w:val="21"/>
                <w:highlight w:val="none"/>
                <w:lang w:val="en-US" w:eastAsia="zh-CN" w:bidi="ar-SA"/>
              </w:rPr>
              <w:t>物料</w:t>
            </w:r>
            <w:r>
              <w:rPr>
                <w:rFonts w:hint="eastAsia" w:cs="Times New Roman"/>
                <w:b w:val="0"/>
                <w:bCs/>
                <w:color w:val="auto"/>
                <w:spacing w:val="0"/>
                <w:kern w:val="28"/>
                <w:sz w:val="21"/>
                <w:szCs w:val="21"/>
                <w:highlight w:val="none"/>
                <w:lang w:val="en-US" w:eastAsia="zh-CN" w:bidi="ar-SA"/>
              </w:rPr>
              <w:t>转载及</w:t>
            </w:r>
            <w:r>
              <w:rPr>
                <w:rFonts w:hint="eastAsia" w:ascii="Times New Roman" w:hAnsi="Times New Roman" w:eastAsia="宋体" w:cs="Times New Roman"/>
                <w:b w:val="0"/>
                <w:bCs/>
                <w:color w:val="auto"/>
                <w:spacing w:val="0"/>
                <w:kern w:val="28"/>
                <w:sz w:val="21"/>
                <w:szCs w:val="21"/>
                <w:highlight w:val="none"/>
                <w:lang w:val="en-US" w:eastAsia="zh-CN" w:bidi="ar-SA"/>
              </w:rPr>
              <w:t>输送</w:t>
            </w:r>
            <w:r>
              <w:rPr>
                <w:rFonts w:hint="eastAsia" w:cs="Times New Roman"/>
                <w:color w:val="auto"/>
                <w:spacing w:val="0"/>
                <w:kern w:val="2"/>
                <w:sz w:val="21"/>
                <w:szCs w:val="21"/>
                <w:highlight w:val="none"/>
                <w:vertAlign w:val="baseline"/>
                <w:lang w:val="en-US" w:eastAsia="zh-CN" w:bidi="ar-SA"/>
              </w:rPr>
              <w:t>废气</w:t>
            </w:r>
          </w:p>
        </w:tc>
        <w:tc>
          <w:tcPr>
            <w:tcW w:w="1050" w:type="dxa"/>
            <w:vAlign w:val="center"/>
          </w:tcPr>
          <w:p w14:paraId="05C38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vertAlign w:val="baseline"/>
                <w:lang w:val="en-US" w:eastAsia="zh-CN" w:bidi="ar-SA"/>
              </w:rPr>
              <w:t>颗粒物</w:t>
            </w:r>
          </w:p>
        </w:tc>
        <w:tc>
          <w:tcPr>
            <w:tcW w:w="3334" w:type="dxa"/>
            <w:vAlign w:val="center"/>
          </w:tcPr>
          <w:p w14:paraId="4734D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采用全封闭皮带</w:t>
            </w:r>
            <w:r>
              <w:rPr>
                <w:rFonts w:hint="default" w:ascii="Times New Roman" w:hAnsi="Times New Roman" w:cs="Times New Roman"/>
                <w:b w:val="0"/>
                <w:bCs w:val="0"/>
                <w:color w:val="auto"/>
                <w:kern w:val="2"/>
                <w:sz w:val="21"/>
                <w:szCs w:val="21"/>
                <w:highlight w:val="none"/>
                <w:lang w:val="en-US" w:eastAsia="zh-CN" w:bidi="ar-SA"/>
              </w:rPr>
              <w:t>输送</w:t>
            </w:r>
            <w:r>
              <w:rPr>
                <w:rFonts w:hint="eastAsia" w:ascii="Times New Roman" w:hAnsi="Times New Roman" w:cs="Times New Roman"/>
                <w:b w:val="0"/>
                <w:bCs w:val="0"/>
                <w:color w:val="auto"/>
                <w:kern w:val="2"/>
                <w:sz w:val="21"/>
                <w:szCs w:val="21"/>
                <w:highlight w:val="none"/>
                <w:lang w:val="en-US" w:eastAsia="zh-CN" w:bidi="ar-SA"/>
              </w:rPr>
              <w:t>，运输转载粉尘就近接入相应的除尘器中，皮带转运跌落点降低高度，并设置固定式雾化喷头</w:t>
            </w:r>
          </w:p>
        </w:tc>
        <w:tc>
          <w:tcPr>
            <w:tcW w:w="1943" w:type="dxa"/>
            <w:vMerge w:val="continue"/>
            <w:vAlign w:val="center"/>
          </w:tcPr>
          <w:p w14:paraId="2A30D9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p>
        </w:tc>
      </w:tr>
      <w:tr w14:paraId="01177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D89E5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p>
        </w:tc>
        <w:tc>
          <w:tcPr>
            <w:tcW w:w="1635" w:type="dxa"/>
            <w:vAlign w:val="center"/>
          </w:tcPr>
          <w:p w14:paraId="32D50A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eastAsia" w:cs="Times New Roman"/>
                <w:b w:val="0"/>
                <w:bCs/>
                <w:color w:val="auto"/>
                <w:spacing w:val="0"/>
                <w:kern w:val="28"/>
                <w:sz w:val="21"/>
                <w:szCs w:val="21"/>
                <w:highlight w:val="none"/>
                <w:lang w:val="en-US" w:eastAsia="zh-CN" w:bidi="ar-SA"/>
              </w:rPr>
              <w:t>原料及成品装卸、堆放</w:t>
            </w:r>
            <w:r>
              <w:rPr>
                <w:rFonts w:hint="eastAsia" w:cs="Times New Roman"/>
                <w:color w:val="auto"/>
                <w:spacing w:val="0"/>
                <w:kern w:val="2"/>
                <w:sz w:val="21"/>
                <w:szCs w:val="21"/>
                <w:highlight w:val="none"/>
                <w:vertAlign w:val="baseline"/>
                <w:lang w:val="en-US" w:eastAsia="zh-CN" w:bidi="ar-SA"/>
              </w:rPr>
              <w:t>废气</w:t>
            </w:r>
          </w:p>
        </w:tc>
        <w:tc>
          <w:tcPr>
            <w:tcW w:w="1050" w:type="dxa"/>
            <w:vAlign w:val="center"/>
          </w:tcPr>
          <w:p w14:paraId="60052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vertAlign w:val="baseline"/>
                <w:lang w:val="en-US" w:eastAsia="zh-CN" w:bidi="ar-SA"/>
              </w:rPr>
              <w:t>颗粒物</w:t>
            </w:r>
          </w:p>
        </w:tc>
        <w:tc>
          <w:tcPr>
            <w:tcW w:w="3334" w:type="dxa"/>
            <w:vAlign w:val="center"/>
          </w:tcPr>
          <w:p w14:paraId="69C888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原料堆放区位于全封闭生产车间内，顶部设置喷雾抑尘装置，成品库为全封闭，库顶安装喷雾抑尘措施，装卸物料时设有移动式雾炮机同时抑尘</w:t>
            </w:r>
          </w:p>
        </w:tc>
        <w:tc>
          <w:tcPr>
            <w:tcW w:w="1943" w:type="dxa"/>
            <w:vMerge w:val="restart"/>
            <w:vAlign w:val="center"/>
          </w:tcPr>
          <w:p w14:paraId="06249A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《大气污染物综合排放标准》（GB16297-1996）</w:t>
            </w:r>
          </w:p>
        </w:tc>
      </w:tr>
      <w:tr w14:paraId="3108E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6A363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p>
        </w:tc>
        <w:tc>
          <w:tcPr>
            <w:tcW w:w="1635" w:type="dxa"/>
            <w:vAlign w:val="center"/>
          </w:tcPr>
          <w:p w14:paraId="42FC3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spacing w:val="0"/>
                <w:kern w:val="28"/>
                <w:sz w:val="21"/>
                <w:szCs w:val="21"/>
                <w:highlight w:val="none"/>
                <w:lang w:val="en-US" w:eastAsia="zh-CN" w:bidi="ar-SA"/>
              </w:rPr>
            </w:pPr>
            <w:r>
              <w:rPr>
                <w:rFonts w:hint="eastAsia" w:cs="Times New Roman"/>
                <w:color w:val="auto"/>
                <w:kern w:val="2"/>
                <w:sz w:val="21"/>
                <w:szCs w:val="21"/>
                <w:highlight w:val="none"/>
                <w:lang w:val="en-US" w:eastAsia="zh-CN" w:bidi="ar-SA"/>
              </w:rPr>
              <w:t>道路运输</w:t>
            </w:r>
            <w:r>
              <w:rPr>
                <w:rFonts w:hint="eastAsia" w:cs="Times New Roman"/>
                <w:color w:val="auto"/>
                <w:spacing w:val="0"/>
                <w:kern w:val="2"/>
                <w:sz w:val="21"/>
                <w:szCs w:val="21"/>
                <w:highlight w:val="none"/>
                <w:vertAlign w:val="baseline"/>
                <w:lang w:val="en-US" w:eastAsia="zh-CN" w:bidi="ar-SA"/>
              </w:rPr>
              <w:t>废气</w:t>
            </w:r>
          </w:p>
        </w:tc>
        <w:tc>
          <w:tcPr>
            <w:tcW w:w="1050" w:type="dxa"/>
            <w:vAlign w:val="center"/>
          </w:tcPr>
          <w:p w14:paraId="766158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eastAsia" w:ascii="Times New Roman" w:hAnsi="Times New Roman" w:eastAsia="宋体" w:cs="Times New Roman"/>
                <w:color w:val="auto"/>
                <w:spacing w:val="0"/>
                <w:kern w:val="2"/>
                <w:sz w:val="21"/>
                <w:szCs w:val="21"/>
                <w:highlight w:val="none"/>
                <w:vertAlign w:val="baseline"/>
                <w:lang w:val="en-US" w:eastAsia="zh-CN" w:bidi="ar-SA"/>
              </w:rPr>
              <w:t>颗粒物</w:t>
            </w:r>
          </w:p>
        </w:tc>
        <w:tc>
          <w:tcPr>
            <w:tcW w:w="3334" w:type="dxa"/>
            <w:vAlign w:val="center"/>
          </w:tcPr>
          <w:p w14:paraId="1666E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olor w:val="auto"/>
                <w:sz w:val="21"/>
                <w:szCs w:val="21"/>
                <w:lang w:val="en-US" w:eastAsia="zh-CN"/>
              </w:rPr>
              <w:t>厂区出入口设置1座全自动洗车平台，出厂对车辆轮胎清洗</w:t>
            </w:r>
            <w:r>
              <w:rPr>
                <w:rFonts w:hint="eastAsia" w:ascii="Times New Roman" w:hAnsi="Times New Roman" w:eastAsia="宋体" w:cs="Times New Roman"/>
                <w:color w:val="auto"/>
                <w:kern w:val="2"/>
                <w:sz w:val="21"/>
                <w:szCs w:val="21"/>
                <w:highlight w:val="none"/>
                <w:lang w:val="en-US" w:eastAsia="zh-CN" w:bidi="ar-SA"/>
              </w:rPr>
              <w:t>后方可上路</w:t>
            </w:r>
            <w:r>
              <w:rPr>
                <w:rFonts w:hint="default" w:ascii="Times New Roman" w:hAnsi="Times New Roman"/>
                <w:color w:val="auto"/>
                <w:sz w:val="21"/>
                <w:szCs w:val="21"/>
                <w:lang w:eastAsia="zh-CN"/>
              </w:rPr>
              <w:t>；对厂区地面、道路全部进行硬化和厂界绿化，道路定时洒水；</w:t>
            </w:r>
            <w:r>
              <w:rPr>
                <w:rFonts w:hint="default" w:ascii="Times New Roman" w:hAnsi="Times New Roman"/>
                <w:color w:val="auto"/>
                <w:sz w:val="21"/>
                <w:szCs w:val="21"/>
              </w:rPr>
              <w:t>限制汽车超载，</w:t>
            </w:r>
            <w:r>
              <w:rPr>
                <w:rFonts w:hint="eastAsia"/>
                <w:color w:val="auto"/>
                <w:sz w:val="21"/>
                <w:szCs w:val="21"/>
                <w:lang w:val="en-US" w:eastAsia="zh-CN"/>
              </w:rPr>
              <w:t>运输</w:t>
            </w:r>
            <w:r>
              <w:rPr>
                <w:rFonts w:hint="default" w:ascii="Times New Roman" w:hAnsi="Times New Roman"/>
                <w:color w:val="auto"/>
                <w:sz w:val="21"/>
                <w:szCs w:val="21"/>
              </w:rPr>
              <w:t>采用</w:t>
            </w:r>
            <w:r>
              <w:rPr>
                <w:rFonts w:hint="eastAsia"/>
                <w:color w:val="auto"/>
                <w:sz w:val="21"/>
                <w:szCs w:val="21"/>
                <w:lang w:val="en-US" w:eastAsia="zh-CN"/>
              </w:rPr>
              <w:t>箱</w:t>
            </w:r>
            <w:r>
              <w:rPr>
                <w:rFonts w:hint="default" w:ascii="Times New Roman" w:hAnsi="Times New Roman"/>
                <w:color w:val="auto"/>
                <w:sz w:val="21"/>
                <w:szCs w:val="21"/>
              </w:rPr>
              <w:t>式车</w:t>
            </w:r>
            <w:r>
              <w:rPr>
                <w:rFonts w:hint="eastAsia"/>
                <w:color w:val="auto"/>
                <w:sz w:val="21"/>
                <w:szCs w:val="21"/>
                <w:lang w:val="en-US" w:eastAsia="zh-CN"/>
              </w:rPr>
              <w:t>篷布苫盖</w:t>
            </w:r>
          </w:p>
        </w:tc>
        <w:tc>
          <w:tcPr>
            <w:tcW w:w="1943" w:type="dxa"/>
            <w:vMerge w:val="continue"/>
            <w:vAlign w:val="center"/>
          </w:tcPr>
          <w:p w14:paraId="65D25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p>
        </w:tc>
      </w:tr>
      <w:tr w14:paraId="1D8D5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069109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1635" w:type="dxa"/>
            <w:vAlign w:val="center"/>
          </w:tcPr>
          <w:p w14:paraId="6BD67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生活污水</w:t>
            </w:r>
          </w:p>
        </w:tc>
        <w:tc>
          <w:tcPr>
            <w:tcW w:w="1050" w:type="dxa"/>
            <w:vAlign w:val="center"/>
          </w:tcPr>
          <w:p w14:paraId="3CC3F1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COD、BOD</w:t>
            </w:r>
            <w:r>
              <w:rPr>
                <w:rFonts w:hint="default" w:ascii="Times New Roman" w:hAnsi="Times New Roman" w:cs="Times New Roman"/>
                <w:color w:val="auto"/>
                <w:kern w:val="2"/>
                <w:sz w:val="21"/>
                <w:szCs w:val="21"/>
                <w:highlight w:val="none"/>
                <w:vertAlign w:val="subscript"/>
                <w:lang w:val="en-US" w:eastAsia="zh-CN" w:bidi="ar-SA"/>
              </w:rPr>
              <w:t>5</w:t>
            </w:r>
            <w:r>
              <w:rPr>
                <w:rFonts w:hint="default" w:ascii="Times New Roman" w:hAnsi="Times New Roman" w:cs="Times New Roman"/>
                <w:color w:val="auto"/>
                <w:kern w:val="2"/>
                <w:sz w:val="21"/>
                <w:szCs w:val="21"/>
                <w:highlight w:val="none"/>
                <w:lang w:val="en-US" w:eastAsia="zh-CN" w:bidi="ar-SA"/>
              </w:rPr>
              <w:t>等</w:t>
            </w:r>
          </w:p>
        </w:tc>
        <w:tc>
          <w:tcPr>
            <w:tcW w:w="3334" w:type="dxa"/>
            <w:vAlign w:val="center"/>
          </w:tcPr>
          <w:p w14:paraId="6BF853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排入旱厕，定时清掏，不外排</w:t>
            </w:r>
          </w:p>
        </w:tc>
        <w:tc>
          <w:tcPr>
            <w:tcW w:w="1943" w:type="dxa"/>
            <w:vAlign w:val="center"/>
          </w:tcPr>
          <w:p w14:paraId="0AEB80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7694E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578CE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p>
        </w:tc>
        <w:tc>
          <w:tcPr>
            <w:tcW w:w="1635" w:type="dxa"/>
            <w:vAlign w:val="center"/>
          </w:tcPr>
          <w:p w14:paraId="51C975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洗车废水</w:t>
            </w:r>
          </w:p>
        </w:tc>
        <w:tc>
          <w:tcPr>
            <w:tcW w:w="1050" w:type="dxa"/>
            <w:vAlign w:val="center"/>
          </w:tcPr>
          <w:p w14:paraId="57EF2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SS、石油类</w:t>
            </w:r>
          </w:p>
        </w:tc>
        <w:tc>
          <w:tcPr>
            <w:tcW w:w="3334" w:type="dxa"/>
            <w:vAlign w:val="center"/>
          </w:tcPr>
          <w:p w14:paraId="54CFE6E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rPr>
              <w:t>洗车废水</w:t>
            </w:r>
            <w:r>
              <w:rPr>
                <w:rFonts w:hint="eastAsia" w:cs="Times New Roman"/>
                <w:color w:val="auto"/>
                <w:spacing w:val="0"/>
                <w:sz w:val="21"/>
                <w:szCs w:val="21"/>
                <w:highlight w:val="none"/>
                <w:lang w:val="en-US" w:eastAsia="zh-CN"/>
              </w:rPr>
              <w:t>经</w:t>
            </w:r>
            <w:r>
              <w:rPr>
                <w:rFonts w:hint="default" w:ascii="Times New Roman" w:hAnsi="Times New Roman" w:cs="Times New Roman"/>
                <w:color w:val="auto"/>
                <w:spacing w:val="0"/>
                <w:sz w:val="21"/>
                <w:szCs w:val="21"/>
                <w:highlight w:val="none"/>
              </w:rPr>
              <w:t>沉淀池沉淀处理后，回用至</w:t>
            </w:r>
            <w:r>
              <w:rPr>
                <w:rFonts w:hint="default" w:ascii="Times New Roman" w:hAnsi="Times New Roman" w:eastAsia="宋体" w:cs="Times New Roman"/>
                <w:color w:val="auto"/>
                <w:spacing w:val="0"/>
                <w:sz w:val="21"/>
                <w:szCs w:val="21"/>
                <w:highlight w:val="none"/>
                <w:lang w:val="en-US" w:eastAsia="zh-CN"/>
              </w:rPr>
              <w:t>洗车</w:t>
            </w:r>
            <w:r>
              <w:rPr>
                <w:rFonts w:hint="default" w:ascii="Times New Roman" w:hAnsi="Times New Roman" w:cs="Times New Roman"/>
                <w:color w:val="auto"/>
                <w:spacing w:val="0"/>
                <w:sz w:val="21"/>
                <w:szCs w:val="21"/>
                <w:highlight w:val="none"/>
              </w:rPr>
              <w:t>工序，循环使用，不排放</w:t>
            </w:r>
          </w:p>
        </w:tc>
        <w:tc>
          <w:tcPr>
            <w:tcW w:w="1943" w:type="dxa"/>
            <w:vAlign w:val="center"/>
          </w:tcPr>
          <w:p w14:paraId="79D5D7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14:paraId="10C0C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4AE67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p>
        </w:tc>
        <w:tc>
          <w:tcPr>
            <w:tcW w:w="1635" w:type="dxa"/>
            <w:vAlign w:val="center"/>
          </w:tcPr>
          <w:p w14:paraId="65C77D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初期雨水</w:t>
            </w:r>
          </w:p>
        </w:tc>
        <w:tc>
          <w:tcPr>
            <w:tcW w:w="1050" w:type="dxa"/>
            <w:vAlign w:val="center"/>
          </w:tcPr>
          <w:p w14:paraId="079D1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SS</w:t>
            </w:r>
          </w:p>
        </w:tc>
        <w:tc>
          <w:tcPr>
            <w:tcW w:w="3334" w:type="dxa"/>
            <w:vAlign w:val="center"/>
          </w:tcPr>
          <w:p w14:paraId="262AFAB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eastAsia" w:cs="Times New Roman"/>
                <w:color w:val="auto"/>
                <w:spacing w:val="0"/>
                <w:sz w:val="21"/>
                <w:szCs w:val="21"/>
                <w:highlight w:val="none"/>
                <w:lang w:val="en-US" w:eastAsia="zh-CN"/>
              </w:rPr>
              <w:t>厂区地势最低处（东南侧）设置1座150m</w:t>
            </w:r>
            <w:r>
              <w:rPr>
                <w:rFonts w:hint="eastAsia" w:cs="Times New Roman"/>
                <w:color w:val="auto"/>
                <w:spacing w:val="0"/>
                <w:sz w:val="21"/>
                <w:szCs w:val="21"/>
                <w:highlight w:val="none"/>
                <w:vertAlign w:val="superscript"/>
                <w:lang w:val="en-US" w:eastAsia="zh-CN"/>
              </w:rPr>
              <w:t>3</w:t>
            </w:r>
            <w:r>
              <w:rPr>
                <w:rFonts w:hint="eastAsia" w:cs="Times New Roman"/>
                <w:color w:val="auto"/>
                <w:spacing w:val="0"/>
                <w:sz w:val="21"/>
                <w:szCs w:val="21"/>
                <w:highlight w:val="none"/>
                <w:vertAlign w:val="baseline"/>
                <w:lang w:val="en-US" w:eastAsia="zh-CN"/>
              </w:rPr>
              <w:t>雨水收集池，雨水经沉淀后用于厂区洒水抑尘</w:t>
            </w:r>
          </w:p>
        </w:tc>
        <w:tc>
          <w:tcPr>
            <w:tcW w:w="1943" w:type="dxa"/>
            <w:vAlign w:val="center"/>
          </w:tcPr>
          <w:p w14:paraId="7DEFEC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r>
      <w:tr w14:paraId="03AD7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27DA9B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635" w:type="dxa"/>
            <w:vAlign w:val="center"/>
          </w:tcPr>
          <w:p w14:paraId="3914D4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生产设备</w:t>
            </w:r>
          </w:p>
        </w:tc>
        <w:tc>
          <w:tcPr>
            <w:tcW w:w="1050" w:type="dxa"/>
            <w:vAlign w:val="center"/>
          </w:tcPr>
          <w:p w14:paraId="566E54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噪声</w:t>
            </w:r>
          </w:p>
        </w:tc>
        <w:tc>
          <w:tcPr>
            <w:tcW w:w="3334" w:type="dxa"/>
            <w:vAlign w:val="center"/>
          </w:tcPr>
          <w:p w14:paraId="7AB7AA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选用低噪声设备，高噪音设备做基础减振、柔性连接，厂房隔声等，保持设备运行良好；车辆限速行驶，减少鸣笛</w:t>
            </w:r>
          </w:p>
        </w:tc>
        <w:tc>
          <w:tcPr>
            <w:tcW w:w="1943" w:type="dxa"/>
            <w:vAlign w:val="center"/>
          </w:tcPr>
          <w:p w14:paraId="252D4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kern w:val="2"/>
                <w:sz w:val="21"/>
                <w:szCs w:val="21"/>
                <w:highlight w:val="none"/>
                <w:lang w:val="en-US" w:eastAsia="zh-CN" w:bidi="ar-SA"/>
              </w:rPr>
              <w:fldChar w:fldCharType="begin"/>
            </w:r>
            <w:r>
              <w:rPr>
                <w:rFonts w:hint="default" w:ascii="Times New Roman" w:hAnsi="Times New Roman" w:cs="Times New Roman"/>
                <w:color w:val="auto"/>
                <w:kern w:val="2"/>
                <w:sz w:val="21"/>
                <w:szCs w:val="21"/>
                <w:highlight w:val="none"/>
                <w:lang w:val="en-US" w:eastAsia="zh-CN" w:bidi="ar-SA"/>
              </w:rPr>
              <w:instrText xml:space="preserve"> HYPERLINK "http://www.mep.gov.cn/info/bgw/bgg/200809/W020081017399508921576.pdf" \t "_self" </w:instrText>
            </w:r>
            <w:r>
              <w:rPr>
                <w:rFonts w:hint="default" w:ascii="Times New Roman" w:hAnsi="Times New Roman" w:cs="Times New Roman"/>
                <w:color w:val="auto"/>
                <w:kern w:val="2"/>
                <w:sz w:val="21"/>
                <w:szCs w:val="21"/>
                <w:highlight w:val="none"/>
                <w:lang w:val="en-US" w:eastAsia="zh-CN" w:bidi="ar-SA"/>
              </w:rPr>
              <w:fldChar w:fldCharType="separate"/>
            </w:r>
            <w:r>
              <w:rPr>
                <w:rFonts w:hint="default" w:ascii="Times New Roman" w:hAnsi="Times New Roman" w:cs="Times New Roman"/>
                <w:color w:val="auto"/>
                <w:kern w:val="2"/>
                <w:sz w:val="21"/>
                <w:szCs w:val="21"/>
                <w:highlight w:val="none"/>
                <w:lang w:val="en-US" w:eastAsia="zh-CN" w:bidi="ar-SA"/>
              </w:rPr>
              <w:t>工业企业厂界环境噪声</w:t>
            </w:r>
            <w:r>
              <w:rPr>
                <w:rFonts w:hint="default" w:ascii="Times New Roman" w:hAnsi="Times New Roman" w:cs="Times New Roman"/>
                <w:color w:val="auto"/>
                <w:kern w:val="2"/>
                <w:sz w:val="21"/>
                <w:szCs w:val="21"/>
                <w:highlight w:val="none"/>
                <w:lang w:val="en-US" w:eastAsia="zh-CN" w:bidi="ar-SA"/>
              </w:rPr>
              <w:fldChar w:fldCharType="end"/>
            </w:r>
            <w:r>
              <w:rPr>
                <w:rFonts w:hint="default" w:ascii="Times New Roman" w:hAnsi="Times New Roman" w:cs="Times New Roman"/>
                <w:color w:val="auto"/>
                <w:kern w:val="2"/>
                <w:sz w:val="21"/>
                <w:szCs w:val="21"/>
                <w:highlight w:val="none"/>
                <w:lang w:val="en-US" w:eastAsia="zh-CN" w:bidi="ar-SA"/>
              </w:rPr>
              <w:t>排放标准》（GB12348-2008）</w:t>
            </w:r>
          </w:p>
        </w:tc>
      </w:tr>
      <w:tr w14:paraId="32FEF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D4BE3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7962" w:type="dxa"/>
            <w:gridSpan w:val="4"/>
            <w:vAlign w:val="center"/>
          </w:tcPr>
          <w:p w14:paraId="55F896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一般工业固体废物：</w:t>
            </w:r>
            <w:r>
              <w:rPr>
                <w:rFonts w:hint="eastAsia" w:cs="Times New Roman"/>
                <w:color w:val="auto"/>
                <w:spacing w:val="0"/>
                <w:szCs w:val="21"/>
                <w:highlight w:val="none"/>
                <w:lang w:val="en-US" w:eastAsia="zh-CN"/>
              </w:rPr>
              <w:t>除尘器下方设置收灰桶，收灰桶装满后作为产品外售</w:t>
            </w:r>
            <w:r>
              <w:rPr>
                <w:rFonts w:hint="eastAsia" w:cs="Times New Roman"/>
                <w:color w:val="auto"/>
                <w:kern w:val="2"/>
                <w:sz w:val="21"/>
                <w:szCs w:val="21"/>
                <w:highlight w:val="none"/>
                <w:lang w:val="en-US" w:eastAsia="zh-CN" w:bidi="ar-SA"/>
              </w:rPr>
              <w:t>；废布袋</w:t>
            </w:r>
            <w:r>
              <w:rPr>
                <w:rFonts w:hint="eastAsia" w:cs="Times New Roman"/>
                <w:color w:val="auto"/>
                <w:spacing w:val="0"/>
                <w:szCs w:val="21"/>
                <w:highlight w:val="none"/>
                <w:lang w:val="en-US" w:eastAsia="zh-CN"/>
              </w:rPr>
              <w:t>更换周期为2-3年，除尘器厂家更换后带走，不在厂区内暂存；废铁屑收集后外售废品收购站。</w:t>
            </w:r>
          </w:p>
          <w:p w14:paraId="3BE8FC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生活垃圾：厂内设置垃圾桶，定期送至当地环卫部门指定地点处置。</w:t>
            </w:r>
          </w:p>
          <w:p w14:paraId="65897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危险废物：废矿物油、废油桶</w:t>
            </w:r>
            <w:r>
              <w:rPr>
                <w:rFonts w:hint="default" w:ascii="Times New Roman" w:hAnsi="Times New Roman" w:eastAsia="宋体" w:cs="Times New Roman"/>
                <w:color w:val="auto"/>
                <w:kern w:val="2"/>
                <w:sz w:val="21"/>
                <w:szCs w:val="21"/>
                <w:highlight w:val="none"/>
                <w:lang w:val="en-US" w:eastAsia="zh-CN" w:bidi="ar-SA"/>
              </w:rPr>
              <w:t>集中收集后</w:t>
            </w:r>
            <w:r>
              <w:rPr>
                <w:rFonts w:hint="eastAsia" w:ascii="Times New Roman" w:hAnsi="Times New Roman" w:eastAsia="宋体" w:cs="Times New Roman"/>
                <w:color w:val="auto"/>
                <w:kern w:val="2"/>
                <w:sz w:val="21"/>
                <w:szCs w:val="21"/>
                <w:highlight w:val="none"/>
                <w:lang w:val="en-US" w:eastAsia="zh-CN" w:bidi="ar-SA"/>
              </w:rPr>
              <w:t>分区</w:t>
            </w:r>
            <w:r>
              <w:rPr>
                <w:rFonts w:hint="default" w:ascii="Times New Roman" w:hAnsi="Times New Roman" w:eastAsia="宋体" w:cs="Times New Roman"/>
                <w:color w:val="auto"/>
                <w:kern w:val="2"/>
                <w:sz w:val="21"/>
                <w:szCs w:val="21"/>
                <w:highlight w:val="none"/>
                <w:lang w:val="en-US" w:eastAsia="zh-CN" w:bidi="ar-SA"/>
              </w:rPr>
              <w:t>暂存于</w:t>
            </w:r>
            <w:r>
              <w:rPr>
                <w:rFonts w:hint="eastAsia" w:ascii="Times New Roman" w:hAnsi="Times New Roman" w:eastAsia="宋体" w:cs="Times New Roman"/>
                <w:color w:val="auto"/>
                <w:kern w:val="2"/>
                <w:sz w:val="21"/>
                <w:szCs w:val="21"/>
                <w:highlight w:val="none"/>
                <w:lang w:val="en-US" w:eastAsia="zh-CN" w:bidi="ar-SA"/>
              </w:rPr>
              <w:t>危废贮存点</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定期委托有资质单位处置。</w:t>
            </w:r>
          </w:p>
        </w:tc>
      </w:tr>
      <w:tr w14:paraId="1FDAA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0010CE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土壤及地下水污染防治措施</w:t>
            </w:r>
          </w:p>
        </w:tc>
        <w:tc>
          <w:tcPr>
            <w:tcW w:w="7962" w:type="dxa"/>
            <w:gridSpan w:val="4"/>
            <w:vAlign w:val="center"/>
          </w:tcPr>
          <w:p w14:paraId="30FE2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本次评价将项目区划分为重点防渗区、一般防渗区</w:t>
            </w:r>
            <w:r>
              <w:rPr>
                <w:rFonts w:hint="eastAsia" w:ascii="Times New Roman" w:hAnsi="Times New Roman" w:eastAsia="宋体" w:cs="Times New Roman"/>
                <w:color w:val="auto"/>
                <w:kern w:val="2"/>
                <w:sz w:val="21"/>
                <w:szCs w:val="21"/>
                <w:highlight w:val="none"/>
                <w:lang w:val="en-US" w:eastAsia="zh-CN" w:bidi="ar-SA"/>
              </w:rPr>
              <w:t>和简单防渗区</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危废贮存点</w:t>
            </w:r>
            <w:r>
              <w:rPr>
                <w:rFonts w:hint="default" w:ascii="Times New Roman" w:hAnsi="Times New Roman" w:eastAsia="宋体" w:cs="Times New Roman"/>
                <w:color w:val="auto"/>
                <w:kern w:val="2"/>
                <w:sz w:val="21"/>
                <w:szCs w:val="21"/>
                <w:highlight w:val="none"/>
                <w:lang w:val="en-US" w:eastAsia="zh-CN" w:bidi="ar-SA"/>
              </w:rPr>
              <w:t>为重点防渗区，生产车间</w:t>
            </w:r>
            <w:r>
              <w:rPr>
                <w:rFonts w:hint="eastAsia" w:ascii="Times New Roman" w:hAnsi="Times New Roman" w:eastAsia="宋体" w:cs="Times New Roman"/>
                <w:color w:val="auto"/>
                <w:kern w:val="2"/>
                <w:sz w:val="21"/>
                <w:szCs w:val="21"/>
                <w:highlight w:val="none"/>
                <w:lang w:val="en-US" w:eastAsia="zh-CN" w:bidi="ar-SA"/>
              </w:rPr>
              <w:t>、洗车平台、雨水收集池</w:t>
            </w:r>
            <w:r>
              <w:rPr>
                <w:rFonts w:hint="default" w:ascii="Times New Roman" w:hAnsi="Times New Roman" w:eastAsia="宋体" w:cs="Times New Roman"/>
                <w:color w:val="auto"/>
                <w:kern w:val="2"/>
                <w:sz w:val="21"/>
                <w:szCs w:val="21"/>
                <w:highlight w:val="none"/>
                <w:lang w:val="en-US" w:eastAsia="zh-CN" w:bidi="ar-SA"/>
              </w:rPr>
              <w:t>为一般防渗区</w:t>
            </w:r>
            <w:r>
              <w:rPr>
                <w:rFonts w:hint="eastAsia" w:ascii="Times New Roman" w:hAnsi="Times New Roman" w:eastAsia="宋体" w:cs="Times New Roman"/>
                <w:color w:val="auto"/>
                <w:kern w:val="2"/>
                <w:sz w:val="21"/>
                <w:szCs w:val="21"/>
                <w:highlight w:val="none"/>
                <w:lang w:val="en-US" w:eastAsia="zh-CN" w:bidi="ar-SA"/>
              </w:rPr>
              <w:t>，其他为简单防渗区。</w:t>
            </w:r>
          </w:p>
        </w:tc>
      </w:tr>
      <w:tr w14:paraId="0352A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36775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生态保护措施</w:t>
            </w:r>
          </w:p>
        </w:tc>
        <w:tc>
          <w:tcPr>
            <w:tcW w:w="7962" w:type="dxa"/>
            <w:gridSpan w:val="4"/>
            <w:vAlign w:val="center"/>
          </w:tcPr>
          <w:p w14:paraId="53152B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厂区</w:t>
            </w:r>
            <w:r>
              <w:rPr>
                <w:rFonts w:hint="eastAsia" w:cs="Times New Roman"/>
                <w:color w:val="auto"/>
                <w:szCs w:val="21"/>
                <w:highlight w:val="none"/>
                <w:lang w:val="en-US" w:eastAsia="zh-CN"/>
              </w:rPr>
              <w:t>道路硬化、运输道路周围</w:t>
            </w:r>
            <w:r>
              <w:rPr>
                <w:rFonts w:hint="default" w:ascii="Times New Roman" w:hAnsi="Times New Roman" w:cs="Times New Roman"/>
                <w:color w:val="auto"/>
                <w:szCs w:val="21"/>
                <w:highlight w:val="none"/>
              </w:rPr>
              <w:t>绿化</w:t>
            </w:r>
          </w:p>
        </w:tc>
      </w:tr>
      <w:tr w14:paraId="40367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0B1A0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环境风险</w:t>
            </w:r>
          </w:p>
          <w:p w14:paraId="19FA6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防范措施</w:t>
            </w:r>
          </w:p>
        </w:tc>
        <w:tc>
          <w:tcPr>
            <w:tcW w:w="7962" w:type="dxa"/>
            <w:gridSpan w:val="4"/>
            <w:vAlign w:val="center"/>
          </w:tcPr>
          <w:p w14:paraId="6A935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①应安排专人管理，进行定期巡检，及时发现安全隐患，并采取相应的安全措施；</w:t>
            </w:r>
          </w:p>
          <w:p w14:paraId="74C61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②在全厂内设置移动灭火器，用于防范初起火灾，对职工进行安全和消防教育，提高火灾防范意识；</w:t>
            </w:r>
          </w:p>
          <w:p w14:paraId="6C70B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③完善事故发生时的应急措施；</w:t>
            </w:r>
          </w:p>
          <w:p w14:paraId="53F33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④制定严格有效的环境风险应急预案。</w:t>
            </w:r>
          </w:p>
        </w:tc>
      </w:tr>
      <w:tr w14:paraId="22B0E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419EE7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其他环境管理要求</w:t>
            </w:r>
          </w:p>
        </w:tc>
        <w:tc>
          <w:tcPr>
            <w:tcW w:w="7962" w:type="dxa"/>
            <w:gridSpan w:val="4"/>
            <w:vAlign w:val="center"/>
          </w:tcPr>
          <w:p w14:paraId="16CEB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环境管理计划</w:t>
            </w:r>
          </w:p>
          <w:p w14:paraId="7E19C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本工程环境管理工作计划见表5-1。</w:t>
            </w:r>
          </w:p>
          <w:p w14:paraId="61D6FFBA">
            <w:pPr>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240" w:lineRule="auto"/>
              <w:ind w:left="0" w:right="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表5-1</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环境管理工作计划表</w:t>
            </w: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6458"/>
            </w:tblGrid>
            <w:tr w14:paraId="49FE5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21" w:type="pct"/>
                  <w:tcBorders>
                    <w:tl2br w:val="nil"/>
                    <w:tr2bl w:val="nil"/>
                  </w:tcBorders>
                  <w:noWrap w:val="0"/>
                  <w:vAlign w:val="center"/>
                </w:tcPr>
                <w:p w14:paraId="345A8FB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阶段</w:t>
                  </w:r>
                </w:p>
              </w:tc>
              <w:tc>
                <w:tcPr>
                  <w:tcW w:w="4178" w:type="pct"/>
                  <w:tcBorders>
                    <w:tl2br w:val="nil"/>
                    <w:tr2bl w:val="nil"/>
                  </w:tcBorders>
                  <w:noWrap w:val="0"/>
                  <w:vAlign w:val="center"/>
                </w:tcPr>
                <w:p w14:paraId="42B8CA0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环境管理工作主要内容</w:t>
                  </w:r>
                </w:p>
              </w:tc>
            </w:tr>
            <w:tr w14:paraId="22D0D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21" w:type="pct"/>
                  <w:tcBorders>
                    <w:tl2br w:val="nil"/>
                    <w:tr2bl w:val="nil"/>
                  </w:tcBorders>
                  <w:noWrap w:val="0"/>
                  <w:vAlign w:val="center"/>
                </w:tcPr>
                <w:p w14:paraId="075FA85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环境管理</w:t>
                  </w:r>
                </w:p>
                <w:p w14:paraId="55A5C19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机构的职能</w:t>
                  </w:r>
                </w:p>
              </w:tc>
              <w:tc>
                <w:tcPr>
                  <w:tcW w:w="4178" w:type="pct"/>
                  <w:tcBorders>
                    <w:tl2br w:val="nil"/>
                    <w:tr2bl w:val="nil"/>
                  </w:tcBorders>
                  <w:noWrap w:val="0"/>
                  <w:vAlign w:val="center"/>
                </w:tcPr>
                <w:p w14:paraId="72B2A13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根据国家建设目环境管理规定，认真落实各项环保手续，完成各级环保主管部门对企业提出的环境要求，对企业内部各项管理计划的执行及完成情况进行监督，确保环境管理工作真正发挥作用。</w:t>
                  </w:r>
                </w:p>
              </w:tc>
            </w:tr>
            <w:tr w14:paraId="7E07B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21" w:type="pct"/>
                  <w:tcBorders>
                    <w:tl2br w:val="nil"/>
                    <w:tr2bl w:val="nil"/>
                  </w:tcBorders>
                  <w:noWrap w:val="0"/>
                  <w:vAlign w:val="center"/>
                </w:tcPr>
                <w:p w14:paraId="64404D7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建设期</w:t>
                  </w:r>
                </w:p>
              </w:tc>
              <w:tc>
                <w:tcPr>
                  <w:tcW w:w="4178" w:type="pct"/>
                  <w:tcBorders>
                    <w:tl2br w:val="nil"/>
                    <w:tr2bl w:val="nil"/>
                  </w:tcBorders>
                  <w:noWrap w:val="0"/>
                  <w:vAlign w:val="center"/>
                </w:tcPr>
                <w:p w14:paraId="1FBA4B5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1、合理选址，减少用地。</w:t>
                  </w:r>
                </w:p>
                <w:p w14:paraId="67E63A4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2、施工便道定期洒水。</w:t>
                  </w:r>
                </w:p>
                <w:p w14:paraId="2CF8AA0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3、临时用地恢复绿化。</w:t>
                  </w:r>
                </w:p>
                <w:p w14:paraId="58C6100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4、路基防护与加固</w:t>
                  </w:r>
                </w:p>
                <w:p w14:paraId="57C63AD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5、夜间严禁进行打桩等噪声大的施工作业。</w:t>
                  </w:r>
                </w:p>
                <w:p w14:paraId="7099A14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6、施工营地加强环境管理。</w:t>
                  </w:r>
                </w:p>
              </w:tc>
            </w:tr>
            <w:tr w14:paraId="76A7F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21" w:type="pct"/>
                  <w:tcBorders>
                    <w:tl2br w:val="nil"/>
                    <w:tr2bl w:val="nil"/>
                  </w:tcBorders>
                  <w:noWrap w:val="0"/>
                  <w:vAlign w:val="center"/>
                </w:tcPr>
                <w:p w14:paraId="1591195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调试期</w:t>
                  </w:r>
                </w:p>
              </w:tc>
              <w:tc>
                <w:tcPr>
                  <w:tcW w:w="4178" w:type="pct"/>
                  <w:tcBorders>
                    <w:tl2br w:val="nil"/>
                    <w:tr2bl w:val="nil"/>
                  </w:tcBorders>
                  <w:noWrap w:val="0"/>
                  <w:vAlign w:val="center"/>
                </w:tcPr>
                <w:p w14:paraId="729DF2E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1、申领排污许可证。</w:t>
                  </w:r>
                </w:p>
                <w:p w14:paraId="27AB1B4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2、对噪声防治效果进行检测。</w:t>
                  </w:r>
                </w:p>
                <w:p w14:paraId="02364BA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3、对各设施不定期进行检查。</w:t>
                  </w:r>
                </w:p>
                <w:p w14:paraId="763B628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4、记录各项环保设施的试运行状况，针对出现问题提出完善意见。</w:t>
                  </w:r>
                </w:p>
                <w:p w14:paraId="3BBA030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5、总结试运行期的生产经验，健全前期制定各项管理制度。</w:t>
                  </w:r>
                </w:p>
                <w:p w14:paraId="6A16699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6、生产装置生产三个月内，进行环保设施的竣工验收。</w:t>
                  </w:r>
                </w:p>
              </w:tc>
            </w:tr>
            <w:tr w14:paraId="0443A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21" w:type="pct"/>
                  <w:tcBorders>
                    <w:tl2br w:val="nil"/>
                    <w:tr2bl w:val="nil"/>
                  </w:tcBorders>
                  <w:noWrap w:val="0"/>
                  <w:vAlign w:val="center"/>
                </w:tcPr>
                <w:p w14:paraId="712B152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生产运行期</w:t>
                  </w:r>
                </w:p>
              </w:tc>
              <w:tc>
                <w:tcPr>
                  <w:tcW w:w="4178" w:type="pct"/>
                  <w:tcBorders>
                    <w:tl2br w:val="nil"/>
                    <w:tr2bl w:val="nil"/>
                  </w:tcBorders>
                  <w:noWrap w:val="0"/>
                  <w:vAlign w:val="center"/>
                </w:tcPr>
                <w:p w14:paraId="727A1BD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1、严格执行各项生产及环境管理制度，保证生产的正常进行。</w:t>
                  </w:r>
                </w:p>
                <w:p w14:paraId="21E1460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2、设立环保设施运行卡，对环保设施定期进行检查维护，做到勤查、勤记、勤养护。</w:t>
                  </w:r>
                </w:p>
                <w:p w14:paraId="6CDA086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3、按照监测计划组织厂内的污染源监测，对不达标装置立即寻找原因，及时处理。</w:t>
                  </w:r>
                </w:p>
                <w:p w14:paraId="3274ED9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4、不断加强技术培训，组织企业技术交流，提高操作水平，保持操作工人队伍稳定。</w:t>
                  </w:r>
                </w:p>
                <w:p w14:paraId="6373330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5、建立环境管理台账制度，应真实记录基本信息、产污设施运行管理信息、污染防治设施运行管理信息、监测记录信息及其他环境管理信息等；按照电子台账和纸质台账两种记录形式同步管理。</w:t>
                  </w:r>
                </w:p>
              </w:tc>
            </w:tr>
          </w:tbl>
          <w:p w14:paraId="21A27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cs="Times New Roman"/>
                <w:b w:val="0"/>
                <w:bCs w:val="0"/>
                <w:color w:val="auto"/>
                <w:szCs w:val="21"/>
              </w:rPr>
            </w:pPr>
            <w:bookmarkStart w:id="17" w:name="_Toc15842"/>
            <w:r>
              <w:rPr>
                <w:rFonts w:hint="default" w:ascii="Times New Roman" w:hAnsi="Times New Roman" w:cs="Times New Roman"/>
                <w:b w:val="0"/>
                <w:bCs w:val="0"/>
                <w:color w:val="auto"/>
                <w:szCs w:val="21"/>
              </w:rPr>
              <w:t>2、排污口规范化设置</w:t>
            </w:r>
            <w:bookmarkEnd w:id="17"/>
          </w:p>
          <w:p w14:paraId="7CE05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项目需要按照要求设立排污口。</w:t>
            </w:r>
            <w:r>
              <w:rPr>
                <w:rFonts w:hint="default" w:ascii="Times New Roman" w:hAnsi="Times New Roman" w:cs="Times New Roman"/>
                <w:b w:val="0"/>
                <w:bCs w:val="0"/>
                <w:color w:val="auto"/>
                <w:szCs w:val="21"/>
                <w:lang w:val="en-US" w:eastAsia="zh-CN"/>
              </w:rPr>
              <w:t>本项目排污口均为一般排放口，依照生产线编号以及生产工艺顺序进行编号。</w:t>
            </w:r>
            <w:r>
              <w:rPr>
                <w:rFonts w:hint="default" w:ascii="Times New Roman" w:hAnsi="Times New Roman" w:cs="Times New Roman"/>
                <w:b w:val="0"/>
                <w:bCs w:val="0"/>
                <w:color w:val="auto"/>
                <w:szCs w:val="21"/>
              </w:rPr>
              <w:t>废气、废水排放口应进行规范化设计，具备采样、监测条件，排放口附近树立环保图形标志牌。排污口应符合“一明显、二合理、三便于”的要求，即环保标志明显，排污口设置合理，排污去向合理，便于采集样品，便于监测计量，便于公众监督管理。</w:t>
            </w:r>
          </w:p>
          <w:p w14:paraId="00269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按照国家环境保护总局制定的《（环境保护图形标志）实施细则（试行）》（环监[1996]463号）的规定，在各排污口树立响应的环境保护图形标志牌，具体要求见表5-2。</w:t>
            </w:r>
          </w:p>
          <w:p w14:paraId="174945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w:t>
            </w:r>
            <w:r>
              <w:rPr>
                <w:rFonts w:hint="default" w:ascii="Times New Roman" w:hAnsi="Times New Roman" w:eastAsia="宋体" w:cs="Times New Roman"/>
                <w:b/>
                <w:bCs/>
                <w:color w:val="auto"/>
                <w:szCs w:val="21"/>
              </w:rPr>
              <w:t>5-2</w:t>
            </w:r>
            <w:r>
              <w:rPr>
                <w:rFonts w:hint="eastAsia" w:ascii="Times New Roman" w:hAnsi="Times New Roman" w:eastAsia="宋体" w:cs="Times New Roman"/>
                <w:b/>
                <w:bCs/>
                <w:color w:val="auto"/>
                <w:szCs w:val="21"/>
                <w:lang w:val="en-US" w:eastAsia="zh-CN"/>
              </w:rPr>
              <w:t xml:space="preserve">  </w:t>
            </w:r>
            <w:r>
              <w:rPr>
                <w:rFonts w:hint="eastAsia" w:ascii="Times New Roman" w:hAnsi="Times New Roman" w:eastAsia="宋体" w:cs="Times New Roman"/>
                <w:b/>
                <w:bCs/>
                <w:color w:val="auto"/>
                <w:szCs w:val="21"/>
              </w:rPr>
              <w:t>环境保护图形标志</w:t>
            </w: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56"/>
              <w:gridCol w:w="2336"/>
              <w:gridCol w:w="1656"/>
              <w:gridCol w:w="2075"/>
            </w:tblGrid>
            <w:tr w14:paraId="738E6E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8" w:hRule="atLeast"/>
                <w:jc w:val="center"/>
              </w:trPr>
              <w:tc>
                <w:tcPr>
                  <w:tcW w:w="1017" w:type="pct"/>
                  <w:tcBorders>
                    <w:tl2br w:val="nil"/>
                    <w:tr2bl w:val="nil"/>
                  </w:tcBorders>
                  <w:noWrap w:val="0"/>
                  <w:vAlign w:val="center"/>
                </w:tcPr>
                <w:p w14:paraId="1873CFDC">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"http://www.biaozhi.net/enews/UploadFiles/smallImg/783.gif"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drawing>
                      <wp:inline distT="0" distB="0" distL="114300" distR="114300">
                        <wp:extent cx="914400" cy="914400"/>
                        <wp:effectExtent l="0" t="0" r="0" b="0"/>
                        <wp:docPr id="190" name="图片 9"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 descr="点击看大图及详细资料"/>
                                <pic:cNvPicPr>
                                  <a:picLocks noChangeAspect="1"/>
                                </pic:cNvPicPr>
                              </pic:nvPicPr>
                              <pic:blipFill>
                                <a:blip r:embed="rId30"/>
                                <a:stretch>
                                  <a:fillRect/>
                                </a:stretch>
                              </pic:blipFill>
                              <pic:spPr>
                                <a:xfrm>
                                  <a:off x="0" y="0"/>
                                  <a:ext cx="914400" cy="914400"/>
                                </a:xfrm>
                                <a:prstGeom prst="rect">
                                  <a:avLst/>
                                </a:prstGeom>
                                <a:noFill/>
                                <a:ln>
                                  <a:noFill/>
                                </a:ln>
                              </pic:spPr>
                            </pic:pic>
                          </a:graphicData>
                        </a:graphic>
                      </wp:inline>
                    </w:drawing>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HYPERLINK "http://www.biaozhi.net/eNews/news/200602/0029_0000000905.shtml" \t "_blank"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"http://www.biaozhi.net/enews/UploadFiles/smallImg/781.gif"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p>
              </w:tc>
              <w:tc>
                <w:tcPr>
                  <w:tcW w:w="1544" w:type="pct"/>
                  <w:tcBorders>
                    <w:tl2br w:val="nil"/>
                    <w:tr2bl w:val="nil"/>
                  </w:tcBorders>
                  <w:noWrap w:val="0"/>
                  <w:vAlign w:val="center"/>
                </w:tcPr>
                <w:p w14:paraId="3FAC72D3">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简介：废气排放口</w:t>
                  </w:r>
                </w:p>
                <w:p w14:paraId="36947276">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提示图形符号</w:t>
                  </w:r>
                </w:p>
                <w:p w14:paraId="21634927">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废气排放口</w:t>
                  </w:r>
                </w:p>
                <w:p w14:paraId="07EB73C7">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表示废气向大气环境排放</w:t>
                  </w:r>
                </w:p>
              </w:tc>
              <w:tc>
                <w:tcPr>
                  <w:tcW w:w="1061" w:type="pct"/>
                  <w:tcBorders>
                    <w:tl2br w:val="nil"/>
                    <w:tr2bl w:val="nil"/>
                  </w:tcBorders>
                  <w:noWrap w:val="0"/>
                  <w:vAlign w:val="center"/>
                </w:tcPr>
                <w:p w14:paraId="29F1D13F">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HYPERLINK "http://www.biaozhi.net/eNews/news/200602/0029_0000000909.shtml" \t "_blank"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"http://www.biaozhi.net/enews/UploadFiles/smallImg/785.gif"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drawing>
                      <wp:inline distT="0" distB="0" distL="114300" distR="114300">
                        <wp:extent cx="914400" cy="914400"/>
                        <wp:effectExtent l="0" t="0" r="0" b="0"/>
                        <wp:docPr id="192" name="图片 10"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 descr="点击看大图及详细资料"/>
                                <pic:cNvPicPr>
                                  <a:picLocks noChangeAspect="1"/>
                                </pic:cNvPicPr>
                              </pic:nvPicPr>
                              <pic:blipFill>
                                <a:blip r:embed="rId31"/>
                                <a:stretch>
                                  <a:fillRect/>
                                </a:stretch>
                              </pic:blipFill>
                              <pic:spPr>
                                <a:xfrm>
                                  <a:off x="0" y="0"/>
                                  <a:ext cx="914400" cy="914400"/>
                                </a:xfrm>
                                <a:prstGeom prst="rect">
                                  <a:avLst/>
                                </a:prstGeom>
                                <a:noFill/>
                                <a:ln>
                                  <a:noFill/>
                                </a:ln>
                              </pic:spPr>
                            </pic:pic>
                          </a:graphicData>
                        </a:graphic>
                      </wp:inline>
                    </w:drawing>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r>
                    <w:rPr>
                      <w:rFonts w:hint="default" w:ascii="Times New Roman" w:hAnsi="Times New Roman" w:cs="Times New Roman"/>
                      <w:b w:val="0"/>
                      <w:bCs w:val="0"/>
                      <w:color w:val="auto"/>
                      <w:szCs w:val="21"/>
                    </w:rPr>
                    <w:fldChar w:fldCharType="end"/>
                  </w:r>
                </w:p>
              </w:tc>
              <w:tc>
                <w:tcPr>
                  <w:tcW w:w="1375" w:type="pct"/>
                  <w:tcBorders>
                    <w:tl2br w:val="nil"/>
                    <w:tr2bl w:val="nil"/>
                  </w:tcBorders>
                  <w:noWrap w:val="0"/>
                  <w:vAlign w:val="center"/>
                </w:tcPr>
                <w:p w14:paraId="5854CDAA">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简介：噪声排放源</w:t>
                  </w:r>
                </w:p>
                <w:p w14:paraId="4DF566FA">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提示图形符号</w:t>
                  </w:r>
                </w:p>
                <w:p w14:paraId="75C36B65">
                  <w:pPr>
                    <w:keepNext w:val="0"/>
                    <w:keepLines w:val="0"/>
                    <w:suppressLineNumbers w:val="0"/>
                    <w:spacing w:before="0" w:beforeAutospacing="0" w:after="0" w:afterAutospacing="0" w:line="240" w:lineRule="auto"/>
                    <w:ind w:left="0" w:right="0"/>
                    <w:rPr>
                      <w:rFonts w:hint="eastAsia"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噪声排放源</w:t>
                  </w:r>
                </w:p>
                <w:p w14:paraId="79655377">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表示噪声向外环境排放</w:t>
                  </w:r>
                </w:p>
              </w:tc>
            </w:tr>
            <w:tr w14:paraId="6F2169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6" w:hRule="atLeast"/>
                <w:jc w:val="center"/>
              </w:trPr>
              <w:tc>
                <w:tcPr>
                  <w:tcW w:w="1017" w:type="pct"/>
                  <w:tcBorders>
                    <w:tl2br w:val="nil"/>
                    <w:tr2bl w:val="nil"/>
                  </w:tcBorders>
                  <w:noWrap w:val="0"/>
                  <w:vAlign w:val="center"/>
                </w:tcPr>
                <w:p w14:paraId="7229C3B9">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INCLUDEPICTURE  "H:\\环评报告\\Administrator\\AppData\\Roaming\\Tencent\\Users\\1049960459\\TIM\\WinTemp\\RichOle\\%255b2OM$Q~9VA%25603U0OK~8X)9(6.png" \* MERGEFORMATINET </w:instrText>
                  </w:r>
                  <w:r>
                    <w:rPr>
                      <w:rFonts w:hint="default" w:ascii="Times New Roman" w:hAnsi="Times New Roman" w:cs="Times New Roman"/>
                      <w:b w:val="0"/>
                      <w:bCs w:val="0"/>
                      <w:color w:val="auto"/>
                      <w:szCs w:val="21"/>
                    </w:rPr>
                    <w:fldChar w:fldCharType="separate"/>
                  </w:r>
                  <w:r>
                    <w:rPr>
                      <w:rFonts w:hint="default" w:ascii="Times New Roman" w:hAnsi="Times New Roman" w:cs="Times New Roman"/>
                      <w:b w:val="0"/>
                      <w:bCs w:val="0"/>
                      <w:color w:val="auto"/>
                      <w:szCs w:val="21"/>
                    </w:rPr>
                    <w:drawing>
                      <wp:inline distT="0" distB="0" distL="114300" distR="114300">
                        <wp:extent cx="914400" cy="914400"/>
                        <wp:effectExtent l="0" t="0" r="0" b="0"/>
                        <wp:docPr id="191" name="图片 11" descr="[2OM$Q~9VA`3U0OK~8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 descr="[2OM$Q~9VA`3U0OK~8X)9(6"/>
                                <pic:cNvPicPr>
                                  <a:picLocks noChangeAspect="1"/>
                                </pic:cNvPicPr>
                              </pic:nvPicPr>
                              <pic:blipFill>
                                <a:blip r:embed="rId32"/>
                                <a:stretch>
                                  <a:fillRect/>
                                </a:stretch>
                              </pic:blipFill>
                              <pic:spPr>
                                <a:xfrm>
                                  <a:off x="0" y="0"/>
                                  <a:ext cx="914400" cy="914400"/>
                                </a:xfrm>
                                <a:prstGeom prst="rect">
                                  <a:avLst/>
                                </a:prstGeom>
                                <a:noFill/>
                                <a:ln>
                                  <a:noFill/>
                                </a:ln>
                              </pic:spPr>
                            </pic:pic>
                          </a:graphicData>
                        </a:graphic>
                      </wp:inline>
                    </w:drawing>
                  </w:r>
                  <w:r>
                    <w:rPr>
                      <w:rFonts w:hint="default" w:ascii="Times New Roman" w:hAnsi="Times New Roman" w:cs="Times New Roman"/>
                      <w:b w:val="0"/>
                      <w:bCs w:val="0"/>
                      <w:color w:val="auto"/>
                      <w:szCs w:val="21"/>
                    </w:rPr>
                    <w:fldChar w:fldCharType="end"/>
                  </w:r>
                </w:p>
              </w:tc>
              <w:tc>
                <w:tcPr>
                  <w:tcW w:w="1544" w:type="pct"/>
                  <w:tcBorders>
                    <w:tl2br w:val="nil"/>
                    <w:tr2bl w:val="nil"/>
                  </w:tcBorders>
                  <w:noWrap w:val="0"/>
                  <w:vAlign w:val="center"/>
                </w:tcPr>
                <w:p w14:paraId="7B2BF707">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简介：一般固体废弃物</w:t>
                  </w:r>
                </w:p>
                <w:p w14:paraId="1A585AD8">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提示图形符号</w:t>
                  </w:r>
                </w:p>
                <w:p w14:paraId="3DB66468">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表示一般固体废弃物贮存、处置场</w:t>
                  </w:r>
                </w:p>
              </w:tc>
              <w:tc>
                <w:tcPr>
                  <w:tcW w:w="1061" w:type="pct"/>
                  <w:tcBorders>
                    <w:tl2br w:val="nil"/>
                    <w:tr2bl w:val="nil"/>
                  </w:tcBorders>
                  <w:noWrap w:val="0"/>
                  <w:vAlign w:val="center"/>
                </w:tcPr>
                <w:p w14:paraId="3EEF511A">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color w:val="auto"/>
                      <w:szCs w:val="20"/>
                    </w:rPr>
                    <w:drawing>
                      <wp:inline distT="0" distB="0" distL="114300" distR="114300">
                        <wp:extent cx="914400" cy="914400"/>
                        <wp:effectExtent l="0" t="0" r="0" b="0"/>
                        <wp:docPr id="188" name="图片 8" descr="W020230515591222963411"/>
                        <wp:cNvGraphicFramePr/>
                        <a:graphic xmlns:a="http://schemas.openxmlformats.org/drawingml/2006/main">
                          <a:graphicData uri="http://schemas.openxmlformats.org/drawingml/2006/picture">
                            <pic:pic xmlns:pic="http://schemas.openxmlformats.org/drawingml/2006/picture">
                              <pic:nvPicPr>
                                <pic:cNvPr id="188" name="图片 8" descr="W020230515591222963411"/>
                                <pic:cNvPicPr/>
                              </pic:nvPicPr>
                              <pic:blipFill>
                                <a:blip r:embed="rId29"/>
                                <a:srcRect b="46810"/>
                                <a:stretch>
                                  <a:fillRect/>
                                </a:stretch>
                              </pic:blipFill>
                              <pic:spPr>
                                <a:xfrm>
                                  <a:off x="0" y="0"/>
                                  <a:ext cx="914400" cy="914400"/>
                                </a:xfrm>
                                <a:prstGeom prst="rect">
                                  <a:avLst/>
                                </a:prstGeom>
                                <a:noFill/>
                                <a:ln>
                                  <a:noFill/>
                                </a:ln>
                              </pic:spPr>
                            </pic:pic>
                          </a:graphicData>
                        </a:graphic>
                      </wp:inline>
                    </w:drawing>
                  </w:r>
                </w:p>
              </w:tc>
              <w:tc>
                <w:tcPr>
                  <w:tcW w:w="1375" w:type="pct"/>
                  <w:tcBorders>
                    <w:tl2br w:val="nil"/>
                    <w:tr2bl w:val="nil"/>
                  </w:tcBorders>
                  <w:noWrap w:val="0"/>
                  <w:vAlign w:val="center"/>
                </w:tcPr>
                <w:p w14:paraId="1BBBA412">
                  <w:pPr>
                    <w:keepNext w:val="0"/>
                    <w:keepLines w:val="0"/>
                    <w:suppressLineNumbers w:val="0"/>
                    <w:spacing w:before="0" w:beforeAutospacing="0" w:after="0" w:afterAutospacing="0" w:line="240" w:lineRule="auto"/>
                    <w:ind w:left="0" w:right="0"/>
                    <w:rPr>
                      <w:rFonts w:hint="eastAsia" w:cs="Times New Roman"/>
                      <w:b w:val="0"/>
                      <w:bCs w:val="0"/>
                      <w:color w:val="auto"/>
                      <w:szCs w:val="21"/>
                      <w:lang w:val="en-US" w:eastAsia="zh-CN"/>
                    </w:rPr>
                  </w:pPr>
                  <w:r>
                    <w:rPr>
                      <w:rFonts w:hint="eastAsia" w:cs="Times New Roman"/>
                      <w:b w:val="0"/>
                      <w:bCs w:val="0"/>
                      <w:color w:val="auto"/>
                      <w:szCs w:val="21"/>
                      <w:lang w:val="en-US" w:eastAsia="zh-CN"/>
                    </w:rPr>
                    <w:t>简介：危险废物</w:t>
                  </w:r>
                </w:p>
                <w:p w14:paraId="23C89A42">
                  <w:pPr>
                    <w:pStyle w:val="25"/>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警告图形</w:t>
                  </w:r>
                </w:p>
                <w:p w14:paraId="2540A4DA">
                  <w:pPr>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auto"/>
                      <w:szCs w:val="21"/>
                    </w:rPr>
                  </w:pPr>
                  <w:r>
                    <w:rPr>
                      <w:rFonts w:hint="default" w:ascii="Times New Roman" w:hAnsi="Times New Roman" w:cs="Times New Roman"/>
                      <w:color w:val="auto"/>
                      <w:sz w:val="21"/>
                      <w:szCs w:val="21"/>
                    </w:rPr>
                    <w:t>表示危险废物贮存、处置场</w:t>
                  </w:r>
                </w:p>
              </w:tc>
            </w:tr>
          </w:tbl>
          <w:p w14:paraId="180F0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3、管理监测信息公开</w:t>
            </w:r>
          </w:p>
          <w:p w14:paraId="77317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根据《企业环境信息依法披露管理办法》，企业应当按照准则编制年度环境信息依法披露报告和临时环境信息依法披露报告，并上传至企业环境信息依法披露系统，主要公开内容如下：</w:t>
            </w:r>
          </w:p>
          <w:p w14:paraId="5DAD1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（一）企业基本信息，包括企业生产和生态环境保护等方面的基础信息；</w:t>
            </w:r>
          </w:p>
          <w:p w14:paraId="7F63B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（二）企业环境管理信息，包括生态环境行政许可、环境保护税、环境污染责任保险、环保信用评价等方面的信息；</w:t>
            </w:r>
          </w:p>
          <w:p w14:paraId="185C0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（三）污染物产生、治理与排放信息，包括污染防治设施，污染物排放，有毒有害物质排放，工业固体废物和危险废物产生、贮存、流向、利用、处置，自行监测等方面的信息；</w:t>
            </w:r>
          </w:p>
          <w:p w14:paraId="18202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（四）碳排放信息，包括排放量、排放设施等方面的信息；</w:t>
            </w:r>
          </w:p>
          <w:p w14:paraId="126C7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（五）生态环境应急信息，包括突发环境事件应急预案、重污染天气应急响应等方面的信息；</w:t>
            </w:r>
          </w:p>
          <w:p w14:paraId="1909E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（六）生态环境违法信息；</w:t>
            </w:r>
          </w:p>
          <w:p w14:paraId="51331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（七）本年度临时环境信息依法披露情况；</w:t>
            </w:r>
          </w:p>
          <w:p w14:paraId="2801B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（八）法律法规规定的其他环境信息</w:t>
            </w:r>
            <w:r>
              <w:rPr>
                <w:rFonts w:hint="default" w:ascii="Times New Roman" w:hAnsi="Times New Roman" w:eastAsia="宋体" w:cs="Times New Roman"/>
                <w:b w:val="0"/>
                <w:bCs w:val="0"/>
                <w:color w:val="auto"/>
                <w:szCs w:val="21"/>
                <w:lang w:val="en-US" w:eastAsia="zh-CN"/>
              </w:rPr>
              <w:t>。</w:t>
            </w:r>
          </w:p>
          <w:p w14:paraId="69B7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4C61DF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472E8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328E0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237EA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73585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1DA27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3D6C1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31F9FC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eastAsia" w:ascii="Times New Roman" w:hAnsi="Times New Roman" w:eastAsia="宋体" w:cs="Times New Roman"/>
                <w:color w:val="auto"/>
                <w:szCs w:val="21"/>
                <w:highlight w:val="none"/>
                <w:lang w:val="en-US" w:eastAsia="zh-CN"/>
              </w:rPr>
            </w:pPr>
          </w:p>
          <w:p w14:paraId="29F17935">
            <w:pPr>
              <w:pStyle w:val="6"/>
              <w:pageBreakBefore w:val="0"/>
              <w:suppressLineNumbers w:val="0"/>
              <w:kinsoku/>
              <w:wordWrap/>
              <w:overflowPunct/>
              <w:topLinePunct w:val="0"/>
              <w:autoSpaceDE/>
              <w:autoSpaceDN/>
              <w:bidi w:val="0"/>
              <w:spacing w:before="0" w:beforeLines="0" w:beforeAutospacing="0" w:after="0" w:afterAutospacing="0" w:line="320" w:lineRule="exact"/>
              <w:ind w:left="0" w:right="0"/>
              <w:textAlignment w:val="auto"/>
              <w:rPr>
                <w:rFonts w:hint="eastAsia"/>
                <w:color w:val="auto"/>
                <w:lang w:val="en-US" w:eastAsia="zh-CN"/>
              </w:rPr>
            </w:pPr>
          </w:p>
          <w:p w14:paraId="5D671103">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textAlignment w:val="auto"/>
              <w:rPr>
                <w:rFonts w:hint="eastAsia" w:ascii="Times New Roman" w:hAnsi="Times New Roman" w:eastAsia="宋体" w:cs="Times New Roman"/>
                <w:color w:val="auto"/>
                <w:szCs w:val="21"/>
                <w:highlight w:val="none"/>
                <w:lang w:val="en-US" w:eastAsia="zh-CN"/>
              </w:rPr>
            </w:pPr>
          </w:p>
          <w:p w14:paraId="162C279D">
            <w:pPr>
              <w:pStyle w:val="6"/>
              <w:pageBreakBefore w:val="0"/>
              <w:suppressLineNumbers w:val="0"/>
              <w:kinsoku/>
              <w:wordWrap/>
              <w:overflowPunct/>
              <w:topLinePunct w:val="0"/>
              <w:autoSpaceDE/>
              <w:autoSpaceDN/>
              <w:bidi w:val="0"/>
              <w:spacing w:before="0" w:beforeLines="0" w:beforeAutospacing="0" w:after="0" w:afterAutospacing="0" w:line="320" w:lineRule="exact"/>
              <w:ind w:left="0" w:right="0"/>
              <w:textAlignment w:val="auto"/>
              <w:rPr>
                <w:rFonts w:hint="eastAsia"/>
                <w:color w:val="auto"/>
                <w:lang w:val="en-US" w:eastAsia="zh-CN"/>
              </w:rPr>
            </w:pPr>
          </w:p>
          <w:p w14:paraId="3FD15618">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textAlignment w:val="auto"/>
              <w:rPr>
                <w:rFonts w:hint="eastAsia" w:ascii="Times New Roman" w:hAnsi="Times New Roman" w:eastAsia="宋体" w:cs="Times New Roman"/>
                <w:color w:val="auto"/>
                <w:szCs w:val="21"/>
                <w:highlight w:val="none"/>
                <w:lang w:val="en-US" w:eastAsia="zh-CN"/>
              </w:rPr>
            </w:pPr>
          </w:p>
          <w:p w14:paraId="200222B3">
            <w:pPr>
              <w:pStyle w:val="6"/>
              <w:pageBreakBefore w:val="0"/>
              <w:suppressLineNumbers w:val="0"/>
              <w:kinsoku/>
              <w:wordWrap/>
              <w:overflowPunct/>
              <w:topLinePunct w:val="0"/>
              <w:autoSpaceDE/>
              <w:autoSpaceDN/>
              <w:bidi w:val="0"/>
              <w:spacing w:before="0" w:beforeLines="0" w:beforeAutospacing="0" w:after="0" w:afterAutospacing="0" w:line="320" w:lineRule="exact"/>
              <w:ind w:left="0" w:right="0"/>
              <w:textAlignment w:val="auto"/>
              <w:rPr>
                <w:rFonts w:hint="eastAsia"/>
                <w:color w:val="auto"/>
                <w:lang w:val="en-US" w:eastAsia="zh-CN"/>
              </w:rPr>
            </w:pPr>
          </w:p>
          <w:p w14:paraId="671216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lang w:val="en-US" w:eastAsia="zh-CN"/>
              </w:rPr>
            </w:pPr>
          </w:p>
          <w:p w14:paraId="22950B5F">
            <w:pPr>
              <w:pStyle w:val="16"/>
              <w:keepNext w:val="0"/>
              <w:keepLines w:val="0"/>
              <w:suppressLineNumbers w:val="0"/>
              <w:spacing w:before="0" w:beforeAutospacing="0" w:after="0" w:afterAutospacing="0"/>
              <w:ind w:left="0" w:right="0"/>
              <w:rPr>
                <w:rFonts w:hint="default"/>
                <w:color w:val="auto"/>
                <w:lang w:val="en-US" w:eastAsia="zh-CN"/>
              </w:rPr>
            </w:pPr>
          </w:p>
        </w:tc>
      </w:tr>
    </w:tbl>
    <w:p w14:paraId="13BA294A">
      <w:pPr>
        <w:pStyle w:val="2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bookmarkStart w:id="18" w:name="_Toc4819"/>
      <w:r>
        <w:rPr>
          <w:rFonts w:hint="default" w:ascii="Times New Roman" w:hAnsi="Times New Roman" w:eastAsia="黑体" w:cs="Times New Roman"/>
          <w:snapToGrid w:val="0"/>
          <w:color w:val="auto"/>
          <w:sz w:val="30"/>
          <w:szCs w:val="30"/>
          <w:highlight w:val="none"/>
        </w:rPr>
        <w:t>六、结论</w:t>
      </w:r>
      <w:bookmarkEnd w:id="18"/>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836E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77CD5B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bCs/>
                <w:color w:val="auto"/>
                <w:sz w:val="24"/>
                <w:szCs w:val="24"/>
                <w:highlight w:val="none"/>
                <w:lang w:val="en-US" w:eastAsia="zh-CN"/>
              </w:rPr>
              <w:t>从环境保护角度</w:t>
            </w:r>
            <w:r>
              <w:rPr>
                <w:rFonts w:hint="eastAsia" w:ascii="Times New Roman" w:hAnsi="Times New Roman" w:eastAsia="宋体" w:cs="Times New Roman"/>
                <w:b w:val="0"/>
                <w:bCs/>
                <w:color w:val="auto"/>
                <w:sz w:val="24"/>
                <w:szCs w:val="24"/>
                <w:highlight w:val="none"/>
                <w:lang w:val="en-US" w:eastAsia="zh-CN"/>
              </w:rPr>
              <w:t>分析</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本</w:t>
            </w:r>
            <w:r>
              <w:rPr>
                <w:rFonts w:hint="default" w:ascii="Times New Roman" w:hAnsi="Times New Roman" w:eastAsia="宋体" w:cs="Times New Roman"/>
                <w:b w:val="0"/>
                <w:bCs/>
                <w:color w:val="auto"/>
                <w:sz w:val="24"/>
                <w:szCs w:val="24"/>
                <w:highlight w:val="none"/>
                <w:lang w:val="en-US" w:eastAsia="zh-CN"/>
              </w:rPr>
              <w:t>项目的建设是可行的。</w:t>
            </w:r>
          </w:p>
        </w:tc>
      </w:tr>
    </w:tbl>
    <w:p w14:paraId="27D599FC">
      <w:pPr>
        <w:rPr>
          <w:rFonts w:hint="default" w:ascii="Times New Roman" w:hAnsi="Times New Roman" w:cs="Times New Roman"/>
          <w:color w:val="auto"/>
          <w:highlight w:val="none"/>
        </w:rPr>
      </w:pPr>
    </w:p>
    <w:p w14:paraId="1D525568">
      <w:pPr>
        <w:rPr>
          <w:rFonts w:hint="default" w:ascii="Times New Roman" w:hAnsi="Times New Roman" w:cs="Times New Roman"/>
          <w:color w:val="auto"/>
          <w:highlight w:val="none"/>
        </w:rPr>
        <w:sectPr>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p w14:paraId="530BD4FE">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0"/>
        <w:rPr>
          <w:rFonts w:hint="default" w:ascii="Times New Roman" w:hAnsi="Times New Roman" w:eastAsia="黑体" w:cs="Times New Roman"/>
          <w:snapToGrid w:val="0"/>
          <w:color w:val="auto"/>
          <w:sz w:val="32"/>
          <w:szCs w:val="32"/>
          <w:highlight w:val="none"/>
        </w:rPr>
      </w:pPr>
      <w:bookmarkStart w:id="19" w:name="_Toc28200"/>
      <w:r>
        <w:rPr>
          <w:rFonts w:hint="default" w:ascii="Times New Roman" w:hAnsi="Times New Roman" w:eastAsia="黑体" w:cs="Times New Roman"/>
          <w:snapToGrid w:val="0"/>
          <w:color w:val="auto"/>
          <w:sz w:val="32"/>
          <w:szCs w:val="32"/>
          <w:highlight w:val="none"/>
        </w:rPr>
        <w:t>附表</w:t>
      </w:r>
      <w:bookmarkEnd w:id="19"/>
    </w:p>
    <w:p w14:paraId="17712056">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408" w:lineRule="auto"/>
        <w:jc w:val="center"/>
        <w:textAlignment w:val="auto"/>
        <w:outlineLvl w:val="0"/>
        <w:rPr>
          <w:rFonts w:hint="default" w:ascii="Times New Roman" w:hAnsi="Times New Roman" w:eastAsia="方正小标宋_GBK" w:cs="Times New Roman"/>
          <w:snapToGrid w:val="0"/>
          <w:color w:val="auto"/>
          <w:sz w:val="38"/>
          <w:szCs w:val="38"/>
          <w:highlight w:val="none"/>
        </w:rPr>
      </w:pPr>
      <w:bookmarkStart w:id="20" w:name="_Toc14665"/>
      <w:r>
        <w:rPr>
          <w:rFonts w:hint="default" w:ascii="Times New Roman" w:hAnsi="Times New Roman" w:eastAsia="方正小标宋_GBK" w:cs="Times New Roman"/>
          <w:snapToGrid w:val="0"/>
          <w:color w:val="auto"/>
          <w:sz w:val="38"/>
          <w:szCs w:val="38"/>
          <w:highlight w:val="none"/>
        </w:rPr>
        <w:t>建设项目污染物排放量汇总表</w:t>
      </w:r>
      <w:bookmarkEnd w:id="20"/>
    </w:p>
    <w:tbl>
      <w:tblPr>
        <w:tblStyle w:val="28"/>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311"/>
        <w:gridCol w:w="1665"/>
        <w:gridCol w:w="1275"/>
        <w:gridCol w:w="1680"/>
        <w:gridCol w:w="1530"/>
        <w:gridCol w:w="1785"/>
        <w:gridCol w:w="1625"/>
        <w:gridCol w:w="1329"/>
      </w:tblGrid>
      <w:tr w14:paraId="7033C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14:paraId="028B9B1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项目</w:t>
            </w:r>
          </w:p>
          <w:p w14:paraId="32B1CA0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分类</w:t>
            </w:r>
          </w:p>
        </w:tc>
        <w:tc>
          <w:tcPr>
            <w:tcW w:w="1311" w:type="dxa"/>
            <w:tcMar>
              <w:left w:w="28" w:type="dxa"/>
              <w:right w:w="28" w:type="dxa"/>
            </w:tcMar>
            <w:vAlign w:val="center"/>
          </w:tcPr>
          <w:p w14:paraId="2A936CA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污染物名称</w:t>
            </w:r>
          </w:p>
        </w:tc>
        <w:tc>
          <w:tcPr>
            <w:tcW w:w="1665" w:type="dxa"/>
            <w:tcMar>
              <w:left w:w="28" w:type="dxa"/>
              <w:right w:w="28" w:type="dxa"/>
            </w:tcMar>
            <w:vAlign w:val="center"/>
          </w:tcPr>
          <w:p w14:paraId="66FBD3F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现有工程</w:t>
            </w:r>
          </w:p>
          <w:p w14:paraId="6FB505E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排放量（固体废物产生量）</w:t>
            </w:r>
            <w:r>
              <w:rPr>
                <w:rFonts w:hint="default" w:ascii="Times New Roman" w:hAnsi="Times New Roman" w:eastAsia="宋体" w:cs="Times New Roman"/>
                <w:b/>
                <w:bCs/>
                <w:snapToGrid w:val="0"/>
                <w:color w:val="auto"/>
                <w:spacing w:val="-6"/>
                <w:kern w:val="21"/>
                <w:szCs w:val="21"/>
                <w:highlight w:val="none"/>
              </w:rPr>
              <w:fldChar w:fldCharType="begin"/>
            </w:r>
            <w:r>
              <w:rPr>
                <w:rFonts w:hint="default" w:ascii="Times New Roman" w:hAnsi="Times New Roman" w:eastAsia="宋体" w:cs="Times New Roman"/>
                <w:b/>
                <w:bCs/>
                <w:snapToGrid w:val="0"/>
                <w:color w:val="auto"/>
                <w:spacing w:val="-6"/>
                <w:kern w:val="21"/>
                <w:szCs w:val="21"/>
                <w:highlight w:val="none"/>
              </w:rPr>
              <w:instrText xml:space="preserve"> = 1 \* GB3 \* MERGEFORMAT </w:instrText>
            </w:r>
            <w:r>
              <w:rPr>
                <w:rFonts w:hint="default" w:ascii="Times New Roman" w:hAnsi="Times New Roman" w:eastAsia="宋体" w:cs="Times New Roman"/>
                <w:b/>
                <w:bCs/>
                <w:snapToGrid w:val="0"/>
                <w:color w:val="auto"/>
                <w:spacing w:val="-6"/>
                <w:kern w:val="21"/>
                <w:szCs w:val="21"/>
                <w:highlight w:val="none"/>
              </w:rPr>
              <w:fldChar w:fldCharType="separate"/>
            </w:r>
            <w:r>
              <w:rPr>
                <w:rFonts w:hint="default" w:ascii="Times New Roman" w:hAnsi="Times New Roman" w:eastAsia="宋体" w:cs="Times New Roman"/>
                <w:b/>
                <w:bCs/>
                <w:color w:val="auto"/>
                <w:kern w:val="2"/>
                <w:szCs w:val="21"/>
                <w:highlight w:val="none"/>
              </w:rPr>
              <w:t>①</w:t>
            </w:r>
            <w:r>
              <w:rPr>
                <w:rFonts w:hint="default" w:ascii="Times New Roman" w:hAnsi="Times New Roman" w:eastAsia="宋体" w:cs="Times New Roman"/>
                <w:b/>
                <w:bCs/>
                <w:snapToGrid w:val="0"/>
                <w:color w:val="auto"/>
                <w:spacing w:val="-6"/>
                <w:kern w:val="21"/>
                <w:szCs w:val="21"/>
                <w:highlight w:val="none"/>
              </w:rPr>
              <w:fldChar w:fldCharType="end"/>
            </w:r>
          </w:p>
        </w:tc>
        <w:tc>
          <w:tcPr>
            <w:tcW w:w="1275" w:type="dxa"/>
            <w:tcMar>
              <w:left w:w="28" w:type="dxa"/>
              <w:right w:w="28" w:type="dxa"/>
            </w:tcMar>
            <w:vAlign w:val="center"/>
          </w:tcPr>
          <w:p w14:paraId="25079F5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现有工程</w:t>
            </w:r>
          </w:p>
          <w:p w14:paraId="37633A5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许可排放量</w:t>
            </w:r>
          </w:p>
          <w:p w14:paraId="2D7F8A7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fldChar w:fldCharType="begin"/>
            </w:r>
            <w:r>
              <w:rPr>
                <w:rFonts w:hint="default" w:ascii="Times New Roman" w:hAnsi="Times New Roman" w:eastAsia="宋体" w:cs="Times New Roman"/>
                <w:b/>
                <w:bCs/>
                <w:snapToGrid w:val="0"/>
                <w:color w:val="auto"/>
                <w:spacing w:val="-6"/>
                <w:kern w:val="21"/>
                <w:szCs w:val="21"/>
                <w:highlight w:val="none"/>
              </w:rPr>
              <w:instrText xml:space="preserve"> = 2 \* GB3 \* MERGEFORMAT </w:instrText>
            </w:r>
            <w:r>
              <w:rPr>
                <w:rFonts w:hint="default" w:ascii="Times New Roman" w:hAnsi="Times New Roman" w:eastAsia="宋体" w:cs="Times New Roman"/>
                <w:b/>
                <w:bCs/>
                <w:snapToGrid w:val="0"/>
                <w:color w:val="auto"/>
                <w:spacing w:val="-6"/>
                <w:kern w:val="21"/>
                <w:szCs w:val="21"/>
                <w:highlight w:val="none"/>
              </w:rPr>
              <w:fldChar w:fldCharType="separate"/>
            </w:r>
            <w:r>
              <w:rPr>
                <w:rFonts w:hint="default" w:ascii="Times New Roman" w:hAnsi="Times New Roman" w:eastAsia="宋体" w:cs="Times New Roman"/>
                <w:b/>
                <w:bCs/>
                <w:snapToGrid w:val="0"/>
                <w:color w:val="auto"/>
                <w:spacing w:val="-6"/>
                <w:kern w:val="21"/>
                <w:szCs w:val="21"/>
                <w:highlight w:val="none"/>
              </w:rPr>
              <w:t>②</w:t>
            </w:r>
            <w:r>
              <w:rPr>
                <w:rFonts w:hint="default" w:ascii="Times New Roman" w:hAnsi="Times New Roman" w:eastAsia="宋体" w:cs="Times New Roman"/>
                <w:b/>
                <w:bCs/>
                <w:snapToGrid w:val="0"/>
                <w:color w:val="auto"/>
                <w:spacing w:val="-6"/>
                <w:kern w:val="21"/>
                <w:szCs w:val="21"/>
                <w:highlight w:val="none"/>
              </w:rPr>
              <w:fldChar w:fldCharType="end"/>
            </w:r>
          </w:p>
        </w:tc>
        <w:tc>
          <w:tcPr>
            <w:tcW w:w="1680" w:type="dxa"/>
            <w:tcMar>
              <w:left w:w="28" w:type="dxa"/>
              <w:right w:w="28" w:type="dxa"/>
            </w:tcMar>
            <w:vAlign w:val="center"/>
          </w:tcPr>
          <w:p w14:paraId="291A0BF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在建工程</w:t>
            </w:r>
          </w:p>
          <w:p w14:paraId="2BC0CB7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排放量（固体废物产生量）</w:t>
            </w:r>
            <w:r>
              <w:rPr>
                <w:rFonts w:hint="default" w:ascii="Times New Roman" w:hAnsi="Times New Roman" w:eastAsia="宋体" w:cs="Times New Roman"/>
                <w:b/>
                <w:bCs/>
                <w:snapToGrid w:val="0"/>
                <w:color w:val="auto"/>
                <w:spacing w:val="-6"/>
                <w:kern w:val="21"/>
                <w:szCs w:val="21"/>
                <w:highlight w:val="none"/>
              </w:rPr>
              <w:fldChar w:fldCharType="begin"/>
            </w:r>
            <w:r>
              <w:rPr>
                <w:rFonts w:hint="default" w:ascii="Times New Roman" w:hAnsi="Times New Roman" w:eastAsia="宋体" w:cs="Times New Roman"/>
                <w:b/>
                <w:bCs/>
                <w:snapToGrid w:val="0"/>
                <w:color w:val="auto"/>
                <w:spacing w:val="-6"/>
                <w:kern w:val="21"/>
                <w:szCs w:val="21"/>
                <w:highlight w:val="none"/>
              </w:rPr>
              <w:instrText xml:space="preserve"> = 3 \* GB3 \* MERGEFORMAT </w:instrText>
            </w:r>
            <w:r>
              <w:rPr>
                <w:rFonts w:hint="default" w:ascii="Times New Roman" w:hAnsi="Times New Roman" w:eastAsia="宋体" w:cs="Times New Roman"/>
                <w:b/>
                <w:bCs/>
                <w:snapToGrid w:val="0"/>
                <w:color w:val="auto"/>
                <w:spacing w:val="-6"/>
                <w:kern w:val="21"/>
                <w:szCs w:val="21"/>
                <w:highlight w:val="none"/>
              </w:rPr>
              <w:fldChar w:fldCharType="separate"/>
            </w:r>
            <w:r>
              <w:rPr>
                <w:rFonts w:hint="default" w:ascii="Times New Roman" w:hAnsi="Times New Roman" w:eastAsia="宋体" w:cs="Times New Roman"/>
                <w:b/>
                <w:bCs/>
                <w:color w:val="auto"/>
                <w:kern w:val="2"/>
                <w:szCs w:val="21"/>
                <w:highlight w:val="none"/>
              </w:rPr>
              <w:t>③</w:t>
            </w:r>
            <w:r>
              <w:rPr>
                <w:rFonts w:hint="default" w:ascii="Times New Roman" w:hAnsi="Times New Roman" w:eastAsia="宋体" w:cs="Times New Roman"/>
                <w:b/>
                <w:bCs/>
                <w:snapToGrid w:val="0"/>
                <w:color w:val="auto"/>
                <w:spacing w:val="-6"/>
                <w:kern w:val="21"/>
                <w:szCs w:val="21"/>
                <w:highlight w:val="none"/>
              </w:rPr>
              <w:fldChar w:fldCharType="end"/>
            </w:r>
          </w:p>
        </w:tc>
        <w:tc>
          <w:tcPr>
            <w:tcW w:w="1530" w:type="dxa"/>
            <w:tcMar>
              <w:left w:w="28" w:type="dxa"/>
              <w:right w:w="28" w:type="dxa"/>
            </w:tcMar>
            <w:vAlign w:val="center"/>
          </w:tcPr>
          <w:p w14:paraId="7DFF965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本项目</w:t>
            </w:r>
          </w:p>
          <w:p w14:paraId="1DA5193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排放量（固体废物产生量）</w:t>
            </w:r>
            <w:r>
              <w:rPr>
                <w:rFonts w:hint="default" w:ascii="Times New Roman" w:hAnsi="Times New Roman" w:eastAsia="宋体" w:cs="Times New Roman"/>
                <w:b/>
                <w:bCs/>
                <w:snapToGrid w:val="0"/>
                <w:color w:val="auto"/>
                <w:spacing w:val="-6"/>
                <w:kern w:val="21"/>
                <w:szCs w:val="21"/>
                <w:highlight w:val="none"/>
              </w:rPr>
              <w:fldChar w:fldCharType="begin"/>
            </w:r>
            <w:r>
              <w:rPr>
                <w:rFonts w:hint="default" w:ascii="Times New Roman" w:hAnsi="Times New Roman" w:eastAsia="宋体" w:cs="Times New Roman"/>
                <w:b/>
                <w:bCs/>
                <w:snapToGrid w:val="0"/>
                <w:color w:val="auto"/>
                <w:spacing w:val="-6"/>
                <w:kern w:val="21"/>
                <w:szCs w:val="21"/>
                <w:highlight w:val="none"/>
              </w:rPr>
              <w:instrText xml:space="preserve"> = 4 \* GB3 \* MERGEFORMAT </w:instrText>
            </w:r>
            <w:r>
              <w:rPr>
                <w:rFonts w:hint="default" w:ascii="Times New Roman" w:hAnsi="Times New Roman" w:eastAsia="宋体" w:cs="Times New Roman"/>
                <w:b/>
                <w:bCs/>
                <w:snapToGrid w:val="0"/>
                <w:color w:val="auto"/>
                <w:spacing w:val="-6"/>
                <w:kern w:val="21"/>
                <w:szCs w:val="21"/>
                <w:highlight w:val="none"/>
              </w:rPr>
              <w:fldChar w:fldCharType="separate"/>
            </w:r>
            <w:r>
              <w:rPr>
                <w:rFonts w:hint="default" w:ascii="Times New Roman" w:hAnsi="Times New Roman" w:eastAsia="宋体" w:cs="Times New Roman"/>
                <w:b/>
                <w:bCs/>
                <w:color w:val="auto"/>
                <w:kern w:val="2"/>
                <w:szCs w:val="21"/>
                <w:highlight w:val="none"/>
              </w:rPr>
              <w:t>④</w:t>
            </w:r>
            <w:r>
              <w:rPr>
                <w:rFonts w:hint="default" w:ascii="Times New Roman" w:hAnsi="Times New Roman" w:eastAsia="宋体" w:cs="Times New Roman"/>
                <w:b/>
                <w:bCs/>
                <w:snapToGrid w:val="0"/>
                <w:color w:val="auto"/>
                <w:spacing w:val="-6"/>
                <w:kern w:val="21"/>
                <w:szCs w:val="21"/>
                <w:highlight w:val="none"/>
              </w:rPr>
              <w:fldChar w:fldCharType="end"/>
            </w:r>
          </w:p>
        </w:tc>
        <w:tc>
          <w:tcPr>
            <w:tcW w:w="1785" w:type="dxa"/>
            <w:tcMar>
              <w:left w:w="28" w:type="dxa"/>
              <w:right w:w="28" w:type="dxa"/>
            </w:tcMar>
            <w:vAlign w:val="center"/>
          </w:tcPr>
          <w:p w14:paraId="71AEC7C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Cs w:val="21"/>
                <w:highlight w:val="none"/>
              </w:rPr>
            </w:pPr>
            <w:r>
              <w:rPr>
                <w:rFonts w:hint="default" w:ascii="Times New Roman" w:hAnsi="Times New Roman" w:eastAsia="宋体" w:cs="Times New Roman"/>
                <w:b/>
                <w:bCs/>
                <w:snapToGrid w:val="0"/>
                <w:color w:val="auto"/>
                <w:spacing w:val="-16"/>
                <w:kern w:val="21"/>
                <w:szCs w:val="21"/>
                <w:highlight w:val="none"/>
              </w:rPr>
              <w:t>以新带老削减量</w:t>
            </w:r>
          </w:p>
          <w:p w14:paraId="7F4751E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Cs w:val="21"/>
                <w:highlight w:val="none"/>
              </w:rPr>
            </w:pPr>
            <w:r>
              <w:rPr>
                <w:rFonts w:hint="default" w:ascii="Times New Roman" w:hAnsi="Times New Roman" w:eastAsia="宋体" w:cs="Times New Roman"/>
                <w:b/>
                <w:bCs/>
                <w:snapToGrid w:val="0"/>
                <w:color w:val="auto"/>
                <w:spacing w:val="-16"/>
                <w:kern w:val="21"/>
                <w:szCs w:val="21"/>
                <w:highlight w:val="none"/>
              </w:rPr>
              <w:t>（新建项目不填）</w:t>
            </w:r>
            <w:r>
              <w:rPr>
                <w:rFonts w:hint="default" w:ascii="Times New Roman" w:hAnsi="Times New Roman" w:eastAsia="宋体" w:cs="Times New Roman"/>
                <w:b/>
                <w:bCs/>
                <w:snapToGrid w:val="0"/>
                <w:color w:val="auto"/>
                <w:spacing w:val="-16"/>
                <w:kern w:val="21"/>
                <w:szCs w:val="21"/>
                <w:highlight w:val="none"/>
              </w:rPr>
              <w:fldChar w:fldCharType="begin"/>
            </w:r>
            <w:r>
              <w:rPr>
                <w:rFonts w:hint="default" w:ascii="Times New Roman" w:hAnsi="Times New Roman" w:eastAsia="宋体" w:cs="Times New Roman"/>
                <w:b/>
                <w:bCs/>
                <w:snapToGrid w:val="0"/>
                <w:color w:val="auto"/>
                <w:spacing w:val="-16"/>
                <w:kern w:val="21"/>
                <w:szCs w:val="21"/>
                <w:highlight w:val="none"/>
              </w:rPr>
              <w:instrText xml:space="preserve"> = 5 \* GB3 \* MERGEFORMAT </w:instrText>
            </w:r>
            <w:r>
              <w:rPr>
                <w:rFonts w:hint="default" w:ascii="Times New Roman" w:hAnsi="Times New Roman" w:eastAsia="宋体" w:cs="Times New Roman"/>
                <w:b/>
                <w:bCs/>
                <w:snapToGrid w:val="0"/>
                <w:color w:val="auto"/>
                <w:spacing w:val="-16"/>
                <w:kern w:val="21"/>
                <w:szCs w:val="21"/>
                <w:highlight w:val="none"/>
              </w:rPr>
              <w:fldChar w:fldCharType="separate"/>
            </w:r>
            <w:r>
              <w:rPr>
                <w:rFonts w:hint="default" w:ascii="Times New Roman" w:hAnsi="Times New Roman" w:eastAsia="宋体" w:cs="Times New Roman"/>
                <w:b/>
                <w:bCs/>
                <w:color w:val="auto"/>
                <w:kern w:val="2"/>
                <w:szCs w:val="21"/>
                <w:highlight w:val="none"/>
              </w:rPr>
              <w:t>⑤</w:t>
            </w:r>
            <w:r>
              <w:rPr>
                <w:rFonts w:hint="default" w:ascii="Times New Roman" w:hAnsi="Times New Roman" w:eastAsia="宋体" w:cs="Times New Roman"/>
                <w:b/>
                <w:bCs/>
                <w:snapToGrid w:val="0"/>
                <w:color w:val="auto"/>
                <w:spacing w:val="-16"/>
                <w:kern w:val="21"/>
                <w:szCs w:val="21"/>
                <w:highlight w:val="none"/>
              </w:rPr>
              <w:fldChar w:fldCharType="end"/>
            </w:r>
          </w:p>
        </w:tc>
        <w:tc>
          <w:tcPr>
            <w:tcW w:w="1625" w:type="dxa"/>
            <w:tcMar>
              <w:left w:w="28" w:type="dxa"/>
              <w:right w:w="28" w:type="dxa"/>
            </w:tcMar>
            <w:vAlign w:val="center"/>
          </w:tcPr>
          <w:p w14:paraId="360ED33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Cs w:val="21"/>
                <w:highlight w:val="none"/>
              </w:rPr>
            </w:pPr>
            <w:r>
              <w:rPr>
                <w:rFonts w:hint="default" w:ascii="Times New Roman" w:hAnsi="Times New Roman" w:eastAsia="宋体" w:cs="Times New Roman"/>
                <w:b/>
                <w:bCs/>
                <w:snapToGrid w:val="0"/>
                <w:color w:val="auto"/>
                <w:spacing w:val="-16"/>
                <w:kern w:val="21"/>
                <w:szCs w:val="21"/>
                <w:highlight w:val="none"/>
              </w:rPr>
              <w:t>本项目建成后</w:t>
            </w:r>
          </w:p>
          <w:p w14:paraId="37950AE1">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16"/>
                <w:kern w:val="21"/>
                <w:szCs w:val="21"/>
                <w:highlight w:val="none"/>
              </w:rPr>
            </w:pPr>
            <w:r>
              <w:rPr>
                <w:rFonts w:hint="default" w:ascii="Times New Roman" w:hAnsi="Times New Roman" w:eastAsia="宋体" w:cs="Times New Roman"/>
                <w:b/>
                <w:bCs/>
                <w:snapToGrid w:val="0"/>
                <w:color w:val="auto"/>
                <w:spacing w:val="-16"/>
                <w:kern w:val="21"/>
                <w:szCs w:val="21"/>
                <w:highlight w:val="none"/>
              </w:rPr>
              <w:t>全厂排放量（固体废物产生量）</w:t>
            </w:r>
            <w:r>
              <w:rPr>
                <w:rFonts w:hint="default" w:ascii="Times New Roman" w:hAnsi="Times New Roman" w:eastAsia="宋体" w:cs="Times New Roman"/>
                <w:b/>
                <w:bCs/>
                <w:snapToGrid w:val="0"/>
                <w:color w:val="auto"/>
                <w:spacing w:val="-16"/>
                <w:kern w:val="21"/>
                <w:szCs w:val="21"/>
                <w:highlight w:val="none"/>
              </w:rPr>
              <w:fldChar w:fldCharType="begin"/>
            </w:r>
            <w:r>
              <w:rPr>
                <w:rFonts w:hint="default" w:ascii="Times New Roman" w:hAnsi="Times New Roman" w:eastAsia="宋体" w:cs="Times New Roman"/>
                <w:b/>
                <w:bCs/>
                <w:snapToGrid w:val="0"/>
                <w:color w:val="auto"/>
                <w:spacing w:val="-16"/>
                <w:kern w:val="21"/>
                <w:szCs w:val="21"/>
                <w:highlight w:val="none"/>
              </w:rPr>
              <w:instrText xml:space="preserve"> = 6 \* GB3 \* MERGEFORMAT </w:instrText>
            </w:r>
            <w:r>
              <w:rPr>
                <w:rFonts w:hint="default" w:ascii="Times New Roman" w:hAnsi="Times New Roman" w:eastAsia="宋体" w:cs="Times New Roman"/>
                <w:b/>
                <w:bCs/>
                <w:snapToGrid w:val="0"/>
                <w:color w:val="auto"/>
                <w:spacing w:val="-16"/>
                <w:kern w:val="21"/>
                <w:szCs w:val="21"/>
                <w:highlight w:val="none"/>
              </w:rPr>
              <w:fldChar w:fldCharType="separate"/>
            </w:r>
            <w:r>
              <w:rPr>
                <w:rFonts w:hint="default" w:ascii="Times New Roman" w:hAnsi="Times New Roman" w:eastAsia="宋体" w:cs="Times New Roman"/>
                <w:b/>
                <w:bCs/>
                <w:color w:val="auto"/>
                <w:kern w:val="2"/>
                <w:szCs w:val="21"/>
                <w:highlight w:val="none"/>
              </w:rPr>
              <w:t>⑥</w:t>
            </w:r>
            <w:r>
              <w:rPr>
                <w:rFonts w:hint="default" w:ascii="Times New Roman" w:hAnsi="Times New Roman" w:eastAsia="宋体" w:cs="Times New Roman"/>
                <w:b/>
                <w:bCs/>
                <w:snapToGrid w:val="0"/>
                <w:color w:val="auto"/>
                <w:spacing w:val="-16"/>
                <w:kern w:val="21"/>
                <w:szCs w:val="21"/>
                <w:highlight w:val="none"/>
              </w:rPr>
              <w:fldChar w:fldCharType="end"/>
            </w:r>
          </w:p>
        </w:tc>
        <w:tc>
          <w:tcPr>
            <w:tcW w:w="1329" w:type="dxa"/>
            <w:tcMar>
              <w:left w:w="28" w:type="dxa"/>
              <w:right w:w="28" w:type="dxa"/>
            </w:tcMar>
            <w:vAlign w:val="center"/>
          </w:tcPr>
          <w:p w14:paraId="053E773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t>变化量</w:t>
            </w:r>
          </w:p>
          <w:p w14:paraId="379AD5D0">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spacing w:val="-6"/>
                <w:kern w:val="21"/>
                <w:szCs w:val="21"/>
                <w:highlight w:val="none"/>
              </w:rPr>
            </w:pPr>
            <w:r>
              <w:rPr>
                <w:rFonts w:hint="default" w:ascii="Times New Roman" w:hAnsi="Times New Roman" w:eastAsia="宋体" w:cs="Times New Roman"/>
                <w:b/>
                <w:bCs/>
                <w:snapToGrid w:val="0"/>
                <w:color w:val="auto"/>
                <w:spacing w:val="-6"/>
                <w:kern w:val="21"/>
                <w:szCs w:val="21"/>
                <w:highlight w:val="none"/>
              </w:rPr>
              <w:fldChar w:fldCharType="begin"/>
            </w:r>
            <w:r>
              <w:rPr>
                <w:rFonts w:hint="default" w:ascii="Times New Roman" w:hAnsi="Times New Roman" w:eastAsia="宋体" w:cs="Times New Roman"/>
                <w:b/>
                <w:bCs/>
                <w:snapToGrid w:val="0"/>
                <w:color w:val="auto"/>
                <w:spacing w:val="-6"/>
                <w:kern w:val="21"/>
                <w:szCs w:val="21"/>
                <w:highlight w:val="none"/>
              </w:rPr>
              <w:instrText xml:space="preserve"> = 7 \* GB3 \* MERGEFORMAT </w:instrText>
            </w:r>
            <w:r>
              <w:rPr>
                <w:rFonts w:hint="default" w:ascii="Times New Roman" w:hAnsi="Times New Roman" w:eastAsia="宋体" w:cs="Times New Roman"/>
                <w:b/>
                <w:bCs/>
                <w:snapToGrid w:val="0"/>
                <w:color w:val="auto"/>
                <w:spacing w:val="-6"/>
                <w:kern w:val="21"/>
                <w:szCs w:val="21"/>
                <w:highlight w:val="none"/>
              </w:rPr>
              <w:fldChar w:fldCharType="separate"/>
            </w:r>
            <w:r>
              <w:rPr>
                <w:rFonts w:hint="default" w:ascii="Times New Roman" w:hAnsi="Times New Roman" w:eastAsia="宋体" w:cs="Times New Roman"/>
                <w:b/>
                <w:bCs/>
                <w:color w:val="auto"/>
                <w:kern w:val="2"/>
                <w:szCs w:val="21"/>
                <w:highlight w:val="none"/>
              </w:rPr>
              <w:t>⑦</w:t>
            </w:r>
            <w:r>
              <w:rPr>
                <w:rFonts w:hint="default" w:ascii="Times New Roman" w:hAnsi="Times New Roman" w:eastAsia="宋体" w:cs="Times New Roman"/>
                <w:b/>
                <w:bCs/>
                <w:snapToGrid w:val="0"/>
                <w:color w:val="auto"/>
                <w:spacing w:val="-6"/>
                <w:kern w:val="21"/>
                <w:szCs w:val="21"/>
                <w:highlight w:val="none"/>
              </w:rPr>
              <w:fldChar w:fldCharType="end"/>
            </w:r>
          </w:p>
        </w:tc>
      </w:tr>
      <w:tr w14:paraId="7C23F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07D6664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r>
              <w:rPr>
                <w:rFonts w:hint="default" w:ascii="Times New Roman" w:hAnsi="Times New Roman" w:eastAsia="宋体" w:cs="Times New Roman"/>
                <w:b/>
                <w:bCs/>
                <w:snapToGrid w:val="0"/>
                <w:color w:val="auto"/>
                <w:kern w:val="21"/>
                <w:szCs w:val="21"/>
                <w:highlight w:val="none"/>
              </w:rPr>
              <w:t>废气</w:t>
            </w:r>
          </w:p>
        </w:tc>
        <w:tc>
          <w:tcPr>
            <w:tcW w:w="1311" w:type="dxa"/>
            <w:vAlign w:val="center"/>
          </w:tcPr>
          <w:p w14:paraId="5F1E1A7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粉尘</w:t>
            </w:r>
          </w:p>
        </w:tc>
        <w:tc>
          <w:tcPr>
            <w:tcW w:w="1665" w:type="dxa"/>
            <w:vAlign w:val="center"/>
          </w:tcPr>
          <w:p w14:paraId="2BB7B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3F41EB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7ECFA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7379A1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2.003</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785" w:type="dxa"/>
            <w:vAlign w:val="center"/>
          </w:tcPr>
          <w:p w14:paraId="613FD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6C7956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2.003</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329" w:type="dxa"/>
            <w:vAlign w:val="center"/>
          </w:tcPr>
          <w:p w14:paraId="77911B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r>
              <w:rPr>
                <w:rFonts w:hint="eastAsia" w:cs="Times New Roman"/>
                <w:b w:val="0"/>
                <w:bCs w:val="0"/>
                <w:snapToGrid w:val="0"/>
                <w:color w:val="auto"/>
                <w:kern w:val="21"/>
                <w:sz w:val="21"/>
                <w:szCs w:val="21"/>
                <w:highlight w:val="none"/>
                <w:lang w:val="en-US" w:eastAsia="zh-CN" w:bidi="ar-SA"/>
              </w:rPr>
              <w:t>2.003</w:t>
            </w:r>
            <w:r>
              <w:rPr>
                <w:rFonts w:hint="default" w:ascii="Times New Roman" w:hAnsi="Times New Roman" w:eastAsia="宋体" w:cs="Times New Roman"/>
                <w:b w:val="0"/>
                <w:bCs w:val="0"/>
                <w:snapToGrid w:val="0"/>
                <w:color w:val="auto"/>
                <w:kern w:val="21"/>
                <w:szCs w:val="21"/>
                <w:highlight w:val="none"/>
                <w:lang w:val="en-US" w:eastAsia="zh-CN"/>
              </w:rPr>
              <w:t>t/a</w:t>
            </w:r>
          </w:p>
        </w:tc>
      </w:tr>
      <w:tr w14:paraId="73EC8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5E23508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r>
              <w:rPr>
                <w:rFonts w:hint="default" w:ascii="Times New Roman" w:hAnsi="Times New Roman" w:eastAsia="宋体" w:cs="Times New Roman"/>
                <w:b/>
                <w:bCs/>
                <w:snapToGrid w:val="0"/>
                <w:color w:val="auto"/>
                <w:kern w:val="21"/>
                <w:szCs w:val="21"/>
                <w:highlight w:val="none"/>
              </w:rPr>
              <w:t>废水</w:t>
            </w:r>
          </w:p>
        </w:tc>
        <w:tc>
          <w:tcPr>
            <w:tcW w:w="1311" w:type="dxa"/>
            <w:vAlign w:val="center"/>
          </w:tcPr>
          <w:p w14:paraId="64CB5C2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COD</w:t>
            </w:r>
          </w:p>
        </w:tc>
        <w:tc>
          <w:tcPr>
            <w:tcW w:w="1665" w:type="dxa"/>
            <w:vAlign w:val="center"/>
          </w:tcPr>
          <w:p w14:paraId="561A51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7ED8B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7EB0F6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1C4A8C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785" w:type="dxa"/>
            <w:vAlign w:val="center"/>
          </w:tcPr>
          <w:p w14:paraId="57C13A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2D8BA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329" w:type="dxa"/>
            <w:vAlign w:val="center"/>
          </w:tcPr>
          <w:p w14:paraId="2F7375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r>
      <w:tr w14:paraId="5DBC3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FD1FE5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p>
        </w:tc>
        <w:tc>
          <w:tcPr>
            <w:tcW w:w="1311" w:type="dxa"/>
            <w:vAlign w:val="center"/>
          </w:tcPr>
          <w:p w14:paraId="3751F5D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氨氮</w:t>
            </w:r>
          </w:p>
        </w:tc>
        <w:tc>
          <w:tcPr>
            <w:tcW w:w="1665" w:type="dxa"/>
            <w:vAlign w:val="center"/>
          </w:tcPr>
          <w:p w14:paraId="56A9E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7CB65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39A40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52B9FA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785" w:type="dxa"/>
            <w:vAlign w:val="center"/>
          </w:tcPr>
          <w:p w14:paraId="4D889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07783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329" w:type="dxa"/>
            <w:vAlign w:val="center"/>
          </w:tcPr>
          <w:p w14:paraId="0EB0C9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r>
      <w:tr w14:paraId="7D89C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7B514F64">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r>
              <w:rPr>
                <w:rFonts w:hint="default" w:ascii="Times New Roman" w:hAnsi="Times New Roman" w:eastAsia="宋体" w:cs="Times New Roman"/>
                <w:b/>
                <w:bCs/>
                <w:snapToGrid w:val="0"/>
                <w:color w:val="auto"/>
                <w:kern w:val="21"/>
                <w:szCs w:val="21"/>
                <w:highlight w:val="none"/>
              </w:rPr>
              <w:t>一般工业</w:t>
            </w:r>
          </w:p>
          <w:p w14:paraId="0B56CECE">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r>
              <w:rPr>
                <w:rFonts w:hint="default" w:ascii="Times New Roman" w:hAnsi="Times New Roman" w:eastAsia="宋体" w:cs="Times New Roman"/>
                <w:b/>
                <w:bCs/>
                <w:snapToGrid w:val="0"/>
                <w:color w:val="auto"/>
                <w:kern w:val="21"/>
                <w:szCs w:val="21"/>
                <w:highlight w:val="none"/>
              </w:rPr>
              <w:t>固体废物</w:t>
            </w:r>
          </w:p>
        </w:tc>
        <w:tc>
          <w:tcPr>
            <w:tcW w:w="1311" w:type="dxa"/>
            <w:vAlign w:val="center"/>
          </w:tcPr>
          <w:p w14:paraId="2C103633">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除尘灰</w:t>
            </w:r>
          </w:p>
        </w:tc>
        <w:tc>
          <w:tcPr>
            <w:tcW w:w="1665" w:type="dxa"/>
            <w:vAlign w:val="center"/>
          </w:tcPr>
          <w:p w14:paraId="451F2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406859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426B60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2356A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yellow"/>
                <w:lang w:val="en-US" w:eastAsia="zh-CN"/>
              </w:rPr>
            </w:pPr>
            <w:r>
              <w:rPr>
                <w:rFonts w:hint="eastAsia" w:cs="Times New Roman"/>
                <w:b w:val="0"/>
                <w:bCs w:val="0"/>
                <w:color w:val="auto"/>
                <w:spacing w:val="0"/>
                <w:sz w:val="21"/>
                <w:szCs w:val="21"/>
                <w:highlight w:val="none"/>
                <w:lang w:val="en-US" w:eastAsia="zh-CN"/>
              </w:rPr>
              <w:t>217.3</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785" w:type="dxa"/>
            <w:vAlign w:val="center"/>
          </w:tcPr>
          <w:p w14:paraId="28E3D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178BF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color w:val="auto"/>
                <w:spacing w:val="0"/>
                <w:sz w:val="21"/>
                <w:szCs w:val="21"/>
                <w:highlight w:val="none"/>
                <w:lang w:val="en-US" w:eastAsia="zh-CN"/>
              </w:rPr>
              <w:t>217.3</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329" w:type="dxa"/>
            <w:vAlign w:val="center"/>
          </w:tcPr>
          <w:p w14:paraId="06CE9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r>
              <w:rPr>
                <w:rFonts w:hint="eastAsia" w:cs="Times New Roman"/>
                <w:b w:val="0"/>
                <w:bCs w:val="0"/>
                <w:color w:val="auto"/>
                <w:spacing w:val="0"/>
                <w:sz w:val="21"/>
                <w:szCs w:val="21"/>
                <w:highlight w:val="none"/>
                <w:lang w:val="en-US" w:eastAsia="zh-CN"/>
              </w:rPr>
              <w:t>217.3</w:t>
            </w:r>
            <w:r>
              <w:rPr>
                <w:rFonts w:hint="default" w:ascii="Times New Roman" w:hAnsi="Times New Roman" w:eastAsia="宋体" w:cs="Times New Roman"/>
                <w:b w:val="0"/>
                <w:bCs w:val="0"/>
                <w:snapToGrid w:val="0"/>
                <w:color w:val="auto"/>
                <w:kern w:val="21"/>
                <w:szCs w:val="21"/>
                <w:highlight w:val="none"/>
                <w:lang w:val="en-US" w:eastAsia="zh-CN"/>
              </w:rPr>
              <w:t>t/a</w:t>
            </w:r>
          </w:p>
        </w:tc>
      </w:tr>
      <w:tr w14:paraId="3B07E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2961A0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p>
        </w:tc>
        <w:tc>
          <w:tcPr>
            <w:tcW w:w="1311" w:type="dxa"/>
            <w:vAlign w:val="center"/>
          </w:tcPr>
          <w:p w14:paraId="6D6AB16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cs="Times New Roman"/>
                <w:b w:val="0"/>
                <w:bCs w:val="0"/>
                <w:snapToGrid w:val="0"/>
                <w:color w:val="auto"/>
                <w:kern w:val="21"/>
                <w:sz w:val="21"/>
                <w:szCs w:val="21"/>
                <w:highlight w:val="none"/>
                <w:lang w:val="en-US" w:eastAsia="zh-CN" w:bidi="ar-SA"/>
              </w:rPr>
              <w:t>废布袋</w:t>
            </w:r>
          </w:p>
        </w:tc>
        <w:tc>
          <w:tcPr>
            <w:tcW w:w="1665" w:type="dxa"/>
            <w:vAlign w:val="center"/>
          </w:tcPr>
          <w:p w14:paraId="46D956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55C53A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570E73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73F2CD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0.1</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785" w:type="dxa"/>
            <w:vAlign w:val="center"/>
          </w:tcPr>
          <w:p w14:paraId="17743E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39122C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0.1</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329" w:type="dxa"/>
            <w:vAlign w:val="center"/>
          </w:tcPr>
          <w:p w14:paraId="4959B5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r>
              <w:rPr>
                <w:rFonts w:hint="eastAsia" w:cs="Times New Roman"/>
                <w:b w:val="0"/>
                <w:bCs w:val="0"/>
                <w:color w:val="auto"/>
                <w:spacing w:val="0"/>
                <w:sz w:val="21"/>
                <w:szCs w:val="21"/>
                <w:highlight w:val="none"/>
                <w:lang w:val="en-US" w:eastAsia="zh-CN"/>
              </w:rPr>
              <w:t>0.1</w:t>
            </w:r>
            <w:r>
              <w:rPr>
                <w:rFonts w:hint="default" w:ascii="Times New Roman" w:hAnsi="Times New Roman" w:eastAsia="宋体" w:cs="Times New Roman"/>
                <w:b w:val="0"/>
                <w:bCs w:val="0"/>
                <w:snapToGrid w:val="0"/>
                <w:color w:val="auto"/>
                <w:kern w:val="21"/>
                <w:szCs w:val="21"/>
                <w:highlight w:val="none"/>
                <w:lang w:val="en-US" w:eastAsia="zh-CN"/>
              </w:rPr>
              <w:t>t/a</w:t>
            </w:r>
          </w:p>
        </w:tc>
      </w:tr>
      <w:tr w14:paraId="590B2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275FE6A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p>
        </w:tc>
        <w:tc>
          <w:tcPr>
            <w:tcW w:w="1311" w:type="dxa"/>
            <w:vAlign w:val="center"/>
          </w:tcPr>
          <w:p w14:paraId="63056448">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cs="Times New Roman"/>
                <w:b w:val="0"/>
                <w:bCs w:val="0"/>
                <w:snapToGrid w:val="0"/>
                <w:color w:val="auto"/>
                <w:kern w:val="21"/>
                <w:sz w:val="21"/>
                <w:szCs w:val="21"/>
                <w:highlight w:val="none"/>
                <w:lang w:val="en-US" w:eastAsia="zh-CN" w:bidi="ar-SA"/>
              </w:rPr>
              <w:t>废铁屑</w:t>
            </w:r>
          </w:p>
        </w:tc>
        <w:tc>
          <w:tcPr>
            <w:tcW w:w="1665" w:type="dxa"/>
            <w:vAlign w:val="center"/>
          </w:tcPr>
          <w:p w14:paraId="469664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341030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0FD503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55D283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300</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785" w:type="dxa"/>
            <w:vAlign w:val="center"/>
          </w:tcPr>
          <w:p w14:paraId="6ECFFF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284473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300</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329" w:type="dxa"/>
            <w:vAlign w:val="center"/>
          </w:tcPr>
          <w:p w14:paraId="16280D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r>
              <w:rPr>
                <w:rFonts w:hint="eastAsia" w:cs="Times New Roman"/>
                <w:b w:val="0"/>
                <w:bCs w:val="0"/>
                <w:color w:val="auto"/>
                <w:spacing w:val="0"/>
                <w:sz w:val="21"/>
                <w:szCs w:val="21"/>
                <w:highlight w:val="none"/>
                <w:lang w:val="en-US" w:eastAsia="zh-CN"/>
              </w:rPr>
              <w:t>300</w:t>
            </w:r>
            <w:r>
              <w:rPr>
                <w:rFonts w:hint="default" w:ascii="Times New Roman" w:hAnsi="Times New Roman" w:eastAsia="宋体" w:cs="Times New Roman"/>
                <w:b w:val="0"/>
                <w:bCs w:val="0"/>
                <w:snapToGrid w:val="0"/>
                <w:color w:val="auto"/>
                <w:kern w:val="21"/>
                <w:szCs w:val="21"/>
                <w:highlight w:val="none"/>
                <w:lang w:val="en-US" w:eastAsia="zh-CN"/>
              </w:rPr>
              <w:t>t/a</w:t>
            </w:r>
          </w:p>
        </w:tc>
      </w:tr>
      <w:tr w14:paraId="5400B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B22973B">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p>
        </w:tc>
        <w:tc>
          <w:tcPr>
            <w:tcW w:w="1311" w:type="dxa"/>
            <w:vAlign w:val="center"/>
          </w:tcPr>
          <w:p w14:paraId="7A24626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生活垃圾</w:t>
            </w:r>
          </w:p>
        </w:tc>
        <w:tc>
          <w:tcPr>
            <w:tcW w:w="1665" w:type="dxa"/>
            <w:vAlign w:val="center"/>
          </w:tcPr>
          <w:p w14:paraId="2ECAC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6B4550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04B8C9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296693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r>
              <w:rPr>
                <w:rFonts w:hint="eastAsia" w:cs="Times New Roman"/>
                <w:b w:val="0"/>
                <w:bCs w:val="0"/>
                <w:color w:val="auto"/>
                <w:spacing w:val="0"/>
                <w:kern w:val="2"/>
                <w:sz w:val="21"/>
                <w:szCs w:val="21"/>
                <w:highlight w:val="none"/>
                <w:lang w:val="en-US" w:eastAsia="zh-CN" w:bidi="ar-SA"/>
              </w:rPr>
              <w:t>6</w:t>
            </w:r>
            <w:r>
              <w:rPr>
                <w:rFonts w:hint="default" w:ascii="Times New Roman" w:hAnsi="Times New Roman" w:eastAsia="宋体" w:cs="Times New Roman"/>
                <w:b w:val="0"/>
                <w:bCs w:val="0"/>
                <w:color w:val="auto"/>
                <w:spacing w:val="0"/>
                <w:kern w:val="2"/>
                <w:sz w:val="21"/>
                <w:szCs w:val="21"/>
                <w:highlight w:val="none"/>
                <w:lang w:val="en-US" w:eastAsia="zh-CN" w:bidi="ar-SA"/>
              </w:rPr>
              <w:t>5</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785" w:type="dxa"/>
            <w:vAlign w:val="center"/>
          </w:tcPr>
          <w:p w14:paraId="3AC89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6E1C9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r>
              <w:rPr>
                <w:rFonts w:hint="eastAsia" w:cs="Times New Roman"/>
                <w:b w:val="0"/>
                <w:bCs w:val="0"/>
                <w:color w:val="auto"/>
                <w:spacing w:val="0"/>
                <w:kern w:val="2"/>
                <w:sz w:val="21"/>
                <w:szCs w:val="21"/>
                <w:highlight w:val="none"/>
                <w:lang w:val="en-US" w:eastAsia="zh-CN" w:bidi="ar-SA"/>
              </w:rPr>
              <w:t>6</w:t>
            </w:r>
            <w:r>
              <w:rPr>
                <w:rFonts w:hint="default" w:ascii="Times New Roman" w:hAnsi="Times New Roman" w:eastAsia="宋体" w:cs="Times New Roman"/>
                <w:b w:val="0"/>
                <w:bCs w:val="0"/>
                <w:color w:val="auto"/>
                <w:spacing w:val="0"/>
                <w:kern w:val="2"/>
                <w:sz w:val="21"/>
                <w:szCs w:val="21"/>
                <w:highlight w:val="none"/>
                <w:lang w:val="en-US" w:eastAsia="zh-CN" w:bidi="ar-SA"/>
              </w:rPr>
              <w:t>5</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329" w:type="dxa"/>
            <w:vAlign w:val="center"/>
          </w:tcPr>
          <w:p w14:paraId="002BB9FA">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+1.</w:t>
            </w:r>
            <w:r>
              <w:rPr>
                <w:rFonts w:hint="eastAsia" w:ascii="Times New Roman" w:cs="Times New Roman"/>
                <w:b w:val="0"/>
                <w:bCs w:val="0"/>
                <w:snapToGrid w:val="0"/>
                <w:color w:val="auto"/>
                <w:kern w:val="21"/>
                <w:szCs w:val="21"/>
                <w:highlight w:val="none"/>
                <w:lang w:val="en-US" w:eastAsia="zh-CN"/>
              </w:rPr>
              <w:t>6</w:t>
            </w:r>
            <w:r>
              <w:rPr>
                <w:rFonts w:hint="default" w:ascii="Times New Roman" w:hAnsi="Times New Roman" w:eastAsia="宋体" w:cs="Times New Roman"/>
                <w:b w:val="0"/>
                <w:bCs w:val="0"/>
                <w:snapToGrid w:val="0"/>
                <w:color w:val="auto"/>
                <w:kern w:val="21"/>
                <w:szCs w:val="21"/>
                <w:highlight w:val="none"/>
                <w:lang w:val="en-US" w:eastAsia="zh-CN"/>
              </w:rPr>
              <w:t>5t/a</w:t>
            </w:r>
          </w:p>
        </w:tc>
      </w:tr>
      <w:tr w14:paraId="69EF3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14051077">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snapToGrid w:val="0"/>
                <w:color w:val="auto"/>
                <w:kern w:val="21"/>
                <w:szCs w:val="21"/>
                <w:highlight w:val="none"/>
              </w:rPr>
            </w:pPr>
            <w:r>
              <w:rPr>
                <w:rFonts w:hint="default" w:ascii="Times New Roman" w:hAnsi="Times New Roman" w:eastAsia="宋体" w:cs="Times New Roman"/>
                <w:b/>
                <w:bCs/>
                <w:snapToGrid w:val="0"/>
                <w:color w:val="auto"/>
                <w:kern w:val="21"/>
                <w:szCs w:val="21"/>
                <w:highlight w:val="none"/>
              </w:rPr>
              <w:t>危险废物</w:t>
            </w:r>
          </w:p>
        </w:tc>
        <w:tc>
          <w:tcPr>
            <w:tcW w:w="1311" w:type="dxa"/>
            <w:vAlign w:val="center"/>
          </w:tcPr>
          <w:p w14:paraId="05F5F96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废矿物油</w:t>
            </w:r>
          </w:p>
        </w:tc>
        <w:tc>
          <w:tcPr>
            <w:tcW w:w="1665" w:type="dxa"/>
            <w:vAlign w:val="center"/>
          </w:tcPr>
          <w:p w14:paraId="790B5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64CE44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608F9E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63DE11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0.</w:t>
            </w:r>
            <w:r>
              <w:rPr>
                <w:rFonts w:hint="eastAsia" w:ascii="Times New Roman" w:hAnsi="Times New Roman" w:eastAsia="宋体" w:cs="Times New Roman"/>
                <w:b w:val="0"/>
                <w:bCs w:val="0"/>
                <w:color w:val="auto"/>
                <w:kern w:val="2"/>
                <w:sz w:val="21"/>
                <w:szCs w:val="21"/>
                <w:highlight w:val="none"/>
                <w:lang w:val="en-US" w:eastAsia="zh-CN" w:bidi="ar-SA"/>
              </w:rPr>
              <w:t>1</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785" w:type="dxa"/>
            <w:vAlign w:val="center"/>
          </w:tcPr>
          <w:p w14:paraId="66334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763074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r>
              <w:rPr>
                <w:rFonts w:hint="eastAsia" w:ascii="Times New Roman" w:hAnsi="Times New Roman" w:eastAsia="宋体" w:cs="Times New Roman"/>
                <w:b w:val="0"/>
                <w:bCs w:val="0"/>
                <w:color w:val="auto"/>
                <w:kern w:val="2"/>
                <w:sz w:val="21"/>
                <w:szCs w:val="21"/>
                <w:highlight w:val="none"/>
                <w:lang w:val="en-US" w:eastAsia="zh-CN" w:bidi="ar-SA"/>
              </w:rPr>
              <w:t>1</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329" w:type="dxa"/>
            <w:vAlign w:val="center"/>
          </w:tcPr>
          <w:p w14:paraId="01A6628D">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bidi="ar-SA"/>
              </w:rPr>
              <w:t>0.</w:t>
            </w:r>
            <w:r>
              <w:rPr>
                <w:rFonts w:hint="eastAsia" w:ascii="Times New Roman" w:hAnsi="Times New Roman" w:eastAsia="宋体" w:cs="Times New Roman"/>
                <w:b w:val="0"/>
                <w:bCs w:val="0"/>
                <w:color w:val="auto"/>
                <w:kern w:val="2"/>
                <w:sz w:val="21"/>
                <w:szCs w:val="21"/>
                <w:highlight w:val="none"/>
                <w:lang w:val="en-US" w:eastAsia="zh-CN" w:bidi="ar-SA"/>
              </w:rPr>
              <w:t>1</w:t>
            </w:r>
            <w:r>
              <w:rPr>
                <w:rFonts w:hint="default" w:ascii="Times New Roman" w:hAnsi="Times New Roman" w:eastAsia="宋体" w:cs="Times New Roman"/>
                <w:b w:val="0"/>
                <w:bCs w:val="0"/>
                <w:snapToGrid w:val="0"/>
                <w:color w:val="auto"/>
                <w:kern w:val="21"/>
                <w:szCs w:val="21"/>
                <w:highlight w:val="none"/>
                <w:lang w:val="en-US" w:eastAsia="zh-CN"/>
              </w:rPr>
              <w:t>t/a</w:t>
            </w:r>
          </w:p>
        </w:tc>
      </w:tr>
      <w:tr w14:paraId="7EF99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916E7DC">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Cs w:val="21"/>
                <w:highlight w:val="none"/>
              </w:rPr>
            </w:pPr>
          </w:p>
        </w:tc>
        <w:tc>
          <w:tcPr>
            <w:tcW w:w="1311" w:type="dxa"/>
            <w:vAlign w:val="center"/>
          </w:tcPr>
          <w:p w14:paraId="2729B66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废油桶</w:t>
            </w:r>
          </w:p>
        </w:tc>
        <w:tc>
          <w:tcPr>
            <w:tcW w:w="1665" w:type="dxa"/>
            <w:vAlign w:val="center"/>
          </w:tcPr>
          <w:p w14:paraId="6CA01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275" w:type="dxa"/>
            <w:vAlign w:val="center"/>
          </w:tcPr>
          <w:p w14:paraId="29875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80" w:type="dxa"/>
            <w:vAlign w:val="center"/>
          </w:tcPr>
          <w:p w14:paraId="2B4A3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530" w:type="dxa"/>
            <w:vAlign w:val="center"/>
          </w:tcPr>
          <w:p w14:paraId="2EEC2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0.0</w:t>
            </w:r>
            <w:r>
              <w:rPr>
                <w:rFonts w:hint="eastAsia" w:cs="Times New Roman"/>
                <w:b w:val="0"/>
                <w:bCs w:val="0"/>
                <w:snapToGrid w:val="0"/>
                <w:color w:val="auto"/>
                <w:kern w:val="21"/>
                <w:szCs w:val="21"/>
                <w:highlight w:val="none"/>
                <w:lang w:val="en-US" w:eastAsia="zh-CN"/>
              </w:rPr>
              <w:t>5</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785" w:type="dxa"/>
            <w:vAlign w:val="center"/>
          </w:tcPr>
          <w:p w14:paraId="547496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lang w:val="en-US" w:eastAsia="zh-CN"/>
              </w:rPr>
              <w:t>//</w:t>
            </w:r>
          </w:p>
        </w:tc>
        <w:tc>
          <w:tcPr>
            <w:tcW w:w="1625" w:type="dxa"/>
            <w:vAlign w:val="center"/>
          </w:tcPr>
          <w:p w14:paraId="3148A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w:t>
            </w:r>
            <w:r>
              <w:rPr>
                <w:rFonts w:hint="eastAsia" w:cs="Times New Roman"/>
                <w:b w:val="0"/>
                <w:bCs w:val="0"/>
                <w:snapToGrid w:val="0"/>
                <w:color w:val="auto"/>
                <w:kern w:val="21"/>
                <w:szCs w:val="21"/>
                <w:highlight w:val="none"/>
                <w:lang w:val="en-US" w:eastAsia="zh-CN"/>
              </w:rPr>
              <w:t>5</w:t>
            </w:r>
            <w:r>
              <w:rPr>
                <w:rFonts w:hint="default" w:ascii="Times New Roman" w:hAnsi="Times New Roman" w:eastAsia="宋体" w:cs="Times New Roman"/>
                <w:b w:val="0"/>
                <w:bCs w:val="0"/>
                <w:snapToGrid w:val="0"/>
                <w:color w:val="auto"/>
                <w:kern w:val="21"/>
                <w:szCs w:val="21"/>
                <w:highlight w:val="none"/>
                <w:lang w:val="en-US" w:eastAsia="zh-CN"/>
              </w:rPr>
              <w:t>t/a</w:t>
            </w:r>
          </w:p>
        </w:tc>
        <w:tc>
          <w:tcPr>
            <w:tcW w:w="1329" w:type="dxa"/>
            <w:vAlign w:val="center"/>
          </w:tcPr>
          <w:p w14:paraId="0520A8D9">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lang w:val="en-US" w:eastAsia="zh-CN"/>
              </w:rPr>
              <w:t>+0.0</w:t>
            </w:r>
            <w:r>
              <w:rPr>
                <w:rFonts w:hint="eastAsia" w:ascii="Times New Roman" w:cs="Times New Roman"/>
                <w:b w:val="0"/>
                <w:bCs w:val="0"/>
                <w:snapToGrid w:val="0"/>
                <w:color w:val="auto"/>
                <w:kern w:val="21"/>
                <w:szCs w:val="21"/>
                <w:highlight w:val="none"/>
                <w:lang w:val="en-US" w:eastAsia="zh-CN"/>
              </w:rPr>
              <w:t>5</w:t>
            </w:r>
            <w:r>
              <w:rPr>
                <w:rFonts w:hint="default" w:ascii="Times New Roman" w:hAnsi="Times New Roman" w:eastAsia="宋体" w:cs="Times New Roman"/>
                <w:b w:val="0"/>
                <w:bCs w:val="0"/>
                <w:snapToGrid w:val="0"/>
                <w:color w:val="auto"/>
                <w:kern w:val="21"/>
                <w:szCs w:val="21"/>
                <w:highlight w:val="none"/>
                <w:lang w:val="en-US" w:eastAsia="zh-CN"/>
              </w:rPr>
              <w:t>t/a</w:t>
            </w:r>
          </w:p>
        </w:tc>
      </w:tr>
    </w:tbl>
    <w:p w14:paraId="5953C9B5">
      <w:pPr>
        <w:pStyle w:val="36"/>
        <w:keepNext w:val="0"/>
        <w:keepLines w:val="0"/>
        <w:pageBreakBefore w:val="0"/>
        <w:widowControl w:val="0"/>
        <w:kinsoku/>
        <w:wordWrap/>
        <w:overflowPunct/>
        <w:topLinePunct w:val="0"/>
        <w:autoSpaceDE/>
        <w:autoSpaceDN/>
        <w:bidi w:val="0"/>
        <w:adjustRightInd w:val="0"/>
        <w:snapToGrid w:val="0"/>
        <w:spacing w:before="192" w:beforeLines="80" w:after="24" w:line="260" w:lineRule="auto"/>
        <w:ind w:firstLine="840" w:firstLineChars="400"/>
        <w:jc w:val="left"/>
        <w:textAlignment w:val="auto"/>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7EFE64D5">
      <w:pPr>
        <w:rPr>
          <w:rFonts w:hint="default" w:ascii="Times New Roman" w:hAnsi="Times New Roman" w:cs="Times New Roman"/>
          <w:snapToGrid w:val="0"/>
          <w:color w:val="auto"/>
          <w:spacing w:val="-16"/>
          <w:kern w:val="21"/>
          <w:szCs w:val="21"/>
          <w:highlight w:val="none"/>
        </w:rPr>
      </w:pPr>
    </w:p>
    <w:p w14:paraId="658EF0F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auto"/>
          <w:lang w:val="en-US" w:eastAsia="zh-CN"/>
        </w:rPr>
      </w:pPr>
    </w:p>
    <w:sectPr>
      <w:footerReference r:id="rId8" w:type="default"/>
      <w:pgSz w:w="16838" w:h="11906" w:orient="landscape"/>
      <w:pgMar w:top="1531" w:right="1701" w:bottom="1531" w:left="1701" w:header="851" w:footer="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6417D65-5438-4490-8AE1-479D7BE61C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78864DB-3562-471D-8507-038E27596AB0}"/>
  </w:font>
  <w:font w:name="楷体_GB2312">
    <w:altName w:val="楷体"/>
    <w:panose1 w:val="02010609030000010101"/>
    <w:charset w:val="86"/>
    <w:family w:val="modern"/>
    <w:pitch w:val="default"/>
    <w:sig w:usb0="00000000" w:usb1="00000000" w:usb2="00000010" w:usb3="00000000" w:csb0="00040000" w:csb1="00000000"/>
    <w:embedRegular r:id="rId3" w:fontKey="{99A588A1-5021-4C19-866D-B3757D5FCEEC}"/>
  </w:font>
  <w:font w:name="楷体">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00"/>
    <w:family w:val="modern"/>
    <w:pitch w:val="default"/>
    <w:sig w:usb0="00000000" w:usb1="00000000" w:usb2="00000010" w:usb3="00000000" w:csb0="00040000" w:csb1="00000000"/>
    <w:embedRegular r:id="rId4" w:fontKey="{2C6D0DDE-9DDC-42FE-A631-A83B94AD2398}"/>
  </w:font>
  <w:font w:name="仿宋">
    <w:panose1 w:val="02010609060101010101"/>
    <w:charset w:val="86"/>
    <w:family w:val="modern"/>
    <w:pitch w:val="default"/>
    <w:sig w:usb0="800002BF" w:usb1="38CF7CFA" w:usb2="00000016" w:usb3="00000000" w:csb0="00040001" w:csb1="00000000"/>
    <w:embedRegular r:id="rId5" w:fontKey="{80166B34-3391-4620-A1F2-4B06E9610ABF}"/>
  </w:font>
  <w:font w:name="方正小标宋_GBK">
    <w:panose1 w:val="02000000000000000000"/>
    <w:charset w:val="86"/>
    <w:family w:val="script"/>
    <w:pitch w:val="default"/>
    <w:sig w:usb0="A00002BF" w:usb1="38CF7CFA" w:usb2="00082016" w:usb3="00000000" w:csb0="00040001" w:csb1="00000000"/>
    <w:embedRegular r:id="rId6" w:fontKey="{1DEA3751-2EEB-4A13-ABCF-BD160D48CCBD}"/>
  </w:font>
  <w:font w:name="Times New Roman Regular">
    <w:altName w:val="Times New Roman"/>
    <w:panose1 w:val="02020603050405020304"/>
    <w:charset w:val="00"/>
    <w:family w:val="auto"/>
    <w:pitch w:val="default"/>
    <w:sig w:usb0="00000000" w:usb1="00000000" w:usb2="00000009" w:usb3="00000000" w:csb0="400001FF" w:csb1="FFFF0000"/>
    <w:embedRegular r:id="rId7" w:fontKey="{24D35A5E-CEBB-43CA-A8B7-ED1E8909B73A}"/>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CBCC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AACA9">
    <w:pPr>
      <w:pStyle w:val="16"/>
    </w:pPr>
    <w:r>
      <w:rPr>
        <w:sz w:val="18"/>
      </w:rPr>
      <mc:AlternateContent>
        <mc:Choice Requires="wps">
          <w:drawing>
            <wp:anchor distT="0" distB="0" distL="114300" distR="114300" simplePos="0" relativeHeight="251659264" behindDoc="0" locked="0" layoutInCell="1" allowOverlap="1">
              <wp:simplePos x="0" y="0"/>
              <wp:positionH relativeFrom="margin">
                <wp:posOffset>2747645</wp:posOffset>
              </wp:positionH>
              <wp:positionV relativeFrom="paragraph">
                <wp:posOffset>-34925</wp:posOffset>
              </wp:positionV>
              <wp:extent cx="2159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2159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1A3E9">
                          <w:pPr>
                            <w:pStyle w:val="16"/>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35pt;margin-top:-2.75pt;height:144pt;width:17pt;mso-position-horizontal-relative:margin;z-index:251659264;mso-width-relative:page;mso-height-relative:page;" filled="f" stroked="f" coordsize="21600,21600" o:gfxdata="UEsDBAoAAAAAAIdO4kAAAAAAAAAAAAAAAAAEAAAAZHJzL1BLAwQUAAAACACHTuJAdMWfENkAAAAK&#10;AQAADwAAAGRycy9kb3ducmV2LnhtbE2PwU7DMAyG70i8Q2QkbluyspapNN0BwQ5wokOIY9a6TaFx&#10;qibrBk+POcHR9uffn4vt2Q1ixin0njSslgoEUu2bnjoNr/vHxQZEiIYaM3hCDV8YYFteXhQmb/yJ&#10;XnCuYic4hEJuNNgYx1zKUFt0Jiz9iMSz1k/ORC6nTjaTOXG4G2SiVCad6YkvWDPivcX6szo61nh7&#10;Vm733dp392TaUNn9vHv40Pr6aqXuQEQ8xz8YfvV5B0p2OvgjNUEMGtY3yS2jGhZpCoKBdZZx46Ah&#10;2SQpyLKQ/18ofwBQSwMEFAAAAAgAh07iQBvtmgE5AgAAZgQAAA4AAABkcnMvZTJvRG9jLnhtbK1U&#10;zY7TMBC+I/EOlu80adGWUjVdla2KkFbsSgVxdh2nieQ/bLdJeQB4A05cuPNcfQ4+56eLFg574OKM&#10;Z8bf+PtmnMV1oyQ5CucrozM6HqWUCM1NXul9Rj9+2LyYUeID0zmTRouMnoSn18vnzxa1nYuJKY3M&#10;hSMA0X5e24yWIdh5knheCsX8yFihESyMUyxg6/ZJ7lgNdCWTSZpOk9q43DrDhffwrrsg7RHdUwBN&#10;UVRcrA0/KKFDh+qEZAGUfFlZT5ftbYtC8HBXFF4EIjMKpqFdUQT2Lq7JcsHme8dsWfH+CuwpV3jE&#10;SbFKo+gFas0CIwdX/QWlKu6MN0UYcaOSjkirCFiM00fabEtmRcsFUnt7Ed3/P1j+/njvSJVjEl5N&#10;KdFMoeXn79/OP36df34l0QmJauvnyNxa5IbmjWmQPvg9nJF5UzgVv+BEEIfAp4vAogmEwzkZX71O&#10;EeEIjWeT2QwbwCcPp63z4a0wikQjow4NbHVlx1sfutQhJRbTZlNJ2TZRalJndPryKm0PXCIAlxo1&#10;IofurtEKza7pie1MfgIvZ7rh8JZvKhS/ZT7cM4dpwIXxXsIdlkIaFDG9RUlp3Jd/+WM+moQoJTWm&#10;K6P+84E5QYl8p9E+QIbBcIOxGwx9UDcGAzvGS7S8NXHABTmYhTPqE57RKlZBiGmOWhkNg3kTuhnH&#10;M+RitWqTDtZV+7I7gOGzLNzqreWxTJTS29UhQM5W5ShRp0uvHMav7VP/VOJ8/7lvsx5+D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MWfENkAAAAKAQAADwAAAAAAAAABACAAAAAiAAAAZHJzL2Rv&#10;d25yZXYueG1sUEsBAhQAFAAAAAgAh07iQBvtmgE5AgAAZgQAAA4AAAAAAAAAAQAgAAAAKAEAAGRy&#10;cy9lMm9Eb2MueG1sUEsFBgAAAAAGAAYAWQEAANMFAAAAAA==&#10;">
              <v:fill on="f" focussize="0,0"/>
              <v:stroke on="f" weight="0.5pt"/>
              <v:imagedata o:title=""/>
              <o:lock v:ext="edit" aspectratio="f"/>
              <v:textbox inset="0mm,0mm,0mm,0mm" style="mso-fit-shape-to-text:t;">
                <w:txbxContent>
                  <w:p w14:paraId="53A1A3E9">
                    <w:pPr>
                      <w:pStyle w:val="16"/>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1B520">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-34925</wp:posOffset>
              </wp:positionV>
              <wp:extent cx="2159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159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A0BF4">
                          <w:pPr>
                            <w:pStyle w:val="16"/>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75pt;height:144pt;width:17pt;mso-position-horizontal:center;mso-position-horizontal-relative:margin;z-index:251660288;mso-width-relative:page;mso-height-relative:page;" filled="f" stroked="f" coordsize="21600,21600" o:gfxdata="UEsDBAoAAAAAAIdO4kAAAAAAAAAAAAAAAAAEAAAAZHJzL1BLAwQUAAAACACHTuJAkDEGltUAAAAG&#10;AQAADwAAAGRycy9kb3ducmV2LnhtbE2PwU7DMBBE70j8g7VI3Fq7gaAqxOkBQQ9wIkWI4zZ24kC8&#10;jmI3LXw9y4keRzM787bcnPwgZjvFPpCG1VKBsNQE01On4W33tFiDiAnJ4BDIavi2ETbV5UWJhQlH&#10;erVznTrBJRQL1OBSGgspY+Osx7gMoyX22jB5TCynTpoJj1zuB5kpdSc99sQLDkf74GzzVR88Y7y/&#10;KL/9ad2Hf8Y21m43bx8/tb6+Wql7EMme0n8Y/vD5Bipm2ocDmSgGDfxI0rDIcxDs3tyy3mvI1lkO&#10;sirlOX71C1BLAwQUAAAACACHTuJAwtWBkjgCAABkBAAADgAAAGRycy9lMm9Eb2MueG1srVRLjhMx&#10;EN0jcQfLe9KdoBmFKJ1RmCgIKWJGCoi143anW/IP20l3OADcgBWb2XOunIPn/mTQwGIWbDrlqvKr&#10;eq/Kmd80SpKjcL4yOqPjUUqJ0Nzkld5n9NPH9aspJT4wnTNptMjoSXh6s3j5Yl7bmZiY0shcOAIQ&#10;7We1zWgZgp0lieelUMyPjBUawcI4xQKObp/kjtVAVzKZpOl1UhuXW2e48B7eVRekPaJ7DqApioqL&#10;leEHJXToUJ2QLICSLyvr6aLttigED3dF4UUgMqNgGtovisDexW+ymLPZ3jFbVrxvgT2nhSecFKs0&#10;il6gViwwcnDVX1Cq4s54U4QRNyrpiLSKgMU4faLNtmRWtFwgtbcX0f3/g+UfjveOVHlGJ2NKNFOY&#10;+PnH9/PPX+eHbwQ+CFRbP0Pe1iIzNG9Ng7UZ/B7OyLspnIq/YEQQh7yni7yiCYTDORlfvUkR4QiN&#10;p5PpFAfAJ4+3rfPhnTCKRCOjDuNrVWXHjQ9d6pASi2mzrqRsRyg1qTN6/foqbS9cIgCXGjUih67X&#10;aIVm1/TEdiY/gZcz3Wp4y9cVim+YD/fMYRfQMF5LuMOnkAZFTG9RUhr39V/+mI8RIUpJjd3KqP9y&#10;YE5QIt9rDA+QYTDcYOwGQx/UrcG6Yh7opjVxwQU5mIUz6jMe0TJWQYhpjloZDYN5G7oNxyPkYrls&#10;kw7WVfuyu4DVsyxs9NbyWCZK6e3yECBnq3KUqNOlVw7L186pfyhxu/88t1mPfw6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AxBpbVAAAABgEAAA8AAAAAAAAAAQAgAAAAIgAAAGRycy9kb3ducmV2&#10;LnhtbFBLAQIUABQAAAAIAIdO4kDC1YGSOAIAAGQEAAAOAAAAAAAAAAEAIAAAACQBAABkcnMvZTJv&#10;RG9jLnhtbFBLBQYAAAAABgAGAFkBAADOBQAAAAA=&#10;">
              <v:fill on="f" focussize="0,0"/>
              <v:stroke on="f" weight="0.5pt"/>
              <v:imagedata o:title=""/>
              <o:lock v:ext="edit" aspectratio="f"/>
              <v:textbox inset="0mm,0mm,0mm,0mm" style="mso-fit-shape-to-text:t;">
                <w:txbxContent>
                  <w:p w14:paraId="249A0BF4">
                    <w:pPr>
                      <w:pStyle w:val="16"/>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D90BE">
    <w:pPr>
      <w:pStyle w:val="1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7D90">
    <w:pPr>
      <w:pStyle w:val="17"/>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89F5">
    <w:pPr>
      <w:pStyle w:val="17"/>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none"/>
      <w:suff w:val="nothing"/>
      <w:lvlText w:val="第一章"/>
      <w:lvlJc w:val="left"/>
      <w:pPr>
        <w:ind w:left="0" w:firstLine="397"/>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6"/>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362407EF"/>
    <w:multiLevelType w:val="singleLevel"/>
    <w:tmpl w:val="362407EF"/>
    <w:lvl w:ilvl="0" w:tentative="0">
      <w:start w:val="1"/>
      <w:numFmt w:val="decimal"/>
      <w:pStyle w:val="96"/>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NmMxZjkzMGI3YTBiYWVlOTI3MGZhZmUwMmI5OGIifQ=="/>
  </w:docVars>
  <w:rsids>
    <w:rsidRoot w:val="00000000"/>
    <w:rsid w:val="01DF5A23"/>
    <w:rsid w:val="02311421"/>
    <w:rsid w:val="029B032D"/>
    <w:rsid w:val="03E33071"/>
    <w:rsid w:val="04743DAC"/>
    <w:rsid w:val="05575651"/>
    <w:rsid w:val="057648ED"/>
    <w:rsid w:val="07F87A11"/>
    <w:rsid w:val="089D6BEC"/>
    <w:rsid w:val="0A4860CC"/>
    <w:rsid w:val="0A9E37C5"/>
    <w:rsid w:val="0BB83648"/>
    <w:rsid w:val="0D2408DB"/>
    <w:rsid w:val="0D2F37B2"/>
    <w:rsid w:val="0E5135BC"/>
    <w:rsid w:val="0F257406"/>
    <w:rsid w:val="0FD0391B"/>
    <w:rsid w:val="133B6C14"/>
    <w:rsid w:val="14EB5267"/>
    <w:rsid w:val="15767345"/>
    <w:rsid w:val="159A0AA1"/>
    <w:rsid w:val="15BE4B4E"/>
    <w:rsid w:val="174E2EC4"/>
    <w:rsid w:val="177D585E"/>
    <w:rsid w:val="17CA2B05"/>
    <w:rsid w:val="193E3F46"/>
    <w:rsid w:val="19B9169A"/>
    <w:rsid w:val="1A7D7D69"/>
    <w:rsid w:val="1B0B13D3"/>
    <w:rsid w:val="1B5E1EDF"/>
    <w:rsid w:val="1BE97299"/>
    <w:rsid w:val="1D697432"/>
    <w:rsid w:val="1F7C7944"/>
    <w:rsid w:val="1F7F4EB3"/>
    <w:rsid w:val="20E760D4"/>
    <w:rsid w:val="214B3336"/>
    <w:rsid w:val="229830C9"/>
    <w:rsid w:val="22F363AD"/>
    <w:rsid w:val="2377009E"/>
    <w:rsid w:val="238147D6"/>
    <w:rsid w:val="2383602E"/>
    <w:rsid w:val="23C30A9D"/>
    <w:rsid w:val="24A64716"/>
    <w:rsid w:val="2613129A"/>
    <w:rsid w:val="270D629D"/>
    <w:rsid w:val="2747656B"/>
    <w:rsid w:val="27662E5B"/>
    <w:rsid w:val="27A961FC"/>
    <w:rsid w:val="29023D18"/>
    <w:rsid w:val="2A4602A4"/>
    <w:rsid w:val="2BD843F7"/>
    <w:rsid w:val="2C4B39A2"/>
    <w:rsid w:val="2EA73A95"/>
    <w:rsid w:val="2EE94A66"/>
    <w:rsid w:val="2F6E55DC"/>
    <w:rsid w:val="32214929"/>
    <w:rsid w:val="33811E5B"/>
    <w:rsid w:val="351F0979"/>
    <w:rsid w:val="35532C05"/>
    <w:rsid w:val="361E7DB5"/>
    <w:rsid w:val="373D426B"/>
    <w:rsid w:val="3A7340A1"/>
    <w:rsid w:val="3AC43A86"/>
    <w:rsid w:val="3DE36419"/>
    <w:rsid w:val="3DFF9FE0"/>
    <w:rsid w:val="3E175815"/>
    <w:rsid w:val="3E586BA5"/>
    <w:rsid w:val="3EEF4F20"/>
    <w:rsid w:val="3F1B1335"/>
    <w:rsid w:val="3F2874AA"/>
    <w:rsid w:val="412232F6"/>
    <w:rsid w:val="4125620A"/>
    <w:rsid w:val="417F3FDF"/>
    <w:rsid w:val="41B9130B"/>
    <w:rsid w:val="42F557D1"/>
    <w:rsid w:val="45A94B16"/>
    <w:rsid w:val="46A7394B"/>
    <w:rsid w:val="4723347D"/>
    <w:rsid w:val="473E1EEE"/>
    <w:rsid w:val="47872914"/>
    <w:rsid w:val="47B1248D"/>
    <w:rsid w:val="483E4152"/>
    <w:rsid w:val="492472EC"/>
    <w:rsid w:val="4AE34913"/>
    <w:rsid w:val="4B8B339F"/>
    <w:rsid w:val="4C2672DA"/>
    <w:rsid w:val="4C5301C4"/>
    <w:rsid w:val="4C556CEF"/>
    <w:rsid w:val="4D4203D5"/>
    <w:rsid w:val="4DE90057"/>
    <w:rsid w:val="4EAE3279"/>
    <w:rsid w:val="4F297689"/>
    <w:rsid w:val="4F674D77"/>
    <w:rsid w:val="4F822664"/>
    <w:rsid w:val="508F2144"/>
    <w:rsid w:val="549F6194"/>
    <w:rsid w:val="599E1484"/>
    <w:rsid w:val="5A253763"/>
    <w:rsid w:val="5C227676"/>
    <w:rsid w:val="5C2F7D76"/>
    <w:rsid w:val="5CA21232"/>
    <w:rsid w:val="5DFAC5DD"/>
    <w:rsid w:val="5FCB29E4"/>
    <w:rsid w:val="5FF2E03F"/>
    <w:rsid w:val="600A08E0"/>
    <w:rsid w:val="60CB4864"/>
    <w:rsid w:val="60F9585C"/>
    <w:rsid w:val="63FC52F1"/>
    <w:rsid w:val="64572520"/>
    <w:rsid w:val="6541341B"/>
    <w:rsid w:val="66214222"/>
    <w:rsid w:val="678E27C1"/>
    <w:rsid w:val="67BA7A02"/>
    <w:rsid w:val="67DC3DF5"/>
    <w:rsid w:val="686D63C6"/>
    <w:rsid w:val="68AC24A2"/>
    <w:rsid w:val="68B81C72"/>
    <w:rsid w:val="68E00D76"/>
    <w:rsid w:val="6A785DC6"/>
    <w:rsid w:val="6C060AF4"/>
    <w:rsid w:val="6E110F3C"/>
    <w:rsid w:val="6EED5BE1"/>
    <w:rsid w:val="6F107EF5"/>
    <w:rsid w:val="6F656F72"/>
    <w:rsid w:val="6F6C6545"/>
    <w:rsid w:val="6FAC52C6"/>
    <w:rsid w:val="6FB7295A"/>
    <w:rsid w:val="701D640C"/>
    <w:rsid w:val="7264527D"/>
    <w:rsid w:val="72DE16FE"/>
    <w:rsid w:val="730A5199"/>
    <w:rsid w:val="737A369A"/>
    <w:rsid w:val="73850707"/>
    <w:rsid w:val="74483F42"/>
    <w:rsid w:val="7491791C"/>
    <w:rsid w:val="752F302C"/>
    <w:rsid w:val="7B1A14D0"/>
    <w:rsid w:val="7BC10593"/>
    <w:rsid w:val="7C4C69F0"/>
    <w:rsid w:val="7D640555"/>
    <w:rsid w:val="7DAB2CE3"/>
    <w:rsid w:val="7DFDBBB8"/>
    <w:rsid w:val="7E5751DF"/>
    <w:rsid w:val="7E6C4E59"/>
    <w:rsid w:val="7F342FDA"/>
    <w:rsid w:val="7F8B072E"/>
    <w:rsid w:val="B1BFC8B8"/>
    <w:rsid w:val="D3F6D791"/>
    <w:rsid w:val="EFADE69A"/>
    <w:rsid w:val="FB7585C3"/>
    <w:rsid w:val="FBFFA5BE"/>
    <w:rsid w:val="FEDC91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spacing w:before="156" w:beforeLines="50" w:beforeAutospacing="0"/>
      <w:jc w:val="left"/>
      <w:outlineLvl w:val="1"/>
    </w:pPr>
    <w:rPr>
      <w:rFonts w:eastAsia="黑体"/>
      <w:b/>
      <w:sz w:val="32"/>
    </w:rPr>
  </w:style>
  <w:style w:type="paragraph" w:styleId="4">
    <w:name w:val="heading 3"/>
    <w:basedOn w:val="1"/>
    <w:next w:val="5"/>
    <w:qFormat/>
    <w:uiPriority w:val="0"/>
    <w:pPr>
      <w:keepNext/>
      <w:keepLines/>
      <w:spacing w:before="156" w:beforeLines="50" w:beforeAutospacing="0"/>
      <w:jc w:val="left"/>
      <w:outlineLvl w:val="2"/>
    </w:pPr>
    <w:rPr>
      <w:rFonts w:eastAsia="黑体"/>
      <w:b/>
      <w:sz w:val="30"/>
    </w:rPr>
  </w:style>
  <w:style w:type="paragraph" w:styleId="6">
    <w:name w:val="heading 4"/>
    <w:basedOn w:val="1"/>
    <w:next w:val="1"/>
    <w:autoRedefine/>
    <w:qFormat/>
    <w:uiPriority w:val="9"/>
    <w:pPr>
      <w:keepNext/>
      <w:keepLines/>
      <w:widowControl/>
      <w:numPr>
        <w:ilvl w:val="3"/>
        <w:numId w:val="1"/>
      </w:numPr>
      <w:spacing w:before="50" w:beforeLines="50"/>
      <w:outlineLvl w:val="3"/>
    </w:pPr>
    <w:rPr>
      <w:rFonts w:eastAsia="黑体"/>
      <w:bCs/>
      <w:color w:val="000000"/>
      <w:sz w:val="28"/>
      <w:szCs w:val="28"/>
    </w:rPr>
  </w:style>
  <w:style w:type="character" w:default="1" w:styleId="30">
    <w:name w:val="Default Paragraph Font"/>
    <w:autoRedefine/>
    <w:qFormat/>
    <w:uiPriority w:val="0"/>
  </w:style>
  <w:style w:type="table" w:default="1" w:styleId="28">
    <w:name w:val="Normal Table"/>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pPr>
      <w:ind w:firstLine="420"/>
    </w:pPr>
  </w:style>
  <w:style w:type="paragraph" w:styleId="7">
    <w:name w:val="caption"/>
    <w:basedOn w:val="1"/>
    <w:next w:val="1"/>
    <w:autoRedefine/>
    <w:qFormat/>
    <w:uiPriority w:val="35"/>
    <w:pPr>
      <w:spacing w:line="240" w:lineRule="auto"/>
      <w:ind w:firstLine="0" w:firstLineChars="0"/>
      <w:jc w:val="center"/>
    </w:pPr>
    <w:rPr>
      <w:b/>
      <w:sz w:val="21"/>
      <w:szCs w:val="20"/>
    </w:rPr>
  </w:style>
  <w:style w:type="paragraph" w:styleId="8">
    <w:name w:val="annotation text"/>
    <w:basedOn w:val="1"/>
    <w:link w:val="37"/>
    <w:qFormat/>
    <w:uiPriority w:val="0"/>
    <w:pPr>
      <w:jc w:val="left"/>
    </w:pPr>
    <w:rPr>
      <w:kern w:val="0"/>
      <w:sz w:val="24"/>
      <w:szCs w:val="20"/>
    </w:rPr>
  </w:style>
  <w:style w:type="paragraph" w:styleId="9">
    <w:name w:val="Body Text"/>
    <w:basedOn w:val="1"/>
    <w:link w:val="44"/>
    <w:qFormat/>
    <w:uiPriority w:val="0"/>
    <w:pPr>
      <w:widowControl/>
      <w:snapToGrid w:val="0"/>
      <w:spacing w:before="60" w:after="160" w:line="259" w:lineRule="auto"/>
      <w:ind w:right="113"/>
    </w:pPr>
    <w:rPr>
      <w:kern w:val="0"/>
      <w:sz w:val="18"/>
      <w:szCs w:val="20"/>
    </w:rPr>
  </w:style>
  <w:style w:type="paragraph" w:styleId="10">
    <w:name w:val="Body Text Indent"/>
    <w:basedOn w:val="1"/>
    <w:next w:val="9"/>
    <w:link w:val="45"/>
    <w:qFormat/>
    <w:uiPriority w:val="0"/>
    <w:pPr>
      <w:spacing w:after="120"/>
      <w:ind w:left="420" w:leftChars="200"/>
    </w:pPr>
    <w:rPr>
      <w:kern w:val="0"/>
      <w:sz w:val="24"/>
      <w:szCs w:val="20"/>
    </w:rPr>
  </w:style>
  <w:style w:type="paragraph" w:styleId="11">
    <w:name w:val="Block Text"/>
    <w:basedOn w:val="1"/>
    <w:qFormat/>
    <w:uiPriority w:val="0"/>
    <w:pPr>
      <w:spacing w:after="120"/>
      <w:ind w:left="1440" w:leftChars="700" w:right="1440" w:rightChars="700"/>
    </w:pPr>
  </w:style>
  <w:style w:type="paragraph" w:styleId="12">
    <w:name w:val="Plain Text"/>
    <w:basedOn w:val="1"/>
    <w:next w:val="1"/>
    <w:qFormat/>
    <w:uiPriority w:val="0"/>
    <w:rPr>
      <w:rFonts w:ascii="宋体" w:hAnsi="Courier New"/>
      <w:sz w:val="24"/>
      <w:szCs w:val="20"/>
    </w:rPr>
  </w:style>
  <w:style w:type="paragraph" w:styleId="13">
    <w:name w:val="Date"/>
    <w:basedOn w:val="1"/>
    <w:next w:val="1"/>
    <w:link w:val="46"/>
    <w:qFormat/>
    <w:uiPriority w:val="0"/>
    <w:pPr>
      <w:ind w:left="100" w:leftChars="2500"/>
    </w:pPr>
    <w:rPr>
      <w:kern w:val="0"/>
      <w:sz w:val="24"/>
      <w:szCs w:val="20"/>
    </w:rPr>
  </w:style>
  <w:style w:type="paragraph" w:styleId="14">
    <w:name w:val="Body Text Indent 2"/>
    <w:basedOn w:val="1"/>
    <w:autoRedefine/>
    <w:qFormat/>
    <w:uiPriority w:val="0"/>
    <w:pPr>
      <w:spacing w:after="120" w:line="480" w:lineRule="auto"/>
      <w:ind w:left="420" w:leftChars="200"/>
    </w:pPr>
  </w:style>
  <w:style w:type="paragraph" w:styleId="15">
    <w:name w:val="Balloon Text"/>
    <w:basedOn w:val="1"/>
    <w:link w:val="47"/>
    <w:autoRedefine/>
    <w:qFormat/>
    <w:uiPriority w:val="0"/>
    <w:rPr>
      <w:kern w:val="0"/>
      <w:sz w:val="18"/>
      <w:szCs w:val="20"/>
    </w:rPr>
  </w:style>
  <w:style w:type="paragraph" w:styleId="16">
    <w:name w:val="footer"/>
    <w:basedOn w:val="1"/>
    <w:next w:val="1"/>
    <w:link w:val="48"/>
    <w:qFormat/>
    <w:uiPriority w:val="99"/>
    <w:pPr>
      <w:tabs>
        <w:tab w:val="center" w:pos="4153"/>
        <w:tab w:val="right" w:pos="8306"/>
      </w:tabs>
      <w:snapToGrid w:val="0"/>
      <w:jc w:val="left"/>
    </w:pPr>
    <w:rPr>
      <w:kern w:val="0"/>
      <w:sz w:val="18"/>
      <w:szCs w:val="20"/>
    </w:rPr>
  </w:style>
  <w:style w:type="paragraph" w:styleId="17">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uiPriority w:val="0"/>
  </w:style>
  <w:style w:type="paragraph" w:styleId="19">
    <w:name w:val="Body Text 2"/>
    <w:basedOn w:val="1"/>
    <w:unhideWhenUsed/>
    <w:qFormat/>
    <w:uiPriority w:val="99"/>
    <w:pPr>
      <w:spacing w:after="120" w:line="480" w:lineRule="auto"/>
    </w:pPr>
  </w:style>
  <w:style w:type="paragraph" w:styleId="20">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8"/>
    <w:next w:val="8"/>
    <w:link w:val="51"/>
    <w:autoRedefine/>
    <w:qFormat/>
    <w:uiPriority w:val="0"/>
    <w:rPr>
      <w:b/>
      <w:sz w:val="24"/>
      <w:szCs w:val="20"/>
    </w:rPr>
  </w:style>
  <w:style w:type="paragraph" w:styleId="22">
    <w:name w:val="Body Text First Indent"/>
    <w:basedOn w:val="1"/>
    <w:next w:val="23"/>
    <w:autoRedefine/>
    <w:qFormat/>
    <w:uiPriority w:val="0"/>
    <w:pPr>
      <w:ind w:firstLine="420" w:firstLineChars="100"/>
    </w:pPr>
    <w:rPr>
      <w:szCs w:val="24"/>
    </w:rPr>
  </w:style>
  <w:style w:type="paragraph" w:customStyle="1" w:styleId="23">
    <w:name w:val="正文文字（首行缩进2字）"/>
    <w:basedOn w:val="1"/>
    <w:autoRedefine/>
    <w:qFormat/>
    <w:uiPriority w:val="0"/>
    <w:pPr>
      <w:spacing w:line="360" w:lineRule="auto"/>
      <w:ind w:firstLine="200" w:firstLineChars="200"/>
    </w:pPr>
    <w:rPr>
      <w:rFonts w:ascii="Arial" w:hAnsi="Arial" w:eastAsia="宋体"/>
      <w:position w:val="-30"/>
      <w:sz w:val="24"/>
    </w:rPr>
  </w:style>
  <w:style w:type="paragraph" w:styleId="24">
    <w:name w:val="Body Text First Indent 2"/>
    <w:basedOn w:val="10"/>
    <w:next w:val="25"/>
    <w:autoRedefine/>
    <w:qFormat/>
    <w:uiPriority w:val="0"/>
    <w:pPr>
      <w:spacing w:line="360" w:lineRule="auto"/>
      <w:ind w:firstLine="420" w:firstLineChars="200"/>
      <w:jc w:val="left"/>
    </w:pPr>
  </w:style>
  <w:style w:type="paragraph" w:customStyle="1" w:styleId="25">
    <w:name w:val="Default"/>
    <w:basedOn w:val="26"/>
    <w:next w:val="27"/>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7">
    <w:name w:val="Char Char Char Char Char Char1 Char Char Char Char"/>
    <w:basedOn w:val="1"/>
    <w:next w:val="1"/>
    <w:semiHidden/>
    <w:qFormat/>
    <w:uiPriority w:val="0"/>
    <w:pPr>
      <w:spacing w:line="360" w:lineRule="auto"/>
      <w:ind w:firstLine="200" w:firstLineChars="200"/>
    </w:pPr>
    <w:rPr>
      <w:rFonts w:ascii="宋体" w:hAnsi="宋体" w:cs="宋体"/>
      <w:sz w:val="21"/>
      <w:szCs w:val="21"/>
    </w:rPr>
  </w:style>
  <w:style w:type="table" w:styleId="29">
    <w:name w:val="Table Grid"/>
    <w:basedOn w:val="28"/>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uiPriority w:val="0"/>
    <w:rPr>
      <w:b/>
      <w:bCs/>
    </w:rPr>
  </w:style>
  <w:style w:type="character" w:styleId="32">
    <w:name w:val="page number"/>
    <w:basedOn w:val="30"/>
    <w:qFormat/>
    <w:uiPriority w:val="0"/>
  </w:style>
  <w:style w:type="character" w:styleId="33">
    <w:name w:val="Hyperlink"/>
    <w:basedOn w:val="30"/>
    <w:autoRedefine/>
    <w:qFormat/>
    <w:uiPriority w:val="0"/>
    <w:rPr>
      <w:color w:val="0000FF"/>
      <w:u w:val="single"/>
    </w:rPr>
  </w:style>
  <w:style w:type="character" w:styleId="34">
    <w:name w:val="annotation reference"/>
    <w:autoRedefine/>
    <w:qFormat/>
    <w:uiPriority w:val="0"/>
    <w:rPr>
      <w:sz w:val="21"/>
    </w:rPr>
  </w:style>
  <w:style w:type="character" w:customStyle="1" w:styleId="35">
    <w:name w:val="表格 Char"/>
    <w:link w:val="36"/>
    <w:qFormat/>
    <w:uiPriority w:val="0"/>
    <w:rPr>
      <w:rFonts w:ascii="宋体"/>
      <w:sz w:val="21"/>
    </w:rPr>
  </w:style>
  <w:style w:type="paragraph" w:customStyle="1" w:styleId="36">
    <w:name w:val="表格"/>
    <w:basedOn w:val="1"/>
    <w:next w:val="1"/>
    <w:link w:val="35"/>
    <w:qFormat/>
    <w:uiPriority w:val="0"/>
    <w:pPr>
      <w:adjustRightInd w:val="0"/>
      <w:snapToGrid w:val="0"/>
      <w:spacing w:beforeLines="10" w:afterLines="10" w:line="259" w:lineRule="auto"/>
      <w:jc w:val="center"/>
    </w:pPr>
    <w:rPr>
      <w:rFonts w:ascii="宋体"/>
      <w:kern w:val="0"/>
      <w:szCs w:val="20"/>
    </w:rPr>
  </w:style>
  <w:style w:type="character" w:customStyle="1" w:styleId="37">
    <w:name w:val="批注文字 Char"/>
    <w:link w:val="8"/>
    <w:qFormat/>
    <w:uiPriority w:val="0"/>
    <w:rPr>
      <w:rFonts w:ascii="Times New Roman" w:hAnsi="Times New Roman" w:eastAsia="宋体"/>
      <w:sz w:val="24"/>
    </w:rPr>
  </w:style>
  <w:style w:type="paragraph" w:customStyle="1" w:styleId="38">
    <w:name w:val="表格文字"/>
    <w:basedOn w:val="5"/>
    <w:next w:val="1"/>
    <w:qFormat/>
    <w:uiPriority w:val="0"/>
    <w:pPr>
      <w:snapToGrid w:val="0"/>
      <w:spacing w:line="240" w:lineRule="auto"/>
      <w:jc w:val="center"/>
    </w:pPr>
    <w:rPr>
      <w:rFonts w:ascii="宋体" w:hAnsi="宋体"/>
      <w:color w:val="000000"/>
      <w:szCs w:val="20"/>
    </w:rPr>
  </w:style>
  <w:style w:type="paragraph" w:customStyle="1" w:styleId="39">
    <w:name w:val="Char Char Char Char Char Char Char Char Char Char"/>
    <w:basedOn w:val="1"/>
    <w:autoRedefine/>
    <w:qFormat/>
    <w:uiPriority w:val="0"/>
    <w:pPr>
      <w:adjustRightInd w:val="0"/>
      <w:snapToGrid w:val="0"/>
      <w:spacing w:line="360" w:lineRule="auto"/>
      <w:ind w:firstLine="200" w:firstLineChars="200"/>
    </w:pPr>
    <w:rPr>
      <w:rFonts w:eastAsia="楷体_GB2312"/>
    </w:rPr>
  </w:style>
  <w:style w:type="paragraph" w:customStyle="1" w:styleId="40">
    <w:name w:val="正文 首行缩进:  2 字符"/>
    <w:basedOn w:val="1"/>
    <w:qFormat/>
    <w:uiPriority w:val="99"/>
    <w:pPr>
      <w:ind w:firstLine="579" w:firstLineChars="200"/>
    </w:pPr>
    <w:rPr>
      <w:rFonts w:cs="宋体"/>
      <w:szCs w:val="20"/>
    </w:rPr>
  </w:style>
  <w:style w:type="paragraph" w:customStyle="1" w:styleId="41">
    <w:name w:val="纯文本1"/>
    <w:basedOn w:val="1"/>
    <w:autoRedefine/>
    <w:qFormat/>
    <w:uiPriority w:val="0"/>
    <w:pPr>
      <w:adjustRightInd w:val="0"/>
    </w:pPr>
    <w:rPr>
      <w:rFonts w:ascii="宋体" w:hAnsi="Courier New"/>
    </w:rPr>
  </w:style>
  <w:style w:type="paragraph" w:customStyle="1" w:styleId="42">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kern w:val="0"/>
      <w:sz w:val="16"/>
      <w:szCs w:val="16"/>
      <w:lang w:eastAsia="zh-TW"/>
    </w:rPr>
  </w:style>
  <w:style w:type="paragraph" w:customStyle="1" w:styleId="43">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44">
    <w:name w:val="正文文本 Char"/>
    <w:link w:val="9"/>
    <w:autoRedefine/>
    <w:qFormat/>
    <w:uiPriority w:val="0"/>
    <w:rPr>
      <w:sz w:val="18"/>
    </w:rPr>
  </w:style>
  <w:style w:type="character" w:customStyle="1" w:styleId="45">
    <w:name w:val="正文文本缩进 Char"/>
    <w:link w:val="10"/>
    <w:autoRedefine/>
    <w:qFormat/>
    <w:uiPriority w:val="0"/>
    <w:rPr>
      <w:rFonts w:ascii="Times New Roman" w:hAnsi="Times New Roman" w:eastAsia="宋体"/>
      <w:sz w:val="24"/>
    </w:rPr>
  </w:style>
  <w:style w:type="character" w:customStyle="1" w:styleId="46">
    <w:name w:val="日期 Char"/>
    <w:link w:val="13"/>
    <w:autoRedefine/>
    <w:qFormat/>
    <w:uiPriority w:val="0"/>
    <w:rPr>
      <w:rFonts w:ascii="Times New Roman" w:hAnsi="Times New Roman" w:eastAsia="宋体"/>
      <w:sz w:val="24"/>
    </w:rPr>
  </w:style>
  <w:style w:type="character" w:customStyle="1" w:styleId="47">
    <w:name w:val="批注框文本 Char"/>
    <w:link w:val="15"/>
    <w:autoRedefine/>
    <w:qFormat/>
    <w:uiPriority w:val="0"/>
    <w:rPr>
      <w:rFonts w:ascii="Times New Roman" w:hAnsi="Times New Roman" w:eastAsia="宋体"/>
      <w:sz w:val="18"/>
    </w:rPr>
  </w:style>
  <w:style w:type="character" w:customStyle="1" w:styleId="48">
    <w:name w:val="页脚 Char"/>
    <w:link w:val="16"/>
    <w:autoRedefine/>
    <w:qFormat/>
    <w:uiPriority w:val="99"/>
    <w:rPr>
      <w:sz w:val="18"/>
    </w:rPr>
  </w:style>
  <w:style w:type="character" w:customStyle="1" w:styleId="49">
    <w:name w:val="页眉 Char"/>
    <w:link w:val="17"/>
    <w:autoRedefine/>
    <w:qFormat/>
    <w:uiPriority w:val="0"/>
    <w:rPr>
      <w:sz w:val="18"/>
    </w:rPr>
  </w:style>
  <w:style w:type="character" w:customStyle="1" w:styleId="50">
    <w:name w:val="普通(网站) Char"/>
    <w:link w:val="20"/>
    <w:autoRedefine/>
    <w:qFormat/>
    <w:uiPriority w:val="0"/>
    <w:rPr>
      <w:rFonts w:ascii="宋体" w:hAnsi="宋体" w:eastAsia="宋体"/>
      <w:sz w:val="24"/>
    </w:rPr>
  </w:style>
  <w:style w:type="character" w:customStyle="1" w:styleId="51">
    <w:name w:val="批注主题 Char"/>
    <w:link w:val="21"/>
    <w:autoRedefine/>
    <w:qFormat/>
    <w:uiPriority w:val="0"/>
    <w:rPr>
      <w:rFonts w:ascii="Times New Roman" w:hAnsi="Times New Roman" w:eastAsia="宋体"/>
      <w:b/>
      <w:kern w:val="2"/>
      <w:sz w:val="24"/>
    </w:rPr>
  </w:style>
  <w:style w:type="paragraph" w:customStyle="1" w:styleId="52">
    <w:name w:val="Default1"/>
    <w:basedOn w:val="53"/>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3">
    <w:name w:val="常用正文样式"/>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54">
    <w:name w:val="朔电正文"/>
    <w:basedOn w:val="1"/>
    <w:autoRedefine/>
    <w:qFormat/>
    <w:uiPriority w:val="0"/>
    <w:pPr>
      <w:adjustRightInd w:val="0"/>
      <w:snapToGrid w:val="0"/>
      <w:spacing w:beforeLines="25" w:line="440" w:lineRule="exact"/>
      <w:ind w:firstLine="200" w:firstLineChars="200"/>
    </w:pPr>
    <w:rPr>
      <w:color w:val="000000"/>
    </w:rPr>
  </w:style>
  <w:style w:type="character" w:customStyle="1" w:styleId="55">
    <w:name w:val="页脚 字符"/>
    <w:basedOn w:val="30"/>
    <w:autoRedefine/>
    <w:qFormat/>
    <w:uiPriority w:val="99"/>
  </w:style>
  <w:style w:type="character" w:customStyle="1" w:styleId="56">
    <w:name w:val="正文文本 字符1"/>
    <w:autoRedefine/>
    <w:qFormat/>
    <w:uiPriority w:val="0"/>
    <w:rPr>
      <w:rFonts w:ascii="Times New Roman" w:hAnsi="Times New Roman" w:eastAsia="宋体"/>
      <w:sz w:val="24"/>
    </w:rPr>
  </w:style>
  <w:style w:type="character" w:customStyle="1" w:styleId="57">
    <w:name w:val="日期 字符"/>
    <w:autoRedefine/>
    <w:qFormat/>
    <w:uiPriority w:val="0"/>
    <w:rPr>
      <w:rFonts w:ascii="Times New Roman" w:hAnsi="Times New Roman" w:eastAsia="宋体"/>
      <w:sz w:val="24"/>
    </w:rPr>
  </w:style>
  <w:style w:type="character" w:customStyle="1" w:styleId="58">
    <w:name w:val="批注文字 字符1"/>
    <w:autoRedefine/>
    <w:qFormat/>
    <w:uiPriority w:val="0"/>
    <w:rPr>
      <w:rFonts w:ascii="Times New Roman" w:hAnsi="Times New Roman" w:eastAsia="宋体"/>
      <w:sz w:val="24"/>
    </w:rPr>
  </w:style>
  <w:style w:type="paragraph" w:customStyle="1" w:styleId="5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1">
    <w:name w:val="表内容"/>
    <w:basedOn w:val="12"/>
    <w:autoRedefine/>
    <w:qFormat/>
    <w:uiPriority w:val="0"/>
    <w:pPr>
      <w:jc w:val="center"/>
    </w:pPr>
    <w:rPr>
      <w:rFonts w:ascii="Times New Roman" w:hAnsi="Times New Roman"/>
      <w:sz w:val="21"/>
    </w:rPr>
  </w:style>
  <w:style w:type="character" w:customStyle="1" w:styleId="62">
    <w:name w:val="font21"/>
    <w:basedOn w:val="30"/>
    <w:autoRedefine/>
    <w:qFormat/>
    <w:uiPriority w:val="0"/>
    <w:rPr>
      <w:rFonts w:hint="eastAsia" w:ascii="宋体" w:hAnsi="宋体" w:eastAsia="宋体" w:cs="宋体"/>
      <w:b/>
      <w:bCs/>
      <w:color w:val="000000"/>
      <w:sz w:val="18"/>
      <w:szCs w:val="18"/>
      <w:u w:val="none"/>
    </w:rPr>
  </w:style>
  <w:style w:type="character" w:customStyle="1" w:styleId="63">
    <w:name w:val="font41"/>
    <w:basedOn w:val="30"/>
    <w:autoRedefine/>
    <w:qFormat/>
    <w:uiPriority w:val="0"/>
    <w:rPr>
      <w:rFonts w:hint="default" w:ascii="Times New Roman" w:hAnsi="Times New Roman" w:cs="Times New Roman"/>
      <w:b/>
      <w:bCs/>
      <w:color w:val="000000"/>
      <w:sz w:val="18"/>
      <w:szCs w:val="18"/>
      <w:u w:val="none"/>
    </w:rPr>
  </w:style>
  <w:style w:type="paragraph" w:customStyle="1" w:styleId="64">
    <w:name w:val="报告正文"/>
    <w:basedOn w:val="1"/>
    <w:autoRedefine/>
    <w:qFormat/>
    <w:uiPriority w:val="99"/>
    <w:pPr>
      <w:autoSpaceDE w:val="0"/>
      <w:autoSpaceDN w:val="0"/>
      <w:spacing w:line="560" w:lineRule="atLeast"/>
      <w:ind w:firstLine="200" w:firstLineChars="200"/>
    </w:pPr>
    <w:rPr>
      <w:rFonts w:ascii="宋体"/>
      <w:kern w:val="0"/>
      <w:sz w:val="24"/>
    </w:rPr>
  </w:style>
  <w:style w:type="paragraph" w:customStyle="1" w:styleId="65">
    <w:name w:val="李表头常用格式"/>
    <w:basedOn w:val="11"/>
    <w:autoRedefine/>
    <w:qFormat/>
    <w:uiPriority w:val="0"/>
    <w:pPr>
      <w:adjustRightInd/>
      <w:snapToGrid w:val="0"/>
      <w:spacing w:after="0" w:line="320" w:lineRule="exact"/>
      <w:ind w:left="0" w:leftChars="0" w:right="0" w:rightChars="0"/>
      <w:jc w:val="center"/>
      <w:textAlignment w:val="auto"/>
    </w:pPr>
    <w:rPr>
      <w:rFonts w:eastAsia="黑体"/>
      <w:color w:val="000000"/>
      <w:szCs w:val="21"/>
    </w:rPr>
  </w:style>
  <w:style w:type="paragraph" w:customStyle="1" w:styleId="66">
    <w:name w:val="标准正文"/>
    <w:basedOn w:val="1"/>
    <w:autoRedefine/>
    <w:qFormat/>
    <w:uiPriority w:val="0"/>
    <w:pPr>
      <w:spacing w:line="360" w:lineRule="auto"/>
      <w:ind w:firstLine="200" w:firstLineChars="200"/>
      <w:jc w:val="left"/>
    </w:pPr>
    <w:rPr>
      <w:sz w:val="24"/>
      <w:szCs w:val="22"/>
    </w:rPr>
  </w:style>
  <w:style w:type="paragraph" w:customStyle="1" w:styleId="67">
    <w:name w:val="正文1"/>
    <w:basedOn w:val="1"/>
    <w:next w:val="1"/>
    <w:autoRedefine/>
    <w:qFormat/>
    <w:uiPriority w:val="0"/>
    <w:pPr>
      <w:tabs>
        <w:tab w:val="left" w:pos="1455"/>
      </w:tabs>
      <w:spacing w:line="480" w:lineRule="exact"/>
      <w:ind w:firstLine="480" w:firstLineChars="200"/>
    </w:pPr>
    <w:rPr>
      <w:sz w:val="24"/>
      <w:szCs w:val="24"/>
    </w:rPr>
  </w:style>
  <w:style w:type="paragraph" w:customStyle="1" w:styleId="68">
    <w:name w:val="表中"/>
    <w:basedOn w:val="1"/>
    <w:autoRedefine/>
    <w:qFormat/>
    <w:uiPriority w:val="0"/>
    <w:pPr>
      <w:adjustRightInd/>
      <w:spacing w:line="360" w:lineRule="exact"/>
      <w:jc w:val="center"/>
      <w:textAlignment w:val="auto"/>
    </w:pPr>
    <w:rPr>
      <w:szCs w:val="21"/>
      <w:lang w:val="de-DE"/>
    </w:rPr>
  </w:style>
  <w:style w:type="paragraph" w:customStyle="1" w:styleId="69">
    <w:name w:val="环评正文"/>
    <w:autoRedefine/>
    <w:qFormat/>
    <w:uiPriority w:val="0"/>
    <w:pPr>
      <w:adjustRightInd w:val="0"/>
      <w:snapToGrid w:val="0"/>
      <w:spacing w:line="480" w:lineRule="exact"/>
      <w:ind w:firstLine="200" w:firstLineChars="200"/>
    </w:pPr>
    <w:rPr>
      <w:rFonts w:ascii="Times New Roman" w:hAnsi="Times New Roman" w:eastAsia="宋体" w:cs="Times New Roman"/>
      <w:sz w:val="24"/>
      <w:lang w:val="en-US" w:eastAsia="zh-CN" w:bidi="ar-SA"/>
    </w:rPr>
  </w:style>
  <w:style w:type="paragraph" w:customStyle="1" w:styleId="70">
    <w:name w:val="表格新格式"/>
    <w:basedOn w:val="1"/>
    <w:autoRedefine/>
    <w:qFormat/>
    <w:uiPriority w:val="0"/>
    <w:pPr>
      <w:adjustRightInd/>
      <w:spacing w:line="280" w:lineRule="exact"/>
      <w:jc w:val="center"/>
      <w:textAlignment w:val="auto"/>
    </w:pPr>
    <w:rPr>
      <w:color w:val="000000"/>
      <w:szCs w:val="21"/>
    </w:rPr>
  </w:style>
  <w:style w:type="paragraph" w:customStyle="1" w:styleId="71">
    <w:name w:val="表头样式"/>
    <w:basedOn w:val="1"/>
    <w:autoRedefine/>
    <w:qFormat/>
    <w:uiPriority w:val="0"/>
    <w:pPr>
      <w:snapToGrid w:val="0"/>
      <w:spacing w:line="420" w:lineRule="auto"/>
      <w:ind w:firstLine="480" w:firstLineChars="200"/>
      <w:jc w:val="left"/>
    </w:pPr>
    <w:rPr>
      <w:color w:val="FF0000"/>
      <w:sz w:val="24"/>
      <w:u w:val="single"/>
    </w:rPr>
  </w:style>
  <w:style w:type="paragraph" w:customStyle="1" w:styleId="72">
    <w:name w:val="Table Paragraph"/>
    <w:basedOn w:val="1"/>
    <w:autoRedefine/>
    <w:qFormat/>
    <w:uiPriority w:val="99"/>
  </w:style>
  <w:style w:type="paragraph" w:customStyle="1" w:styleId="73">
    <w:name w:val="正文 1"/>
    <w:basedOn w:val="1"/>
    <w:autoRedefine/>
    <w:qFormat/>
    <w:uiPriority w:val="0"/>
    <w:pPr>
      <w:spacing w:line="480" w:lineRule="exact"/>
      <w:ind w:firstLine="567"/>
    </w:pPr>
    <w:rPr>
      <w:sz w:val="28"/>
    </w:rPr>
  </w:style>
  <w:style w:type="paragraph" w:customStyle="1" w:styleId="74">
    <w:name w:val="表格-zjr"/>
    <w:basedOn w:val="1"/>
    <w:autoRedefine/>
    <w:qFormat/>
    <w:uiPriority w:val="0"/>
    <w:pPr>
      <w:spacing w:line="240" w:lineRule="auto"/>
      <w:ind w:firstLine="0" w:firstLineChars="0"/>
      <w:jc w:val="center"/>
    </w:pPr>
    <w:rPr>
      <w:rFonts w:ascii="Times New Roman" w:hAnsi="Times New Roman" w:eastAsia="宋体" w:cs="Times New Roman"/>
      <w:sz w:val="21"/>
    </w:rPr>
  </w:style>
  <w:style w:type="paragraph" w:customStyle="1" w:styleId="75">
    <w:name w:val="表格标题1"/>
    <w:basedOn w:val="1"/>
    <w:autoRedefine/>
    <w:qFormat/>
    <w:uiPriority w:val="99"/>
    <w:pPr>
      <w:adjustRightInd w:val="0"/>
      <w:snapToGrid w:val="0"/>
      <w:spacing w:line="440" w:lineRule="exact"/>
      <w:jc w:val="center"/>
    </w:pPr>
    <w:rPr>
      <w:rFonts w:ascii="宋体" w:hAnsi="宋体"/>
      <w:b/>
    </w:rPr>
  </w:style>
  <w:style w:type="paragraph" w:customStyle="1" w:styleId="76">
    <w:name w:val="表格-小四"/>
    <w:basedOn w:val="1"/>
    <w:autoRedefine/>
    <w:qFormat/>
    <w:uiPriority w:val="0"/>
    <w:pPr>
      <w:spacing w:line="300" w:lineRule="auto"/>
      <w:ind w:firstLine="0" w:firstLineChars="0"/>
      <w:jc w:val="center"/>
    </w:pPr>
    <w:rPr>
      <w:rFonts w:ascii="Times New Roman" w:hAnsi="Times New Roman" w:eastAsia="宋体" w:cs="宋体"/>
      <w:sz w:val="24"/>
    </w:rPr>
  </w:style>
  <w:style w:type="paragraph" w:customStyle="1" w:styleId="77">
    <w:name w:val="5表标题"/>
    <w:autoRedefine/>
    <w:qFormat/>
    <w:uiPriority w:val="0"/>
    <w:pPr>
      <w:jc w:val="center"/>
    </w:pPr>
    <w:rPr>
      <w:rFonts w:ascii="Times New Roman" w:hAnsi="Times New Roman" w:eastAsia="宋体" w:cs="宋体"/>
      <w:b/>
      <w:bCs/>
      <w:kern w:val="2"/>
      <w:sz w:val="21"/>
      <w:lang w:val="en-US" w:eastAsia="zh-CN" w:bidi="ar-SA"/>
    </w:rPr>
  </w:style>
  <w:style w:type="paragraph" w:customStyle="1" w:styleId="78">
    <w:name w:val="zlf表格文字"/>
    <w:autoRedefine/>
    <w:qFormat/>
    <w:uiPriority w:val="0"/>
    <w:pPr>
      <w:spacing w:line="276" w:lineRule="auto"/>
      <w:jc w:val="center"/>
    </w:pPr>
    <w:rPr>
      <w:rFonts w:ascii="Times New Roman" w:hAnsi="Times New Roman" w:eastAsia="宋体" w:cs="Times New Roman"/>
      <w:kern w:val="2"/>
      <w:sz w:val="21"/>
      <w:szCs w:val="24"/>
      <w:lang w:val="en-US" w:eastAsia="zh-CN" w:bidi="ar-SA"/>
    </w:rPr>
  </w:style>
  <w:style w:type="paragraph" w:customStyle="1" w:styleId="79">
    <w:name w:val="li 表头文字"/>
    <w:autoRedefine/>
    <w:qFormat/>
    <w:uiPriority w:val="0"/>
    <w:pPr>
      <w:spacing w:line="460" w:lineRule="exact"/>
      <w:jc w:val="center"/>
    </w:pPr>
    <w:rPr>
      <w:rFonts w:ascii="Times New Roman" w:hAnsi="Times New Roman" w:eastAsia="宋体" w:cs="Times New Roman"/>
      <w:b/>
      <w:spacing w:val="4"/>
      <w:kern w:val="2"/>
      <w:sz w:val="21"/>
      <w:szCs w:val="21"/>
      <w:lang w:val="en-US" w:eastAsia="zh-CN" w:bidi="ar-SA"/>
    </w:rPr>
  </w:style>
  <w:style w:type="character" w:customStyle="1" w:styleId="80">
    <w:name w:val="表内文字"/>
    <w:autoRedefine/>
    <w:qFormat/>
    <w:uiPriority w:val="0"/>
    <w:rPr>
      <w:rFonts w:ascii="Times New Roman" w:hAnsi="Times New Roman" w:eastAsia="仿宋_GB2312"/>
      <w:sz w:val="24"/>
      <w:szCs w:val="24"/>
    </w:rPr>
  </w:style>
  <w:style w:type="paragraph" w:customStyle="1" w:styleId="81">
    <w:name w:val="a正文排版格式"/>
    <w:basedOn w:val="82"/>
    <w:autoRedefine/>
    <w:qFormat/>
    <w:uiPriority w:val="99"/>
    <w:pPr>
      <w:spacing w:line="500" w:lineRule="exact"/>
      <w:ind w:firstLine="420"/>
    </w:pPr>
    <w:rPr>
      <w:rFonts w:eastAsia="仿宋_GB2312"/>
      <w:kern w:val="0"/>
      <w:sz w:val="28"/>
    </w:rPr>
  </w:style>
  <w:style w:type="paragraph" w:customStyle="1" w:styleId="82">
    <w:name w:val="正文 New New"/>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3">
    <w:name w:val="z正文"/>
    <w:basedOn w:val="1"/>
    <w:autoRedefine/>
    <w:qFormat/>
    <w:uiPriority w:val="0"/>
    <w:rPr>
      <w:rFonts w:cs="宋体"/>
      <w:kern w:val="0"/>
      <w:szCs w:val="20"/>
    </w:rPr>
  </w:style>
  <w:style w:type="table" w:customStyle="1" w:styleId="84">
    <w:name w:val="Table Normal"/>
    <w:autoRedefine/>
    <w:qFormat/>
    <w:uiPriority w:val="0"/>
    <w:tblPr>
      <w:tblCellMar>
        <w:top w:w="0" w:type="dxa"/>
        <w:left w:w="0" w:type="dxa"/>
        <w:bottom w:w="0" w:type="dxa"/>
        <w:right w:w="0" w:type="dxa"/>
      </w:tblCellMar>
    </w:tblPr>
  </w:style>
  <w:style w:type="paragraph" w:customStyle="1" w:styleId="85">
    <w:name w:val="正文_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6">
    <w:name w:val="文字描述"/>
    <w:basedOn w:val="1"/>
    <w:autoRedefine/>
    <w:qFormat/>
    <w:uiPriority w:val="0"/>
    <w:pPr>
      <w:adjustRightInd w:val="0"/>
      <w:snapToGrid w:val="0"/>
      <w:spacing w:line="360" w:lineRule="auto"/>
      <w:ind w:firstLine="200" w:firstLineChars="200"/>
    </w:pPr>
    <w:rPr>
      <w:spacing w:val="-2"/>
      <w:szCs w:val="24"/>
    </w:rPr>
  </w:style>
  <w:style w:type="paragraph" w:customStyle="1" w:styleId="87">
    <w:name w:val="Other|1"/>
    <w:basedOn w:val="1"/>
    <w:autoRedefine/>
    <w:qFormat/>
    <w:uiPriority w:val="0"/>
    <w:pPr>
      <w:spacing w:after="330"/>
    </w:pPr>
    <w:rPr>
      <w:rFonts w:ascii="宋体" w:hAnsi="宋体" w:cs="宋体"/>
    </w:rPr>
  </w:style>
  <w:style w:type="table" w:customStyle="1" w:styleId="88">
    <w:name w:val="网格型刘2"/>
    <w:basedOn w:val="28"/>
    <w:autoRedefine/>
    <w:qFormat/>
    <w:uiPriority w:val="0"/>
    <w:pPr>
      <w:widowControl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89">
    <w:name w:val="WPSOffice手动目录 1"/>
    <w:autoRedefine/>
    <w:qFormat/>
    <w:uiPriority w:val="0"/>
    <w:pPr>
      <w:ind w:leftChars="0"/>
    </w:pPr>
    <w:rPr>
      <w:rFonts w:ascii="Times New Roman" w:hAnsi="Times New Roman" w:eastAsia="宋体" w:cs="Times New Roman"/>
      <w:sz w:val="20"/>
      <w:szCs w:val="20"/>
    </w:rPr>
  </w:style>
  <w:style w:type="character" w:customStyle="1" w:styleId="90">
    <w:name w:val="正文文本 (2)1"/>
    <w:basedOn w:val="91"/>
    <w:autoRedefine/>
    <w:unhideWhenUsed/>
    <w:qFormat/>
    <w:uiPriority w:val="99"/>
    <w:rPr>
      <w:rFonts w:hint="eastAsia"/>
      <w:sz w:val="22"/>
    </w:rPr>
  </w:style>
  <w:style w:type="character" w:customStyle="1" w:styleId="91">
    <w:name w:val="正文文本 (2)_"/>
    <w:basedOn w:val="30"/>
    <w:link w:val="92"/>
    <w:autoRedefine/>
    <w:unhideWhenUsed/>
    <w:qFormat/>
    <w:uiPriority w:val="99"/>
    <w:rPr>
      <w:rFonts w:ascii="宋体" w:hAnsi="宋体" w:cs="宋体"/>
      <w:kern w:val="0"/>
      <w:sz w:val="22"/>
      <w:szCs w:val="22"/>
    </w:rPr>
  </w:style>
  <w:style w:type="paragraph" w:customStyle="1" w:styleId="92">
    <w:name w:val="正文文本 (2)"/>
    <w:basedOn w:val="1"/>
    <w:link w:val="91"/>
    <w:autoRedefine/>
    <w:qFormat/>
    <w:uiPriority w:val="0"/>
    <w:pPr>
      <w:shd w:val="clear" w:color="auto" w:fill="FFFFFF"/>
      <w:adjustRightInd/>
      <w:spacing w:before="240" w:line="465" w:lineRule="exact"/>
      <w:ind w:hanging="140"/>
      <w:jc w:val="left"/>
      <w:textAlignment w:val="auto"/>
    </w:pPr>
    <w:rPr>
      <w:rFonts w:ascii="宋体" w:hAnsi="宋体" w:cs="宋体"/>
      <w:kern w:val="0"/>
      <w:sz w:val="22"/>
      <w:szCs w:val="22"/>
    </w:rPr>
  </w:style>
  <w:style w:type="paragraph" w:customStyle="1" w:styleId="93">
    <w:name w:val="(中文) 仿宋_GB2312 四号 行距: 固定值 28 磅 首行缩进:  2 字符"/>
    <w:basedOn w:val="1"/>
    <w:autoRedefine/>
    <w:qFormat/>
    <w:uiPriority w:val="0"/>
    <w:pPr>
      <w:spacing w:line="560" w:lineRule="exact"/>
      <w:ind w:firstLine="560" w:firstLineChars="200"/>
    </w:pPr>
    <w:rPr>
      <w:rFonts w:hint="eastAsia" w:ascii="宋体"/>
      <w:kern w:val="0"/>
      <w:position w:val="8"/>
      <w:sz w:val="28"/>
      <w:szCs w:val="20"/>
    </w:rPr>
  </w:style>
  <w:style w:type="character" w:customStyle="1" w:styleId="94">
    <w:name w:val="Default Char"/>
    <w:basedOn w:val="30"/>
    <w:autoRedefine/>
    <w:qFormat/>
    <w:uiPriority w:val="0"/>
    <w:rPr>
      <w:rFonts w:hint="eastAsia" w:ascii="宋体" w:hAnsi="宋体" w:eastAsia="宋体" w:cs="宋体"/>
      <w:color w:val="000000"/>
      <w:sz w:val="24"/>
      <w:szCs w:val="24"/>
    </w:rPr>
  </w:style>
  <w:style w:type="paragraph" w:customStyle="1" w:styleId="95">
    <w:name w:val="6表内文字 居中"/>
    <w:basedOn w:val="1"/>
    <w:autoRedefine/>
    <w:qFormat/>
    <w:uiPriority w:val="0"/>
    <w:pPr>
      <w:adjustRightInd w:val="0"/>
      <w:spacing w:line="400" w:lineRule="exact"/>
      <w:jc w:val="center"/>
      <w:textAlignment w:val="baseline"/>
    </w:pPr>
    <w:rPr>
      <w:rFonts w:ascii="宋体"/>
      <w:snapToGrid w:val="0"/>
      <w:kern w:val="0"/>
    </w:rPr>
  </w:style>
  <w:style w:type="paragraph" w:customStyle="1" w:styleId="96">
    <w:name w:val="样式 标题 4 + 段前: 5 磅 段后: 3 磅 行距: 固定值 26 磅"/>
    <w:basedOn w:val="6"/>
    <w:autoRedefine/>
    <w:qFormat/>
    <w:uiPriority w:val="0"/>
    <w:pPr>
      <w:numPr>
        <w:ilvl w:val="0"/>
        <w:numId w:val="2"/>
      </w:numPr>
      <w:tabs>
        <w:tab w:val="left" w:pos="0"/>
      </w:tabs>
      <w:spacing w:before="0" w:after="0" w:line="500" w:lineRule="exact"/>
    </w:pPr>
    <w:rPr>
      <w:rFonts w:ascii="楷体_GB2312" w:hAnsi="宋体" w:eastAsia="楷体_GB2312" w:cs="Times New Roman"/>
      <w:color w:val="000000"/>
      <w:sz w:val="21"/>
      <w:szCs w:val="20"/>
    </w:rPr>
  </w:style>
  <w:style w:type="paragraph" w:customStyle="1" w:styleId="97">
    <w:name w:val="3级节标题"/>
    <w:basedOn w:val="1"/>
    <w:autoRedefine/>
    <w:qFormat/>
    <w:uiPriority w:val="0"/>
    <w:pPr>
      <w:spacing w:before="163" w:beforeLines="50" w:after="163" w:afterLines="50"/>
      <w:ind w:firstLine="643"/>
      <w:outlineLvl w:val="2"/>
    </w:pPr>
    <w:rPr>
      <w:b/>
      <w:bCs/>
      <w:color w:val="000000"/>
    </w:rPr>
  </w:style>
  <w:style w:type="paragraph" w:customStyle="1" w:styleId="98">
    <w:name w:val="题注文字"/>
    <w:basedOn w:val="1"/>
    <w:autoRedefine/>
    <w:qFormat/>
    <w:uiPriority w:val="0"/>
    <w:pPr>
      <w:widowControl/>
      <w:spacing w:before="0" w:after="0" w:line="240" w:lineRule="auto"/>
      <w:ind w:firstLine="0" w:firstLineChars="0"/>
      <w:jc w:val="center"/>
    </w:pPr>
    <w:rPr>
      <w:rFonts w:ascii="Times New Roman" w:hAnsi="Times New Roman" w:eastAsia="宋体"/>
      <w:sz w:val="21"/>
      <w:szCs w:val="21"/>
      <w:lang w:bidi="ar"/>
    </w:rPr>
  </w:style>
  <w:style w:type="paragraph" w:customStyle="1" w:styleId="99">
    <w:name w:val="正文内容"/>
    <w:autoRedefine/>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0">
    <w:name w:val="表 图 内容"/>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101">
    <w:name w:val="表 图 表头"/>
    <w:qFormat/>
    <w:uiPriority w:val="0"/>
    <w:pPr>
      <w:jc w:val="center"/>
    </w:pPr>
    <w:rPr>
      <w:rFonts w:ascii="Times New Roman" w:hAnsi="Times New Roman" w:eastAsia="宋体" w:cs="Times New Roman"/>
      <w:b/>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image" Target="media/image10.w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uaner\Library\Containers\com.kingsoft.wpsoffice.mac\Data\E:\Users\yuaner\Library\Containers\com.kingsoft.wpsoffice.mac\Data\E:\Users\yuaner\Library\Containers\com.kingsoft.wpsoffice.mac\Data\D:\Users\yuaner\Library\Containers\com.kingsoft.wpsoffice.mac\Data\D:\Users\yuaner\Library\Containers\com.kingsoft.wpsoffice.mac\Data\D:\WPS\WPS%20Office\12.1.0.20784\office6\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81</Pages>
  <Words>12692</Words>
  <Characters>13305</Characters>
  <Paragraphs>5214</Paragraphs>
  <TotalTime>7</TotalTime>
  <ScaleCrop>false</ScaleCrop>
  <LinksUpToDate>false</LinksUpToDate>
  <CharactersWithSpaces>13361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2020-12-27T09:29:00Z</dcterms:created>
  <dc:creator>lhj</dc:creator>
  <cp:lastModifiedBy>Happiness Delight</cp:lastModifiedBy>
  <cp:lastPrinted>2026-04-23T11:14:00Z</cp:lastPrinted>
  <dcterms:modified xsi:type="dcterms:W3CDTF">2026-05-11T02:00:01Z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B2ECD6DC5790456FB91645A539F6A0F8_13</vt:lpwstr>
  </property>
  <property fmtid="{D5CDD505-2E9C-101B-9397-08002B2CF9AE}" pid="4" name="KSOTemplateDocerSaveRecord">
    <vt:lpwstr>eyJoZGlkIjoiMTMzZDQ1NWZjMzZmNzg3MGRmNDRiZTk4NmRhMjQzY2IiLCJ1c2VySWQiOiI2NTI1NDM5NTMifQ==</vt:lpwstr>
  </property>
</Properties>
</file>