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84B3A">
      <w:pPr>
        <w:keepNext w:val="0"/>
        <w:keepLines w:val="0"/>
        <w:pageBreakBefore w:val="0"/>
        <w:widowControl w:val="0"/>
        <w:kinsoku/>
        <w:wordWrap/>
        <w:overflowPunct/>
        <w:topLinePunct w:val="0"/>
        <w:autoSpaceDE/>
        <w:autoSpaceDN/>
        <w:bidi w:val="0"/>
        <w:adjustRightInd/>
        <w:snapToGrid/>
        <w:ind w:firstLine="3600" w:firstLineChars="1000"/>
        <w:textAlignment w:val="auto"/>
        <w:rPr>
          <w:rFonts w:eastAsia="方正仿宋_GB2312"/>
          <w:sz w:val="36"/>
          <w:szCs w:val="36"/>
        </w:rPr>
      </w:pPr>
    </w:p>
    <w:p w14:paraId="1F03E06E">
      <w:pPr>
        <w:pStyle w:val="31"/>
        <w:rPr>
          <w:rFonts w:eastAsia="方正仿宋_GB2312"/>
          <w:sz w:val="36"/>
          <w:szCs w:val="36"/>
        </w:rPr>
      </w:pPr>
    </w:p>
    <w:p w14:paraId="178E50E7">
      <w:pPr>
        <w:pStyle w:val="12"/>
        <w:rPr>
          <w:rFonts w:eastAsia="方正仿宋_GB2312"/>
          <w:sz w:val="36"/>
          <w:szCs w:val="36"/>
        </w:rPr>
      </w:pPr>
    </w:p>
    <w:p w14:paraId="122E5AD1"/>
    <w:p w14:paraId="3DFABBE6">
      <w:pPr>
        <w:rPr>
          <w:rFonts w:eastAsia="方正仿宋_GB2312"/>
          <w:sz w:val="36"/>
          <w:szCs w:val="36"/>
        </w:rPr>
      </w:pPr>
    </w:p>
    <w:p w14:paraId="5707398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eastAsia="方正小标宋_GBK"/>
          <w:bCs/>
          <w:sz w:val="72"/>
          <w:szCs w:val="72"/>
        </w:rPr>
      </w:pPr>
      <w:r>
        <w:rPr>
          <w:rFonts w:eastAsia="方正小标宋_GBK"/>
          <w:bCs/>
          <w:sz w:val="72"/>
          <w:szCs w:val="72"/>
        </w:rPr>
        <w:t>建设项目环境影响报告表</w:t>
      </w:r>
    </w:p>
    <w:p w14:paraId="4B35C043">
      <w:pPr>
        <w:adjustRightInd w:val="0"/>
        <w:snapToGrid w:val="0"/>
        <w:spacing w:before="192" w:beforeLines="80"/>
        <w:jc w:val="center"/>
        <w:rPr>
          <w:rFonts w:eastAsia="方正楷体_GB2312"/>
          <w:bCs/>
          <w:sz w:val="48"/>
          <w:szCs w:val="48"/>
        </w:rPr>
      </w:pPr>
      <w:r>
        <w:rPr>
          <w:rFonts w:eastAsia="方正楷体_GB2312"/>
          <w:bCs/>
          <w:sz w:val="48"/>
          <w:szCs w:val="48"/>
        </w:rPr>
        <w:t>（污染影响类）</w:t>
      </w:r>
    </w:p>
    <w:p w14:paraId="5FB622A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仿宋"/>
          <w:sz w:val="32"/>
          <w:szCs w:val="32"/>
          <w:lang w:eastAsia="zh-CN"/>
        </w:rPr>
      </w:pPr>
    </w:p>
    <w:p w14:paraId="537292EB">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仿宋"/>
          <w:sz w:val="32"/>
          <w:szCs w:val="32"/>
          <w:lang w:eastAsia="zh-CN"/>
        </w:rPr>
      </w:pPr>
      <w:r>
        <w:rPr>
          <w:rFonts w:hint="eastAsia" w:eastAsia="仿宋"/>
          <w:sz w:val="32"/>
          <w:szCs w:val="32"/>
          <w:lang w:eastAsia="zh-CN"/>
        </w:rPr>
        <w:t>（</w:t>
      </w:r>
      <w:r>
        <w:rPr>
          <w:rFonts w:hint="eastAsia" w:eastAsia="仿宋"/>
          <w:sz w:val="32"/>
          <w:szCs w:val="32"/>
          <w:lang w:val="en-US" w:eastAsia="zh-CN"/>
        </w:rPr>
        <w:t>公示本</w:t>
      </w:r>
      <w:r>
        <w:rPr>
          <w:rFonts w:hint="eastAsia" w:eastAsia="仿宋"/>
          <w:sz w:val="32"/>
          <w:szCs w:val="32"/>
          <w:lang w:eastAsia="zh-CN"/>
        </w:rPr>
        <w:t>）</w:t>
      </w:r>
    </w:p>
    <w:p w14:paraId="69D00CCA">
      <w:pPr>
        <w:pStyle w:val="29"/>
      </w:pPr>
    </w:p>
    <w:p w14:paraId="6D7B1E34">
      <w:pPr>
        <w:ind w:firstLine="1040"/>
        <w:rPr>
          <w:rFonts w:eastAsia="仿宋"/>
          <w:sz w:val="44"/>
          <w:szCs w:val="44"/>
        </w:rPr>
      </w:pPr>
    </w:p>
    <w:p w14:paraId="6C465871">
      <w:pPr>
        <w:ind w:firstLine="1040"/>
        <w:rPr>
          <w:rFonts w:eastAsia="仿宋"/>
          <w:sz w:val="44"/>
          <w:szCs w:val="44"/>
        </w:rPr>
      </w:pPr>
    </w:p>
    <w:p w14:paraId="7D6D5F58">
      <w:pPr>
        <w:ind w:firstLine="1040"/>
        <w:rPr>
          <w:rFonts w:eastAsia="仿宋"/>
          <w:sz w:val="44"/>
          <w:szCs w:val="44"/>
        </w:rPr>
      </w:pPr>
    </w:p>
    <w:p w14:paraId="7B11465E">
      <w:pPr>
        <w:ind w:firstLine="1040"/>
        <w:rPr>
          <w:rFonts w:eastAsia="仿宋"/>
          <w:sz w:val="44"/>
          <w:szCs w:val="44"/>
        </w:rPr>
      </w:pPr>
    </w:p>
    <w:p w14:paraId="67C7FBFB">
      <w:pPr>
        <w:ind w:firstLine="1040"/>
        <w:rPr>
          <w:rFonts w:eastAsia="仿宋"/>
          <w:sz w:val="44"/>
          <w:szCs w:val="44"/>
        </w:rPr>
      </w:pPr>
    </w:p>
    <w:p w14:paraId="2742B31E">
      <w:pPr>
        <w:ind w:firstLine="1040"/>
        <w:rPr>
          <w:rFonts w:eastAsia="仿宋"/>
          <w:sz w:val="44"/>
          <w:szCs w:val="44"/>
        </w:rPr>
      </w:pPr>
    </w:p>
    <w:p w14:paraId="09DBE15C">
      <w:pPr>
        <w:keepNext w:val="0"/>
        <w:keepLines w:val="0"/>
        <w:pageBreakBefore w:val="0"/>
        <w:widowControl w:val="0"/>
        <w:kinsoku/>
        <w:wordWrap/>
        <w:overflowPunct/>
        <w:topLinePunct w:val="0"/>
        <w:autoSpaceDE/>
        <w:autoSpaceDN/>
        <w:bidi w:val="0"/>
        <w:adjustRightInd w:val="0"/>
        <w:snapToGrid w:val="0"/>
        <w:spacing w:line="660" w:lineRule="exact"/>
        <w:ind w:left="2490" w:leftChars="500" w:hanging="1440" w:hangingChars="400"/>
        <w:textAlignment w:val="auto"/>
        <w:rPr>
          <w:rFonts w:hint="default" w:eastAsia="方正仿宋_GB2312"/>
          <w:sz w:val="36"/>
          <w:szCs w:val="36"/>
          <w:u w:val="single"/>
          <w:lang w:val="en-US" w:eastAsia="zh-CN"/>
        </w:rPr>
      </w:pPr>
      <w:r>
        <w:rPr>
          <w:rFonts w:eastAsia="方正仿宋_GB2312"/>
          <w:sz w:val="36"/>
          <w:szCs w:val="36"/>
        </w:rPr>
        <w:t>项目名称：</w:t>
      </w:r>
      <w:r>
        <w:rPr>
          <w:rFonts w:hint="eastAsia" w:eastAsia="方正仿宋_GB2312"/>
          <w:sz w:val="36"/>
          <w:szCs w:val="36"/>
          <w:u w:val="single"/>
          <w:lang w:eastAsia="zh-CN"/>
        </w:rPr>
        <w:t>屯留县圣烨建材有限公司</w:t>
      </w:r>
      <w:r>
        <w:rPr>
          <w:rFonts w:hint="eastAsia" w:eastAsia="方正仿宋_GB2312"/>
          <w:sz w:val="36"/>
          <w:szCs w:val="36"/>
          <w:u w:val="single"/>
          <w:lang w:val="en-US" w:eastAsia="zh-CN"/>
        </w:rPr>
        <w:t xml:space="preserve">               </w:t>
      </w:r>
    </w:p>
    <w:p w14:paraId="44DE540C">
      <w:pPr>
        <w:keepNext w:val="0"/>
        <w:keepLines w:val="0"/>
        <w:pageBreakBefore w:val="0"/>
        <w:widowControl w:val="0"/>
        <w:kinsoku/>
        <w:wordWrap/>
        <w:overflowPunct/>
        <w:topLinePunct w:val="0"/>
        <w:autoSpaceDE/>
        <w:autoSpaceDN/>
        <w:bidi w:val="0"/>
        <w:adjustRightInd w:val="0"/>
        <w:snapToGrid w:val="0"/>
        <w:spacing w:line="660" w:lineRule="exact"/>
        <w:ind w:left="0" w:leftChars="0" w:firstLine="2880" w:firstLineChars="800"/>
        <w:textAlignment w:val="auto"/>
        <w:rPr>
          <w:rFonts w:hint="default" w:eastAsia="方正仿宋_GB2312"/>
          <w:sz w:val="36"/>
          <w:szCs w:val="36"/>
          <w:u w:val="single"/>
          <w:lang w:val="en-US" w:eastAsia="zh-CN"/>
        </w:rPr>
      </w:pPr>
      <w:r>
        <w:rPr>
          <w:rFonts w:hint="eastAsia" w:eastAsia="方正仿宋_GB2312"/>
          <w:sz w:val="36"/>
          <w:szCs w:val="36"/>
          <w:u w:val="single"/>
        </w:rPr>
        <w:t>煤矸石砖技改项目</w:t>
      </w:r>
      <w:r>
        <w:rPr>
          <w:rFonts w:hint="eastAsia" w:eastAsia="方正仿宋_GB2312"/>
          <w:sz w:val="36"/>
          <w:szCs w:val="36"/>
          <w:u w:val="single"/>
          <w:lang w:val="en-US" w:eastAsia="zh-CN"/>
        </w:rPr>
        <w:t xml:space="preserve">                         </w:t>
      </w:r>
    </w:p>
    <w:p w14:paraId="204B3B82">
      <w:pPr>
        <w:keepNext w:val="0"/>
        <w:keepLines w:val="0"/>
        <w:pageBreakBefore w:val="0"/>
        <w:widowControl w:val="0"/>
        <w:kinsoku/>
        <w:wordWrap/>
        <w:overflowPunct/>
        <w:topLinePunct w:val="0"/>
        <w:autoSpaceDE/>
        <w:autoSpaceDN/>
        <w:bidi w:val="0"/>
        <w:adjustRightInd w:val="0"/>
        <w:snapToGrid w:val="0"/>
        <w:spacing w:line="660" w:lineRule="exact"/>
        <w:ind w:firstLine="1040"/>
        <w:textAlignment w:val="auto"/>
        <w:rPr>
          <w:rFonts w:hint="default" w:eastAsia="方正仿宋_GB2312"/>
          <w:sz w:val="36"/>
          <w:szCs w:val="36"/>
          <w:u w:val="single"/>
          <w:lang w:val="en-US" w:eastAsia="zh-CN"/>
        </w:rPr>
      </w:pPr>
      <w:r>
        <w:rPr>
          <w:rFonts w:eastAsia="方正仿宋_GB2312"/>
          <w:sz w:val="36"/>
          <w:szCs w:val="36"/>
        </w:rPr>
        <w:t>建设单位（盖章）：</w:t>
      </w:r>
      <w:r>
        <w:rPr>
          <w:rFonts w:hint="eastAsia" w:eastAsia="方正仿宋_GB2312"/>
          <w:sz w:val="36"/>
          <w:szCs w:val="36"/>
          <w:u w:val="single"/>
          <w:lang w:eastAsia="zh-CN"/>
        </w:rPr>
        <w:t>屯留县圣烨建材有限公司</w:t>
      </w:r>
      <w:r>
        <w:rPr>
          <w:rFonts w:eastAsia="方正仿宋_GB2312"/>
          <w:sz w:val="36"/>
          <w:szCs w:val="36"/>
          <w:u w:val="single"/>
        </w:rPr>
        <w:t xml:space="preserve"> </w:t>
      </w:r>
      <w:r>
        <w:rPr>
          <w:rFonts w:hint="eastAsia" w:eastAsia="方正仿宋_GB2312"/>
          <w:sz w:val="36"/>
          <w:szCs w:val="36"/>
          <w:u w:val="single"/>
          <w:lang w:val="en-US" w:eastAsia="zh-CN"/>
        </w:rPr>
        <w:t xml:space="preserve">          </w:t>
      </w:r>
    </w:p>
    <w:p w14:paraId="0136BA54">
      <w:pPr>
        <w:keepNext w:val="0"/>
        <w:keepLines w:val="0"/>
        <w:pageBreakBefore w:val="0"/>
        <w:widowControl w:val="0"/>
        <w:kinsoku/>
        <w:wordWrap/>
        <w:overflowPunct/>
        <w:topLinePunct w:val="0"/>
        <w:autoSpaceDE/>
        <w:autoSpaceDN/>
        <w:bidi w:val="0"/>
        <w:adjustRightInd w:val="0"/>
        <w:snapToGrid w:val="0"/>
        <w:spacing w:line="660" w:lineRule="exact"/>
        <w:ind w:firstLine="1040"/>
        <w:textAlignment w:val="auto"/>
        <w:rPr>
          <w:rFonts w:eastAsia="方正仿宋_GB2312"/>
          <w:sz w:val="36"/>
          <w:szCs w:val="36"/>
          <w:u w:val="single"/>
        </w:rPr>
      </w:pPr>
      <w:r>
        <w:rPr>
          <w:rFonts w:eastAsia="方正仿宋_GB2312"/>
          <w:sz w:val="36"/>
          <w:szCs w:val="36"/>
        </w:rPr>
        <w:t>编制日期：</w:t>
      </w:r>
      <w:r>
        <w:rPr>
          <w:rFonts w:eastAsia="方正仿宋_GB2312"/>
          <w:sz w:val="36"/>
          <w:szCs w:val="36"/>
          <w:u w:val="single"/>
        </w:rPr>
        <w:t xml:space="preserve">    </w:t>
      </w:r>
      <w:r>
        <w:rPr>
          <w:rFonts w:hint="eastAsia" w:eastAsia="方正仿宋_GB2312"/>
          <w:sz w:val="36"/>
          <w:szCs w:val="36"/>
          <w:u w:val="single"/>
          <w:lang w:val="en-US" w:eastAsia="zh-CN"/>
        </w:rPr>
        <w:t xml:space="preserve"> </w:t>
      </w:r>
      <w:r>
        <w:rPr>
          <w:rFonts w:eastAsia="方正仿宋_GB2312"/>
          <w:sz w:val="36"/>
          <w:szCs w:val="36"/>
          <w:u w:val="single"/>
        </w:rPr>
        <w:t xml:space="preserve">  </w:t>
      </w:r>
      <w:r>
        <w:rPr>
          <w:rFonts w:hint="eastAsia" w:eastAsia="方正仿宋_GB2312"/>
          <w:sz w:val="36"/>
          <w:szCs w:val="36"/>
          <w:u w:val="single"/>
          <w:lang w:val="en-US" w:eastAsia="zh-CN"/>
        </w:rPr>
        <w:t xml:space="preserve">  </w:t>
      </w:r>
      <w:r>
        <w:rPr>
          <w:rFonts w:eastAsia="方正仿宋_GB2312"/>
          <w:sz w:val="36"/>
          <w:szCs w:val="36"/>
          <w:u w:val="single"/>
        </w:rPr>
        <w:t xml:space="preserve"> 202</w:t>
      </w:r>
      <w:r>
        <w:rPr>
          <w:rFonts w:hint="eastAsia" w:eastAsia="方正仿宋_GB2312"/>
          <w:sz w:val="36"/>
          <w:szCs w:val="36"/>
          <w:u w:val="single"/>
          <w:lang w:val="en-US" w:eastAsia="zh-CN"/>
        </w:rPr>
        <w:t>6</w:t>
      </w:r>
      <w:r>
        <w:rPr>
          <w:rFonts w:eastAsia="方正仿宋_GB2312"/>
          <w:sz w:val="36"/>
          <w:szCs w:val="36"/>
          <w:u w:val="single"/>
        </w:rPr>
        <w:t>年</w:t>
      </w:r>
      <w:r>
        <w:rPr>
          <w:rFonts w:hint="eastAsia" w:eastAsia="方正仿宋_GB2312"/>
          <w:sz w:val="36"/>
          <w:szCs w:val="36"/>
          <w:u w:val="single"/>
          <w:lang w:val="en-US" w:eastAsia="zh-CN"/>
        </w:rPr>
        <w:t>3</w:t>
      </w:r>
      <w:r>
        <w:rPr>
          <w:rFonts w:eastAsia="方正仿宋_GB2312"/>
          <w:sz w:val="36"/>
          <w:szCs w:val="36"/>
          <w:u w:val="single"/>
        </w:rPr>
        <w:t xml:space="preserve">月     </w:t>
      </w:r>
      <w:r>
        <w:rPr>
          <w:rFonts w:hint="eastAsia" w:eastAsia="方正仿宋_GB2312"/>
          <w:sz w:val="36"/>
          <w:szCs w:val="36"/>
          <w:u w:val="single"/>
          <w:lang w:val="en-US" w:eastAsia="zh-CN"/>
        </w:rPr>
        <w:t xml:space="preserve">     </w:t>
      </w:r>
      <w:r>
        <w:rPr>
          <w:rFonts w:eastAsia="方正仿宋_GB2312"/>
          <w:sz w:val="36"/>
          <w:szCs w:val="36"/>
          <w:u w:val="single"/>
        </w:rPr>
        <w:t xml:space="preserve">       </w:t>
      </w:r>
    </w:p>
    <w:p w14:paraId="2B96E2A9">
      <w:pPr>
        <w:adjustRightInd w:val="0"/>
        <w:snapToGrid w:val="0"/>
        <w:spacing w:line="288" w:lineRule="auto"/>
        <w:ind w:firstLine="1040"/>
        <w:rPr>
          <w:rFonts w:eastAsia="方正仿宋_GB2312"/>
          <w:sz w:val="36"/>
          <w:szCs w:val="36"/>
          <w:u w:val="single"/>
        </w:rPr>
      </w:pPr>
      <w:bookmarkStart w:id="0" w:name="_Hlk57884087"/>
    </w:p>
    <w:p w14:paraId="5682456F">
      <w:pPr>
        <w:adjustRightInd w:val="0"/>
        <w:snapToGrid w:val="0"/>
        <w:spacing w:line="288" w:lineRule="auto"/>
        <w:ind w:firstLine="1040"/>
        <w:rPr>
          <w:rFonts w:eastAsia="方正仿宋_GB2312"/>
          <w:sz w:val="36"/>
          <w:szCs w:val="36"/>
        </w:rPr>
      </w:pPr>
    </w:p>
    <w:p w14:paraId="5EAEA913">
      <w:pPr>
        <w:adjustRightInd w:val="0"/>
        <w:snapToGrid w:val="0"/>
        <w:spacing w:line="288" w:lineRule="auto"/>
        <w:ind w:firstLine="1040"/>
        <w:rPr>
          <w:rFonts w:eastAsia="方正仿宋_GB2312"/>
          <w:sz w:val="36"/>
          <w:szCs w:val="36"/>
        </w:rPr>
      </w:pPr>
    </w:p>
    <w:p w14:paraId="5B6DA037">
      <w:pPr>
        <w:adjustRightInd w:val="0"/>
        <w:snapToGrid w:val="0"/>
        <w:spacing w:line="288" w:lineRule="auto"/>
        <w:jc w:val="center"/>
        <w:rPr>
          <w:rFonts w:hint="default" w:ascii="Times New Roman" w:hAnsi="Times New Roman" w:eastAsia="方正楷体_GB2312" w:cs="Times New Roman"/>
          <w:color w:val="auto"/>
          <w:sz w:val="36"/>
          <w:szCs w:val="36"/>
          <w:highlight w:val="none"/>
        </w:rPr>
        <w:sectPr>
          <w:footerReference r:id="rId3" w:type="default"/>
          <w:footerReference r:id="rId4" w:type="even"/>
          <w:pgSz w:w="11906" w:h="16838"/>
          <w:pgMar w:top="1701" w:right="1701" w:bottom="1701" w:left="1531" w:header="851" w:footer="1077" w:gutter="0"/>
          <w:pgBorders>
            <w:top w:val="none" w:sz="0" w:space="0"/>
            <w:left w:val="none" w:sz="0" w:space="0"/>
            <w:bottom w:val="none" w:sz="0" w:space="0"/>
            <w:right w:val="none" w:sz="0" w:space="0"/>
          </w:pgBorders>
          <w:pgNumType w:start="0"/>
          <w:cols w:space="720" w:num="1"/>
          <w:docGrid w:linePitch="312" w:charSpace="0"/>
        </w:sectPr>
      </w:pPr>
    </w:p>
    <w:bookmarkEnd w:id="0"/>
    <w:p w14:paraId="34E44C15">
      <w:pPr>
        <w:pStyle w:val="2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3"/>
        <w:tblW w:w="88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55"/>
        <w:gridCol w:w="1891"/>
        <w:gridCol w:w="1902"/>
        <w:gridCol w:w="2927"/>
      </w:tblGrid>
      <w:tr w14:paraId="032DB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35478CB5">
            <w:pPr>
              <w:adjustRightInd w:val="0"/>
              <w:snapToGrid w:val="0"/>
              <w:jc w:val="center"/>
              <w:rPr>
                <w:b/>
                <w:bCs/>
                <w:color w:val="auto"/>
                <w:sz w:val="24"/>
                <w:szCs w:val="24"/>
              </w:rPr>
            </w:pPr>
            <w:r>
              <w:rPr>
                <w:b/>
                <w:bCs/>
                <w:color w:val="auto"/>
                <w:sz w:val="24"/>
                <w:szCs w:val="24"/>
              </w:rPr>
              <w:t>建设项目名称</w:t>
            </w:r>
          </w:p>
        </w:tc>
        <w:tc>
          <w:tcPr>
            <w:tcW w:w="6720" w:type="dxa"/>
            <w:gridSpan w:val="3"/>
            <w:tcBorders>
              <w:tl2br w:val="nil"/>
              <w:tr2bl w:val="nil"/>
            </w:tcBorders>
            <w:vAlign w:val="center"/>
          </w:tcPr>
          <w:p w14:paraId="14EDD5BF">
            <w:pPr>
              <w:adjustRightInd w:val="0"/>
              <w:snapToGrid w:val="0"/>
              <w:jc w:val="center"/>
              <w:rPr>
                <w:rFonts w:hint="eastAsia" w:eastAsia="宋体"/>
                <w:color w:val="auto"/>
                <w:sz w:val="24"/>
                <w:szCs w:val="24"/>
                <w:lang w:eastAsia="zh-CN"/>
              </w:rPr>
            </w:pPr>
            <w:r>
              <w:rPr>
                <w:rFonts w:hint="eastAsia"/>
                <w:color w:val="auto"/>
                <w:sz w:val="24"/>
                <w:szCs w:val="24"/>
                <w:lang w:eastAsia="zh-CN"/>
              </w:rPr>
              <w:t>屯留县圣烨建材有限公司煤矸石砖技改项目</w:t>
            </w:r>
          </w:p>
        </w:tc>
      </w:tr>
      <w:tr w14:paraId="33B19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0C374D01">
            <w:pPr>
              <w:adjustRightInd w:val="0"/>
              <w:snapToGrid w:val="0"/>
              <w:jc w:val="center"/>
              <w:rPr>
                <w:b/>
                <w:bCs/>
                <w:color w:val="auto"/>
                <w:sz w:val="24"/>
                <w:szCs w:val="24"/>
              </w:rPr>
            </w:pPr>
            <w:r>
              <w:rPr>
                <w:b/>
                <w:bCs/>
                <w:color w:val="auto"/>
                <w:sz w:val="24"/>
                <w:szCs w:val="24"/>
              </w:rPr>
              <w:t>项目代码</w:t>
            </w:r>
          </w:p>
        </w:tc>
        <w:tc>
          <w:tcPr>
            <w:tcW w:w="6720" w:type="dxa"/>
            <w:gridSpan w:val="3"/>
            <w:tcBorders>
              <w:tl2br w:val="nil"/>
              <w:tr2bl w:val="nil"/>
            </w:tcBorders>
            <w:vAlign w:val="center"/>
          </w:tcPr>
          <w:p w14:paraId="4091C7FA">
            <w:pPr>
              <w:adjustRightInd w:val="0"/>
              <w:snapToGrid w:val="0"/>
              <w:jc w:val="center"/>
              <w:rPr>
                <w:rFonts w:hint="eastAsia" w:eastAsia="宋体"/>
                <w:color w:val="auto"/>
                <w:sz w:val="24"/>
                <w:szCs w:val="24"/>
                <w:lang w:eastAsia="zh-CN"/>
              </w:rPr>
            </w:pPr>
            <w:r>
              <w:rPr>
                <w:rFonts w:hint="eastAsia"/>
                <w:color w:val="auto"/>
                <w:sz w:val="24"/>
                <w:szCs w:val="24"/>
                <w:lang w:eastAsia="zh-CN"/>
              </w:rPr>
              <w:t>2511-140405-89-05-432701</w:t>
            </w:r>
          </w:p>
        </w:tc>
      </w:tr>
      <w:tr w14:paraId="236A9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3FF4F4D2">
            <w:pPr>
              <w:adjustRightInd w:val="0"/>
              <w:snapToGrid w:val="0"/>
              <w:jc w:val="center"/>
              <w:rPr>
                <w:b/>
                <w:bCs/>
                <w:color w:val="auto"/>
                <w:sz w:val="24"/>
                <w:szCs w:val="24"/>
                <w:highlight w:val="none"/>
              </w:rPr>
            </w:pPr>
            <w:r>
              <w:rPr>
                <w:b/>
                <w:bCs/>
                <w:color w:val="auto"/>
                <w:sz w:val="24"/>
                <w:szCs w:val="24"/>
                <w:highlight w:val="none"/>
              </w:rPr>
              <w:t>建设单位联系人</w:t>
            </w:r>
          </w:p>
        </w:tc>
        <w:tc>
          <w:tcPr>
            <w:tcW w:w="1891" w:type="dxa"/>
            <w:tcBorders>
              <w:tl2br w:val="nil"/>
              <w:tr2bl w:val="nil"/>
            </w:tcBorders>
            <w:vAlign w:val="center"/>
          </w:tcPr>
          <w:p w14:paraId="3360FFA5">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1902" w:type="dxa"/>
            <w:tcBorders>
              <w:tl2br w:val="nil"/>
              <w:tr2bl w:val="nil"/>
            </w:tcBorders>
            <w:vAlign w:val="center"/>
          </w:tcPr>
          <w:p w14:paraId="2B3C313D">
            <w:pPr>
              <w:adjustRightInd w:val="0"/>
              <w:snapToGrid w:val="0"/>
              <w:jc w:val="center"/>
              <w:rPr>
                <w:color w:val="auto"/>
                <w:sz w:val="24"/>
                <w:szCs w:val="24"/>
                <w:highlight w:val="none"/>
              </w:rPr>
            </w:pPr>
            <w:r>
              <w:rPr>
                <w:b/>
                <w:bCs/>
                <w:color w:val="auto"/>
                <w:sz w:val="24"/>
                <w:szCs w:val="24"/>
                <w:highlight w:val="none"/>
              </w:rPr>
              <w:t>联系方式</w:t>
            </w:r>
          </w:p>
        </w:tc>
        <w:tc>
          <w:tcPr>
            <w:tcW w:w="2927" w:type="dxa"/>
            <w:tcBorders>
              <w:tl2br w:val="nil"/>
              <w:tr2bl w:val="nil"/>
            </w:tcBorders>
            <w:vAlign w:val="center"/>
          </w:tcPr>
          <w:p w14:paraId="3F39B1E6">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r>
      <w:tr w14:paraId="32B63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4BEF5E80">
            <w:pPr>
              <w:adjustRightInd w:val="0"/>
              <w:snapToGrid w:val="0"/>
              <w:jc w:val="center"/>
              <w:rPr>
                <w:b/>
                <w:bCs/>
                <w:color w:val="auto"/>
                <w:sz w:val="24"/>
                <w:szCs w:val="24"/>
                <w:highlight w:val="none"/>
              </w:rPr>
            </w:pPr>
            <w:r>
              <w:rPr>
                <w:b/>
                <w:bCs/>
                <w:color w:val="auto"/>
                <w:sz w:val="24"/>
                <w:szCs w:val="24"/>
                <w:highlight w:val="none"/>
              </w:rPr>
              <w:t>建设地点</w:t>
            </w:r>
          </w:p>
        </w:tc>
        <w:tc>
          <w:tcPr>
            <w:tcW w:w="6720" w:type="dxa"/>
            <w:gridSpan w:val="3"/>
            <w:tcBorders>
              <w:tl2br w:val="nil"/>
              <w:tr2bl w:val="nil"/>
            </w:tcBorders>
            <w:vAlign w:val="center"/>
          </w:tcPr>
          <w:p w14:paraId="39093EAD">
            <w:pPr>
              <w:adjustRightInd w:val="0"/>
              <w:snapToGrid w:val="0"/>
              <w:jc w:val="center"/>
              <w:rPr>
                <w:rFonts w:hint="eastAsia" w:eastAsia="宋体"/>
                <w:color w:val="auto"/>
                <w:sz w:val="24"/>
                <w:szCs w:val="24"/>
                <w:highlight w:val="none"/>
                <w:lang w:val="en-US" w:eastAsia="zh-CN"/>
              </w:rPr>
            </w:pPr>
            <w:r>
              <w:rPr>
                <w:color w:val="auto"/>
                <w:sz w:val="24"/>
                <w:szCs w:val="24"/>
                <w:highlight w:val="none"/>
                <w:u w:val="single"/>
              </w:rPr>
              <w:t>山西</w:t>
            </w:r>
            <w:r>
              <w:rPr>
                <w:color w:val="auto"/>
                <w:sz w:val="24"/>
                <w:szCs w:val="24"/>
                <w:highlight w:val="none"/>
              </w:rPr>
              <w:t>省</w:t>
            </w:r>
            <w:r>
              <w:rPr>
                <w:color w:val="auto"/>
                <w:sz w:val="24"/>
                <w:szCs w:val="24"/>
                <w:highlight w:val="none"/>
                <w:u w:val="single"/>
              </w:rPr>
              <w:t>长治</w:t>
            </w:r>
            <w:r>
              <w:rPr>
                <w:color w:val="auto"/>
                <w:sz w:val="24"/>
                <w:szCs w:val="24"/>
                <w:highlight w:val="none"/>
              </w:rPr>
              <w:t>市</w:t>
            </w:r>
            <w:r>
              <w:rPr>
                <w:color w:val="auto"/>
                <w:sz w:val="24"/>
                <w:szCs w:val="24"/>
                <w:highlight w:val="none"/>
                <w:u w:val="single"/>
              </w:rPr>
              <w:t>屯留</w:t>
            </w:r>
            <w:r>
              <w:rPr>
                <w:color w:val="auto"/>
                <w:sz w:val="24"/>
                <w:szCs w:val="24"/>
                <w:highlight w:val="none"/>
              </w:rPr>
              <w:t>区</w:t>
            </w:r>
            <w:r>
              <w:rPr>
                <w:rFonts w:hint="eastAsia"/>
                <w:color w:val="auto"/>
                <w:sz w:val="24"/>
                <w:szCs w:val="24"/>
                <w:highlight w:val="none"/>
                <w:u w:val="single"/>
                <w:lang w:val="en-US" w:eastAsia="zh-CN"/>
              </w:rPr>
              <w:t>路村</w:t>
            </w:r>
            <w:r>
              <w:rPr>
                <w:rFonts w:hint="eastAsia"/>
                <w:color w:val="auto"/>
                <w:sz w:val="24"/>
                <w:szCs w:val="24"/>
                <w:highlight w:val="none"/>
                <w:u w:val="none"/>
                <w:lang w:val="en-US" w:eastAsia="zh-CN"/>
              </w:rPr>
              <w:t>乡前苏村南侧</w:t>
            </w:r>
            <w:r>
              <w:rPr>
                <w:rFonts w:hint="eastAsia"/>
                <w:color w:val="auto"/>
                <w:sz w:val="24"/>
                <w:szCs w:val="24"/>
                <w:highlight w:val="none"/>
              </w:rPr>
              <w:t>80m</w:t>
            </w:r>
            <w:r>
              <w:rPr>
                <w:rFonts w:hint="eastAsia"/>
                <w:color w:val="auto"/>
                <w:sz w:val="24"/>
                <w:szCs w:val="24"/>
                <w:highlight w:val="none"/>
                <w:lang w:val="en-US" w:eastAsia="zh-CN"/>
              </w:rPr>
              <w:t>处</w:t>
            </w:r>
          </w:p>
        </w:tc>
      </w:tr>
      <w:tr w14:paraId="25CF8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131F565A">
            <w:pPr>
              <w:adjustRightInd w:val="0"/>
              <w:snapToGrid w:val="0"/>
              <w:jc w:val="center"/>
              <w:rPr>
                <w:b/>
                <w:bCs/>
                <w:color w:val="auto"/>
                <w:sz w:val="24"/>
                <w:szCs w:val="24"/>
                <w:highlight w:val="none"/>
              </w:rPr>
            </w:pPr>
            <w:r>
              <w:rPr>
                <w:b/>
                <w:bCs/>
                <w:color w:val="auto"/>
                <w:sz w:val="24"/>
                <w:szCs w:val="24"/>
                <w:highlight w:val="none"/>
              </w:rPr>
              <w:t>地理坐标</w:t>
            </w:r>
          </w:p>
        </w:tc>
        <w:tc>
          <w:tcPr>
            <w:tcW w:w="6720" w:type="dxa"/>
            <w:gridSpan w:val="3"/>
            <w:tcBorders>
              <w:tl2br w:val="nil"/>
              <w:tr2bl w:val="nil"/>
            </w:tcBorders>
            <w:vAlign w:val="center"/>
          </w:tcPr>
          <w:p w14:paraId="34406781">
            <w:pPr>
              <w:jc w:val="center"/>
              <w:rPr>
                <w:color w:val="auto"/>
                <w:sz w:val="24"/>
                <w:szCs w:val="24"/>
                <w:highlight w:val="none"/>
              </w:rPr>
            </w:pPr>
            <w:r>
              <w:rPr>
                <w:color w:val="auto"/>
                <w:sz w:val="24"/>
                <w:szCs w:val="24"/>
                <w:highlight w:val="none"/>
              </w:rPr>
              <w:t>（</w:t>
            </w:r>
            <w:r>
              <w:rPr>
                <w:color w:val="auto"/>
                <w:sz w:val="24"/>
                <w:szCs w:val="24"/>
                <w:highlight w:val="none"/>
                <w:u w:val="single"/>
              </w:rPr>
              <w:t>11</w:t>
            </w:r>
            <w:r>
              <w:rPr>
                <w:rFonts w:hint="eastAsia"/>
                <w:color w:val="auto"/>
                <w:sz w:val="24"/>
                <w:szCs w:val="24"/>
                <w:highlight w:val="none"/>
                <w:u w:val="single"/>
                <w:lang w:val="en-US" w:eastAsia="zh-CN"/>
              </w:rPr>
              <w:t>2</w:t>
            </w:r>
            <w:r>
              <w:rPr>
                <w:color w:val="auto"/>
                <w:sz w:val="24"/>
                <w:szCs w:val="24"/>
                <w:highlight w:val="none"/>
              </w:rPr>
              <w:t>度</w:t>
            </w:r>
            <w:r>
              <w:rPr>
                <w:rFonts w:hint="eastAsia"/>
                <w:color w:val="auto"/>
                <w:sz w:val="24"/>
                <w:szCs w:val="24"/>
                <w:highlight w:val="none"/>
                <w:u w:val="single"/>
                <w:lang w:val="en-US" w:eastAsia="zh-CN"/>
              </w:rPr>
              <w:t>53</w:t>
            </w:r>
            <w:r>
              <w:rPr>
                <w:color w:val="auto"/>
                <w:sz w:val="24"/>
                <w:szCs w:val="24"/>
                <w:highlight w:val="none"/>
              </w:rPr>
              <w:t>分</w:t>
            </w:r>
            <w:r>
              <w:rPr>
                <w:rFonts w:hint="eastAsia"/>
                <w:color w:val="auto"/>
                <w:sz w:val="24"/>
                <w:szCs w:val="24"/>
                <w:highlight w:val="none"/>
                <w:u w:val="single"/>
                <w:lang w:val="en-US" w:eastAsia="zh-CN"/>
              </w:rPr>
              <w:t>1.288</w:t>
            </w:r>
            <w:r>
              <w:rPr>
                <w:color w:val="auto"/>
                <w:sz w:val="24"/>
                <w:szCs w:val="24"/>
                <w:highlight w:val="none"/>
              </w:rPr>
              <w:t>秒，</w:t>
            </w:r>
            <w:r>
              <w:rPr>
                <w:color w:val="auto"/>
                <w:sz w:val="24"/>
                <w:szCs w:val="24"/>
                <w:highlight w:val="none"/>
                <w:u w:val="single"/>
              </w:rPr>
              <w:t>36</w:t>
            </w:r>
            <w:r>
              <w:rPr>
                <w:color w:val="auto"/>
                <w:sz w:val="24"/>
                <w:szCs w:val="24"/>
                <w:highlight w:val="none"/>
              </w:rPr>
              <w:t>度</w:t>
            </w:r>
            <w:r>
              <w:rPr>
                <w:rFonts w:hint="eastAsia"/>
                <w:color w:val="auto"/>
                <w:sz w:val="24"/>
                <w:szCs w:val="24"/>
                <w:highlight w:val="none"/>
                <w:u w:val="single"/>
                <w:lang w:val="en-US" w:eastAsia="zh-CN"/>
              </w:rPr>
              <w:t>21</w:t>
            </w:r>
            <w:r>
              <w:rPr>
                <w:color w:val="auto"/>
                <w:sz w:val="24"/>
                <w:szCs w:val="24"/>
                <w:highlight w:val="none"/>
              </w:rPr>
              <w:t>分</w:t>
            </w:r>
            <w:r>
              <w:rPr>
                <w:rFonts w:hint="eastAsia"/>
                <w:color w:val="auto"/>
                <w:sz w:val="24"/>
                <w:szCs w:val="24"/>
                <w:highlight w:val="none"/>
                <w:u w:val="single"/>
                <w:lang w:val="en-US" w:eastAsia="zh-CN"/>
              </w:rPr>
              <w:t>13.545</w:t>
            </w:r>
            <w:r>
              <w:rPr>
                <w:color w:val="auto"/>
                <w:sz w:val="24"/>
                <w:szCs w:val="24"/>
                <w:highlight w:val="none"/>
              </w:rPr>
              <w:t>秒）</w:t>
            </w:r>
          </w:p>
        </w:tc>
      </w:tr>
      <w:tr w14:paraId="50854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261AB927">
            <w:pPr>
              <w:adjustRightInd w:val="0"/>
              <w:snapToGrid w:val="0"/>
              <w:jc w:val="center"/>
              <w:rPr>
                <w:b/>
                <w:bCs/>
                <w:color w:val="auto"/>
                <w:sz w:val="24"/>
                <w:szCs w:val="24"/>
              </w:rPr>
            </w:pPr>
            <w:r>
              <w:rPr>
                <w:b/>
                <w:bCs/>
                <w:color w:val="auto"/>
                <w:sz w:val="24"/>
                <w:szCs w:val="24"/>
              </w:rPr>
              <w:t>国民经济</w:t>
            </w:r>
          </w:p>
          <w:p w14:paraId="6A3DE069">
            <w:pPr>
              <w:adjustRightInd w:val="0"/>
              <w:snapToGrid w:val="0"/>
              <w:jc w:val="center"/>
              <w:rPr>
                <w:b/>
                <w:bCs/>
                <w:color w:val="auto"/>
                <w:sz w:val="24"/>
                <w:szCs w:val="24"/>
              </w:rPr>
            </w:pPr>
            <w:r>
              <w:rPr>
                <w:b/>
                <w:bCs/>
                <w:color w:val="auto"/>
                <w:sz w:val="24"/>
                <w:szCs w:val="24"/>
              </w:rPr>
              <w:t>行业类别</w:t>
            </w:r>
          </w:p>
        </w:tc>
        <w:tc>
          <w:tcPr>
            <w:tcW w:w="1891" w:type="dxa"/>
            <w:tcBorders>
              <w:tl2br w:val="nil"/>
              <w:tr2bl w:val="nil"/>
            </w:tcBorders>
            <w:vAlign w:val="center"/>
          </w:tcPr>
          <w:p w14:paraId="62D714C7">
            <w:pPr>
              <w:adjustRightInd w:val="0"/>
              <w:snapToGrid w:val="0"/>
              <w:jc w:val="center"/>
              <w:rPr>
                <w:color w:val="auto"/>
                <w:sz w:val="24"/>
                <w:szCs w:val="24"/>
              </w:rPr>
            </w:pPr>
            <w:r>
              <w:rPr>
                <w:color w:val="auto"/>
                <w:sz w:val="24"/>
                <w:szCs w:val="24"/>
              </w:rPr>
              <w:t>3031粘土砖瓦及建筑砌块制造</w:t>
            </w:r>
          </w:p>
        </w:tc>
        <w:tc>
          <w:tcPr>
            <w:tcW w:w="1902" w:type="dxa"/>
            <w:tcBorders>
              <w:tl2br w:val="nil"/>
              <w:tr2bl w:val="nil"/>
            </w:tcBorders>
            <w:vAlign w:val="center"/>
          </w:tcPr>
          <w:p w14:paraId="70450110">
            <w:pPr>
              <w:adjustRightInd w:val="0"/>
              <w:snapToGrid w:val="0"/>
              <w:jc w:val="center"/>
              <w:rPr>
                <w:b/>
                <w:bCs/>
                <w:color w:val="auto"/>
                <w:sz w:val="24"/>
                <w:szCs w:val="24"/>
              </w:rPr>
            </w:pPr>
            <w:bookmarkStart w:id="1" w:name="_Hlk49843745"/>
            <w:r>
              <w:rPr>
                <w:b/>
                <w:bCs/>
                <w:color w:val="auto"/>
                <w:sz w:val="24"/>
                <w:szCs w:val="24"/>
              </w:rPr>
              <w:t>建设项目</w:t>
            </w:r>
          </w:p>
          <w:p w14:paraId="2246BCCC">
            <w:pPr>
              <w:adjustRightInd w:val="0"/>
              <w:snapToGrid w:val="0"/>
              <w:jc w:val="center"/>
              <w:rPr>
                <w:b/>
                <w:bCs/>
                <w:color w:val="auto"/>
                <w:sz w:val="24"/>
                <w:szCs w:val="24"/>
              </w:rPr>
            </w:pPr>
            <w:r>
              <w:rPr>
                <w:b/>
                <w:bCs/>
                <w:color w:val="auto"/>
                <w:sz w:val="24"/>
                <w:szCs w:val="24"/>
              </w:rPr>
              <w:t>行业类别</w:t>
            </w:r>
            <w:bookmarkEnd w:id="1"/>
          </w:p>
        </w:tc>
        <w:tc>
          <w:tcPr>
            <w:tcW w:w="2927" w:type="dxa"/>
            <w:tcBorders>
              <w:tl2br w:val="nil"/>
              <w:tr2bl w:val="nil"/>
            </w:tcBorders>
            <w:vAlign w:val="center"/>
          </w:tcPr>
          <w:p w14:paraId="0EC5ACDD">
            <w:pPr>
              <w:adjustRightInd w:val="0"/>
              <w:snapToGrid w:val="0"/>
              <w:jc w:val="center"/>
              <w:rPr>
                <w:color w:val="auto"/>
                <w:sz w:val="24"/>
                <w:szCs w:val="24"/>
              </w:rPr>
            </w:pPr>
            <w:r>
              <w:rPr>
                <w:rFonts w:hint="default" w:ascii="Times New Roman" w:hAnsi="Times New Roman" w:eastAsia="宋体" w:cs="Times New Roman"/>
                <w:color w:val="auto"/>
                <w:sz w:val="24"/>
                <w:szCs w:val="24"/>
                <w:highlight w:val="none"/>
                <w:lang w:val="en-US" w:eastAsia="zh-CN"/>
              </w:rPr>
              <w:t>二十七、非金属矿物制品业</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56砖瓦、石材等建筑材料制造303</w:t>
            </w:r>
          </w:p>
        </w:tc>
      </w:tr>
      <w:tr w14:paraId="2DF52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247829DA">
            <w:pPr>
              <w:adjustRightInd w:val="0"/>
              <w:snapToGrid w:val="0"/>
              <w:jc w:val="center"/>
              <w:rPr>
                <w:b/>
                <w:bCs/>
                <w:color w:val="auto"/>
                <w:sz w:val="24"/>
                <w:szCs w:val="24"/>
                <w:highlight w:val="none"/>
              </w:rPr>
            </w:pPr>
            <w:r>
              <w:rPr>
                <w:b/>
                <w:bCs/>
                <w:color w:val="auto"/>
                <w:sz w:val="24"/>
                <w:szCs w:val="24"/>
                <w:highlight w:val="none"/>
              </w:rPr>
              <w:t>建设性质</w:t>
            </w:r>
          </w:p>
        </w:tc>
        <w:tc>
          <w:tcPr>
            <w:tcW w:w="1891" w:type="dxa"/>
            <w:tcBorders>
              <w:tl2br w:val="nil"/>
              <w:tr2bl w:val="nil"/>
            </w:tcBorders>
            <w:vAlign w:val="center"/>
          </w:tcPr>
          <w:p w14:paraId="30EA4D57">
            <w:pPr>
              <w:jc w:val="left"/>
              <w:rPr>
                <w:color w:val="auto"/>
                <w:sz w:val="24"/>
                <w:szCs w:val="24"/>
                <w:highlight w:val="none"/>
              </w:rPr>
            </w:pPr>
            <w:r>
              <w:rPr>
                <w:rFonts w:hint="eastAsia" w:ascii="宋体" w:hAnsi="宋体" w:cs="宋体"/>
                <w:color w:val="auto"/>
                <w:sz w:val="24"/>
                <w:highlight w:val="none"/>
              </w:rPr>
              <w:t>□</w:t>
            </w:r>
            <w:r>
              <w:rPr>
                <w:color w:val="auto"/>
                <w:sz w:val="24"/>
                <w:szCs w:val="24"/>
                <w:highlight w:val="none"/>
              </w:rPr>
              <w:t>新建（迁建）</w:t>
            </w:r>
          </w:p>
          <w:p w14:paraId="27A5BE7A">
            <w:pPr>
              <w:jc w:val="left"/>
              <w:rPr>
                <w:color w:val="auto"/>
                <w:sz w:val="24"/>
                <w:szCs w:val="24"/>
                <w:highlight w:val="none"/>
              </w:rPr>
            </w:pPr>
            <w:r>
              <w:rPr>
                <w:rFonts w:hint="eastAsia" w:ascii="宋体" w:hAnsi="宋体" w:cs="宋体"/>
                <w:color w:val="auto"/>
                <w:sz w:val="24"/>
                <w:highlight w:val="none"/>
                <w:lang w:eastAsia="zh-CN"/>
              </w:rPr>
              <w:t>☑</w:t>
            </w:r>
            <w:r>
              <w:rPr>
                <w:color w:val="auto"/>
                <w:sz w:val="24"/>
                <w:szCs w:val="24"/>
                <w:highlight w:val="none"/>
              </w:rPr>
              <w:t>改建</w:t>
            </w:r>
          </w:p>
          <w:p w14:paraId="1C8906D2">
            <w:pPr>
              <w:jc w:val="left"/>
              <w:rPr>
                <w:color w:val="auto"/>
                <w:sz w:val="24"/>
                <w:szCs w:val="24"/>
                <w:highlight w:val="none"/>
              </w:rPr>
            </w:pPr>
            <w:r>
              <w:rPr>
                <w:rFonts w:hint="eastAsia" w:ascii="宋体" w:hAnsi="宋体" w:cs="宋体"/>
                <w:color w:val="auto"/>
                <w:sz w:val="24"/>
                <w:highlight w:val="none"/>
                <w:lang w:eastAsia="zh-CN"/>
              </w:rPr>
              <w:t>□</w:t>
            </w:r>
            <w:r>
              <w:rPr>
                <w:color w:val="auto"/>
                <w:sz w:val="24"/>
                <w:szCs w:val="24"/>
                <w:highlight w:val="none"/>
              </w:rPr>
              <w:t>扩建</w:t>
            </w:r>
          </w:p>
          <w:p w14:paraId="4FD7581E">
            <w:pPr>
              <w:jc w:val="left"/>
              <w:rPr>
                <w:color w:val="auto"/>
                <w:sz w:val="24"/>
                <w:szCs w:val="24"/>
                <w:highlight w:val="none"/>
              </w:rPr>
            </w:pPr>
            <w:r>
              <w:rPr>
                <w:rFonts w:hint="eastAsia" w:ascii="宋体" w:hAnsi="宋体" w:cs="宋体"/>
                <w:color w:val="auto"/>
                <w:sz w:val="24"/>
                <w:highlight w:val="none"/>
              </w:rPr>
              <w:t>□</w:t>
            </w:r>
            <w:r>
              <w:rPr>
                <w:color w:val="auto"/>
                <w:sz w:val="24"/>
                <w:szCs w:val="24"/>
                <w:highlight w:val="none"/>
              </w:rPr>
              <w:t>技术改造</w:t>
            </w:r>
          </w:p>
        </w:tc>
        <w:tc>
          <w:tcPr>
            <w:tcW w:w="1902" w:type="dxa"/>
            <w:tcBorders>
              <w:tl2br w:val="nil"/>
              <w:tr2bl w:val="nil"/>
            </w:tcBorders>
            <w:vAlign w:val="center"/>
          </w:tcPr>
          <w:p w14:paraId="135C48B9">
            <w:pPr>
              <w:adjustRightInd w:val="0"/>
              <w:snapToGrid w:val="0"/>
              <w:jc w:val="center"/>
              <w:rPr>
                <w:b/>
                <w:bCs/>
                <w:color w:val="auto"/>
                <w:sz w:val="24"/>
                <w:szCs w:val="24"/>
                <w:highlight w:val="none"/>
              </w:rPr>
            </w:pPr>
            <w:r>
              <w:rPr>
                <w:b/>
                <w:bCs/>
                <w:color w:val="auto"/>
                <w:sz w:val="24"/>
                <w:szCs w:val="24"/>
                <w:highlight w:val="none"/>
              </w:rPr>
              <w:t>建设项目</w:t>
            </w:r>
          </w:p>
          <w:p w14:paraId="565EA22B">
            <w:pPr>
              <w:adjustRightInd w:val="0"/>
              <w:snapToGrid w:val="0"/>
              <w:jc w:val="center"/>
              <w:rPr>
                <w:b/>
                <w:bCs/>
                <w:color w:val="auto"/>
                <w:sz w:val="24"/>
                <w:szCs w:val="24"/>
                <w:highlight w:val="none"/>
              </w:rPr>
            </w:pPr>
            <w:r>
              <w:rPr>
                <w:b/>
                <w:bCs/>
                <w:color w:val="auto"/>
                <w:sz w:val="24"/>
                <w:szCs w:val="24"/>
                <w:highlight w:val="none"/>
              </w:rPr>
              <w:t>申报情形</w:t>
            </w:r>
          </w:p>
        </w:tc>
        <w:tc>
          <w:tcPr>
            <w:tcW w:w="2927" w:type="dxa"/>
            <w:tcBorders>
              <w:tl2br w:val="nil"/>
              <w:tr2bl w:val="nil"/>
            </w:tcBorders>
            <w:vAlign w:val="center"/>
          </w:tcPr>
          <w:p w14:paraId="078037F9">
            <w:pPr>
              <w:jc w:val="left"/>
              <w:rPr>
                <w:color w:val="auto"/>
                <w:sz w:val="24"/>
                <w:szCs w:val="24"/>
                <w:highlight w:val="none"/>
              </w:rPr>
            </w:pPr>
            <w:r>
              <w:rPr>
                <w:rFonts w:hint="eastAsia" w:ascii="宋体" w:hAnsi="宋体" w:cs="宋体"/>
                <w:color w:val="auto"/>
                <w:sz w:val="24"/>
                <w:highlight w:val="none"/>
                <w:lang w:eastAsia="zh-CN"/>
              </w:rPr>
              <w:t>☑</w:t>
            </w:r>
            <w:r>
              <w:rPr>
                <w:color w:val="auto"/>
                <w:sz w:val="24"/>
                <w:szCs w:val="24"/>
                <w:highlight w:val="none"/>
              </w:rPr>
              <w:t xml:space="preserve">首次申报项目             </w:t>
            </w:r>
          </w:p>
          <w:p w14:paraId="5CEFF198">
            <w:pPr>
              <w:jc w:val="left"/>
              <w:rPr>
                <w:color w:val="auto"/>
                <w:sz w:val="24"/>
                <w:szCs w:val="24"/>
                <w:highlight w:val="none"/>
              </w:rPr>
            </w:pPr>
            <w:r>
              <w:rPr>
                <w:rFonts w:hint="eastAsia" w:ascii="宋体" w:hAnsi="宋体" w:cs="宋体"/>
                <w:color w:val="auto"/>
                <w:sz w:val="24"/>
                <w:highlight w:val="none"/>
              </w:rPr>
              <w:t>□</w:t>
            </w:r>
            <w:r>
              <w:rPr>
                <w:color w:val="auto"/>
                <w:sz w:val="24"/>
                <w:szCs w:val="24"/>
                <w:highlight w:val="none"/>
              </w:rPr>
              <w:t>不予批准后再次申报项目</w:t>
            </w:r>
          </w:p>
          <w:p w14:paraId="7C143F83">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 xml:space="preserve">超五年重新审核项目     </w:t>
            </w:r>
          </w:p>
          <w:p w14:paraId="2FD588FD">
            <w:pPr>
              <w:jc w:val="left"/>
              <w:rPr>
                <w:color w:val="auto"/>
                <w:sz w:val="24"/>
                <w:szCs w:val="24"/>
                <w:highlight w:val="none"/>
              </w:rPr>
            </w:pPr>
            <w:r>
              <w:rPr>
                <w:rFonts w:hint="eastAsia" w:ascii="宋体" w:hAnsi="宋体" w:cs="宋体"/>
                <w:color w:val="auto"/>
                <w:sz w:val="24"/>
                <w:highlight w:val="none"/>
              </w:rPr>
              <w:t>□</w:t>
            </w:r>
            <w:r>
              <w:rPr>
                <w:color w:val="auto"/>
                <w:sz w:val="24"/>
                <w:szCs w:val="24"/>
                <w:highlight w:val="none"/>
              </w:rPr>
              <w:t>重大变动重新报批项目</w:t>
            </w:r>
          </w:p>
        </w:tc>
      </w:tr>
      <w:tr w14:paraId="0A538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3162B902">
            <w:pPr>
              <w:adjustRightInd w:val="0"/>
              <w:snapToGrid w:val="0"/>
              <w:jc w:val="center"/>
              <w:rPr>
                <w:b/>
                <w:bCs/>
                <w:color w:val="auto"/>
                <w:sz w:val="24"/>
                <w:szCs w:val="24"/>
              </w:rPr>
            </w:pPr>
            <w:r>
              <w:rPr>
                <w:b/>
                <w:bCs/>
                <w:color w:val="auto"/>
                <w:sz w:val="24"/>
                <w:szCs w:val="24"/>
              </w:rPr>
              <w:t>项目审批（核准/</w:t>
            </w:r>
          </w:p>
          <w:p w14:paraId="336060D0">
            <w:pPr>
              <w:adjustRightInd w:val="0"/>
              <w:snapToGrid w:val="0"/>
              <w:jc w:val="center"/>
              <w:rPr>
                <w:b/>
                <w:bCs/>
                <w:color w:val="auto"/>
                <w:sz w:val="24"/>
                <w:szCs w:val="24"/>
              </w:rPr>
            </w:pPr>
            <w:r>
              <w:rPr>
                <w:b/>
                <w:bCs/>
                <w:color w:val="auto"/>
                <w:sz w:val="24"/>
                <w:szCs w:val="24"/>
              </w:rPr>
              <w:t>备案）部门（选填）</w:t>
            </w:r>
          </w:p>
        </w:tc>
        <w:tc>
          <w:tcPr>
            <w:tcW w:w="1891" w:type="dxa"/>
            <w:tcBorders>
              <w:tl2br w:val="nil"/>
              <w:tr2bl w:val="nil"/>
            </w:tcBorders>
            <w:vAlign w:val="center"/>
          </w:tcPr>
          <w:p w14:paraId="136ED24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长治市屯留区行政审批服务管理局</w:t>
            </w:r>
          </w:p>
        </w:tc>
        <w:tc>
          <w:tcPr>
            <w:tcW w:w="1902" w:type="dxa"/>
            <w:tcBorders>
              <w:tl2br w:val="nil"/>
              <w:tr2bl w:val="nil"/>
            </w:tcBorders>
            <w:vAlign w:val="center"/>
          </w:tcPr>
          <w:p w14:paraId="1D867312">
            <w:pPr>
              <w:adjustRightInd w:val="0"/>
              <w:snapToGrid w:val="0"/>
              <w:jc w:val="center"/>
              <w:rPr>
                <w:b/>
                <w:bCs/>
                <w:color w:val="auto"/>
                <w:sz w:val="24"/>
                <w:szCs w:val="24"/>
              </w:rPr>
            </w:pPr>
            <w:r>
              <w:rPr>
                <w:b/>
                <w:bCs/>
                <w:color w:val="auto"/>
                <w:sz w:val="24"/>
                <w:szCs w:val="24"/>
              </w:rPr>
              <w:t>项目审批（核准/</w:t>
            </w:r>
          </w:p>
          <w:p w14:paraId="49F93BA0">
            <w:pPr>
              <w:adjustRightInd w:val="0"/>
              <w:snapToGrid w:val="0"/>
              <w:jc w:val="center"/>
              <w:rPr>
                <w:b/>
                <w:bCs/>
                <w:color w:val="auto"/>
                <w:sz w:val="24"/>
                <w:szCs w:val="24"/>
              </w:rPr>
            </w:pPr>
            <w:r>
              <w:rPr>
                <w:b/>
                <w:bCs/>
                <w:color w:val="auto"/>
                <w:sz w:val="24"/>
                <w:szCs w:val="24"/>
              </w:rPr>
              <w:t>备案）文号（选填）</w:t>
            </w:r>
          </w:p>
        </w:tc>
        <w:tc>
          <w:tcPr>
            <w:tcW w:w="2927" w:type="dxa"/>
            <w:tcBorders>
              <w:tl2br w:val="nil"/>
              <w:tr2bl w:val="nil"/>
            </w:tcBorders>
            <w:vAlign w:val="center"/>
          </w:tcPr>
          <w:p w14:paraId="79714AE7">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w:t>
            </w:r>
          </w:p>
        </w:tc>
      </w:tr>
      <w:tr w14:paraId="2335D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40A35438">
            <w:pPr>
              <w:adjustRightInd w:val="0"/>
              <w:snapToGrid w:val="0"/>
              <w:jc w:val="center"/>
              <w:rPr>
                <w:b/>
                <w:bCs/>
                <w:color w:val="auto"/>
                <w:sz w:val="24"/>
                <w:szCs w:val="24"/>
                <w:highlight w:val="none"/>
              </w:rPr>
            </w:pPr>
            <w:r>
              <w:rPr>
                <w:b/>
                <w:bCs/>
                <w:color w:val="auto"/>
                <w:sz w:val="24"/>
                <w:szCs w:val="24"/>
                <w:highlight w:val="none"/>
              </w:rPr>
              <w:t>总投资（万元）</w:t>
            </w:r>
          </w:p>
        </w:tc>
        <w:tc>
          <w:tcPr>
            <w:tcW w:w="1891" w:type="dxa"/>
            <w:tcBorders>
              <w:tl2br w:val="nil"/>
              <w:tr2bl w:val="nil"/>
            </w:tcBorders>
            <w:vAlign w:val="center"/>
          </w:tcPr>
          <w:p w14:paraId="54E2B7EB">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1000</w:t>
            </w:r>
          </w:p>
        </w:tc>
        <w:tc>
          <w:tcPr>
            <w:tcW w:w="1902" w:type="dxa"/>
            <w:tcBorders>
              <w:tl2br w:val="nil"/>
              <w:tr2bl w:val="nil"/>
            </w:tcBorders>
            <w:tcMar>
              <w:top w:w="16" w:type="dxa"/>
              <w:left w:w="16" w:type="dxa"/>
              <w:right w:w="16" w:type="dxa"/>
            </w:tcMar>
            <w:vAlign w:val="center"/>
          </w:tcPr>
          <w:p w14:paraId="18B68877">
            <w:pPr>
              <w:adjustRightInd w:val="0"/>
              <w:snapToGrid w:val="0"/>
              <w:jc w:val="center"/>
              <w:rPr>
                <w:b/>
                <w:bCs/>
                <w:color w:val="auto"/>
                <w:sz w:val="24"/>
                <w:szCs w:val="24"/>
                <w:highlight w:val="none"/>
              </w:rPr>
            </w:pPr>
            <w:r>
              <w:rPr>
                <w:b/>
                <w:bCs/>
                <w:color w:val="auto"/>
                <w:sz w:val="24"/>
                <w:szCs w:val="24"/>
                <w:highlight w:val="none"/>
              </w:rPr>
              <w:t>环保投资（万元）</w:t>
            </w:r>
          </w:p>
        </w:tc>
        <w:tc>
          <w:tcPr>
            <w:tcW w:w="2927" w:type="dxa"/>
            <w:tcBorders>
              <w:tl2br w:val="nil"/>
              <w:tr2bl w:val="nil"/>
            </w:tcBorders>
            <w:vAlign w:val="center"/>
          </w:tcPr>
          <w:p w14:paraId="2D9E0BC2">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42</w:t>
            </w:r>
          </w:p>
        </w:tc>
      </w:tr>
      <w:tr w14:paraId="4E1E9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62E27E84">
            <w:pPr>
              <w:adjustRightInd w:val="0"/>
              <w:snapToGrid w:val="0"/>
              <w:jc w:val="center"/>
              <w:rPr>
                <w:b/>
                <w:bCs/>
                <w:color w:val="auto"/>
                <w:sz w:val="24"/>
                <w:szCs w:val="24"/>
                <w:highlight w:val="none"/>
              </w:rPr>
            </w:pPr>
            <w:r>
              <w:rPr>
                <w:b/>
                <w:bCs/>
                <w:color w:val="auto"/>
                <w:sz w:val="24"/>
                <w:szCs w:val="24"/>
                <w:highlight w:val="none"/>
              </w:rPr>
              <w:t>环保投资占比（%）</w:t>
            </w:r>
          </w:p>
        </w:tc>
        <w:tc>
          <w:tcPr>
            <w:tcW w:w="1891" w:type="dxa"/>
            <w:tcBorders>
              <w:tl2br w:val="nil"/>
              <w:tr2bl w:val="nil"/>
            </w:tcBorders>
            <w:vAlign w:val="center"/>
          </w:tcPr>
          <w:p w14:paraId="261C7056">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4.2</w:t>
            </w:r>
          </w:p>
        </w:tc>
        <w:tc>
          <w:tcPr>
            <w:tcW w:w="1902" w:type="dxa"/>
            <w:tcBorders>
              <w:tl2br w:val="nil"/>
              <w:tr2bl w:val="nil"/>
            </w:tcBorders>
            <w:tcMar>
              <w:top w:w="16" w:type="dxa"/>
              <w:left w:w="16" w:type="dxa"/>
              <w:right w:w="16" w:type="dxa"/>
            </w:tcMar>
            <w:vAlign w:val="center"/>
          </w:tcPr>
          <w:p w14:paraId="2C0E59AD">
            <w:pPr>
              <w:adjustRightInd w:val="0"/>
              <w:snapToGrid w:val="0"/>
              <w:jc w:val="center"/>
              <w:rPr>
                <w:b/>
                <w:bCs/>
                <w:color w:val="auto"/>
                <w:sz w:val="24"/>
                <w:szCs w:val="24"/>
                <w:highlight w:val="none"/>
              </w:rPr>
            </w:pPr>
            <w:r>
              <w:rPr>
                <w:b/>
                <w:bCs/>
                <w:color w:val="auto"/>
                <w:sz w:val="24"/>
                <w:szCs w:val="24"/>
                <w:highlight w:val="none"/>
              </w:rPr>
              <w:t>施工工期</w:t>
            </w:r>
          </w:p>
        </w:tc>
        <w:tc>
          <w:tcPr>
            <w:tcW w:w="2927" w:type="dxa"/>
            <w:tcBorders>
              <w:tl2br w:val="nil"/>
              <w:tr2bl w:val="nil"/>
            </w:tcBorders>
            <w:vAlign w:val="center"/>
          </w:tcPr>
          <w:p w14:paraId="3D9311CC">
            <w:pPr>
              <w:adjustRightInd w:val="0"/>
              <w:snapToGrid w:val="0"/>
              <w:jc w:val="center"/>
              <w:rPr>
                <w:color w:val="auto"/>
                <w:sz w:val="24"/>
                <w:szCs w:val="24"/>
                <w:highlight w:val="none"/>
              </w:rPr>
            </w:pPr>
            <w:r>
              <w:rPr>
                <w:color w:val="auto"/>
                <w:sz w:val="24"/>
                <w:szCs w:val="24"/>
                <w:highlight w:val="none"/>
              </w:rPr>
              <w:t>6个月</w:t>
            </w:r>
          </w:p>
        </w:tc>
      </w:tr>
      <w:tr w14:paraId="03C20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55" w:type="dxa"/>
            <w:tcBorders>
              <w:tl2br w:val="nil"/>
              <w:tr2bl w:val="nil"/>
            </w:tcBorders>
            <w:tcMar>
              <w:top w:w="16" w:type="dxa"/>
              <w:left w:w="16" w:type="dxa"/>
              <w:right w:w="16" w:type="dxa"/>
            </w:tcMar>
            <w:vAlign w:val="center"/>
          </w:tcPr>
          <w:p w14:paraId="05C7A07F">
            <w:pPr>
              <w:adjustRightInd w:val="0"/>
              <w:snapToGrid w:val="0"/>
              <w:jc w:val="center"/>
              <w:rPr>
                <w:b/>
                <w:bCs/>
                <w:color w:val="auto"/>
                <w:sz w:val="24"/>
                <w:szCs w:val="24"/>
              </w:rPr>
            </w:pPr>
            <w:r>
              <w:rPr>
                <w:b/>
                <w:bCs/>
                <w:color w:val="auto"/>
                <w:sz w:val="24"/>
                <w:szCs w:val="24"/>
              </w:rPr>
              <w:t>是否开工建设</w:t>
            </w:r>
          </w:p>
        </w:tc>
        <w:tc>
          <w:tcPr>
            <w:tcW w:w="1891" w:type="dxa"/>
            <w:tcBorders>
              <w:tl2br w:val="nil"/>
              <w:tr2bl w:val="nil"/>
            </w:tcBorders>
            <w:vAlign w:val="center"/>
          </w:tcPr>
          <w:p w14:paraId="5664EB45">
            <w:pPr>
              <w:adjustRightInd w:val="0"/>
              <w:snapToGrid w:val="0"/>
              <w:rPr>
                <w:color w:val="auto"/>
                <w:sz w:val="24"/>
                <w:szCs w:val="24"/>
              </w:rPr>
            </w:pPr>
            <w:r>
              <w:rPr>
                <w:rFonts w:hint="eastAsia"/>
                <w:color w:val="auto"/>
                <w:sz w:val="24"/>
                <w:szCs w:val="24"/>
                <w:lang w:eastAsia="zh-CN"/>
              </w:rPr>
              <w:t>☑</w:t>
            </w:r>
            <w:r>
              <w:rPr>
                <w:color w:val="auto"/>
                <w:sz w:val="24"/>
                <w:szCs w:val="24"/>
              </w:rPr>
              <w:t>否</w:t>
            </w:r>
          </w:p>
          <w:p w14:paraId="78A2ACAD">
            <w:pPr>
              <w:adjustRightInd w:val="0"/>
              <w:snapToGrid w:val="0"/>
              <w:rPr>
                <w:color w:val="auto"/>
                <w:sz w:val="24"/>
                <w:szCs w:val="24"/>
              </w:rPr>
            </w:pPr>
            <w:r>
              <w:rPr>
                <w:rFonts w:hint="eastAsia"/>
                <w:color w:val="auto"/>
                <w:sz w:val="24"/>
                <w:szCs w:val="24"/>
                <w:lang w:eastAsia="zh-CN"/>
              </w:rPr>
              <w:t>□</w:t>
            </w:r>
            <w:r>
              <w:rPr>
                <w:color w:val="auto"/>
                <w:sz w:val="24"/>
                <w:szCs w:val="24"/>
              </w:rPr>
              <w:t>是：</w:t>
            </w:r>
            <w:r>
              <w:rPr>
                <w:color w:val="auto"/>
                <w:sz w:val="24"/>
                <w:szCs w:val="24"/>
                <w:u w:val="single"/>
              </w:rPr>
              <w:t xml:space="preserve">        </w:t>
            </w:r>
          </w:p>
        </w:tc>
        <w:tc>
          <w:tcPr>
            <w:tcW w:w="1902" w:type="dxa"/>
            <w:tcBorders>
              <w:tl2br w:val="nil"/>
              <w:tr2bl w:val="nil"/>
            </w:tcBorders>
            <w:tcMar>
              <w:top w:w="16" w:type="dxa"/>
              <w:left w:w="16" w:type="dxa"/>
              <w:right w:w="16" w:type="dxa"/>
            </w:tcMar>
            <w:vAlign w:val="center"/>
          </w:tcPr>
          <w:p w14:paraId="13C7574C">
            <w:pPr>
              <w:adjustRightInd w:val="0"/>
              <w:snapToGrid w:val="0"/>
              <w:jc w:val="center"/>
              <w:rPr>
                <w:b/>
                <w:bCs/>
                <w:color w:val="auto"/>
                <w:spacing w:val="-6"/>
                <w:sz w:val="24"/>
                <w:szCs w:val="24"/>
              </w:rPr>
            </w:pPr>
            <w:r>
              <w:rPr>
                <w:b/>
                <w:bCs/>
                <w:color w:val="auto"/>
                <w:spacing w:val="-6"/>
                <w:sz w:val="24"/>
                <w:szCs w:val="24"/>
              </w:rPr>
              <w:t>用地（用海）</w:t>
            </w:r>
          </w:p>
          <w:p w14:paraId="616CA831">
            <w:pPr>
              <w:adjustRightInd w:val="0"/>
              <w:snapToGrid w:val="0"/>
              <w:jc w:val="center"/>
              <w:rPr>
                <w:b/>
                <w:bCs/>
                <w:color w:val="auto"/>
                <w:sz w:val="24"/>
                <w:szCs w:val="24"/>
              </w:rPr>
            </w:pPr>
            <w:r>
              <w:rPr>
                <w:b/>
                <w:bCs/>
                <w:color w:val="auto"/>
                <w:spacing w:val="-6"/>
                <w:sz w:val="24"/>
                <w:szCs w:val="24"/>
              </w:rPr>
              <w:t>面积（m</w:t>
            </w:r>
            <w:r>
              <w:rPr>
                <w:b/>
                <w:bCs/>
                <w:color w:val="auto"/>
                <w:spacing w:val="-6"/>
                <w:sz w:val="24"/>
                <w:szCs w:val="24"/>
                <w:vertAlign w:val="superscript"/>
              </w:rPr>
              <w:t>2</w:t>
            </w:r>
            <w:r>
              <w:rPr>
                <w:b/>
                <w:bCs/>
                <w:color w:val="auto"/>
                <w:spacing w:val="-6"/>
                <w:sz w:val="24"/>
                <w:szCs w:val="24"/>
              </w:rPr>
              <w:t>）</w:t>
            </w:r>
          </w:p>
        </w:tc>
        <w:tc>
          <w:tcPr>
            <w:tcW w:w="2927" w:type="dxa"/>
            <w:tcBorders>
              <w:tl2br w:val="nil"/>
              <w:tr2bl w:val="nil"/>
            </w:tcBorders>
            <w:vAlign w:val="center"/>
          </w:tcPr>
          <w:p w14:paraId="207D58BD">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新增0</w:t>
            </w:r>
          </w:p>
        </w:tc>
      </w:tr>
      <w:tr w14:paraId="2DFE7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55" w:type="dxa"/>
            <w:tcBorders>
              <w:tl2br w:val="nil"/>
              <w:tr2bl w:val="nil"/>
            </w:tcBorders>
            <w:vAlign w:val="center"/>
          </w:tcPr>
          <w:p w14:paraId="45368B44">
            <w:pPr>
              <w:autoSpaceDE w:val="0"/>
              <w:autoSpaceDN w:val="0"/>
              <w:adjustRightInd w:val="0"/>
              <w:snapToGrid w:val="0"/>
              <w:jc w:val="center"/>
              <w:rPr>
                <w:b/>
                <w:bCs/>
                <w:color w:val="auto"/>
                <w:kern w:val="0"/>
                <w:sz w:val="24"/>
                <w:szCs w:val="24"/>
              </w:rPr>
            </w:pPr>
            <w:r>
              <w:rPr>
                <w:b/>
                <w:bCs/>
                <w:color w:val="auto"/>
                <w:kern w:val="0"/>
                <w:sz w:val="24"/>
                <w:szCs w:val="24"/>
              </w:rPr>
              <w:t>专项评价设置情况</w:t>
            </w:r>
          </w:p>
        </w:tc>
        <w:tc>
          <w:tcPr>
            <w:tcW w:w="6720" w:type="dxa"/>
            <w:gridSpan w:val="3"/>
            <w:tcBorders>
              <w:tl2br w:val="nil"/>
              <w:tr2bl w:val="nil"/>
            </w:tcBorders>
            <w:vAlign w:val="center"/>
          </w:tcPr>
          <w:p w14:paraId="58897FF3">
            <w:pPr>
              <w:autoSpaceDE w:val="0"/>
              <w:autoSpaceDN w:val="0"/>
              <w:adjustRightInd w:val="0"/>
              <w:snapToGrid w:val="0"/>
              <w:spacing w:line="480" w:lineRule="exact"/>
              <w:jc w:val="center"/>
              <w:rPr>
                <w:color w:val="auto"/>
                <w:kern w:val="0"/>
                <w:szCs w:val="21"/>
              </w:rPr>
            </w:pPr>
            <w:r>
              <w:rPr>
                <w:color w:val="auto"/>
                <w:kern w:val="0"/>
                <w:sz w:val="24"/>
              </w:rPr>
              <w:t>无</w:t>
            </w:r>
          </w:p>
        </w:tc>
      </w:tr>
      <w:tr w14:paraId="3FD95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55" w:type="dxa"/>
            <w:tcBorders>
              <w:tl2br w:val="nil"/>
              <w:tr2bl w:val="nil"/>
            </w:tcBorders>
            <w:vAlign w:val="center"/>
          </w:tcPr>
          <w:p w14:paraId="16DD3802">
            <w:pPr>
              <w:autoSpaceDE w:val="0"/>
              <w:autoSpaceDN w:val="0"/>
              <w:adjustRightInd w:val="0"/>
              <w:snapToGrid w:val="0"/>
              <w:jc w:val="center"/>
              <w:rPr>
                <w:b/>
                <w:bCs/>
                <w:color w:val="auto"/>
                <w:kern w:val="0"/>
                <w:sz w:val="24"/>
                <w:szCs w:val="24"/>
              </w:rPr>
            </w:pPr>
            <w:r>
              <w:rPr>
                <w:b/>
                <w:bCs/>
                <w:color w:val="auto"/>
                <w:sz w:val="24"/>
                <w:szCs w:val="24"/>
              </w:rPr>
              <w:t>规划情况</w:t>
            </w:r>
          </w:p>
        </w:tc>
        <w:tc>
          <w:tcPr>
            <w:tcW w:w="6720" w:type="dxa"/>
            <w:gridSpan w:val="3"/>
            <w:tcBorders>
              <w:tl2br w:val="nil"/>
              <w:tr2bl w:val="nil"/>
            </w:tcBorders>
            <w:vAlign w:val="center"/>
          </w:tcPr>
          <w:p w14:paraId="7E63ACB5">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eastAsia="宋体"/>
                <w:color w:val="auto"/>
                <w:kern w:val="0"/>
                <w:sz w:val="24"/>
                <w:lang w:val="en-US" w:eastAsia="zh-CN"/>
              </w:rPr>
            </w:pPr>
            <w:r>
              <w:rPr>
                <w:rFonts w:hint="eastAsia"/>
                <w:color w:val="auto"/>
                <w:kern w:val="0"/>
                <w:sz w:val="24"/>
                <w:lang w:val="en-US" w:eastAsia="zh-CN"/>
              </w:rPr>
              <w:t>无</w:t>
            </w:r>
          </w:p>
        </w:tc>
      </w:tr>
      <w:tr w14:paraId="35B8D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55" w:type="dxa"/>
            <w:tcBorders>
              <w:tl2br w:val="nil"/>
              <w:tr2bl w:val="nil"/>
            </w:tcBorders>
            <w:vAlign w:val="center"/>
          </w:tcPr>
          <w:p w14:paraId="0F59A465">
            <w:pPr>
              <w:adjustRightInd w:val="0"/>
              <w:snapToGrid w:val="0"/>
              <w:jc w:val="center"/>
              <w:rPr>
                <w:b/>
                <w:bCs/>
                <w:color w:val="auto"/>
                <w:sz w:val="24"/>
                <w:szCs w:val="24"/>
              </w:rPr>
            </w:pPr>
            <w:r>
              <w:rPr>
                <w:b/>
                <w:bCs/>
                <w:color w:val="auto"/>
                <w:sz w:val="24"/>
                <w:szCs w:val="24"/>
              </w:rPr>
              <w:t>规划环境影响</w:t>
            </w:r>
          </w:p>
          <w:p w14:paraId="7D047A80">
            <w:pPr>
              <w:adjustRightInd w:val="0"/>
              <w:snapToGrid w:val="0"/>
              <w:jc w:val="center"/>
              <w:rPr>
                <w:b/>
                <w:bCs/>
                <w:color w:val="auto"/>
                <w:kern w:val="0"/>
                <w:sz w:val="24"/>
                <w:szCs w:val="24"/>
              </w:rPr>
            </w:pPr>
            <w:r>
              <w:rPr>
                <w:b/>
                <w:bCs/>
                <w:color w:val="auto"/>
                <w:sz w:val="24"/>
                <w:szCs w:val="24"/>
              </w:rPr>
              <w:t>评价情况</w:t>
            </w:r>
          </w:p>
        </w:tc>
        <w:tc>
          <w:tcPr>
            <w:tcW w:w="6720" w:type="dxa"/>
            <w:gridSpan w:val="3"/>
            <w:tcBorders>
              <w:tl2br w:val="nil"/>
              <w:tr2bl w:val="nil"/>
            </w:tcBorders>
            <w:vAlign w:val="center"/>
          </w:tcPr>
          <w:p w14:paraId="1B8EBA5B">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eastAsia="宋体"/>
                <w:color w:val="auto"/>
                <w:kern w:val="0"/>
                <w:sz w:val="24"/>
                <w:lang w:val="en-US" w:eastAsia="zh-CN"/>
              </w:rPr>
            </w:pPr>
            <w:r>
              <w:rPr>
                <w:rFonts w:hint="eastAsia"/>
                <w:color w:val="auto"/>
                <w:kern w:val="0"/>
                <w:sz w:val="24"/>
                <w:lang w:val="en-US" w:eastAsia="zh-CN"/>
              </w:rPr>
              <w:t>无</w:t>
            </w:r>
          </w:p>
        </w:tc>
      </w:tr>
      <w:tr w14:paraId="351F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55" w:type="dxa"/>
            <w:tcBorders>
              <w:tl2br w:val="nil"/>
              <w:tr2bl w:val="nil"/>
            </w:tcBorders>
            <w:vAlign w:val="center"/>
          </w:tcPr>
          <w:p w14:paraId="7F7DAF3E">
            <w:pPr>
              <w:autoSpaceDE w:val="0"/>
              <w:autoSpaceDN w:val="0"/>
              <w:adjustRightInd w:val="0"/>
              <w:snapToGrid w:val="0"/>
              <w:jc w:val="center"/>
              <w:rPr>
                <w:color w:val="auto"/>
                <w:kern w:val="0"/>
                <w:szCs w:val="21"/>
              </w:rPr>
            </w:pPr>
            <w:r>
              <w:rPr>
                <w:b/>
                <w:bCs/>
                <w:color w:val="auto"/>
                <w:kern w:val="0"/>
                <w:sz w:val="24"/>
                <w:szCs w:val="24"/>
              </w:rPr>
              <w:t>规划及规划环境影响评价符合性分析</w:t>
            </w:r>
          </w:p>
        </w:tc>
        <w:tc>
          <w:tcPr>
            <w:tcW w:w="6720" w:type="dxa"/>
            <w:gridSpan w:val="3"/>
            <w:tcBorders>
              <w:tl2br w:val="nil"/>
              <w:tr2bl w:val="nil"/>
            </w:tcBorders>
            <w:vAlign w:val="center"/>
          </w:tcPr>
          <w:p w14:paraId="7F65CAF0">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eastAsia="宋体"/>
                <w:color w:val="auto"/>
                <w:kern w:val="0"/>
                <w:lang w:val="en-US" w:eastAsia="zh-CN"/>
              </w:rPr>
            </w:pPr>
            <w:r>
              <w:rPr>
                <w:rFonts w:hint="eastAsia" w:ascii="Times New Roman" w:hAnsi="Times New Roman" w:eastAsia="宋体" w:cs="Times New Roman"/>
                <w:color w:val="auto"/>
                <w:kern w:val="0"/>
                <w:sz w:val="24"/>
                <w:lang w:val="en-US" w:eastAsia="zh-CN"/>
              </w:rPr>
              <w:t>无</w:t>
            </w:r>
          </w:p>
        </w:tc>
      </w:tr>
      <w:tr w14:paraId="10C17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55" w:type="dxa"/>
            <w:tcBorders>
              <w:tl2br w:val="nil"/>
              <w:tr2bl w:val="nil"/>
            </w:tcBorders>
            <w:vAlign w:val="center"/>
          </w:tcPr>
          <w:p w14:paraId="155499F2">
            <w:pPr>
              <w:autoSpaceDE w:val="0"/>
              <w:autoSpaceDN w:val="0"/>
              <w:adjustRightInd w:val="0"/>
              <w:snapToGrid w:val="0"/>
              <w:jc w:val="center"/>
              <w:rPr>
                <w:color w:val="auto"/>
                <w:kern w:val="0"/>
                <w:szCs w:val="21"/>
              </w:rPr>
            </w:pPr>
            <w:r>
              <w:rPr>
                <w:b/>
                <w:bCs/>
                <w:color w:val="auto"/>
                <w:kern w:val="0"/>
                <w:sz w:val="24"/>
                <w:szCs w:val="24"/>
              </w:rPr>
              <w:t>其他符合性分析</w:t>
            </w:r>
          </w:p>
        </w:tc>
        <w:tc>
          <w:tcPr>
            <w:tcW w:w="6720" w:type="dxa"/>
            <w:gridSpan w:val="3"/>
            <w:tcBorders>
              <w:tl2br w:val="nil"/>
              <w:tr2bl w:val="nil"/>
            </w:tcBorders>
            <w:vAlign w:val="center"/>
          </w:tcPr>
          <w:p w14:paraId="69A29335">
            <w:pPr>
              <w:autoSpaceDE w:val="0"/>
              <w:autoSpaceDN w:val="0"/>
              <w:adjustRightInd w:val="0"/>
              <w:snapToGrid w:val="0"/>
              <w:spacing w:line="480" w:lineRule="exact"/>
              <w:ind w:firstLine="482" w:firstLineChars="200"/>
              <w:rPr>
                <w:b/>
                <w:bCs/>
                <w:color w:val="auto"/>
                <w:kern w:val="0"/>
                <w:sz w:val="24"/>
              </w:rPr>
            </w:pPr>
            <w:r>
              <w:rPr>
                <w:b/>
                <w:bCs/>
                <w:color w:val="auto"/>
                <w:kern w:val="0"/>
                <w:sz w:val="24"/>
              </w:rPr>
              <w:t>1、“三线一单”符合性分析</w:t>
            </w:r>
          </w:p>
          <w:p w14:paraId="1CF63E3C">
            <w:pPr>
              <w:pStyle w:val="67"/>
              <w:spacing w:line="480" w:lineRule="exact"/>
              <w:ind w:firstLine="480"/>
              <w:rPr>
                <w:color w:val="auto"/>
              </w:rPr>
            </w:pPr>
            <w:r>
              <w:rPr>
                <w:color w:val="auto"/>
              </w:rPr>
              <w:t>（1）生态保护红线</w:t>
            </w:r>
          </w:p>
          <w:p w14:paraId="5D18C6FD">
            <w:pPr>
              <w:pStyle w:val="67"/>
              <w:spacing w:line="480" w:lineRule="exact"/>
              <w:ind w:firstLine="480"/>
              <w:rPr>
                <w:rFonts w:hint="eastAsia"/>
                <w:color w:val="auto"/>
              </w:rPr>
            </w:pPr>
            <w:r>
              <w:rPr>
                <w:rFonts w:hint="eastAsia"/>
                <w:color w:val="auto"/>
              </w:rPr>
              <w:t>生态保护红线是指依法在重点生态功能区、生态环境敏感区和脆弱区等区域划定的严格管控边界，是国家和区域生态安全的底线。生态保护红线所包围的区域为生态保护红线区，通常包括具有重要水源涵养、生物多样性维护、水土保持、防风固沙等功能的生态功能重要区域，水土流失、土地沙化、石漠化等生态敏感脆弱区域，禁止开发区，及其他经评估目前虽然不能确定但具有潜在重要生态价值的区域。对于维护生态安全格局、保障生态系统功能、支撑经济社会可持续发展具有重要作用。</w:t>
            </w:r>
          </w:p>
          <w:p w14:paraId="3D804EFC">
            <w:pPr>
              <w:pStyle w:val="67"/>
              <w:spacing w:line="480" w:lineRule="exact"/>
              <w:ind w:firstLine="480"/>
              <w:rPr>
                <w:rFonts w:hint="eastAsia"/>
                <w:color w:val="auto"/>
              </w:rPr>
            </w:pPr>
            <w:r>
              <w:rPr>
                <w:rFonts w:hint="eastAsia"/>
                <w:color w:val="auto"/>
              </w:rPr>
              <w:t>长治市全市范围内按优先保护、重点管控、一般管控三大类划分。其中优先保护单元主要包括生态保护红线、自然保护地、饮用水水源保护区、泉域重点保护区，以及生态功能重要和生态环境敏感脆弱的区域等；重点管控单元主要包括城市建成区、开发区和工业园区大气环境布局敏感区和弱扩散区，以及开发强度高、污染物排放量大、环境问题相对集中的区域等；一般管控单元指优先保护单元和重点管控单元之外的其他区域。</w:t>
            </w:r>
          </w:p>
          <w:p w14:paraId="124272CE">
            <w:pPr>
              <w:pStyle w:val="67"/>
              <w:spacing w:line="480" w:lineRule="exact"/>
              <w:ind w:firstLine="480"/>
              <w:rPr>
                <w:color w:val="auto"/>
              </w:rPr>
            </w:pPr>
            <w:r>
              <w:rPr>
                <w:color w:val="auto"/>
              </w:rPr>
              <w:t>本项目位于</w:t>
            </w:r>
            <w:r>
              <w:rPr>
                <w:rFonts w:hint="eastAsia"/>
                <w:color w:val="auto"/>
                <w:lang w:eastAsia="zh-CN"/>
              </w:rPr>
              <w:t>山西省长治市屯留区路村乡前苏村南侧80m处</w:t>
            </w:r>
            <w:r>
              <w:rPr>
                <w:color w:val="auto"/>
              </w:rPr>
              <w:t>（</w:t>
            </w:r>
            <w:r>
              <w:rPr>
                <w:rFonts w:hint="eastAsia"/>
                <w:color w:val="auto"/>
                <w:lang w:eastAsia="zh-CN"/>
              </w:rPr>
              <w:t>屯留县圣烨建材有限公司</w:t>
            </w:r>
            <w:r>
              <w:rPr>
                <w:color w:val="auto"/>
              </w:rPr>
              <w:t>现有厂区内），</w:t>
            </w:r>
            <w:r>
              <w:rPr>
                <w:rFonts w:hint="eastAsia"/>
                <w:color w:val="auto"/>
                <w:lang w:val="en-US" w:eastAsia="zh-CN"/>
              </w:rPr>
              <w:t>根据</w:t>
            </w:r>
            <w:r>
              <w:rPr>
                <w:color w:val="auto"/>
              </w:rPr>
              <w:t>“山西省三线一单数据管理及应用平台”对本项目的智能研判分析结果，本项目位于</w:t>
            </w:r>
            <w:r>
              <w:rPr>
                <w:rFonts w:hint="eastAsia"/>
                <w:color w:val="auto"/>
              </w:rPr>
              <w:t>重点管控单元</w:t>
            </w:r>
            <w:r>
              <w:rPr>
                <w:rFonts w:hint="eastAsia"/>
                <w:color w:val="auto"/>
                <w:lang w:eastAsia="zh-CN"/>
              </w:rPr>
              <w:t>，</w:t>
            </w:r>
            <w:r>
              <w:rPr>
                <w:color w:val="auto"/>
              </w:rPr>
              <w:t>评价范围内无“自然保护区”、“森林公园”、“风景名胜区”、“世界文化自然遗产”、“地质公园”、“水源保护区”等敏感因素，项目建成后不会对周围生态环境造成明显影响，不触及生态保护红线。</w:t>
            </w:r>
          </w:p>
          <w:p w14:paraId="1A3AF6EB">
            <w:pPr>
              <w:pStyle w:val="67"/>
              <w:spacing w:line="480" w:lineRule="exact"/>
              <w:ind w:firstLine="480"/>
              <w:rPr>
                <w:color w:val="auto"/>
              </w:rPr>
            </w:pPr>
            <w:r>
              <w:rPr>
                <w:color w:val="auto"/>
              </w:rPr>
              <w:t>（2）环境质量底线</w:t>
            </w:r>
          </w:p>
          <w:p w14:paraId="4F13B39F">
            <w:pPr>
              <w:pStyle w:val="67"/>
              <w:spacing w:line="480" w:lineRule="exact"/>
              <w:ind w:firstLine="480"/>
              <w:jc w:val="both"/>
              <w:rPr>
                <w:rFonts w:hint="eastAsia"/>
                <w:color w:val="auto"/>
                <w:kern w:val="0"/>
              </w:rPr>
            </w:pPr>
            <w:r>
              <w:rPr>
                <w:rFonts w:hint="eastAsia"/>
                <w:color w:val="auto"/>
                <w:kern w:val="0"/>
              </w:rPr>
              <w:t>环境空气：本次评价引用长治市</w:t>
            </w:r>
            <w:r>
              <w:rPr>
                <w:rFonts w:hint="eastAsia"/>
                <w:color w:val="auto"/>
                <w:kern w:val="0"/>
                <w:lang w:val="en-US" w:eastAsia="zh-CN"/>
              </w:rPr>
              <w:t>屯留区</w:t>
            </w:r>
            <w:r>
              <w:rPr>
                <w:rFonts w:hint="eastAsia"/>
                <w:color w:val="auto"/>
                <w:kern w:val="0"/>
              </w:rPr>
              <w:t>2024年1-12月环境空气例行监测数据中主要污染物年均值数据，对项目所在区域环境空气质量进行分析，</w:t>
            </w:r>
            <w:r>
              <w:rPr>
                <w:rFonts w:hint="eastAsia" w:ascii="Times New Roman" w:hAnsi="Times New Roman"/>
                <w:color w:val="auto"/>
                <w:sz w:val="24"/>
                <w:szCs w:val="20"/>
                <w:highlight w:val="none"/>
              </w:rPr>
              <w:t>屯留区202</w:t>
            </w:r>
            <w:r>
              <w:rPr>
                <w:rFonts w:hint="eastAsia" w:ascii="Times New Roman" w:hAnsi="Times New Roman"/>
                <w:color w:val="auto"/>
                <w:sz w:val="24"/>
                <w:szCs w:val="20"/>
                <w:highlight w:val="none"/>
                <w:lang w:val="en-US" w:eastAsia="zh-CN"/>
              </w:rPr>
              <w:t>4</w:t>
            </w:r>
            <w:r>
              <w:rPr>
                <w:rFonts w:hint="eastAsia" w:ascii="Times New Roman" w:hAnsi="Times New Roman"/>
                <w:color w:val="auto"/>
                <w:sz w:val="24"/>
                <w:szCs w:val="20"/>
                <w:highlight w:val="none"/>
              </w:rPr>
              <w:t>年环境空气中SO</w:t>
            </w:r>
            <w:r>
              <w:rPr>
                <w:rFonts w:hint="eastAsia" w:ascii="Times New Roman" w:hAnsi="Times New Roman"/>
                <w:color w:val="auto"/>
                <w:sz w:val="24"/>
                <w:szCs w:val="20"/>
                <w:highlight w:val="none"/>
                <w:vertAlign w:val="subscript"/>
              </w:rPr>
              <w:t>2</w:t>
            </w:r>
            <w:r>
              <w:rPr>
                <w:rFonts w:hint="eastAsia" w:ascii="Times New Roman" w:hAnsi="Times New Roman"/>
                <w:color w:val="auto"/>
                <w:sz w:val="24"/>
                <w:szCs w:val="20"/>
                <w:highlight w:val="none"/>
              </w:rPr>
              <w:t>、NO</w:t>
            </w:r>
            <w:r>
              <w:rPr>
                <w:rFonts w:hint="eastAsia" w:ascii="Times New Roman" w:hAnsi="Times New Roman"/>
                <w:color w:val="auto"/>
                <w:sz w:val="24"/>
                <w:szCs w:val="20"/>
                <w:highlight w:val="none"/>
                <w:vertAlign w:val="subscript"/>
              </w:rPr>
              <w:t>2</w:t>
            </w:r>
            <w:r>
              <w:rPr>
                <w:rFonts w:hint="eastAsia" w:ascii="Times New Roman" w:hAnsi="Times New Roman"/>
                <w:color w:val="auto"/>
                <w:sz w:val="24"/>
                <w:szCs w:val="20"/>
                <w:highlight w:val="none"/>
              </w:rPr>
              <w:t>、PM</w:t>
            </w:r>
            <w:r>
              <w:rPr>
                <w:rFonts w:hint="eastAsia" w:ascii="Times New Roman" w:hAnsi="Times New Roman"/>
                <w:color w:val="auto"/>
                <w:sz w:val="24"/>
                <w:szCs w:val="20"/>
                <w:highlight w:val="none"/>
                <w:vertAlign w:val="subscript"/>
              </w:rPr>
              <w:t>10</w:t>
            </w:r>
            <w:r>
              <w:rPr>
                <w:rFonts w:hint="eastAsia" w:ascii="Times New Roman" w:hAnsi="Times New Roman"/>
                <w:color w:val="auto"/>
                <w:sz w:val="24"/>
                <w:szCs w:val="20"/>
                <w:highlight w:val="none"/>
              </w:rPr>
              <w:t>、PM</w:t>
            </w:r>
            <w:r>
              <w:rPr>
                <w:rFonts w:hint="eastAsia" w:ascii="Times New Roman" w:hAnsi="Times New Roman"/>
                <w:color w:val="auto"/>
                <w:sz w:val="24"/>
                <w:szCs w:val="20"/>
                <w:highlight w:val="none"/>
                <w:vertAlign w:val="subscript"/>
              </w:rPr>
              <w:t>2.5</w:t>
            </w:r>
            <w:r>
              <w:rPr>
                <w:rFonts w:hint="eastAsia" w:ascii="Times New Roman" w:hAnsi="Times New Roman"/>
                <w:color w:val="auto"/>
                <w:sz w:val="24"/>
                <w:szCs w:val="20"/>
                <w:highlight w:val="none"/>
              </w:rPr>
              <w:t>年均浓度、CO24小时平均第95百分位数均满足《环境空气质量标准》(GB3095-2012)中的二级标准，O</w:t>
            </w:r>
            <w:r>
              <w:rPr>
                <w:rFonts w:hint="eastAsia" w:ascii="Times New Roman" w:hAnsi="Times New Roman"/>
                <w:color w:val="auto"/>
                <w:sz w:val="24"/>
                <w:szCs w:val="20"/>
                <w:highlight w:val="none"/>
                <w:vertAlign w:val="subscript"/>
              </w:rPr>
              <w:t>3</w:t>
            </w:r>
            <w:r>
              <w:rPr>
                <w:rFonts w:hint="eastAsia" w:ascii="Times New Roman" w:hAnsi="Times New Roman"/>
                <w:color w:val="auto"/>
                <w:sz w:val="24"/>
                <w:szCs w:val="20"/>
                <w:highlight w:val="none"/>
              </w:rPr>
              <w:t>日最大8小时平均第9</w:t>
            </w:r>
            <w:r>
              <w:rPr>
                <w:rFonts w:hint="default" w:ascii="Times New Roman" w:hAnsi="Times New Roman" w:cs="Times New Roman"/>
                <w:color w:val="auto"/>
                <w:sz w:val="24"/>
                <w:szCs w:val="20"/>
                <w:highlight w:val="none"/>
              </w:rPr>
              <w:t>0百分位数未达到《环境空气质量标准》(GB3095-2012)中的二级标准要求</w:t>
            </w:r>
            <w:r>
              <w:rPr>
                <w:rFonts w:hint="default" w:ascii="Times New Roman" w:hAnsi="Times New Roman" w:cs="Times New Roman"/>
                <w:color w:val="auto"/>
                <w:kern w:val="0"/>
              </w:rPr>
              <w:t>，项目所在地为不达标区。</w:t>
            </w:r>
            <w:r>
              <w:rPr>
                <w:rFonts w:hint="default" w:ascii="Times New Roman" w:hAnsi="Times New Roman" w:cs="Times New Roman"/>
                <w:color w:val="auto"/>
                <w:sz w:val="24"/>
                <w:highlight w:val="none"/>
                <w:lang w:val="en-GB"/>
              </w:rPr>
              <w:t>本次评价引用了《</w:t>
            </w:r>
            <w:r>
              <w:rPr>
                <w:rFonts w:hint="eastAsia" w:cs="Times New Roman"/>
                <w:color w:val="auto"/>
                <w:sz w:val="24"/>
                <w:highlight w:val="none"/>
                <w:lang w:val="en-GB" w:eastAsia="zh-CN"/>
              </w:rPr>
              <w:t>屯留县天桥新型墙体材料有限公司煤矸石砖技改项目</w:t>
            </w:r>
            <w:r>
              <w:rPr>
                <w:rFonts w:hint="default" w:ascii="Times New Roman" w:hAnsi="Times New Roman" w:cs="Times New Roman"/>
                <w:color w:val="auto"/>
                <w:sz w:val="24"/>
                <w:highlight w:val="none"/>
                <w:lang w:val="en-GB"/>
              </w:rPr>
              <w:t>环境影响报告表》中的现状监测数据，监测时间为202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GB"/>
              </w:rPr>
              <w:t>年</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lang w:val="en-GB"/>
              </w:rPr>
              <w:t>月</w:t>
            </w:r>
            <w:r>
              <w:rPr>
                <w:rFonts w:hint="eastAsia" w:cs="Times New Roman"/>
                <w:color w:val="auto"/>
                <w:sz w:val="24"/>
                <w:highlight w:val="none"/>
                <w:lang w:val="en-US" w:eastAsia="zh-CN"/>
              </w:rPr>
              <w:t>18</w:t>
            </w:r>
            <w:r>
              <w:rPr>
                <w:rFonts w:hint="default" w:ascii="Times New Roman" w:hAnsi="Times New Roman" w:cs="Times New Roman"/>
                <w:color w:val="auto"/>
                <w:sz w:val="24"/>
                <w:highlight w:val="none"/>
                <w:lang w:val="en-GB"/>
              </w:rPr>
              <w:t>日~202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GB"/>
              </w:rPr>
              <w:t>年</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lang w:val="en-GB"/>
              </w:rPr>
              <w:t>月</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lang w:val="en-GB"/>
              </w:rPr>
              <w:t>日，监测项目为</w:t>
            </w:r>
            <w:r>
              <w:rPr>
                <w:rFonts w:hint="default" w:ascii="Times New Roman" w:hAnsi="Times New Roman" w:cs="Times New Roman"/>
                <w:color w:val="auto"/>
                <w:spacing w:val="4"/>
                <w:sz w:val="24"/>
                <w:highlight w:val="none"/>
              </w:rPr>
              <w:t>TSP</w:t>
            </w:r>
            <w:r>
              <w:rPr>
                <w:rFonts w:hint="default" w:ascii="Times New Roman" w:hAnsi="Times New Roman" w:cs="Times New Roman"/>
                <w:color w:val="auto"/>
                <w:spacing w:val="4"/>
                <w:sz w:val="24"/>
                <w:highlight w:val="none"/>
                <w:lang w:eastAsia="zh-CN"/>
              </w:rPr>
              <w:t>、</w:t>
            </w:r>
            <w:r>
              <w:rPr>
                <w:rFonts w:hint="default" w:ascii="Times New Roman" w:hAnsi="Times New Roman" w:cs="Times New Roman"/>
                <w:color w:val="auto"/>
                <w:spacing w:val="4"/>
                <w:sz w:val="24"/>
                <w:highlight w:val="none"/>
                <w:lang w:val="en-US" w:eastAsia="zh-CN"/>
              </w:rPr>
              <w:t>氟化物</w:t>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kern w:val="0"/>
              </w:rPr>
              <w:t>根据监测结果可知，监测期间TSP的日均值在</w:t>
            </w:r>
            <w:r>
              <w:rPr>
                <w:rFonts w:hint="eastAsia" w:cs="Times New Roman"/>
                <w:color w:val="auto"/>
                <w:kern w:val="0"/>
                <w:lang w:val="en-US" w:eastAsia="zh-CN"/>
              </w:rPr>
              <w:t>198</w:t>
            </w:r>
            <w:r>
              <w:rPr>
                <w:rFonts w:hint="default" w:ascii="Times New Roman" w:hAnsi="Times New Roman" w:cs="Times New Roman"/>
                <w:color w:val="auto"/>
                <w:kern w:val="0"/>
              </w:rPr>
              <w:t>~</w:t>
            </w:r>
            <w:r>
              <w:rPr>
                <w:rFonts w:hint="eastAsia" w:cs="Times New Roman"/>
                <w:color w:val="auto"/>
                <w:kern w:val="0"/>
                <w:lang w:val="en-US" w:eastAsia="zh-CN"/>
              </w:rPr>
              <w:t>224</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，氟化物的日均值在</w:t>
            </w:r>
            <w:r>
              <w:rPr>
                <w:rFonts w:hint="eastAsia" w:cs="Times New Roman"/>
                <w:color w:val="auto"/>
                <w:kern w:val="0"/>
                <w:lang w:val="en-US" w:eastAsia="zh-CN"/>
              </w:rPr>
              <w:t>1.69</w:t>
            </w:r>
            <w:r>
              <w:rPr>
                <w:rFonts w:hint="default" w:ascii="Times New Roman" w:hAnsi="Times New Roman" w:cs="Times New Roman"/>
                <w:color w:val="auto"/>
                <w:kern w:val="0"/>
              </w:rPr>
              <w:t>~</w:t>
            </w:r>
            <w:r>
              <w:rPr>
                <w:rFonts w:hint="eastAsia" w:cs="Times New Roman"/>
                <w:color w:val="auto"/>
                <w:kern w:val="0"/>
                <w:lang w:val="en-US" w:eastAsia="zh-CN"/>
              </w:rPr>
              <w:t>2.12</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，均满足《环境空气质量标准》GB3095-2012中规定的限值。</w:t>
            </w:r>
          </w:p>
          <w:p w14:paraId="58E0ED41">
            <w:pPr>
              <w:pStyle w:val="67"/>
              <w:spacing w:line="480" w:lineRule="exact"/>
              <w:ind w:firstLine="480"/>
              <w:jc w:val="both"/>
              <w:rPr>
                <w:rFonts w:hint="eastAsia"/>
                <w:color w:val="auto"/>
                <w:kern w:val="0"/>
              </w:rPr>
            </w:pPr>
            <w:r>
              <w:rPr>
                <w:sz w:val="24"/>
              </w:rPr>
              <w:t>本项目厂址周围50m范围内</w:t>
            </w:r>
            <w:r>
              <w:rPr>
                <w:rFonts w:hint="eastAsia"/>
                <w:sz w:val="24"/>
              </w:rPr>
              <w:t>无</w:t>
            </w:r>
            <w:r>
              <w:rPr>
                <w:sz w:val="24"/>
              </w:rPr>
              <w:t>声环境</w:t>
            </w:r>
            <w:r>
              <w:rPr>
                <w:rFonts w:hint="eastAsia"/>
                <w:sz w:val="24"/>
              </w:rPr>
              <w:t>敏感</w:t>
            </w:r>
            <w:r>
              <w:rPr>
                <w:sz w:val="24"/>
              </w:rPr>
              <w:t>目标</w:t>
            </w:r>
            <w:r>
              <w:rPr>
                <w:rFonts w:hint="eastAsia"/>
                <w:sz w:val="24"/>
              </w:rPr>
              <w:t>，未开展声环境现状监测</w:t>
            </w:r>
            <w:r>
              <w:rPr>
                <w:sz w:val="24"/>
              </w:rPr>
              <w:t>。</w:t>
            </w:r>
          </w:p>
          <w:p w14:paraId="464D0B19">
            <w:pPr>
              <w:pStyle w:val="67"/>
              <w:spacing w:line="480" w:lineRule="exact"/>
              <w:ind w:firstLine="480"/>
              <w:jc w:val="both"/>
              <w:rPr>
                <w:rFonts w:hint="eastAsia"/>
                <w:color w:val="auto"/>
                <w:kern w:val="0"/>
              </w:rPr>
            </w:pPr>
            <w:r>
              <w:rPr>
                <w:rFonts w:hint="eastAsia"/>
                <w:color w:val="auto"/>
                <w:kern w:val="0"/>
              </w:rPr>
              <w:t>本项目无废水外排，对附近地表水基本无影响。</w:t>
            </w:r>
          </w:p>
          <w:p w14:paraId="779EA03F">
            <w:pPr>
              <w:pStyle w:val="67"/>
              <w:spacing w:line="480" w:lineRule="exact"/>
              <w:ind w:firstLine="480"/>
              <w:jc w:val="both"/>
              <w:rPr>
                <w:rFonts w:hint="eastAsia"/>
                <w:color w:val="auto"/>
                <w:kern w:val="0"/>
              </w:rPr>
            </w:pPr>
            <w:r>
              <w:rPr>
                <w:rFonts w:hint="eastAsia"/>
                <w:color w:val="auto"/>
                <w:kern w:val="0"/>
              </w:rPr>
              <w:t>本项目运营期产生的各类固体废物均得到了综合利用和合理处置。</w:t>
            </w:r>
          </w:p>
          <w:p w14:paraId="464DEF8F">
            <w:pPr>
              <w:pStyle w:val="67"/>
              <w:spacing w:line="480" w:lineRule="exact"/>
              <w:ind w:firstLine="480"/>
              <w:jc w:val="both"/>
              <w:rPr>
                <w:color w:val="auto"/>
              </w:rPr>
            </w:pPr>
            <w:r>
              <w:rPr>
                <w:rFonts w:hint="eastAsia"/>
                <w:color w:val="auto"/>
                <w:kern w:val="0"/>
              </w:rPr>
              <w:t>综上，本项目对区域环境质量影响较小，当地环境基本能维持现状，本项目建设不违背环境质量底线要求。</w:t>
            </w:r>
          </w:p>
          <w:p w14:paraId="36EC1A90">
            <w:pPr>
              <w:pStyle w:val="67"/>
              <w:spacing w:line="480" w:lineRule="exact"/>
              <w:ind w:firstLine="480"/>
              <w:jc w:val="both"/>
              <w:rPr>
                <w:color w:val="auto"/>
              </w:rPr>
            </w:pPr>
            <w:r>
              <w:rPr>
                <w:color w:val="auto"/>
              </w:rPr>
              <w:t>（3）资源利用上限</w:t>
            </w:r>
          </w:p>
          <w:p w14:paraId="6BD7027D">
            <w:pPr>
              <w:pStyle w:val="67"/>
              <w:spacing w:line="480" w:lineRule="exact"/>
              <w:ind w:firstLine="480"/>
              <w:jc w:val="both"/>
              <w:rPr>
                <w:rFonts w:hint="eastAsia"/>
                <w:bCs/>
                <w:color w:val="auto"/>
              </w:rPr>
            </w:pPr>
            <w:r>
              <w:rPr>
                <w:rFonts w:hint="eastAsia"/>
                <w:bCs/>
                <w:color w:val="auto"/>
              </w:rPr>
              <w:t>本项目运行过程中所用的资源主要为水资源、电能，本项目给水为厂区自备水，电能由国家电网提供供应，不属于高水耗、高能耗的产业。项目建成后通过内部管理、设备选择、原辅材料的选用和管理、废物回收利用、污染治理等方面采取合理可行的防治措施，以“节能、降耗、减污”为目标，有效控制污染。不会因本项目的建设而突破区域的资源利用上线。</w:t>
            </w:r>
          </w:p>
          <w:p w14:paraId="68DF79CD">
            <w:pPr>
              <w:pStyle w:val="67"/>
              <w:keepNext w:val="0"/>
              <w:keepLines w:val="0"/>
              <w:pageBreakBefore w:val="0"/>
              <w:kinsoku/>
              <w:wordWrap/>
              <w:overflowPunct/>
              <w:topLinePunct w:val="0"/>
              <w:autoSpaceDE/>
              <w:autoSpaceDN/>
              <w:bidi w:val="0"/>
              <w:snapToGrid/>
              <w:spacing w:line="480" w:lineRule="exact"/>
              <w:ind w:firstLine="480"/>
              <w:jc w:val="both"/>
              <w:textAlignment w:val="auto"/>
              <w:rPr>
                <w:rFonts w:ascii="Times New Roman" w:hAnsi="Times New Roman" w:eastAsia="宋体" w:cs="Times New Roman"/>
                <w:color w:val="auto"/>
              </w:rPr>
            </w:pPr>
            <w:r>
              <w:rPr>
                <w:rFonts w:ascii="Times New Roman" w:hAnsi="Times New Roman" w:eastAsia="宋体" w:cs="Times New Roman"/>
                <w:color w:val="auto"/>
              </w:rPr>
              <w:t>（4）环境准入负面清单</w:t>
            </w:r>
          </w:p>
          <w:p w14:paraId="7D22A08F">
            <w:pPr>
              <w:pStyle w:val="67"/>
              <w:keepNext w:val="0"/>
              <w:keepLines w:val="0"/>
              <w:pageBreakBefore w:val="0"/>
              <w:kinsoku/>
              <w:wordWrap/>
              <w:overflowPunct/>
              <w:topLinePunct w:val="0"/>
              <w:autoSpaceDE/>
              <w:autoSpaceDN/>
              <w:bidi w:val="0"/>
              <w:snapToGrid/>
              <w:spacing w:line="480" w:lineRule="exact"/>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本项目利用煤矸石为原料生产烧结砖</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不在《市场准入负面清单（2025年版）》禁止准入类事项；</w:t>
            </w:r>
            <w:r>
              <w:rPr>
                <w:rFonts w:hint="eastAsia" w:ascii="Times New Roman" w:hAnsi="Times New Roman" w:eastAsia="宋体" w:cs="Times New Roman"/>
                <w:color w:val="auto"/>
                <w:lang w:val="en-US" w:eastAsia="zh-CN"/>
              </w:rPr>
              <w:t>根据</w:t>
            </w:r>
            <w:r>
              <w:rPr>
                <w:rFonts w:hint="default" w:ascii="Times New Roman" w:hAnsi="Times New Roman" w:eastAsia="宋体" w:cs="Times New Roman"/>
                <w:color w:val="auto"/>
                <w:lang w:val="en-US" w:eastAsia="zh-CN"/>
              </w:rPr>
              <w:t>《产业结构调整指导目录（2024年本）</w:t>
            </w:r>
            <w:r>
              <w:rPr>
                <w:rFonts w:hint="eastAsia" w:ascii="Times New Roman" w:hAnsi="Times New Roman" w:eastAsia="宋体" w:cs="Times New Roman"/>
                <w:color w:val="auto"/>
                <w:lang w:val="en-US" w:eastAsia="zh-CN"/>
              </w:rPr>
              <w:t>》，本项目属于第一类鼓励类“十二、环境保护与资源节约综合利用8.废弃物循环利用：煤矸石、粉煤灰、尾矿（共伴生矿）、冶炼渣、工业副产石膏、赤泥、建筑垃圾等工业废弃物循环利用”，不属于限制类和淘汰类</w:t>
            </w:r>
            <w:r>
              <w:rPr>
                <w:rFonts w:hint="default" w:ascii="Times New Roman" w:hAnsi="Times New Roman" w:eastAsia="宋体" w:cs="Times New Roman"/>
                <w:color w:val="auto"/>
                <w:lang w:val="en-US" w:eastAsia="zh-CN"/>
              </w:rPr>
              <w:t>。因此，</w:t>
            </w: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不违背环境准入负面清单的原则要求</w:t>
            </w:r>
            <w:r>
              <w:rPr>
                <w:rFonts w:hint="default" w:ascii="Times New Roman" w:hAnsi="Times New Roman" w:eastAsia="宋体" w:cs="Times New Roman"/>
                <w:color w:val="auto"/>
              </w:rPr>
              <w:t>。</w:t>
            </w:r>
          </w:p>
          <w:p w14:paraId="71920614">
            <w:pPr>
              <w:pStyle w:val="67"/>
              <w:keepNext w:val="0"/>
              <w:keepLines w:val="0"/>
              <w:pageBreakBefore w:val="0"/>
              <w:kinsoku/>
              <w:wordWrap/>
              <w:overflowPunct/>
              <w:topLinePunct w:val="0"/>
              <w:autoSpaceDE/>
              <w:autoSpaceDN/>
              <w:bidi w:val="0"/>
              <w:snapToGrid/>
              <w:spacing w:line="480" w:lineRule="exact"/>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综上所述，本项目建设符合生态保护红线、环境质量底线、资源利用上线、负面清单的要求</w:t>
            </w:r>
            <w:r>
              <w:rPr>
                <w:rFonts w:hint="eastAsia" w:ascii="Times New Roman" w:hAnsi="Times New Roman" w:eastAsia="宋体" w:cs="Times New Roman"/>
                <w:color w:val="auto"/>
                <w:lang w:eastAsia="zh-CN"/>
              </w:rPr>
              <w:t>。</w:t>
            </w:r>
          </w:p>
          <w:p w14:paraId="74183FC7">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color w:val="auto"/>
                <w:highlight w:val="none"/>
              </w:rPr>
            </w:pPr>
            <w:r>
              <w:rPr>
                <w:rFonts w:hint="eastAsia" w:ascii="Times New Roman" w:hAnsi="Times New Roman" w:eastAsia="宋体" w:cs="Times New Roman"/>
                <w:b/>
                <w:bCs w:val="0"/>
                <w:color w:val="auto"/>
                <w:spacing w:val="0"/>
                <w:kern w:val="2"/>
                <w:sz w:val="24"/>
                <w:szCs w:val="24"/>
                <w:highlight w:val="none"/>
                <w:lang w:val="en-US" w:eastAsia="zh-CN" w:bidi="ar-SA"/>
              </w:rPr>
              <w:t>2</w:t>
            </w:r>
            <w:r>
              <w:rPr>
                <w:rFonts w:hint="default" w:ascii="Times New Roman" w:hAnsi="Times New Roman" w:eastAsia="宋体" w:cs="Times New Roman"/>
                <w:b/>
                <w:bCs w:val="0"/>
                <w:color w:val="auto"/>
                <w:spacing w:val="0"/>
                <w:kern w:val="2"/>
                <w:sz w:val="24"/>
                <w:szCs w:val="24"/>
                <w:highlight w:val="none"/>
                <w:lang w:val="en-US" w:eastAsia="zh-CN" w:bidi="ar-SA"/>
              </w:rPr>
              <w:t>、</w:t>
            </w:r>
            <w:r>
              <w:rPr>
                <w:rFonts w:hint="eastAsia" w:ascii="Times New Roman" w:hAnsi="Times New Roman" w:eastAsia="宋体" w:cs="Times New Roman"/>
                <w:b/>
                <w:bCs w:val="0"/>
                <w:color w:val="auto"/>
                <w:spacing w:val="0"/>
                <w:kern w:val="2"/>
                <w:sz w:val="24"/>
                <w:szCs w:val="24"/>
                <w:highlight w:val="none"/>
                <w:lang w:val="en-US" w:eastAsia="zh-CN" w:bidi="ar-SA"/>
              </w:rPr>
              <w:t>“长治市生态环境分区管控动态更新成果”符合性分析</w:t>
            </w:r>
          </w:p>
          <w:p w14:paraId="747CA6D0">
            <w:pPr>
              <w:pStyle w:val="67"/>
              <w:keepNext w:val="0"/>
              <w:keepLines w:val="0"/>
              <w:pageBreakBefore w:val="0"/>
              <w:kinsoku/>
              <w:wordWrap/>
              <w:overflowPunct/>
              <w:topLinePunct w:val="0"/>
              <w:autoSpaceDE/>
              <w:autoSpaceDN/>
              <w:bidi w:val="0"/>
              <w:snapToGrid/>
              <w:spacing w:line="480" w:lineRule="exact"/>
              <w:ind w:firstLine="480"/>
              <w:jc w:val="both"/>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根据项目信息及生态环境分区管控信息进行项目研判分析</w:t>
            </w:r>
            <w:r>
              <w:rPr>
                <w:rFonts w:hint="eastAsia" w:ascii="Times New Roman" w:hAnsi="Times New Roman" w:eastAsia="宋体" w:cs="Times New Roman"/>
                <w:color w:val="auto"/>
                <w:lang w:val="en-US" w:eastAsia="zh-CN"/>
              </w:rPr>
              <w:t>，本项目共涉及1个管控单元，即屯留区大气环境弱扩散重点管控单元（管控单元编码：ZH14040520006）；3个总体管控区域，即山西省全省，山西省汾渭平原，山西省长治市。</w:t>
            </w:r>
          </w:p>
          <w:p w14:paraId="63B3C80B">
            <w:pPr>
              <w:pStyle w:val="67"/>
              <w:keepNext w:val="0"/>
              <w:keepLines w:val="0"/>
              <w:pageBreakBefore w:val="0"/>
              <w:kinsoku/>
              <w:wordWrap/>
              <w:overflowPunct/>
              <w:topLinePunct w:val="0"/>
              <w:autoSpaceDE/>
              <w:autoSpaceDN/>
              <w:bidi w:val="0"/>
              <w:snapToGrid/>
              <w:spacing w:line="480" w:lineRule="exact"/>
              <w:ind w:firstLine="48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本项目与</w:t>
            </w:r>
            <w:r>
              <w:rPr>
                <w:rFonts w:hint="eastAsia" w:cs="Times New Roman"/>
                <w:color w:val="auto"/>
                <w:lang w:val="en-US" w:eastAsia="zh-CN"/>
              </w:rPr>
              <w:t>屯留区大气环境弱扩散重点管控单元</w:t>
            </w:r>
            <w:r>
              <w:rPr>
                <w:rFonts w:hint="eastAsia" w:ascii="Times New Roman" w:hAnsi="Times New Roman" w:eastAsia="宋体" w:cs="Times New Roman"/>
                <w:color w:val="auto"/>
                <w:lang w:val="en-US" w:eastAsia="zh-CN"/>
              </w:rPr>
              <w:t>的符合性分析如下。</w:t>
            </w:r>
          </w:p>
          <w:p w14:paraId="29195745">
            <w:pPr>
              <w:spacing w:line="480" w:lineRule="exact"/>
              <w:jc w:val="center"/>
              <w:rPr>
                <w:rFonts w:hint="default" w:ascii="Times New Roman" w:hAnsi="Times New Roman" w:eastAsia="黑体" w:cs="Times New Roman"/>
                <w:b w:val="0"/>
                <w:bCs/>
                <w:color w:val="auto"/>
                <w:spacing w:val="0"/>
                <w:w w:val="100"/>
                <w:sz w:val="24"/>
                <w:highlight w:val="none"/>
                <w:lang w:val="en-US" w:eastAsia="zh-CN"/>
              </w:rPr>
            </w:pPr>
            <w:r>
              <w:rPr>
                <w:rFonts w:hint="eastAsia" w:ascii="Times New Roman" w:hAnsi="Times New Roman" w:eastAsia="黑体" w:cs="Times New Roman"/>
                <w:b w:val="0"/>
                <w:bCs/>
                <w:color w:val="auto"/>
                <w:spacing w:val="0"/>
                <w:w w:val="100"/>
                <w:sz w:val="24"/>
                <w:highlight w:val="none"/>
                <w:lang w:val="en-US" w:eastAsia="zh-CN"/>
              </w:rPr>
              <w:t>表1-</w:t>
            </w:r>
            <w:r>
              <w:rPr>
                <w:rFonts w:hint="eastAsia" w:eastAsia="黑体" w:cs="Times New Roman"/>
                <w:b w:val="0"/>
                <w:bCs/>
                <w:color w:val="auto"/>
                <w:spacing w:val="0"/>
                <w:w w:val="100"/>
                <w:sz w:val="24"/>
                <w:highlight w:val="none"/>
                <w:lang w:val="en-US" w:eastAsia="zh-CN"/>
              </w:rPr>
              <w:t>1</w:t>
            </w:r>
            <w:r>
              <w:rPr>
                <w:rFonts w:hint="eastAsia" w:ascii="Times New Roman" w:hAnsi="Times New Roman" w:eastAsia="黑体" w:cs="Times New Roman"/>
                <w:b w:val="0"/>
                <w:bCs/>
                <w:color w:val="auto"/>
                <w:spacing w:val="0"/>
                <w:w w:val="100"/>
                <w:sz w:val="24"/>
                <w:highlight w:val="none"/>
                <w:lang w:val="en-US" w:eastAsia="zh-CN"/>
              </w:rPr>
              <w:t xml:space="preserve">  与</w:t>
            </w:r>
            <w:r>
              <w:rPr>
                <w:rFonts w:hint="eastAsia" w:eastAsia="黑体" w:cs="Times New Roman"/>
                <w:b w:val="0"/>
                <w:bCs/>
                <w:color w:val="auto"/>
                <w:spacing w:val="0"/>
                <w:w w:val="100"/>
                <w:sz w:val="24"/>
                <w:highlight w:val="none"/>
                <w:lang w:val="en-US" w:eastAsia="zh-CN"/>
              </w:rPr>
              <w:t>屯留区大气环境弱扩散重点管控单元</w:t>
            </w:r>
            <w:r>
              <w:rPr>
                <w:rFonts w:hint="eastAsia" w:ascii="Times New Roman" w:hAnsi="Times New Roman" w:eastAsia="黑体" w:cs="Times New Roman"/>
                <w:b w:val="0"/>
                <w:bCs/>
                <w:color w:val="auto"/>
                <w:spacing w:val="0"/>
                <w:w w:val="100"/>
                <w:sz w:val="24"/>
                <w:highlight w:val="none"/>
                <w:lang w:val="en-US" w:eastAsia="zh-CN"/>
              </w:rPr>
              <w:t>的符合性分析</w:t>
            </w:r>
          </w:p>
          <w:tbl>
            <w:tblPr>
              <w:tblStyle w:val="23"/>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070"/>
              <w:gridCol w:w="2085"/>
              <w:gridCol w:w="744"/>
            </w:tblGrid>
            <w:tr w14:paraId="00E81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0BE19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管控</w:t>
                  </w:r>
                </w:p>
                <w:p w14:paraId="2F8F3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类别</w:t>
                  </w:r>
                </w:p>
              </w:tc>
              <w:tc>
                <w:tcPr>
                  <w:tcW w:w="2362" w:type="pct"/>
                  <w:tcBorders>
                    <w:tl2br w:val="nil"/>
                    <w:tr2bl w:val="nil"/>
                  </w:tcBorders>
                  <w:noWrap w:val="0"/>
                  <w:vAlign w:val="center"/>
                </w:tcPr>
                <w:p w14:paraId="24070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内容</w:t>
                  </w:r>
                </w:p>
              </w:tc>
              <w:tc>
                <w:tcPr>
                  <w:tcW w:w="1604" w:type="pct"/>
                  <w:tcBorders>
                    <w:tl2br w:val="nil"/>
                    <w:tr2bl w:val="nil"/>
                  </w:tcBorders>
                  <w:noWrap w:val="0"/>
                  <w:vAlign w:val="center"/>
                </w:tcPr>
                <w:p w14:paraId="5C7B6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本项目情况</w:t>
                  </w:r>
                </w:p>
              </w:tc>
              <w:tc>
                <w:tcPr>
                  <w:tcW w:w="571" w:type="pct"/>
                  <w:tcBorders>
                    <w:tl2br w:val="nil"/>
                    <w:tr2bl w:val="nil"/>
                  </w:tcBorders>
                  <w:noWrap w:val="0"/>
                  <w:vAlign w:val="center"/>
                </w:tcPr>
                <w:p w14:paraId="5B1A67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14:paraId="13DA7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73C46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空间布局约束</w:t>
                  </w:r>
                </w:p>
              </w:tc>
              <w:tc>
                <w:tcPr>
                  <w:tcW w:w="2362" w:type="pct"/>
                  <w:tcBorders>
                    <w:tl2br w:val="nil"/>
                    <w:tr2bl w:val="nil"/>
                  </w:tcBorders>
                  <w:noWrap w:val="0"/>
                  <w:vAlign w:val="center"/>
                </w:tcPr>
                <w:p w14:paraId="496BF2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1"/>
                      <w:kern w:val="2"/>
                      <w:sz w:val="21"/>
                      <w:szCs w:val="24"/>
                      <w:highlight w:val="none"/>
                      <w:lang w:val="en-US" w:eastAsia="zh-CN" w:bidi="ar-SA"/>
                    </w:rPr>
                    <w:t>1、</w:t>
                  </w:r>
                  <w:r>
                    <w:rPr>
                      <w:rFonts w:hint="eastAsia" w:ascii="Times New Roman" w:hAnsi="Times New Roman" w:eastAsia="宋体" w:cs="Times New Roman"/>
                      <w:color w:val="auto"/>
                      <w:spacing w:val="-1"/>
                      <w:kern w:val="2"/>
                      <w:sz w:val="21"/>
                      <w:szCs w:val="24"/>
                      <w:highlight w:val="none"/>
                      <w:lang w:val="en-US" w:eastAsia="zh-CN" w:bidi="ar-SA"/>
                    </w:rPr>
                    <w:t>执行山西省、长治市空间布局准入要求。</w:t>
                  </w:r>
                </w:p>
              </w:tc>
              <w:tc>
                <w:tcPr>
                  <w:tcW w:w="1604" w:type="pct"/>
                  <w:tcBorders>
                    <w:tl2br w:val="nil"/>
                    <w:tr2bl w:val="nil"/>
                  </w:tcBorders>
                  <w:noWrap w:val="0"/>
                  <w:vAlign w:val="center"/>
                </w:tcPr>
                <w:p w14:paraId="51E167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pacing w:val="-1"/>
                      <w:highlight w:val="none"/>
                      <w:lang w:val="en-US" w:eastAsia="zh-CN"/>
                    </w:rPr>
                  </w:pPr>
                  <w:r>
                    <w:rPr>
                      <w:rFonts w:hint="eastAsia"/>
                      <w:color w:val="auto"/>
                      <w:spacing w:val="-1"/>
                      <w:highlight w:val="none"/>
                      <w:lang w:val="en-US" w:eastAsia="zh-CN"/>
                    </w:rPr>
                    <w:t>严格</w:t>
                  </w:r>
                  <w:r>
                    <w:rPr>
                      <w:rFonts w:hint="default" w:eastAsia="宋体"/>
                      <w:color w:val="auto"/>
                      <w:spacing w:val="-1"/>
                      <w:highlight w:val="none"/>
                      <w:lang w:val="en-US" w:eastAsia="zh-CN"/>
                    </w:rPr>
                    <w:t>执行山西省、长治市空间布局准入要求。本项目不属于</w:t>
                  </w:r>
                  <w:r>
                    <w:rPr>
                      <w:rFonts w:hint="eastAsia"/>
                      <w:color w:val="auto"/>
                      <w:spacing w:val="-1"/>
                      <w:highlight w:val="none"/>
                      <w:lang w:val="en-US" w:eastAsia="zh-CN"/>
                    </w:rPr>
                    <w:t>“</w:t>
                  </w:r>
                  <w:r>
                    <w:rPr>
                      <w:rFonts w:hint="default" w:eastAsia="宋体"/>
                      <w:color w:val="auto"/>
                      <w:spacing w:val="-1"/>
                      <w:highlight w:val="none"/>
                      <w:lang w:val="en-US" w:eastAsia="zh-CN"/>
                    </w:rPr>
                    <w:t>两高</w:t>
                  </w:r>
                  <w:r>
                    <w:rPr>
                      <w:rFonts w:hint="eastAsia"/>
                      <w:color w:val="auto"/>
                      <w:spacing w:val="-1"/>
                      <w:highlight w:val="none"/>
                      <w:lang w:val="en-US" w:eastAsia="zh-CN"/>
                    </w:rPr>
                    <w:t>”</w:t>
                  </w:r>
                  <w:r>
                    <w:rPr>
                      <w:rFonts w:hint="default" w:eastAsia="宋体"/>
                      <w:color w:val="auto"/>
                      <w:spacing w:val="-1"/>
                      <w:highlight w:val="none"/>
                      <w:lang w:val="en-US" w:eastAsia="zh-CN"/>
                    </w:rPr>
                    <w:t>项目，项目不在生态保护红线范围内</w:t>
                  </w:r>
                  <w:r>
                    <w:rPr>
                      <w:rFonts w:hint="eastAsia"/>
                      <w:color w:val="auto"/>
                      <w:spacing w:val="-1"/>
                      <w:highlight w:val="none"/>
                      <w:lang w:val="en-US" w:eastAsia="zh-CN"/>
                    </w:rPr>
                    <w:t>。</w:t>
                  </w:r>
                </w:p>
              </w:tc>
              <w:tc>
                <w:tcPr>
                  <w:tcW w:w="571" w:type="pct"/>
                  <w:tcBorders>
                    <w:tl2br w:val="nil"/>
                    <w:tr2bl w:val="nil"/>
                  </w:tcBorders>
                  <w:noWrap w:val="0"/>
                  <w:vAlign w:val="center"/>
                </w:tcPr>
                <w:p w14:paraId="40F16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r w14:paraId="1D95A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1B82A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污染物排放管控</w:t>
                  </w:r>
                </w:p>
              </w:tc>
              <w:tc>
                <w:tcPr>
                  <w:tcW w:w="2362" w:type="pct"/>
                  <w:tcBorders>
                    <w:tl2br w:val="nil"/>
                    <w:tr2bl w:val="nil"/>
                  </w:tcBorders>
                  <w:noWrap w:val="0"/>
                  <w:vAlign w:val="center"/>
                </w:tcPr>
                <w:p w14:paraId="6F86B7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执行山西省、长治市的污染物排放控制要求。</w:t>
                  </w:r>
                </w:p>
                <w:p w14:paraId="44EACA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加强工业炉窑深度治理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严格控制物料储存、输送及生产工艺过程无组织排放，加强煤炭等粉粒物料堆场扬尘控制。</w:t>
                  </w:r>
                </w:p>
                <w:p w14:paraId="2D0A0F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重点涉气排放企业取消烟气旁路</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因安全生产无法取消的</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安装在线监管系统。</w:t>
                  </w:r>
                </w:p>
              </w:tc>
              <w:tc>
                <w:tcPr>
                  <w:tcW w:w="1604" w:type="pct"/>
                  <w:tcBorders>
                    <w:tl2br w:val="nil"/>
                    <w:tr2bl w:val="nil"/>
                  </w:tcBorders>
                  <w:noWrap w:val="0"/>
                  <w:vAlign w:val="center"/>
                </w:tcPr>
                <w:p w14:paraId="12946E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严格执行山西省、长治市的污染物排放控制要求</w:t>
                  </w:r>
                  <w:r>
                    <w:rPr>
                      <w:rFonts w:hint="eastAsia"/>
                      <w:color w:val="auto"/>
                      <w:highlight w:val="none"/>
                      <w:lang w:val="en-US" w:eastAsia="zh-CN"/>
                    </w:rPr>
                    <w:t>。</w:t>
                  </w:r>
                </w:p>
                <w:p w14:paraId="621C38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严格控制物料储存、输送及生产工艺过程无组织排放建设全封闭储库房，并设置覆盖全场的喷淋</w:t>
                  </w:r>
                  <w:r>
                    <w:rPr>
                      <w:rFonts w:hint="eastAsia"/>
                      <w:color w:val="auto"/>
                      <w:highlight w:val="none"/>
                      <w:lang w:val="en-US" w:eastAsia="zh-CN"/>
                    </w:rPr>
                    <w:t>抑尘</w:t>
                  </w:r>
                  <w:r>
                    <w:rPr>
                      <w:rFonts w:hint="default"/>
                      <w:color w:val="auto"/>
                      <w:highlight w:val="none"/>
                      <w:lang w:val="en-US" w:eastAsia="zh-CN"/>
                    </w:rPr>
                    <w:t>装置</w:t>
                  </w:r>
                  <w:r>
                    <w:rPr>
                      <w:rFonts w:hint="eastAsia"/>
                      <w:color w:val="auto"/>
                      <w:highlight w:val="none"/>
                      <w:lang w:val="en-US" w:eastAsia="zh-CN"/>
                    </w:rPr>
                    <w:t>。</w:t>
                  </w:r>
                </w:p>
                <w:p w14:paraId="4E1A9F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color w:val="auto"/>
                      <w:highlight w:val="none"/>
                      <w:lang w:val="en-US" w:eastAsia="zh-CN"/>
                    </w:rPr>
                    <w:t>3、本项目不涉及。</w:t>
                  </w:r>
                </w:p>
              </w:tc>
              <w:tc>
                <w:tcPr>
                  <w:tcW w:w="571" w:type="pct"/>
                  <w:tcBorders>
                    <w:tl2br w:val="nil"/>
                    <w:tr2bl w:val="nil"/>
                  </w:tcBorders>
                  <w:noWrap w:val="0"/>
                  <w:vAlign w:val="center"/>
                </w:tcPr>
                <w:p w14:paraId="49C808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777B6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1C2D0C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环境风险防控</w:t>
                  </w:r>
                </w:p>
              </w:tc>
              <w:tc>
                <w:tcPr>
                  <w:tcW w:w="2362" w:type="pct"/>
                  <w:tcBorders>
                    <w:tl2br w:val="nil"/>
                    <w:tr2bl w:val="nil"/>
                  </w:tcBorders>
                  <w:noWrap w:val="0"/>
                  <w:vAlign w:val="center"/>
                </w:tcPr>
                <w:p w14:paraId="5FAB0B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制定环境风险应急预案，成立应急组织机构，定期开展应急风险防范能力。</w:t>
                  </w:r>
                </w:p>
                <w:p w14:paraId="2AADAE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严禁在漳泽湖生态保护与修复区域、城市(县城)规划区布局钢铁(不含短流程炼钢)、铸造(不含高端铸件)、水泥、有色等高污染项目，</w:t>
                  </w:r>
                </w:p>
                <w:p w14:paraId="45432C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以及危险化学品贮存、处理处置等高风险项目，支持城市(县城)建成区及周边重污染企业搬迁改造，大力推进企业建设节能环保水平高的先进产能项目。</w:t>
                  </w:r>
                </w:p>
              </w:tc>
              <w:tc>
                <w:tcPr>
                  <w:tcW w:w="1604" w:type="pct"/>
                  <w:tcBorders>
                    <w:tl2br w:val="nil"/>
                    <w:tr2bl w:val="nil"/>
                  </w:tcBorders>
                  <w:noWrap w:val="0"/>
                  <w:vAlign w:val="center"/>
                </w:tcPr>
                <w:p w14:paraId="0EB369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1、项目建成后，要求企业修订突发环境事件应急预案并向所在地生态环境部门备案。</w:t>
                  </w:r>
                </w:p>
                <w:p w14:paraId="6933A6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2、不属于钢铁(不含短流程炼钢)、铸造(不含高端铸件)、水泥、有色等高污染项目，以及危险化学品贮存、处理处置等高风险项目。</w:t>
                  </w:r>
                </w:p>
              </w:tc>
              <w:tc>
                <w:tcPr>
                  <w:tcW w:w="571" w:type="pct"/>
                  <w:tcBorders>
                    <w:tl2br w:val="nil"/>
                    <w:tr2bl w:val="nil"/>
                  </w:tcBorders>
                  <w:noWrap w:val="0"/>
                  <w:vAlign w:val="center"/>
                </w:tcPr>
                <w:p w14:paraId="243554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6526D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1978B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资源开发效率要求</w:t>
                  </w:r>
                </w:p>
              </w:tc>
              <w:tc>
                <w:tcPr>
                  <w:tcW w:w="2362" w:type="pct"/>
                  <w:tcBorders>
                    <w:tl2br w:val="nil"/>
                    <w:tr2bl w:val="nil"/>
                  </w:tcBorders>
                  <w:noWrap w:val="0"/>
                  <w:vAlign w:val="center"/>
                </w:tcPr>
                <w:p w14:paraId="4935F0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健全用水总量、用水强度控制指标体系，强化节水约束性指标考核，加快落实重点领域用水指标。</w:t>
                  </w:r>
                </w:p>
                <w:p w14:paraId="78129D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提升城市再生水利用水平，完善再生水利用设施，拓宽再生水利用渠道。</w:t>
                  </w:r>
                </w:p>
              </w:tc>
              <w:tc>
                <w:tcPr>
                  <w:tcW w:w="1604" w:type="pct"/>
                  <w:tcBorders>
                    <w:tl2br w:val="nil"/>
                    <w:tr2bl w:val="nil"/>
                  </w:tcBorders>
                  <w:noWrap w:val="0"/>
                  <w:vAlign w:val="center"/>
                </w:tcPr>
                <w:p w14:paraId="0469B13A">
                  <w:pPr>
                    <w:pStyle w:val="10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项目用水为厂区自备水井，已按照要求办理了取水手续，项目洗车废水、脱硫、</w:t>
                  </w:r>
                  <w:r>
                    <w:rPr>
                      <w:rFonts w:hint="eastAsia" w:ascii="Times New Roman" w:hAnsi="Times New Roman" w:cs="Times New Roman"/>
                      <w:color w:val="auto"/>
                      <w:spacing w:val="-2"/>
                      <w:sz w:val="21"/>
                      <w:szCs w:val="21"/>
                      <w:highlight w:val="none"/>
                      <w:lang w:val="en-US" w:eastAsia="zh-CN"/>
                    </w:rPr>
                    <w:t>湿电除尘</w:t>
                  </w:r>
                  <w:r>
                    <w:rPr>
                      <w:rFonts w:hint="eastAsia" w:ascii="Times New Roman" w:hAnsi="Times New Roman" w:eastAsia="宋体" w:cs="Times New Roman"/>
                      <w:color w:val="auto"/>
                      <w:sz w:val="21"/>
                      <w:szCs w:val="21"/>
                      <w:highlight w:val="none"/>
                      <w:lang w:val="en-US" w:eastAsia="zh-CN"/>
                    </w:rPr>
                    <w:t>废水循环使用，可有效推进节水建设。</w:t>
                  </w:r>
                </w:p>
              </w:tc>
              <w:tc>
                <w:tcPr>
                  <w:tcW w:w="571" w:type="pct"/>
                  <w:tcBorders>
                    <w:tl2br w:val="nil"/>
                    <w:tr2bl w:val="nil"/>
                  </w:tcBorders>
                  <w:noWrap w:val="0"/>
                  <w:vAlign w:val="center"/>
                </w:tcPr>
                <w:p w14:paraId="17DE2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14:paraId="2625B2BA">
            <w:pPr>
              <w:keepNext w:val="0"/>
              <w:keepLines w:val="0"/>
              <w:pageBreakBefore w:val="0"/>
              <w:widowControl w:val="0"/>
              <w:tabs>
                <w:tab w:val="left" w:pos="1560"/>
                <w:tab w:val="right" w:pos="8844"/>
              </w:tabs>
              <w:kinsoku/>
              <w:wordWrap/>
              <w:overflowPunct/>
              <w:topLinePunct w:val="0"/>
              <w:autoSpaceDE/>
              <w:autoSpaceDN/>
              <w:bidi w:val="0"/>
              <w:adjustRightInd/>
              <w:snapToGrid/>
              <w:spacing w:line="480" w:lineRule="exact"/>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sz w:val="24"/>
                <w:highlight w:val="none"/>
                <w:lang w:val="en-US" w:eastAsia="zh-CN"/>
              </w:rPr>
              <w:t>本项目与长治市生态环境准入总体要求的符合性分析如下。</w:t>
            </w:r>
          </w:p>
          <w:p w14:paraId="09075A87">
            <w:pPr>
              <w:keepNext w:val="0"/>
              <w:keepLines w:val="0"/>
              <w:pageBreakBefore w:val="0"/>
              <w:widowControl w:val="0"/>
              <w:tabs>
                <w:tab w:val="left" w:pos="1560"/>
                <w:tab w:val="right" w:pos="8844"/>
              </w:tabs>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z w:val="24"/>
                <w:szCs w:val="24"/>
                <w:highlight w:val="none"/>
                <w:lang w:val="en-US" w:eastAsia="zh-CN"/>
              </w:rPr>
            </w:pPr>
            <w:r>
              <w:rPr>
                <w:rFonts w:hint="default" w:ascii="Times New Roman" w:hAnsi="Times New Roman" w:eastAsia="黑体" w:cs="Times New Roman"/>
                <w:b w:val="0"/>
                <w:bCs/>
                <w:color w:val="auto"/>
                <w:sz w:val="24"/>
                <w:szCs w:val="24"/>
                <w:highlight w:val="none"/>
                <w:lang w:val="en-US" w:eastAsia="zh-CN"/>
              </w:rPr>
              <w:t>表1-</w:t>
            </w:r>
            <w:r>
              <w:rPr>
                <w:rFonts w:hint="eastAsia" w:eastAsia="黑体" w:cs="Times New Roman"/>
                <w:b w:val="0"/>
                <w:bCs/>
                <w:color w:val="auto"/>
                <w:sz w:val="24"/>
                <w:szCs w:val="24"/>
                <w:highlight w:val="none"/>
                <w:lang w:val="en-US" w:eastAsia="zh-CN"/>
              </w:rPr>
              <w:t>2</w:t>
            </w:r>
            <w:r>
              <w:rPr>
                <w:rFonts w:hint="default" w:ascii="Times New Roman" w:hAnsi="Times New Roman" w:eastAsia="黑体" w:cs="Times New Roman"/>
                <w:b w:val="0"/>
                <w:bCs/>
                <w:color w:val="auto"/>
                <w:sz w:val="24"/>
                <w:szCs w:val="24"/>
                <w:highlight w:val="none"/>
                <w:lang w:val="en-US" w:eastAsia="zh-CN"/>
              </w:rPr>
              <w:t xml:space="preserve">  与长治市生态环境准入总体要求的符合性分析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4"/>
              <w:gridCol w:w="4187"/>
              <w:gridCol w:w="1255"/>
              <w:gridCol w:w="458"/>
            </w:tblGrid>
            <w:tr w14:paraId="6620D1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4" w:type="pct"/>
                  <w:tcBorders>
                    <w:top w:val="single" w:color="auto" w:sz="12" w:space="0"/>
                    <w:left w:val="nil"/>
                    <w:bottom w:val="single" w:color="auto" w:sz="6" w:space="0"/>
                    <w:right w:val="single" w:color="auto" w:sz="6" w:space="0"/>
                    <w:tl2br w:val="nil"/>
                    <w:tr2bl w:val="nil"/>
                  </w:tcBorders>
                  <w:noWrap w:val="0"/>
                  <w:vAlign w:val="center"/>
                </w:tcPr>
                <w:p w14:paraId="15D9D8F8">
                  <w:pPr>
                    <w:autoSpaceDE w:val="0"/>
                    <w:autoSpaceDN w:val="0"/>
                    <w:adjustRightInd w:val="0"/>
                    <w:snapToGrid w:val="0"/>
                    <w:spacing w:beforeLines="0" w:afterLines="0"/>
                    <w:jc w:val="center"/>
                    <w:rPr>
                      <w:rFonts w:hint="default" w:ascii="Times New Roman" w:hAnsi="Times New Roman" w:cs="Times New Roman"/>
                      <w:b/>
                      <w:color w:val="auto"/>
                      <w:kern w:val="0"/>
                      <w:sz w:val="21"/>
                      <w:szCs w:val="24"/>
                    </w:rPr>
                  </w:pPr>
                  <w:r>
                    <w:rPr>
                      <w:rFonts w:hint="default" w:ascii="Times New Roman" w:hAnsi="Times New Roman" w:eastAsia="宋体" w:cs="Times New Roman"/>
                      <w:b/>
                      <w:color w:val="auto"/>
                      <w:kern w:val="0"/>
                      <w:sz w:val="21"/>
                      <w:szCs w:val="24"/>
                    </w:rPr>
                    <w:t>管控类别</w:t>
                  </w:r>
                </w:p>
              </w:tc>
              <w:tc>
                <w:tcPr>
                  <w:tcW w:w="3218" w:type="pct"/>
                  <w:tcBorders>
                    <w:top w:val="single" w:color="auto" w:sz="12" w:space="0"/>
                    <w:left w:val="single" w:color="auto" w:sz="6" w:space="0"/>
                    <w:bottom w:val="single" w:color="auto" w:sz="6" w:space="0"/>
                    <w:right w:val="single" w:color="auto" w:sz="6" w:space="0"/>
                    <w:tl2br w:val="nil"/>
                    <w:tr2bl w:val="nil"/>
                  </w:tcBorders>
                  <w:noWrap w:val="0"/>
                  <w:vAlign w:val="center"/>
                </w:tcPr>
                <w:p w14:paraId="7B80F2B4">
                  <w:pPr>
                    <w:autoSpaceDE w:val="0"/>
                    <w:autoSpaceDN w:val="0"/>
                    <w:adjustRightInd w:val="0"/>
                    <w:snapToGrid w:val="0"/>
                    <w:spacing w:beforeLines="0" w:afterLines="0"/>
                    <w:jc w:val="center"/>
                    <w:rPr>
                      <w:rFonts w:hint="default" w:ascii="Times New Roman" w:hAnsi="Times New Roman" w:cs="Times New Roman"/>
                      <w:b/>
                      <w:color w:val="auto"/>
                      <w:kern w:val="0"/>
                      <w:sz w:val="21"/>
                      <w:szCs w:val="24"/>
                    </w:rPr>
                  </w:pPr>
                  <w:r>
                    <w:rPr>
                      <w:rFonts w:hint="default" w:ascii="Times New Roman" w:hAnsi="Times New Roman" w:eastAsia="宋体" w:cs="Times New Roman"/>
                      <w:b/>
                      <w:color w:val="auto"/>
                      <w:kern w:val="0"/>
                      <w:sz w:val="21"/>
                      <w:szCs w:val="24"/>
                    </w:rPr>
                    <w:t>管控要求</w:t>
                  </w:r>
                </w:p>
              </w:tc>
              <w:tc>
                <w:tcPr>
                  <w:tcW w:w="965" w:type="pct"/>
                  <w:tcBorders>
                    <w:top w:val="single" w:color="auto" w:sz="12" w:space="0"/>
                    <w:left w:val="single" w:color="auto" w:sz="6" w:space="0"/>
                    <w:bottom w:val="single" w:color="auto" w:sz="6" w:space="0"/>
                    <w:right w:val="single" w:color="auto" w:sz="6" w:space="0"/>
                    <w:tl2br w:val="nil"/>
                    <w:tr2bl w:val="nil"/>
                  </w:tcBorders>
                  <w:noWrap w:val="0"/>
                  <w:vAlign w:val="center"/>
                </w:tcPr>
                <w:p w14:paraId="14D06B6E">
                  <w:pPr>
                    <w:autoSpaceDE w:val="0"/>
                    <w:autoSpaceDN w:val="0"/>
                    <w:adjustRightInd w:val="0"/>
                    <w:snapToGrid w:val="0"/>
                    <w:spacing w:beforeLines="0" w:afterLines="0"/>
                    <w:jc w:val="center"/>
                    <w:rPr>
                      <w:rFonts w:hint="default" w:ascii="Times New Roman" w:hAnsi="Times New Roman" w:cs="Times New Roman"/>
                      <w:b/>
                      <w:color w:val="auto"/>
                      <w:kern w:val="0"/>
                      <w:sz w:val="21"/>
                      <w:szCs w:val="24"/>
                    </w:rPr>
                  </w:pPr>
                  <w:r>
                    <w:rPr>
                      <w:rFonts w:hint="default" w:ascii="Times New Roman" w:hAnsi="Times New Roman" w:eastAsia="宋体" w:cs="Times New Roman"/>
                      <w:b/>
                      <w:color w:val="auto"/>
                      <w:kern w:val="0"/>
                      <w:sz w:val="21"/>
                      <w:szCs w:val="24"/>
                    </w:rPr>
                    <w:t>项目情况</w:t>
                  </w:r>
                </w:p>
              </w:tc>
              <w:tc>
                <w:tcPr>
                  <w:tcW w:w="352" w:type="pct"/>
                  <w:tcBorders>
                    <w:top w:val="single" w:color="auto" w:sz="12" w:space="0"/>
                    <w:left w:val="single" w:color="auto" w:sz="6" w:space="0"/>
                    <w:bottom w:val="single" w:color="auto" w:sz="6" w:space="0"/>
                    <w:right w:val="nil"/>
                    <w:tl2br w:val="nil"/>
                    <w:tr2bl w:val="nil"/>
                  </w:tcBorders>
                  <w:noWrap w:val="0"/>
                  <w:vAlign w:val="center"/>
                </w:tcPr>
                <w:p w14:paraId="00A99C10">
                  <w:pPr>
                    <w:autoSpaceDE w:val="0"/>
                    <w:autoSpaceDN w:val="0"/>
                    <w:adjustRightInd w:val="0"/>
                    <w:snapToGrid w:val="0"/>
                    <w:spacing w:beforeLines="0" w:afterLines="0"/>
                    <w:jc w:val="center"/>
                    <w:rPr>
                      <w:rFonts w:hint="default" w:ascii="Times New Roman" w:hAnsi="Times New Roman" w:cs="Times New Roman"/>
                      <w:b/>
                      <w:color w:val="auto"/>
                      <w:kern w:val="0"/>
                      <w:sz w:val="21"/>
                      <w:szCs w:val="24"/>
                    </w:rPr>
                  </w:pPr>
                  <w:r>
                    <w:rPr>
                      <w:rFonts w:hint="default" w:ascii="Times New Roman" w:hAnsi="Times New Roman" w:eastAsia="宋体" w:cs="Times New Roman"/>
                      <w:b/>
                      <w:color w:val="auto"/>
                      <w:kern w:val="0"/>
                      <w:sz w:val="21"/>
                      <w:szCs w:val="24"/>
                    </w:rPr>
                    <w:t>符合性</w:t>
                  </w:r>
                </w:p>
              </w:tc>
            </w:tr>
            <w:tr w14:paraId="09A37E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4" w:type="pct"/>
                  <w:tcBorders>
                    <w:top w:val="single" w:color="auto" w:sz="6" w:space="0"/>
                    <w:left w:val="nil"/>
                    <w:bottom w:val="single" w:color="auto" w:sz="6" w:space="0"/>
                    <w:right w:val="single" w:color="auto" w:sz="6" w:space="0"/>
                    <w:tl2br w:val="nil"/>
                    <w:tr2bl w:val="nil"/>
                  </w:tcBorders>
                  <w:noWrap w:val="0"/>
                  <w:vAlign w:val="center"/>
                </w:tcPr>
                <w:p w14:paraId="0F61338F">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空间布局约束</w:t>
                  </w:r>
                </w:p>
              </w:tc>
              <w:tc>
                <w:tcPr>
                  <w:tcW w:w="32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9BCB457">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1.</w:t>
                  </w:r>
                  <w:r>
                    <w:rPr>
                      <w:rFonts w:hint="default" w:ascii="Times New Roman" w:hAnsi="Times New Roman" w:eastAsia="宋体" w:cs="Times New Roman"/>
                      <w:color w:val="auto"/>
                      <w:kern w:val="0"/>
                      <w:sz w:val="21"/>
                      <w:szCs w:val="24"/>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29D19E51">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2.</w:t>
                  </w:r>
                  <w:r>
                    <w:rPr>
                      <w:rFonts w:hint="default" w:ascii="Times New Roman" w:hAnsi="Times New Roman" w:eastAsia="宋体" w:cs="Times New Roman"/>
                      <w:color w:val="auto"/>
                      <w:kern w:val="0"/>
                      <w:sz w:val="21"/>
                      <w:szCs w:val="24"/>
                    </w:rPr>
                    <w:t>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p w14:paraId="3021B3FF">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3.</w:t>
                  </w:r>
                  <w:r>
                    <w:rPr>
                      <w:rFonts w:hint="default" w:ascii="Times New Roman" w:hAnsi="Times New Roman" w:eastAsia="宋体" w:cs="Times New Roman"/>
                      <w:color w:val="auto"/>
                      <w:kern w:val="0"/>
                      <w:sz w:val="21"/>
                      <w:szCs w:val="24"/>
                    </w:rPr>
                    <w:t>新建、扩建“两高”项目应采用先进适用的工艺技术和装备，单位产品物耗、能耗、水耗等达到清洁生产先进水平，依法制定并严格落实防治土壤与地下水污染的措施。</w:t>
                  </w:r>
                </w:p>
                <w:p w14:paraId="1D226345">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4.</w:t>
                  </w:r>
                  <w:r>
                    <w:rPr>
                      <w:rFonts w:hint="default" w:ascii="Times New Roman" w:hAnsi="Times New Roman" w:eastAsia="宋体" w:cs="Times New Roman"/>
                      <w:color w:val="auto"/>
                      <w:kern w:val="0"/>
                      <w:sz w:val="21"/>
                      <w:szCs w:val="24"/>
                    </w:rPr>
                    <w:t>对纳入生态保护红线的区域，原则上按照禁止开发区域进行管理，严格禁止开发性、生产性建设活动，在符合现行法律法规前提下，除国家重大战略项目外，仅允许对生态功能不造成破坏的有限人为活动。</w:t>
                  </w:r>
                </w:p>
                <w:p w14:paraId="45146E84">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5.</w:t>
                  </w:r>
                  <w:r>
                    <w:rPr>
                      <w:rFonts w:hint="default" w:ascii="Times New Roman" w:hAnsi="Times New Roman" w:eastAsia="宋体" w:cs="Times New Roman"/>
                      <w:color w:val="auto"/>
                      <w:kern w:val="0"/>
                      <w:sz w:val="21"/>
                      <w:szCs w:val="24"/>
                    </w:rPr>
                    <w:t>在禁养区内禁止新建规模化畜禽养殖项目。</w:t>
                  </w:r>
                </w:p>
                <w:p w14:paraId="20AF4DC4">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6.</w:t>
                  </w:r>
                  <w:r>
                    <w:rPr>
                      <w:rFonts w:hint="default" w:ascii="Times New Roman" w:hAnsi="Times New Roman" w:eastAsia="宋体" w:cs="Times New Roman"/>
                      <w:color w:val="auto"/>
                      <w:kern w:val="0"/>
                      <w:sz w:val="21"/>
                      <w:szCs w:val="24"/>
                    </w:rPr>
                    <w:t>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14:paraId="192796EF">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7.</w:t>
                  </w:r>
                  <w:r>
                    <w:rPr>
                      <w:rFonts w:hint="default" w:ascii="Times New Roman" w:hAnsi="Times New Roman" w:eastAsia="宋体" w:cs="Times New Roman"/>
                      <w:color w:val="auto"/>
                      <w:kern w:val="0"/>
                      <w:sz w:val="21"/>
                      <w:szCs w:val="24"/>
                    </w:rPr>
                    <w:t>禁止在居民区和学校、医院、疗养院、养老院、幼儿园等单位周边新建、改建、扩建可能造成土壤污染的建设项目。</w:t>
                  </w:r>
                </w:p>
                <w:p w14:paraId="6B458BD3">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8.</w:t>
                  </w:r>
                  <w:r>
                    <w:rPr>
                      <w:rFonts w:hint="default" w:ascii="Times New Roman" w:hAnsi="Times New Roman" w:eastAsia="宋体" w:cs="Times New Roman"/>
                      <w:color w:val="auto"/>
                      <w:kern w:val="0"/>
                      <w:sz w:val="21"/>
                      <w:szCs w:val="24"/>
                    </w:rPr>
                    <w:t>禁止新增钢铁、焦化、铸造、水泥、平板玻璃等产能；确有必要新建的，应当严格执行产能置换，符合区域、行业规划环评规定。</w:t>
                  </w:r>
                </w:p>
              </w:tc>
              <w:tc>
                <w:tcPr>
                  <w:tcW w:w="96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E9804DA">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本项目不属于“两高”项目，污染物不需要进行区域削减，项目不在生态保护红线范围内</w:t>
                  </w:r>
                </w:p>
              </w:tc>
              <w:tc>
                <w:tcPr>
                  <w:tcW w:w="352" w:type="pct"/>
                  <w:tcBorders>
                    <w:top w:val="single" w:color="auto" w:sz="6" w:space="0"/>
                    <w:left w:val="single" w:color="auto" w:sz="6" w:space="0"/>
                    <w:bottom w:val="single" w:color="auto" w:sz="6" w:space="0"/>
                    <w:right w:val="nil"/>
                    <w:tl2br w:val="nil"/>
                    <w:tr2bl w:val="nil"/>
                  </w:tcBorders>
                  <w:noWrap w:val="0"/>
                  <w:vAlign w:val="center"/>
                </w:tcPr>
                <w:p w14:paraId="328E806F">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符合</w:t>
                  </w:r>
                </w:p>
              </w:tc>
            </w:tr>
            <w:tr w14:paraId="5B9315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4" w:type="pct"/>
                  <w:tcBorders>
                    <w:top w:val="single" w:color="auto" w:sz="6" w:space="0"/>
                    <w:left w:val="nil"/>
                    <w:bottom w:val="single" w:color="auto" w:sz="6" w:space="0"/>
                    <w:right w:val="single" w:color="auto" w:sz="6" w:space="0"/>
                    <w:tl2br w:val="nil"/>
                    <w:tr2bl w:val="nil"/>
                  </w:tcBorders>
                  <w:noWrap w:val="0"/>
                  <w:vAlign w:val="center"/>
                </w:tcPr>
                <w:p w14:paraId="3D5B3DBB">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污染物排放管控</w:t>
                  </w:r>
                </w:p>
              </w:tc>
              <w:tc>
                <w:tcPr>
                  <w:tcW w:w="32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0E6321">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1.</w:t>
                  </w:r>
                  <w:r>
                    <w:rPr>
                      <w:rFonts w:hint="default" w:ascii="Times New Roman" w:hAnsi="Times New Roman" w:eastAsia="宋体" w:cs="Times New Roman"/>
                      <w:color w:val="auto"/>
                      <w:kern w:val="0"/>
                      <w:sz w:val="21"/>
                      <w:szCs w:val="24"/>
                    </w:rPr>
                    <w:t>污染物排放总量严格落实“十四五”相关目标指标。</w:t>
                  </w:r>
                </w:p>
                <w:p w14:paraId="5C6AF4CC">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2.</w:t>
                  </w:r>
                  <w:r>
                    <w:rPr>
                      <w:rFonts w:hint="default" w:ascii="Times New Roman" w:hAnsi="Times New Roman" w:eastAsia="宋体" w:cs="Times New Roman"/>
                      <w:color w:val="auto"/>
                      <w:kern w:val="0"/>
                      <w:sz w:val="21"/>
                      <w:szCs w:val="24"/>
                    </w:rPr>
                    <w:t>工业企业废水及生活污水(含浓盐水等清净下水)处理设施出水水质达到《污水综合排放标准》(DB14/1928 -2019)要求，其它指标达行业特别排放限值，将废污水排入城镇排水设施的所有工业、医疗机构执行排水许可证要求。</w:t>
                  </w:r>
                </w:p>
                <w:p w14:paraId="5F5DFB85">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3.</w:t>
                  </w:r>
                  <w:r>
                    <w:rPr>
                      <w:rFonts w:hint="default" w:ascii="Times New Roman" w:hAnsi="Times New Roman" w:eastAsia="宋体" w:cs="Times New Roman"/>
                      <w:color w:val="auto"/>
                      <w:kern w:val="0"/>
                      <w:sz w:val="21"/>
                      <w:szCs w:val="24"/>
                    </w:rPr>
                    <w:t>火电、炼钢行业执行超低排放标准。</w:t>
                  </w:r>
                </w:p>
                <w:p w14:paraId="1F3830FD">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4.</w:t>
                  </w:r>
                  <w:r>
                    <w:rPr>
                      <w:rFonts w:hint="default" w:ascii="Times New Roman" w:hAnsi="Times New Roman" w:eastAsia="宋体" w:cs="Times New Roman"/>
                      <w:color w:val="auto"/>
                      <w:kern w:val="0"/>
                      <w:sz w:val="21"/>
                      <w:szCs w:val="24"/>
                    </w:rPr>
                    <w:t>焦化、水泥行业按要求完成超低排放改造，污染物排放执行超低排放标准。</w:t>
                  </w:r>
                </w:p>
                <w:p w14:paraId="1D75CAFE">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5.</w:t>
                  </w:r>
                  <w:r>
                    <w:rPr>
                      <w:rFonts w:hint="default" w:ascii="Times New Roman" w:hAnsi="Times New Roman" w:eastAsia="宋体" w:cs="Times New Roman"/>
                      <w:color w:val="auto"/>
                      <w:kern w:val="0"/>
                      <w:sz w:val="21"/>
                      <w:szCs w:val="24"/>
                    </w:rPr>
                    <w:t>加强建筑施工扬尘动态监管，严格落实“六个百分之百”防治措施。</w:t>
                  </w:r>
                </w:p>
                <w:p w14:paraId="7A277459">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6.</w:t>
                  </w:r>
                  <w:r>
                    <w:rPr>
                      <w:rFonts w:hint="default" w:ascii="Times New Roman" w:hAnsi="Times New Roman" w:eastAsia="宋体" w:cs="Times New Roman"/>
                      <w:color w:val="auto"/>
                      <w:kern w:val="0"/>
                      <w:sz w:val="21"/>
                      <w:szCs w:val="24"/>
                    </w:rPr>
                    <w:t>贮存煤炭、煤矸石、煤渣、煤灰、水泥、石灰、石膏、砂土等易产生扬尘的物料应当密闭，并采取有效抑尘措施。</w:t>
                  </w:r>
                </w:p>
                <w:p w14:paraId="077E48B6">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7.</w:t>
                  </w:r>
                  <w:r>
                    <w:rPr>
                      <w:rFonts w:hint="default" w:ascii="Times New Roman" w:hAnsi="Times New Roman" w:eastAsia="宋体" w:cs="Times New Roman"/>
                      <w:color w:val="auto"/>
                      <w:kern w:val="0"/>
                      <w:sz w:val="21"/>
                      <w:szCs w:val="24"/>
                    </w:rPr>
                    <w:t>运输煤炭、垃圾、渣土、砂石、土方、灰浆等散装、流体物料的车辆应当采取密闭或者其他措施防止物料遗撒造成扬尘污染，并按照规定路线行驶。</w:t>
                  </w:r>
                </w:p>
                <w:p w14:paraId="6BD00D63">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8.</w:t>
                  </w:r>
                  <w:r>
                    <w:rPr>
                      <w:rFonts w:hint="default" w:ascii="Times New Roman" w:hAnsi="Times New Roman" w:eastAsia="宋体" w:cs="Times New Roman"/>
                      <w:color w:val="auto"/>
                      <w:kern w:val="0"/>
                      <w:sz w:val="21"/>
                      <w:szCs w:val="24"/>
                    </w:rPr>
                    <w:t>从事有色金属矿采选、有色金属冶炼、铅蓄电池制造、皮革及其制品制造、化学原料以及化学制品制造、电镀等的单位，应当执行重金属污染物排放总量控制制度。</w:t>
                  </w:r>
                </w:p>
              </w:tc>
              <w:tc>
                <w:tcPr>
                  <w:tcW w:w="96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AB16EED">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highlight w:val="none"/>
                    </w:rPr>
                    <w:t>本项目</w:t>
                  </w:r>
                  <w:r>
                    <w:rPr>
                      <w:rFonts w:hint="default" w:ascii="Times New Roman" w:hAnsi="Times New Roman" w:cs="Times New Roman"/>
                      <w:color w:val="auto"/>
                      <w:kern w:val="0"/>
                      <w:sz w:val="21"/>
                      <w:szCs w:val="24"/>
                      <w:highlight w:val="none"/>
                      <w:lang w:val="en-US" w:eastAsia="zh-CN"/>
                    </w:rPr>
                    <w:t>废水循环使用，不外排</w:t>
                  </w:r>
                  <w:r>
                    <w:rPr>
                      <w:rFonts w:hint="default" w:ascii="Times New Roman" w:hAnsi="Times New Roman" w:cs="Times New Roman"/>
                      <w:color w:val="auto"/>
                      <w:kern w:val="0"/>
                      <w:sz w:val="21"/>
                      <w:szCs w:val="24"/>
                      <w:highlight w:val="none"/>
                      <w:lang w:eastAsia="zh-CN"/>
                    </w:rPr>
                    <w:t>；</w:t>
                  </w:r>
                  <w:r>
                    <w:rPr>
                      <w:rFonts w:hint="default" w:ascii="Times New Roman" w:hAnsi="Times New Roman" w:eastAsia="宋体" w:cs="Times New Roman"/>
                      <w:color w:val="auto"/>
                      <w:sz w:val="21"/>
                      <w:szCs w:val="24"/>
                      <w:highlight w:val="none"/>
                    </w:rPr>
                    <w:t>生活污水</w:t>
                  </w:r>
                  <w:r>
                    <w:rPr>
                      <w:rFonts w:hint="default" w:ascii="Times New Roman" w:hAnsi="Times New Roman" w:cs="Times New Roman"/>
                      <w:color w:val="auto"/>
                      <w:sz w:val="21"/>
                      <w:szCs w:val="24"/>
                      <w:highlight w:val="none"/>
                      <w:lang w:val="en-US" w:eastAsia="zh-CN"/>
                    </w:rPr>
                    <w:t>目前排入化粪池，定期清掏</w:t>
                  </w:r>
                  <w:r>
                    <w:rPr>
                      <w:rFonts w:hint="default" w:ascii="Times New Roman" w:hAnsi="Times New Roman" w:eastAsia="宋体" w:cs="Times New Roman"/>
                      <w:color w:val="auto"/>
                      <w:kern w:val="0"/>
                      <w:sz w:val="21"/>
                      <w:szCs w:val="24"/>
                      <w:highlight w:val="none"/>
                    </w:rPr>
                    <w:t>；原料全部储存在全封闭的库房内，并设置覆盖全场的喷淋洒水装置；运输车辆采用封闭厢式车运输</w:t>
                  </w:r>
                </w:p>
              </w:tc>
              <w:tc>
                <w:tcPr>
                  <w:tcW w:w="352" w:type="pct"/>
                  <w:tcBorders>
                    <w:top w:val="single" w:color="auto" w:sz="6" w:space="0"/>
                    <w:left w:val="single" w:color="auto" w:sz="6" w:space="0"/>
                    <w:bottom w:val="single" w:color="auto" w:sz="6" w:space="0"/>
                    <w:right w:val="nil"/>
                    <w:tl2br w:val="nil"/>
                    <w:tr2bl w:val="nil"/>
                  </w:tcBorders>
                  <w:noWrap w:val="0"/>
                  <w:vAlign w:val="center"/>
                </w:tcPr>
                <w:p w14:paraId="2EA8A4BE">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符合</w:t>
                  </w:r>
                </w:p>
              </w:tc>
            </w:tr>
            <w:tr w14:paraId="764B1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4" w:type="pct"/>
                  <w:tcBorders>
                    <w:top w:val="single" w:color="auto" w:sz="6" w:space="0"/>
                    <w:left w:val="nil"/>
                    <w:bottom w:val="single" w:color="auto" w:sz="12" w:space="0"/>
                    <w:right w:val="single" w:color="auto" w:sz="6" w:space="0"/>
                    <w:tl2br w:val="nil"/>
                    <w:tr2bl w:val="nil"/>
                  </w:tcBorders>
                  <w:noWrap w:val="0"/>
                  <w:vAlign w:val="center"/>
                </w:tcPr>
                <w:p w14:paraId="3DE3C391">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环境风险防控</w:t>
                  </w:r>
                </w:p>
              </w:tc>
              <w:tc>
                <w:tcPr>
                  <w:tcW w:w="3218"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2B732C5">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1.</w:t>
                  </w:r>
                  <w:r>
                    <w:rPr>
                      <w:rFonts w:hint="default" w:ascii="Times New Roman" w:hAnsi="Times New Roman" w:eastAsia="宋体" w:cs="Times New Roman"/>
                      <w:color w:val="auto"/>
                      <w:kern w:val="0"/>
                      <w:sz w:val="21"/>
                      <w:szCs w:val="24"/>
                    </w:rPr>
                    <w:t>企事业单位和其他生产经营者按照相关规定编制突发环境事件应急预案并向所在地县(区)生态环境部门报备。</w:t>
                  </w:r>
                </w:p>
                <w:p w14:paraId="17B8FADF">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2.</w:t>
                  </w:r>
                  <w:r>
                    <w:rPr>
                      <w:rFonts w:hint="default" w:ascii="Times New Roman" w:hAnsi="Times New Roman" w:eastAsia="宋体" w:cs="Times New Roman"/>
                      <w:color w:val="auto"/>
                      <w:kern w:val="0"/>
                      <w:sz w:val="21"/>
                      <w:szCs w:val="24"/>
                    </w:rPr>
                    <w:t>煤矸石、粉煤灰、电石渣等，一般工业固体废物贮存、利用、处置要符合相关规范要求。</w:t>
                  </w:r>
                </w:p>
                <w:p w14:paraId="60F01C55">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3.</w:t>
                  </w:r>
                  <w:r>
                    <w:rPr>
                      <w:rFonts w:hint="default" w:ascii="Times New Roman" w:hAnsi="Times New Roman" w:eastAsia="宋体" w:cs="Times New Roman"/>
                      <w:color w:val="auto"/>
                      <w:kern w:val="0"/>
                      <w:sz w:val="21"/>
                      <w:szCs w:val="24"/>
                    </w:rPr>
                    <w:t>所有危险废物一律规范收集、贮存、转运、利用、处置。</w:t>
                  </w:r>
                </w:p>
                <w:p w14:paraId="4D597758">
                  <w:pPr>
                    <w:autoSpaceDE w:val="0"/>
                    <w:autoSpaceDN w:val="0"/>
                    <w:adjustRightInd w:val="0"/>
                    <w:snapToGrid w:val="0"/>
                    <w:spacing w:beforeLines="0" w:afterLines="0"/>
                    <w:jc w:val="left"/>
                    <w:rPr>
                      <w:rFonts w:hint="default" w:ascii="Times New Roman" w:hAnsi="Times New Roman" w:cs="Times New Roman"/>
                      <w:color w:val="auto"/>
                      <w:kern w:val="0"/>
                      <w:sz w:val="21"/>
                      <w:szCs w:val="24"/>
                    </w:rPr>
                  </w:pPr>
                  <w:r>
                    <w:rPr>
                      <w:rFonts w:hint="default" w:ascii="Times New Roman" w:hAnsi="Times New Roman" w:cs="Times New Roman"/>
                      <w:color w:val="auto"/>
                      <w:kern w:val="0"/>
                      <w:sz w:val="21"/>
                      <w:szCs w:val="24"/>
                    </w:rPr>
                    <w:t>4.</w:t>
                  </w:r>
                  <w:r>
                    <w:rPr>
                      <w:rFonts w:hint="default" w:ascii="Times New Roman" w:hAnsi="Times New Roman" w:eastAsia="宋体" w:cs="Times New Roman"/>
                      <w:color w:val="auto"/>
                      <w:kern w:val="0"/>
                      <w:sz w:val="21"/>
                      <w:szCs w:val="24"/>
                    </w:rPr>
                    <w:t>严格控制农用地的农药使用量，禁止使用高毒、高残留农药。</w:t>
                  </w:r>
                </w:p>
              </w:tc>
              <w:tc>
                <w:tcPr>
                  <w:tcW w:w="965"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95627E5">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项目产生的一般固废均得到合理处置；危险废物暂存至危房贮存</w:t>
                  </w:r>
                  <w:r>
                    <w:rPr>
                      <w:rFonts w:hint="default" w:ascii="Times New Roman" w:hAnsi="Times New Roman" w:cs="Times New Roman"/>
                      <w:color w:val="auto"/>
                      <w:kern w:val="0"/>
                      <w:sz w:val="21"/>
                      <w:szCs w:val="24"/>
                      <w:lang w:val="en-US" w:eastAsia="zh-CN"/>
                    </w:rPr>
                    <w:t>点</w:t>
                  </w:r>
                  <w:r>
                    <w:rPr>
                      <w:rFonts w:hint="default" w:ascii="Times New Roman" w:hAnsi="Times New Roman" w:eastAsia="宋体" w:cs="Times New Roman"/>
                      <w:color w:val="auto"/>
                      <w:kern w:val="0"/>
                      <w:sz w:val="21"/>
                      <w:szCs w:val="24"/>
                    </w:rPr>
                    <w:t>后交有资质单位处置；项目建成后，要求企业</w:t>
                  </w:r>
                  <w:r>
                    <w:rPr>
                      <w:rFonts w:hint="default" w:ascii="Times New Roman" w:hAnsi="Times New Roman" w:eastAsia="宋体" w:cs="Times New Roman"/>
                      <w:color w:val="auto"/>
                      <w:kern w:val="0"/>
                      <w:sz w:val="21"/>
                      <w:szCs w:val="24"/>
                      <w:lang w:val="en-US" w:eastAsia="zh-CN"/>
                    </w:rPr>
                    <w:t>修订</w:t>
                  </w:r>
                  <w:r>
                    <w:rPr>
                      <w:rFonts w:hint="default" w:ascii="Times New Roman" w:hAnsi="Times New Roman" w:eastAsia="宋体" w:cs="Times New Roman"/>
                      <w:color w:val="auto"/>
                      <w:kern w:val="0"/>
                      <w:sz w:val="21"/>
                      <w:szCs w:val="24"/>
                    </w:rPr>
                    <w:t>突发环境事件应急预案并向所在地生态环境部门报备</w:t>
                  </w:r>
                </w:p>
              </w:tc>
              <w:tc>
                <w:tcPr>
                  <w:tcW w:w="352" w:type="pct"/>
                  <w:tcBorders>
                    <w:top w:val="single" w:color="auto" w:sz="6" w:space="0"/>
                    <w:left w:val="single" w:color="auto" w:sz="6" w:space="0"/>
                    <w:bottom w:val="single" w:color="auto" w:sz="12" w:space="0"/>
                    <w:right w:val="nil"/>
                    <w:tl2br w:val="nil"/>
                    <w:tr2bl w:val="nil"/>
                  </w:tcBorders>
                  <w:noWrap w:val="0"/>
                  <w:vAlign w:val="center"/>
                </w:tcPr>
                <w:p w14:paraId="16BA4E6F">
                  <w:pPr>
                    <w:autoSpaceDE w:val="0"/>
                    <w:autoSpaceDN w:val="0"/>
                    <w:adjustRightInd w:val="0"/>
                    <w:snapToGrid w:val="0"/>
                    <w:spacing w:beforeLines="0" w:afterLines="0"/>
                    <w:jc w:val="center"/>
                    <w:rPr>
                      <w:rFonts w:hint="default" w:ascii="Times New Roman" w:hAnsi="Times New Roman" w:cs="Times New Roman"/>
                      <w:color w:val="auto"/>
                      <w:kern w:val="0"/>
                      <w:sz w:val="21"/>
                      <w:szCs w:val="24"/>
                    </w:rPr>
                  </w:pPr>
                  <w:r>
                    <w:rPr>
                      <w:rFonts w:hint="default" w:ascii="Times New Roman" w:hAnsi="Times New Roman" w:eastAsia="宋体" w:cs="Times New Roman"/>
                      <w:color w:val="auto"/>
                      <w:kern w:val="0"/>
                      <w:sz w:val="21"/>
                      <w:szCs w:val="24"/>
                    </w:rPr>
                    <w:t>符合</w:t>
                  </w:r>
                </w:p>
              </w:tc>
            </w:tr>
          </w:tbl>
          <w:p w14:paraId="103AED8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color w:val="auto"/>
                <w:kern w:val="0"/>
                <w:sz w:val="24"/>
              </w:rPr>
            </w:pPr>
            <w:r>
              <w:rPr>
                <w:color w:val="auto"/>
                <w:sz w:val="24"/>
              </w:rPr>
              <w:t>综上所述，本项目建设符合“三线一单”的管控要求，项目选址可行。</w:t>
            </w:r>
          </w:p>
          <w:p w14:paraId="3FB6514B">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b/>
                <w:bCs/>
                <w:color w:val="auto"/>
                <w:kern w:val="0"/>
                <w:sz w:val="24"/>
              </w:rPr>
            </w:pPr>
            <w:r>
              <w:rPr>
                <w:rFonts w:hint="eastAsia"/>
                <w:b/>
                <w:bCs/>
                <w:color w:val="auto"/>
                <w:kern w:val="0"/>
                <w:sz w:val="24"/>
                <w:lang w:val="en-US" w:eastAsia="zh-CN"/>
              </w:rPr>
              <w:t>3</w:t>
            </w:r>
            <w:r>
              <w:rPr>
                <w:b/>
                <w:bCs/>
                <w:color w:val="auto"/>
                <w:kern w:val="0"/>
                <w:sz w:val="24"/>
              </w:rPr>
              <w:t>、《</w:t>
            </w:r>
            <w:r>
              <w:rPr>
                <w:rFonts w:hint="eastAsia"/>
                <w:b/>
                <w:bCs/>
                <w:color w:val="auto"/>
                <w:kern w:val="0"/>
                <w:sz w:val="24"/>
              </w:rPr>
              <w:t>屯留区</w:t>
            </w:r>
            <w:r>
              <w:rPr>
                <w:b/>
                <w:bCs/>
                <w:color w:val="auto"/>
                <w:kern w:val="0"/>
                <w:sz w:val="24"/>
              </w:rPr>
              <w:t>国土空间总体规划（2021-2035年）》符合性分析</w:t>
            </w:r>
          </w:p>
          <w:p w14:paraId="09AE6CE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（1）规划范围</w:t>
            </w:r>
          </w:p>
          <w:p w14:paraId="777366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规划范围为屯留区行政辖区内全部国土空间，包括全区和中心城区两个层次。</w:t>
            </w:r>
          </w:p>
          <w:p w14:paraId="75C655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（2）规划期限</w:t>
            </w:r>
          </w:p>
          <w:p w14:paraId="600F23F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规划期限为2021-2035年，基准年为2020年，近期目标为2025年，远期目标为2035年，远景展望至2050年。</w:t>
            </w:r>
          </w:p>
          <w:p w14:paraId="6DAD85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（3）功能定位</w:t>
            </w:r>
          </w:p>
          <w:p w14:paraId="71792D8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规划屯留区功能定位为：有机循环农业示范区、以煤基新材</w:t>
            </w:r>
          </w:p>
          <w:p w14:paraId="36F9AA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料为主导的资源型城市转型升级示范区、以康体休闲为特色的现代化太行山水名城，合力保障长治市建设全国资源型城市转型升级示范区、现代化太行山水名城。</w:t>
            </w:r>
          </w:p>
          <w:p w14:paraId="107F6F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（4）三区三线划定</w:t>
            </w:r>
          </w:p>
          <w:p w14:paraId="709342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①耕地与永久基本农田</w:t>
            </w:r>
          </w:p>
          <w:p w14:paraId="4876CF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全区划定不低于513.00平方千米（76.95万亩）的耕地和不低于444.27平方千米（66.64万亩）的永久基本农田。</w:t>
            </w:r>
          </w:p>
          <w:p w14:paraId="63BB95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落实最严格的耕地保护制度，对永久基本农田实行特殊保护，坚决防止永久基本农田“非农化”，积极开展永久基本农田储备区划定并严格管理。</w:t>
            </w:r>
          </w:p>
          <w:p w14:paraId="548DFF9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②生态保护红线</w:t>
            </w:r>
          </w:p>
          <w:p w14:paraId="1C7170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全区划定生态保护红线总面积不少于20.64平方千米，占全区国土面积的1.73%，全部为整合优化后的自然保护地。</w:t>
            </w:r>
          </w:p>
          <w:p w14:paraId="15C38C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稳固太行山区生态安全屏障，增强水源涵养、水土保持和生物多样性等生态系统服务功能，加强生物多样性保护优先区域和珍稀濒危野生动植物集中分布地保护，注重保护重要生态空间，严格控制人为活动尤其是开发建设活动对生态系统的破坏。</w:t>
            </w:r>
          </w:p>
          <w:p w14:paraId="5D51E5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③城镇开发边界</w:t>
            </w:r>
          </w:p>
          <w:p w14:paraId="609455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全区城镇开发边界控制在24.75平方千米（3.71万亩），占全区总面积的2.08%。</w:t>
            </w:r>
          </w:p>
          <w:p w14:paraId="720AF0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严格城镇开发边界外的空间准入，原则上除特殊用地外，只能用于农业生产、乡村振兴、生态保护和交通等基础设施建设，不得进行城镇集中建设，不得设立各类开发区。重点保障生产、生活、生态和安全空间需求，在城镇开发边界内实施战略留白，为长远发展谋划预留战略空间。</w:t>
            </w:r>
          </w:p>
          <w:p w14:paraId="6E8F86B5">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根据《屯留区国土空间控制线规划图》（见附图</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），本项目所在地</w:t>
            </w:r>
            <w:r>
              <w:rPr>
                <w:rFonts w:hint="eastAsia" w:ascii="Times New Roman" w:hAnsi="Times New Roman" w:cs="Times New Roman"/>
                <w:color w:val="auto"/>
                <w:sz w:val="24"/>
                <w:szCs w:val="24"/>
                <w:highlight w:val="none"/>
                <w:lang w:val="en-US" w:eastAsia="zh-CN"/>
              </w:rPr>
              <w:t>位于</w:t>
            </w:r>
            <w:r>
              <w:rPr>
                <w:rFonts w:hint="default" w:ascii="Times New Roman" w:hAnsi="Times New Roman" w:cs="Times New Roman"/>
                <w:color w:val="auto"/>
                <w:sz w:val="24"/>
                <w:szCs w:val="24"/>
                <w:highlight w:val="none"/>
              </w:rPr>
              <w:t>城镇开发边界范围内，不占用基本农田，不涉及生态保护红线。</w:t>
            </w:r>
          </w:p>
          <w:p w14:paraId="62D3634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color w:val="auto"/>
                <w:sz w:val="24"/>
              </w:rPr>
            </w:pPr>
            <w:r>
              <w:rPr>
                <w:rFonts w:hint="default" w:ascii="Times New Roman" w:hAnsi="Times New Roman" w:cs="Times New Roman"/>
                <w:color w:val="auto"/>
                <w:sz w:val="24"/>
                <w:szCs w:val="24"/>
                <w:highlight w:val="none"/>
              </w:rPr>
              <w:t>本项目位于</w:t>
            </w:r>
            <w:r>
              <w:rPr>
                <w:rFonts w:hint="eastAsia" w:cs="Times New Roman"/>
                <w:color w:val="auto"/>
                <w:sz w:val="24"/>
                <w:szCs w:val="24"/>
                <w:highlight w:val="none"/>
                <w:lang w:val="en-US" w:eastAsia="zh-CN"/>
              </w:rPr>
              <w:t>长治市屯留区路村乡前苏村南侧80m处</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占地性质为</w:t>
            </w:r>
            <w:r>
              <w:rPr>
                <w:rFonts w:hint="eastAsia" w:cs="Times New Roman"/>
                <w:color w:val="auto"/>
                <w:sz w:val="24"/>
                <w:szCs w:val="24"/>
                <w:highlight w:val="none"/>
                <w:lang w:val="en-US" w:eastAsia="zh-CN"/>
              </w:rPr>
              <w:t>建设</w:t>
            </w:r>
            <w:r>
              <w:rPr>
                <w:rFonts w:hint="default" w:ascii="Times New Roman" w:hAnsi="Times New Roman" w:cs="Times New Roman"/>
                <w:color w:val="auto"/>
                <w:sz w:val="24"/>
                <w:szCs w:val="24"/>
                <w:highlight w:val="none"/>
              </w:rPr>
              <w:t>用地。因此，本项目的建设不违背《</w:t>
            </w:r>
            <w:r>
              <w:rPr>
                <w:rFonts w:hint="eastAsia" w:ascii="Times New Roman" w:hAnsi="Times New Roman" w:cs="Times New Roman"/>
                <w:color w:val="auto"/>
                <w:sz w:val="24"/>
                <w:szCs w:val="24"/>
                <w:highlight w:val="none"/>
                <w:lang w:val="en-US" w:eastAsia="zh-CN"/>
              </w:rPr>
              <w:t>屯留</w:t>
            </w:r>
            <w:r>
              <w:rPr>
                <w:rFonts w:hint="default" w:ascii="Times New Roman" w:hAnsi="Times New Roman" w:cs="Times New Roman"/>
                <w:color w:val="auto"/>
                <w:sz w:val="24"/>
                <w:szCs w:val="24"/>
                <w:highlight w:val="none"/>
              </w:rPr>
              <w:t>区国土空间总体规划（2021-2035）》相关要求。</w:t>
            </w:r>
          </w:p>
          <w:p w14:paraId="3A3E3B0C">
            <w:pPr>
              <w:autoSpaceDE w:val="0"/>
              <w:autoSpaceDN w:val="0"/>
              <w:adjustRightInd w:val="0"/>
              <w:snapToGrid w:val="0"/>
              <w:spacing w:line="480" w:lineRule="exact"/>
              <w:ind w:firstLine="482" w:firstLineChars="200"/>
              <w:rPr>
                <w:rFonts w:hint="default" w:eastAsia="宋体" w:cs="宋体"/>
                <w:b/>
                <w:bCs/>
                <w:color w:val="auto"/>
                <w:kern w:val="0"/>
                <w:sz w:val="24"/>
                <w:lang w:val="en-US" w:eastAsia="zh-CN"/>
              </w:rPr>
            </w:pPr>
            <w:r>
              <w:rPr>
                <w:rFonts w:hint="eastAsia" w:cs="宋体"/>
                <w:b/>
                <w:bCs/>
                <w:color w:val="auto"/>
                <w:kern w:val="0"/>
                <w:sz w:val="24"/>
                <w:lang w:val="en-US" w:eastAsia="zh-CN"/>
              </w:rPr>
              <w:t>4</w:t>
            </w:r>
            <w:r>
              <w:rPr>
                <w:rFonts w:hint="eastAsia" w:cs="宋体"/>
                <w:b/>
                <w:bCs/>
                <w:color w:val="auto"/>
                <w:kern w:val="0"/>
                <w:sz w:val="24"/>
              </w:rPr>
              <w:t>、</w:t>
            </w:r>
            <w:r>
              <w:rPr>
                <w:rFonts w:cs="宋体"/>
                <w:b/>
                <w:bCs/>
                <w:color w:val="auto"/>
                <w:kern w:val="0"/>
                <w:sz w:val="24"/>
              </w:rPr>
              <w:t>辛安泉域</w:t>
            </w:r>
            <w:r>
              <w:rPr>
                <w:rFonts w:hint="eastAsia" w:cs="宋体"/>
                <w:b/>
                <w:bCs/>
                <w:color w:val="auto"/>
                <w:kern w:val="0"/>
                <w:sz w:val="24"/>
                <w:lang w:val="en-US" w:eastAsia="zh-CN"/>
              </w:rPr>
              <w:t>符合性分析</w:t>
            </w:r>
          </w:p>
          <w:p w14:paraId="006C059E">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辛安泉位于山西省长治市东北部潞城、平顺、黎城三县交界的浊漳河谷地段，自西流至北耽车长达16km的河床冲积层和两岸底部基岩与冲积层接触带，有泉点170多处(故为泉群)，主要有西流泉、南流泉、王曲泉和辛安泉等，出露标高为615~643m，其中大于0.1m</w:t>
            </w:r>
            <w:r>
              <w:rPr>
                <w:rFonts w:cs="宋体"/>
                <w:color w:val="auto"/>
                <w:kern w:val="0"/>
                <w:sz w:val="24"/>
                <w:vertAlign w:val="superscript"/>
              </w:rPr>
              <w:t>3</w:t>
            </w:r>
            <w:r>
              <w:rPr>
                <w:rFonts w:cs="宋体"/>
                <w:color w:val="auto"/>
                <w:kern w:val="0"/>
                <w:sz w:val="24"/>
              </w:rPr>
              <w:t>/s的泉有13处，辛安村以下有实会泉、东梳泉等，出露标高为600~615m。根据观测资料，泉群流量多年平均（1956年~1996年）为11.90m</w:t>
            </w:r>
            <w:r>
              <w:rPr>
                <w:rFonts w:cs="宋体"/>
                <w:color w:val="auto"/>
                <w:kern w:val="0"/>
                <w:sz w:val="24"/>
                <w:vertAlign w:val="superscript"/>
              </w:rPr>
              <w:t>3</w:t>
            </w:r>
            <w:r>
              <w:rPr>
                <w:rFonts w:cs="宋体"/>
                <w:color w:val="auto"/>
                <w:kern w:val="0"/>
                <w:sz w:val="24"/>
              </w:rPr>
              <w:t>/s，最大为16.21m</w:t>
            </w:r>
            <w:r>
              <w:rPr>
                <w:rFonts w:cs="宋体"/>
                <w:color w:val="auto"/>
                <w:kern w:val="0"/>
                <w:sz w:val="24"/>
                <w:vertAlign w:val="superscript"/>
              </w:rPr>
              <w:t>3</w:t>
            </w:r>
            <w:r>
              <w:rPr>
                <w:rFonts w:cs="宋体"/>
                <w:color w:val="auto"/>
                <w:kern w:val="0"/>
                <w:sz w:val="24"/>
              </w:rPr>
              <w:t>/s，最小为9.00m</w:t>
            </w:r>
            <w:r>
              <w:rPr>
                <w:rFonts w:cs="宋体"/>
                <w:color w:val="auto"/>
                <w:kern w:val="0"/>
                <w:sz w:val="24"/>
                <w:vertAlign w:val="superscript"/>
              </w:rPr>
              <w:t>3</w:t>
            </w:r>
            <w:r>
              <w:rPr>
                <w:rFonts w:cs="宋体"/>
                <w:color w:val="auto"/>
                <w:kern w:val="0"/>
                <w:sz w:val="24"/>
              </w:rPr>
              <w:t>/s，泉水以集中（7股大泉枯季流量达4.829m</w:t>
            </w:r>
            <w:r>
              <w:rPr>
                <w:rFonts w:cs="宋体"/>
                <w:color w:val="auto"/>
                <w:kern w:val="0"/>
                <w:sz w:val="24"/>
                <w:vertAlign w:val="superscript"/>
              </w:rPr>
              <w:t>3</w:t>
            </w:r>
            <w:r>
              <w:rPr>
                <w:rFonts w:cs="宋体"/>
                <w:color w:val="auto"/>
                <w:kern w:val="0"/>
                <w:sz w:val="24"/>
              </w:rPr>
              <w:t>/s）和分散排泄，动态稳定，属非全排型上升溢流泉。</w:t>
            </w:r>
          </w:p>
          <w:p w14:paraId="4B203D90">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泉域东为太行山复背斜，西为太岳山，中部为长治盆地或沁水向斜（煤田），山区高程为1100~1500m，最高山峰为北天池（2097m），盆地高程为700~950m。</w:t>
            </w:r>
          </w:p>
          <w:p w14:paraId="2EE69BE0">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泉域属温暖带半干旱大陆性气候，多年平均气温9.4℃。多年平均降水量为569.6mm，多集中在6~9月份，约占全年降水量70%。</w:t>
            </w:r>
          </w:p>
          <w:p w14:paraId="5FF6A828">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泉域内主要河流为浊漳河，上游有南、西、北三大支流，在襄垣小皎村汇流后，自北向南流至辛安村折向东流，横穿太行山流向河北平原属卫河水系。</w:t>
            </w:r>
          </w:p>
          <w:p w14:paraId="149DE0D3">
            <w:pPr>
              <w:autoSpaceDE w:val="0"/>
              <w:autoSpaceDN w:val="0"/>
              <w:adjustRightInd w:val="0"/>
              <w:snapToGrid w:val="0"/>
              <w:spacing w:line="480" w:lineRule="exact"/>
              <w:ind w:firstLine="480" w:firstLineChars="200"/>
              <w:rPr>
                <w:rFonts w:cs="宋体"/>
                <w:b w:val="0"/>
                <w:bCs w:val="0"/>
                <w:color w:val="auto"/>
                <w:kern w:val="0"/>
                <w:sz w:val="24"/>
              </w:rPr>
            </w:pPr>
            <w:r>
              <w:rPr>
                <w:rFonts w:hint="eastAsia" w:cs="宋体"/>
                <w:b w:val="0"/>
                <w:bCs w:val="0"/>
                <w:color w:val="auto"/>
                <w:kern w:val="0"/>
                <w:sz w:val="24"/>
                <w:lang w:eastAsia="zh-CN"/>
              </w:rPr>
              <w:t>（</w:t>
            </w:r>
            <w:r>
              <w:rPr>
                <w:rFonts w:hint="eastAsia" w:cs="宋体"/>
                <w:b w:val="0"/>
                <w:bCs w:val="0"/>
                <w:color w:val="auto"/>
                <w:kern w:val="0"/>
                <w:sz w:val="24"/>
                <w:lang w:val="en-US" w:eastAsia="zh-CN"/>
              </w:rPr>
              <w:t>1</w:t>
            </w:r>
            <w:r>
              <w:rPr>
                <w:rFonts w:hint="eastAsia" w:cs="宋体"/>
                <w:b w:val="0"/>
                <w:bCs w:val="0"/>
                <w:color w:val="auto"/>
                <w:kern w:val="0"/>
                <w:sz w:val="24"/>
                <w:lang w:eastAsia="zh-CN"/>
              </w:rPr>
              <w:t>）</w:t>
            </w:r>
            <w:r>
              <w:rPr>
                <w:rFonts w:cs="宋体"/>
                <w:b w:val="0"/>
                <w:bCs w:val="0"/>
                <w:color w:val="auto"/>
                <w:kern w:val="0"/>
                <w:sz w:val="24"/>
              </w:rPr>
              <w:t>泉域边界</w:t>
            </w:r>
          </w:p>
          <w:p w14:paraId="07C6AD69">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据已有勘探研究成果，泉域西部以地表分水岭构成汇水边界（即浊漳河和沁河分水岭），南部以地表分水岭与延河、三姑泉域为界（北部色头水位标高644.17m，韩店为658.12m，南部高平为644.17m），构成沁河与漳河分水岭，北部以武乡青草堙水位最高为1028.75m，与娘子关泉域分界。东部大部分为老地层阻水边界，平顺西安里虹梯关一线，为闪长岩岩墙组成边界，东北部黎城盆地下湾村附近水位标高为660m（以东响堂铺水位标高为550.87m，以西黎城盆地水位标高为648.95m），构成地下水分水岭。</w:t>
            </w:r>
          </w:p>
          <w:p w14:paraId="6BF755CE">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泉域边界范围内总面积为13500m</w:t>
            </w:r>
            <w:r>
              <w:rPr>
                <w:rFonts w:cs="宋体"/>
                <w:color w:val="auto"/>
                <w:kern w:val="0"/>
                <w:sz w:val="24"/>
                <w:vertAlign w:val="superscript"/>
              </w:rPr>
              <w:t>2</w:t>
            </w:r>
            <w:r>
              <w:rPr>
                <w:rFonts w:cs="宋体"/>
                <w:color w:val="auto"/>
                <w:kern w:val="0"/>
                <w:sz w:val="24"/>
              </w:rPr>
              <w:t>，其中碳酸盐岩裸露面积2600km</w:t>
            </w:r>
            <w:r>
              <w:rPr>
                <w:rFonts w:cs="宋体"/>
                <w:color w:val="auto"/>
                <w:kern w:val="0"/>
                <w:sz w:val="24"/>
                <w:vertAlign w:val="superscript"/>
              </w:rPr>
              <w:t>2</w:t>
            </w:r>
            <w:r>
              <w:rPr>
                <w:rFonts w:cs="宋体"/>
                <w:color w:val="auto"/>
                <w:kern w:val="0"/>
                <w:sz w:val="24"/>
              </w:rPr>
              <w:t>，碎屑岩面积为6830km</w:t>
            </w:r>
            <w:r>
              <w:rPr>
                <w:rFonts w:cs="宋体"/>
                <w:color w:val="auto"/>
                <w:kern w:val="0"/>
                <w:sz w:val="24"/>
                <w:vertAlign w:val="superscript"/>
              </w:rPr>
              <w:t>2</w:t>
            </w:r>
            <w:r>
              <w:rPr>
                <w:rFonts w:cs="宋体"/>
                <w:color w:val="auto"/>
                <w:kern w:val="0"/>
                <w:sz w:val="24"/>
              </w:rPr>
              <w:t>，松散岩面积为4070km</w:t>
            </w:r>
            <w:r>
              <w:rPr>
                <w:rFonts w:cs="宋体"/>
                <w:color w:val="auto"/>
                <w:kern w:val="0"/>
                <w:sz w:val="24"/>
                <w:vertAlign w:val="superscript"/>
              </w:rPr>
              <w:t>2</w:t>
            </w:r>
            <w:r>
              <w:rPr>
                <w:rFonts w:cs="宋体"/>
                <w:color w:val="auto"/>
                <w:kern w:val="0"/>
                <w:sz w:val="24"/>
              </w:rPr>
              <w:t>。</w:t>
            </w:r>
          </w:p>
          <w:p w14:paraId="0AA3B6AD">
            <w:pPr>
              <w:autoSpaceDE w:val="0"/>
              <w:autoSpaceDN w:val="0"/>
              <w:adjustRightInd w:val="0"/>
              <w:snapToGrid w:val="0"/>
              <w:spacing w:line="480" w:lineRule="exact"/>
              <w:ind w:firstLine="480" w:firstLineChars="200"/>
              <w:rPr>
                <w:rFonts w:cs="宋体"/>
                <w:b w:val="0"/>
                <w:bCs w:val="0"/>
                <w:color w:val="auto"/>
                <w:kern w:val="0"/>
                <w:sz w:val="24"/>
              </w:rPr>
            </w:pPr>
            <w:r>
              <w:rPr>
                <w:rFonts w:hint="eastAsia" w:cs="宋体"/>
                <w:b w:val="0"/>
                <w:bCs w:val="0"/>
                <w:color w:val="auto"/>
                <w:kern w:val="0"/>
                <w:sz w:val="24"/>
                <w:lang w:eastAsia="zh-CN"/>
              </w:rPr>
              <w:t>（</w:t>
            </w:r>
            <w:r>
              <w:rPr>
                <w:rFonts w:hint="eastAsia" w:cs="宋体"/>
                <w:b w:val="0"/>
                <w:bCs w:val="0"/>
                <w:color w:val="auto"/>
                <w:kern w:val="0"/>
                <w:sz w:val="24"/>
                <w:lang w:val="en-US" w:eastAsia="zh-CN"/>
              </w:rPr>
              <w:t>2</w:t>
            </w:r>
            <w:r>
              <w:rPr>
                <w:rFonts w:hint="eastAsia" w:cs="宋体"/>
                <w:b w:val="0"/>
                <w:bCs w:val="0"/>
                <w:color w:val="auto"/>
                <w:kern w:val="0"/>
                <w:sz w:val="24"/>
                <w:lang w:eastAsia="zh-CN"/>
              </w:rPr>
              <w:t>）</w:t>
            </w:r>
            <w:r>
              <w:rPr>
                <w:rFonts w:cs="宋体"/>
                <w:b w:val="0"/>
                <w:bCs w:val="0"/>
                <w:color w:val="auto"/>
                <w:kern w:val="0"/>
                <w:sz w:val="24"/>
              </w:rPr>
              <w:t>泉域重点保护区</w:t>
            </w:r>
          </w:p>
          <w:p w14:paraId="45A3C19F">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重点保护区包括泉群出露带，文王山地垒渗漏带。</w:t>
            </w:r>
          </w:p>
          <w:p w14:paraId="3647C222">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a.泉群出露带：北起黎城县南赵店桥、申家山断裂渗漏段，以浊漳河为轴线（包括河谷两岸地带），盐河谷下游至平顺北耽车，长约20km，西起山西化肥厂排污渠道，两侧各200m至辛安桥下河道，面积为48km</w:t>
            </w:r>
            <w:r>
              <w:rPr>
                <w:rFonts w:cs="宋体"/>
                <w:color w:val="auto"/>
                <w:kern w:val="0"/>
                <w:sz w:val="24"/>
                <w:vertAlign w:val="superscript"/>
              </w:rPr>
              <w:t>2</w:t>
            </w:r>
            <w:r>
              <w:rPr>
                <w:rFonts w:cs="宋体"/>
                <w:color w:val="auto"/>
                <w:kern w:val="0"/>
                <w:sz w:val="24"/>
              </w:rPr>
              <w:t>。</w:t>
            </w:r>
          </w:p>
          <w:p w14:paraId="79EF763A">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b.文王山地垒渗漏段：自黄碾南铁路桥上游500m沿浊漳河南源主河道两侧各500m，下游至五阳与浊漳河西源汇合处，面积为18km</w:t>
            </w:r>
            <w:r>
              <w:rPr>
                <w:rFonts w:cs="宋体"/>
                <w:color w:val="auto"/>
                <w:kern w:val="0"/>
                <w:sz w:val="24"/>
                <w:vertAlign w:val="superscript"/>
              </w:rPr>
              <w:t>2</w:t>
            </w:r>
            <w:r>
              <w:rPr>
                <w:rFonts w:cs="宋体"/>
                <w:color w:val="auto"/>
                <w:kern w:val="0"/>
                <w:sz w:val="24"/>
              </w:rPr>
              <w:t>，两处合计为66km</w:t>
            </w:r>
            <w:r>
              <w:rPr>
                <w:rFonts w:cs="宋体"/>
                <w:color w:val="auto"/>
                <w:kern w:val="0"/>
                <w:sz w:val="24"/>
                <w:vertAlign w:val="superscript"/>
              </w:rPr>
              <w:t>2</w:t>
            </w:r>
            <w:r>
              <w:rPr>
                <w:rFonts w:cs="宋体"/>
                <w:color w:val="auto"/>
                <w:kern w:val="0"/>
                <w:sz w:val="24"/>
              </w:rPr>
              <w:t>。</w:t>
            </w:r>
          </w:p>
          <w:p w14:paraId="66B087E2">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1"/>
                <w:highlight w:val="none"/>
              </w:rPr>
            </w:pPr>
            <w:r>
              <w:rPr>
                <w:color w:val="auto"/>
                <w:sz w:val="24"/>
                <w:szCs w:val="21"/>
                <w:highlight w:val="none"/>
              </w:rPr>
              <w:t>同时，根据《山西省长治市辛安泉饮用水水源地保护条例》，建立辛安泉饮用水水源地保护区制度。辛安泉饮用水水源地保护区划分为一级保护区、二级保护区，并在保护区外围设立准保护区，实行分级保护与管理。</w:t>
            </w:r>
          </w:p>
          <w:p w14:paraId="2F50FE89">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1"/>
                <w:highlight w:val="none"/>
              </w:rPr>
            </w:pPr>
            <w:r>
              <w:rPr>
                <w:color w:val="auto"/>
                <w:sz w:val="24"/>
                <w:szCs w:val="21"/>
                <w:highlight w:val="none"/>
              </w:rPr>
              <w:t>辛安泉饮用水水源地一级保护区范围为现有水源井组周边区域，涉及潞城市辛安泉镇西流北村(西北村)、西流南村(西南村)，黎城县程家山乡北流村，面积3.73平方公里。</w:t>
            </w:r>
          </w:p>
          <w:p w14:paraId="40F0CBC7">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1"/>
                <w:highlight w:val="none"/>
              </w:rPr>
            </w:pPr>
            <w:r>
              <w:rPr>
                <w:color w:val="auto"/>
                <w:sz w:val="24"/>
                <w:szCs w:val="21"/>
                <w:highlight w:val="none"/>
              </w:rPr>
              <w:t>辛安泉饮用水水源地二级保护区范围为东至黎城县隆旺村东-北流村东-南堡村东一线，南至平顺县王曲村北，西至潞城市西流南村(西南村</w:t>
            </w:r>
            <w:r>
              <w:rPr>
                <w:rFonts w:hint="eastAsia"/>
                <w:color w:val="auto"/>
                <w:sz w:val="24"/>
                <w:szCs w:val="21"/>
                <w:highlight w:val="none"/>
              </w:rPr>
              <w:t>）</w:t>
            </w:r>
            <w:r>
              <w:rPr>
                <w:color w:val="auto"/>
                <w:sz w:val="24"/>
                <w:szCs w:val="21"/>
                <w:highlight w:val="none"/>
              </w:rPr>
              <w:t>西1.3公里-涧口村西一线，北至潞城市续村南-黎城县东窑上村北一线，面积24.9平方公里。</w:t>
            </w:r>
          </w:p>
          <w:p w14:paraId="37A17385">
            <w:pPr>
              <w:autoSpaceDE w:val="0"/>
              <w:autoSpaceDN w:val="0"/>
              <w:adjustRightInd w:val="0"/>
              <w:snapToGrid w:val="0"/>
              <w:spacing w:line="480" w:lineRule="exact"/>
              <w:ind w:firstLine="480" w:firstLineChars="200"/>
              <w:rPr>
                <w:rFonts w:cs="宋体"/>
                <w:color w:val="auto"/>
                <w:kern w:val="0"/>
                <w:sz w:val="24"/>
              </w:rPr>
            </w:pPr>
            <w:r>
              <w:rPr>
                <w:color w:val="auto"/>
                <w:sz w:val="24"/>
                <w:szCs w:val="21"/>
                <w:highlight w:val="none"/>
              </w:rPr>
              <w:t>辛安泉饮用水水源地准保护区范围为水源地上游辛安泉域灰岩裸露补给区，涉及城区、郊区、长治县、潞城市、壶关县、平顺县、黎城县、武乡县、襄垣县，面积约1260平方公里。</w:t>
            </w:r>
          </w:p>
          <w:p w14:paraId="09E0D113">
            <w:pPr>
              <w:autoSpaceDE w:val="0"/>
              <w:autoSpaceDN w:val="0"/>
              <w:adjustRightInd w:val="0"/>
              <w:snapToGrid w:val="0"/>
              <w:spacing w:line="480" w:lineRule="exact"/>
              <w:ind w:firstLine="480" w:firstLineChars="200"/>
              <w:rPr>
                <w:rFonts w:cs="宋体"/>
                <w:color w:val="auto"/>
                <w:kern w:val="0"/>
                <w:sz w:val="24"/>
              </w:rPr>
            </w:pPr>
            <w:r>
              <w:rPr>
                <w:rFonts w:cs="宋体"/>
                <w:color w:val="auto"/>
                <w:kern w:val="0"/>
                <w:sz w:val="24"/>
              </w:rPr>
              <w:t>本项目在辛安泉域范围内，不在辛安泉域重点保护区范围内，距离重点保护区</w:t>
            </w:r>
            <w:r>
              <w:rPr>
                <w:rFonts w:hint="eastAsia" w:cs="宋体"/>
                <w:color w:val="auto"/>
                <w:kern w:val="0"/>
                <w:sz w:val="24"/>
                <w:lang w:val="en-US" w:eastAsia="zh-CN"/>
              </w:rPr>
              <w:t>约17</w:t>
            </w:r>
            <w:r>
              <w:rPr>
                <w:rFonts w:hint="eastAsia" w:cs="宋体"/>
                <w:color w:val="auto"/>
                <w:kern w:val="0"/>
                <w:sz w:val="24"/>
              </w:rPr>
              <w:t>km</w:t>
            </w:r>
            <w:r>
              <w:rPr>
                <w:rFonts w:hint="eastAsia" w:cs="宋体"/>
                <w:color w:val="auto"/>
                <w:kern w:val="0"/>
                <w:sz w:val="24"/>
                <w:lang w:eastAsia="zh-CN"/>
              </w:rPr>
              <w:t>，</w:t>
            </w:r>
            <w:r>
              <w:rPr>
                <w:rFonts w:hint="eastAsia" w:cs="宋体"/>
                <w:color w:val="auto"/>
                <w:kern w:val="0"/>
                <w:sz w:val="24"/>
              </w:rPr>
              <w:t>且不在辛安泉饮用水水源地一级、二级、准保护区内。</w:t>
            </w:r>
            <w:r>
              <w:rPr>
                <w:rFonts w:cs="宋体"/>
                <w:color w:val="auto"/>
                <w:kern w:val="0"/>
                <w:sz w:val="24"/>
              </w:rPr>
              <w:t>本项目辛安泉域</w:t>
            </w:r>
            <w:r>
              <w:rPr>
                <w:rFonts w:hint="eastAsia" w:cs="宋体"/>
                <w:color w:val="auto"/>
                <w:kern w:val="0"/>
                <w:sz w:val="24"/>
                <w:lang w:val="en-US" w:eastAsia="zh-CN"/>
              </w:rPr>
              <w:t>重点保护区相对</w:t>
            </w:r>
            <w:r>
              <w:rPr>
                <w:rFonts w:cs="宋体"/>
                <w:color w:val="auto"/>
                <w:kern w:val="0"/>
                <w:sz w:val="24"/>
              </w:rPr>
              <w:t>位置</w:t>
            </w:r>
            <w:r>
              <w:rPr>
                <w:rFonts w:hint="eastAsia" w:cs="宋体"/>
                <w:color w:val="auto"/>
                <w:kern w:val="0"/>
                <w:sz w:val="24"/>
              </w:rPr>
              <w:t>关系</w:t>
            </w:r>
            <w:r>
              <w:rPr>
                <w:rFonts w:cs="宋体"/>
                <w:color w:val="auto"/>
                <w:kern w:val="0"/>
                <w:sz w:val="24"/>
              </w:rPr>
              <w:t>见</w:t>
            </w:r>
            <w:r>
              <w:rPr>
                <w:rFonts w:hint="eastAsia" w:cs="宋体"/>
                <w:color w:val="auto"/>
                <w:kern w:val="0"/>
                <w:sz w:val="24"/>
              </w:rPr>
              <w:t>附图</w:t>
            </w:r>
            <w:r>
              <w:rPr>
                <w:rFonts w:hint="eastAsia" w:cs="宋体"/>
                <w:color w:val="auto"/>
                <w:kern w:val="0"/>
                <w:sz w:val="24"/>
                <w:lang w:val="en-US" w:eastAsia="zh-CN"/>
              </w:rPr>
              <w:t>6，本项目与</w:t>
            </w:r>
            <w:r>
              <w:rPr>
                <w:color w:val="auto"/>
                <w:sz w:val="24"/>
                <w:szCs w:val="21"/>
                <w:highlight w:val="none"/>
              </w:rPr>
              <w:t>辛安泉饮用水水源地</w:t>
            </w:r>
            <w:r>
              <w:rPr>
                <w:rFonts w:hint="eastAsia"/>
                <w:color w:val="auto"/>
                <w:sz w:val="24"/>
                <w:szCs w:val="21"/>
                <w:highlight w:val="none"/>
                <w:lang w:val="en-US" w:eastAsia="zh-CN"/>
              </w:rPr>
              <w:t>保护区相对位置关系见附图7</w:t>
            </w:r>
            <w:r>
              <w:rPr>
                <w:rFonts w:cs="宋体"/>
                <w:color w:val="auto"/>
                <w:kern w:val="0"/>
                <w:sz w:val="24"/>
              </w:rPr>
              <w:t>。</w:t>
            </w:r>
          </w:p>
          <w:p w14:paraId="220CD2D1">
            <w:pPr>
              <w:autoSpaceDE w:val="0"/>
              <w:autoSpaceDN w:val="0"/>
              <w:adjustRightInd w:val="0"/>
              <w:snapToGrid w:val="0"/>
              <w:spacing w:line="480" w:lineRule="exact"/>
              <w:ind w:firstLine="482" w:firstLineChars="200"/>
              <w:rPr>
                <w:rFonts w:hint="default" w:ascii="Times New Roman" w:hAnsi="Times New Roman" w:eastAsia="宋体" w:cs="宋体"/>
                <w:b/>
                <w:bCs/>
                <w:color w:val="auto"/>
                <w:kern w:val="0"/>
                <w:sz w:val="24"/>
                <w:lang w:val="en-US" w:eastAsia="zh-CN"/>
              </w:rPr>
            </w:pPr>
            <w:r>
              <w:rPr>
                <w:rFonts w:hint="eastAsia" w:ascii="Times New Roman" w:hAnsi="Times New Roman" w:eastAsia="宋体" w:cs="宋体"/>
                <w:b/>
                <w:bCs/>
                <w:color w:val="auto"/>
                <w:kern w:val="0"/>
                <w:sz w:val="24"/>
                <w:lang w:val="en-US" w:eastAsia="zh-CN"/>
              </w:rPr>
              <w:t>5、区域水源地符合性分析</w:t>
            </w:r>
          </w:p>
          <w:p w14:paraId="381EA3AF">
            <w:pPr>
              <w:spacing w:line="480" w:lineRule="exact"/>
              <w:ind w:firstLine="480" w:firstLineChars="200"/>
              <w:rPr>
                <w:rFonts w:hint="eastAsia"/>
                <w:color w:val="auto"/>
                <w:sz w:val="24"/>
                <w:szCs w:val="21"/>
                <w:highlight w:val="none"/>
              </w:rPr>
            </w:pPr>
            <w:r>
              <w:rPr>
                <w:rFonts w:hint="eastAsia"/>
                <w:color w:val="auto"/>
                <w:sz w:val="24"/>
                <w:szCs w:val="21"/>
                <w:highlight w:val="none"/>
              </w:rPr>
              <w:t>（1）</w:t>
            </w:r>
            <w:bookmarkStart w:id="2" w:name="_Hlk82075314"/>
            <w:r>
              <w:rPr>
                <w:rFonts w:hint="eastAsia"/>
                <w:color w:val="auto"/>
                <w:sz w:val="24"/>
                <w:szCs w:val="21"/>
                <w:highlight w:val="none"/>
              </w:rPr>
              <w:t>县城集中饮用水源地</w:t>
            </w:r>
            <w:bookmarkEnd w:id="2"/>
          </w:p>
          <w:p w14:paraId="057DC327">
            <w:pPr>
              <w:spacing w:line="480" w:lineRule="exact"/>
              <w:ind w:firstLine="480" w:firstLineChars="200"/>
              <w:rPr>
                <w:rFonts w:hint="eastAsia"/>
                <w:color w:val="auto"/>
                <w:sz w:val="24"/>
                <w:szCs w:val="21"/>
                <w:highlight w:val="none"/>
              </w:rPr>
            </w:pPr>
            <w:r>
              <w:rPr>
                <w:color w:val="auto"/>
                <w:sz w:val="24"/>
                <w:szCs w:val="21"/>
                <w:highlight w:val="none"/>
              </w:rPr>
              <w:t>根据《屯留县城水源地保护区划分技术报告》，屯留区有席店和屯降两处水源地保护区。席店水源地保护区范围为东自郭村西一线，西自刘家坪西南一线，北起刘家坪南一线，南到罗庄席店东一线，由以上圈点的面积为1.85km</w:t>
            </w:r>
            <w:r>
              <w:rPr>
                <w:color w:val="auto"/>
                <w:sz w:val="24"/>
                <w:szCs w:val="21"/>
                <w:highlight w:val="none"/>
                <w:vertAlign w:val="superscript"/>
              </w:rPr>
              <w:t>2</w:t>
            </w:r>
            <w:r>
              <w:rPr>
                <w:color w:val="auto"/>
                <w:sz w:val="24"/>
                <w:szCs w:val="21"/>
                <w:highlight w:val="none"/>
              </w:rPr>
              <w:t>。屯降水库水源地保护区范围为屯降水库水面及水库上游1000m的水面和陆面。厂址位置距离席店和屯降两处水源地保护区分别为</w:t>
            </w:r>
            <w:r>
              <w:rPr>
                <w:rFonts w:hint="eastAsia"/>
                <w:color w:val="auto"/>
                <w:sz w:val="24"/>
                <w:szCs w:val="21"/>
                <w:highlight w:val="none"/>
                <w:lang w:val="en-US" w:eastAsia="zh-CN"/>
              </w:rPr>
              <w:t>6.4</w:t>
            </w:r>
            <w:r>
              <w:rPr>
                <w:color w:val="auto"/>
                <w:sz w:val="24"/>
                <w:szCs w:val="21"/>
                <w:highlight w:val="none"/>
              </w:rPr>
              <w:t>km和</w:t>
            </w:r>
            <w:r>
              <w:rPr>
                <w:rFonts w:hint="eastAsia"/>
                <w:color w:val="auto"/>
                <w:sz w:val="24"/>
                <w:szCs w:val="21"/>
                <w:highlight w:val="none"/>
                <w:lang w:val="en-US" w:eastAsia="zh-CN"/>
              </w:rPr>
              <w:t>16.4</w:t>
            </w:r>
            <w:r>
              <w:rPr>
                <w:color w:val="auto"/>
                <w:sz w:val="24"/>
                <w:szCs w:val="21"/>
                <w:highlight w:val="none"/>
              </w:rPr>
              <w:t>km，不会对水源地造成影响。</w:t>
            </w:r>
            <w:r>
              <w:rPr>
                <w:rFonts w:hint="eastAsia"/>
                <w:color w:val="auto"/>
                <w:sz w:val="24"/>
                <w:szCs w:val="21"/>
                <w:highlight w:val="none"/>
              </w:rPr>
              <w:t>本项目与屯留区</w:t>
            </w:r>
            <w:r>
              <w:rPr>
                <w:color w:val="auto"/>
                <w:sz w:val="24"/>
                <w:szCs w:val="21"/>
                <w:highlight w:val="none"/>
              </w:rPr>
              <w:t>县城水源地保护区</w:t>
            </w:r>
            <w:r>
              <w:rPr>
                <w:rFonts w:hint="eastAsia"/>
                <w:color w:val="auto"/>
                <w:sz w:val="24"/>
                <w:szCs w:val="21"/>
                <w:highlight w:val="none"/>
              </w:rPr>
              <w:t>相对位置关系图见附图</w:t>
            </w:r>
            <w:r>
              <w:rPr>
                <w:rFonts w:hint="eastAsia"/>
                <w:color w:val="auto"/>
                <w:sz w:val="24"/>
                <w:szCs w:val="21"/>
                <w:highlight w:val="none"/>
                <w:lang w:val="en-US" w:eastAsia="zh-CN"/>
              </w:rPr>
              <w:t>8</w:t>
            </w:r>
            <w:r>
              <w:rPr>
                <w:rFonts w:hint="eastAsia"/>
                <w:color w:val="auto"/>
                <w:sz w:val="24"/>
                <w:szCs w:val="21"/>
                <w:highlight w:val="none"/>
              </w:rPr>
              <w:t>。</w:t>
            </w:r>
          </w:p>
          <w:p w14:paraId="50D42A01">
            <w:pPr>
              <w:spacing w:line="480" w:lineRule="exact"/>
              <w:ind w:firstLine="480" w:firstLineChars="200"/>
              <w:rPr>
                <w:color w:val="auto"/>
                <w:sz w:val="24"/>
                <w:szCs w:val="21"/>
                <w:highlight w:val="none"/>
              </w:rPr>
            </w:pPr>
            <w:r>
              <w:rPr>
                <w:color w:val="auto"/>
                <w:sz w:val="24"/>
                <w:szCs w:val="21"/>
                <w:highlight w:val="none"/>
              </w:rPr>
              <w:t>（</w:t>
            </w:r>
            <w:r>
              <w:rPr>
                <w:rFonts w:hint="eastAsia"/>
                <w:color w:val="auto"/>
                <w:sz w:val="24"/>
                <w:szCs w:val="21"/>
                <w:highlight w:val="none"/>
              </w:rPr>
              <w:t>2</w:t>
            </w:r>
            <w:r>
              <w:rPr>
                <w:color w:val="auto"/>
                <w:sz w:val="24"/>
                <w:szCs w:val="21"/>
                <w:highlight w:val="none"/>
              </w:rPr>
              <w:t>）</w:t>
            </w:r>
            <w:r>
              <w:rPr>
                <w:rFonts w:hint="eastAsia"/>
                <w:color w:val="auto"/>
                <w:sz w:val="24"/>
                <w:szCs w:val="21"/>
                <w:highlight w:val="none"/>
              </w:rPr>
              <w:t>乡镇</w:t>
            </w:r>
            <w:r>
              <w:rPr>
                <w:color w:val="auto"/>
                <w:sz w:val="24"/>
                <w:szCs w:val="21"/>
                <w:highlight w:val="none"/>
              </w:rPr>
              <w:t>集中饮用水源地</w:t>
            </w:r>
          </w:p>
          <w:p w14:paraId="0224B618">
            <w:pPr>
              <w:spacing w:line="480" w:lineRule="exact"/>
              <w:ind w:firstLine="480" w:firstLineChars="200"/>
              <w:rPr>
                <w:color w:val="auto"/>
                <w:sz w:val="24"/>
                <w:szCs w:val="21"/>
                <w:highlight w:val="none"/>
              </w:rPr>
            </w:pPr>
            <w:r>
              <w:rPr>
                <w:color w:val="auto"/>
                <w:sz w:val="24"/>
                <w:szCs w:val="21"/>
                <w:highlight w:val="none"/>
              </w:rPr>
              <w:t>屯留</w:t>
            </w:r>
            <w:r>
              <w:rPr>
                <w:rFonts w:hint="eastAsia"/>
                <w:color w:val="auto"/>
                <w:sz w:val="24"/>
                <w:szCs w:val="21"/>
                <w:highlight w:val="none"/>
              </w:rPr>
              <w:t>区</w:t>
            </w:r>
            <w:r>
              <w:rPr>
                <w:color w:val="auto"/>
                <w:sz w:val="24"/>
                <w:szCs w:val="21"/>
                <w:highlight w:val="none"/>
              </w:rPr>
              <w:t>共有10个乡镇集中饮用水水源地，其中有8个乡镇集中供水水源地，2个开发区集中供水水源地，均为地下水型水源地，开采地下水类型包括岩溶裂隙水、砂岩裂隙水、第四系孔隙水，承压水和潜水。</w:t>
            </w:r>
          </w:p>
          <w:p w14:paraId="469BD47A">
            <w:pPr>
              <w:spacing w:line="480" w:lineRule="exact"/>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1</w:t>
            </w:r>
            <w:r>
              <w:rPr>
                <w:rFonts w:eastAsia="黑体"/>
                <w:color w:val="auto"/>
                <w:sz w:val="24"/>
                <w:highlight w:val="none"/>
              </w:rPr>
              <w:t>-</w:t>
            </w:r>
            <w:r>
              <w:rPr>
                <w:rFonts w:hint="eastAsia" w:eastAsia="黑体"/>
                <w:color w:val="auto"/>
                <w:sz w:val="24"/>
                <w:highlight w:val="none"/>
                <w:lang w:val="en-US" w:eastAsia="zh-CN"/>
              </w:rPr>
              <w:t xml:space="preserve">3 </w:t>
            </w:r>
            <w:r>
              <w:rPr>
                <w:rFonts w:eastAsia="黑体"/>
                <w:color w:val="auto"/>
                <w:sz w:val="24"/>
                <w:highlight w:val="none"/>
              </w:rPr>
              <w:t xml:space="preserve"> 屯留县各乡镇集中供水水源地位置及一级保护区范围</w:t>
            </w:r>
          </w:p>
          <w:tbl>
            <w:tblPr>
              <w:tblStyle w:val="23"/>
              <w:tblW w:w="4998" w:type="pct"/>
              <w:tblInd w:w="6"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60"/>
              <w:gridCol w:w="1034"/>
              <w:gridCol w:w="1291"/>
              <w:gridCol w:w="960"/>
              <w:gridCol w:w="1057"/>
            </w:tblGrid>
            <w:tr w14:paraId="7692EF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vMerge w:val="restart"/>
                  <w:noWrap w:val="0"/>
                  <w:vAlign w:val="center"/>
                </w:tcPr>
                <w:p w14:paraId="049A1EFF">
                  <w:pPr>
                    <w:pStyle w:val="104"/>
                    <w:spacing w:line="240" w:lineRule="auto"/>
                    <w:rPr>
                      <w:rFonts w:ascii="Times New Roman"/>
                      <w:b/>
                      <w:color w:val="auto"/>
                      <w:szCs w:val="21"/>
                      <w:highlight w:val="none"/>
                    </w:rPr>
                  </w:pPr>
                  <w:r>
                    <w:rPr>
                      <w:rFonts w:ascii="Times New Roman" w:hAnsi="宋体"/>
                      <w:b/>
                      <w:color w:val="auto"/>
                      <w:szCs w:val="21"/>
                      <w:highlight w:val="none"/>
                    </w:rPr>
                    <w:t>水源地名称</w:t>
                  </w:r>
                </w:p>
              </w:tc>
              <w:tc>
                <w:tcPr>
                  <w:tcW w:w="795" w:type="pct"/>
                  <w:vMerge w:val="restart"/>
                  <w:noWrap w:val="0"/>
                  <w:vAlign w:val="center"/>
                </w:tcPr>
                <w:p w14:paraId="3B586F61">
                  <w:pPr>
                    <w:pStyle w:val="104"/>
                    <w:spacing w:line="240" w:lineRule="auto"/>
                    <w:rPr>
                      <w:rFonts w:ascii="Times New Roman"/>
                      <w:b/>
                      <w:color w:val="auto"/>
                      <w:szCs w:val="21"/>
                      <w:highlight w:val="none"/>
                    </w:rPr>
                  </w:pPr>
                  <w:r>
                    <w:rPr>
                      <w:rFonts w:ascii="Times New Roman" w:hAnsi="宋体"/>
                      <w:b/>
                      <w:color w:val="auto"/>
                      <w:szCs w:val="21"/>
                      <w:highlight w:val="none"/>
                    </w:rPr>
                    <w:t>经度</w:t>
                  </w:r>
                </w:p>
              </w:tc>
              <w:tc>
                <w:tcPr>
                  <w:tcW w:w="993" w:type="pct"/>
                  <w:vMerge w:val="restart"/>
                  <w:noWrap w:val="0"/>
                  <w:vAlign w:val="center"/>
                </w:tcPr>
                <w:p w14:paraId="405D6CFC">
                  <w:pPr>
                    <w:pStyle w:val="104"/>
                    <w:spacing w:line="240" w:lineRule="auto"/>
                    <w:rPr>
                      <w:rFonts w:ascii="Times New Roman"/>
                      <w:b/>
                      <w:color w:val="auto"/>
                      <w:szCs w:val="21"/>
                      <w:highlight w:val="none"/>
                    </w:rPr>
                  </w:pPr>
                  <w:r>
                    <w:rPr>
                      <w:rFonts w:ascii="Times New Roman" w:hAnsi="宋体"/>
                      <w:b/>
                      <w:color w:val="auto"/>
                      <w:szCs w:val="21"/>
                      <w:highlight w:val="none"/>
                    </w:rPr>
                    <w:t>纬度</w:t>
                  </w:r>
                </w:p>
              </w:tc>
              <w:tc>
                <w:tcPr>
                  <w:tcW w:w="1550" w:type="pct"/>
                  <w:gridSpan w:val="2"/>
                  <w:noWrap w:val="0"/>
                  <w:vAlign w:val="center"/>
                </w:tcPr>
                <w:p w14:paraId="2B47C308">
                  <w:pPr>
                    <w:pStyle w:val="104"/>
                    <w:spacing w:line="240" w:lineRule="auto"/>
                    <w:rPr>
                      <w:rFonts w:ascii="Times New Roman"/>
                      <w:b/>
                      <w:color w:val="auto"/>
                      <w:szCs w:val="21"/>
                      <w:highlight w:val="none"/>
                    </w:rPr>
                  </w:pPr>
                  <w:r>
                    <w:rPr>
                      <w:rFonts w:ascii="Times New Roman" w:hAnsi="宋体"/>
                      <w:b/>
                      <w:color w:val="auto"/>
                      <w:szCs w:val="21"/>
                      <w:highlight w:val="none"/>
                    </w:rPr>
                    <w:t>一级保护区</w:t>
                  </w:r>
                </w:p>
              </w:tc>
            </w:tr>
            <w:tr w14:paraId="40A668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vMerge w:val="continue"/>
                  <w:noWrap w:val="0"/>
                  <w:vAlign w:val="center"/>
                </w:tcPr>
                <w:p w14:paraId="743E291B">
                  <w:pPr>
                    <w:pStyle w:val="104"/>
                    <w:spacing w:line="240" w:lineRule="auto"/>
                    <w:rPr>
                      <w:rFonts w:ascii="Times New Roman"/>
                      <w:b/>
                      <w:color w:val="auto"/>
                      <w:szCs w:val="21"/>
                      <w:highlight w:val="none"/>
                    </w:rPr>
                  </w:pPr>
                </w:p>
              </w:tc>
              <w:tc>
                <w:tcPr>
                  <w:tcW w:w="795" w:type="pct"/>
                  <w:vMerge w:val="continue"/>
                  <w:noWrap w:val="0"/>
                  <w:vAlign w:val="center"/>
                </w:tcPr>
                <w:p w14:paraId="6F310504">
                  <w:pPr>
                    <w:pStyle w:val="104"/>
                    <w:spacing w:line="240" w:lineRule="auto"/>
                    <w:rPr>
                      <w:rFonts w:ascii="Times New Roman"/>
                      <w:b/>
                      <w:color w:val="auto"/>
                      <w:szCs w:val="21"/>
                      <w:highlight w:val="none"/>
                    </w:rPr>
                  </w:pPr>
                </w:p>
              </w:tc>
              <w:tc>
                <w:tcPr>
                  <w:tcW w:w="993" w:type="pct"/>
                  <w:vMerge w:val="continue"/>
                  <w:noWrap w:val="0"/>
                  <w:vAlign w:val="center"/>
                </w:tcPr>
                <w:p w14:paraId="358B58E2">
                  <w:pPr>
                    <w:pStyle w:val="104"/>
                    <w:spacing w:line="240" w:lineRule="auto"/>
                    <w:rPr>
                      <w:rFonts w:ascii="Times New Roman"/>
                      <w:b/>
                      <w:color w:val="auto"/>
                      <w:szCs w:val="21"/>
                      <w:highlight w:val="none"/>
                    </w:rPr>
                  </w:pPr>
                </w:p>
              </w:tc>
              <w:tc>
                <w:tcPr>
                  <w:tcW w:w="738" w:type="pct"/>
                  <w:noWrap w:val="0"/>
                  <w:vAlign w:val="center"/>
                </w:tcPr>
                <w:p w14:paraId="7247B79C">
                  <w:pPr>
                    <w:pStyle w:val="104"/>
                    <w:spacing w:line="240" w:lineRule="auto"/>
                    <w:rPr>
                      <w:rFonts w:ascii="Times New Roman"/>
                      <w:b/>
                      <w:color w:val="auto"/>
                      <w:szCs w:val="21"/>
                      <w:highlight w:val="none"/>
                    </w:rPr>
                  </w:pPr>
                  <w:r>
                    <w:rPr>
                      <w:rFonts w:ascii="Times New Roman" w:hAnsi="宋体"/>
                      <w:b/>
                      <w:color w:val="auto"/>
                      <w:szCs w:val="21"/>
                      <w:highlight w:val="none"/>
                    </w:rPr>
                    <w:t>半径（</w:t>
                  </w:r>
                  <w:r>
                    <w:rPr>
                      <w:rFonts w:ascii="Times New Roman"/>
                      <w:b/>
                      <w:color w:val="auto"/>
                      <w:szCs w:val="21"/>
                      <w:highlight w:val="none"/>
                    </w:rPr>
                    <w:t>m</w:t>
                  </w:r>
                  <w:r>
                    <w:rPr>
                      <w:rFonts w:ascii="Times New Roman" w:hAnsi="宋体"/>
                      <w:b/>
                      <w:color w:val="auto"/>
                      <w:szCs w:val="21"/>
                      <w:highlight w:val="none"/>
                    </w:rPr>
                    <w:t>）</w:t>
                  </w:r>
                </w:p>
              </w:tc>
              <w:tc>
                <w:tcPr>
                  <w:tcW w:w="812" w:type="pct"/>
                  <w:noWrap w:val="0"/>
                  <w:vAlign w:val="center"/>
                </w:tcPr>
                <w:p w14:paraId="26F56377">
                  <w:pPr>
                    <w:pStyle w:val="104"/>
                    <w:spacing w:line="240" w:lineRule="auto"/>
                    <w:rPr>
                      <w:rFonts w:ascii="Times New Roman"/>
                      <w:b/>
                      <w:color w:val="auto"/>
                      <w:szCs w:val="21"/>
                      <w:highlight w:val="none"/>
                    </w:rPr>
                  </w:pPr>
                  <w:r>
                    <w:rPr>
                      <w:rFonts w:ascii="Times New Roman" w:hAnsi="宋体"/>
                      <w:b/>
                      <w:color w:val="auto"/>
                      <w:szCs w:val="21"/>
                      <w:highlight w:val="none"/>
                    </w:rPr>
                    <w:t>面积（</w:t>
                  </w:r>
                  <w:r>
                    <w:rPr>
                      <w:rFonts w:ascii="Times New Roman"/>
                      <w:b/>
                      <w:color w:val="auto"/>
                      <w:szCs w:val="21"/>
                      <w:highlight w:val="none"/>
                    </w:rPr>
                    <w:t>hm</w:t>
                  </w:r>
                  <w:r>
                    <w:rPr>
                      <w:rFonts w:ascii="Times New Roman"/>
                      <w:b/>
                      <w:color w:val="auto"/>
                      <w:szCs w:val="21"/>
                      <w:highlight w:val="none"/>
                      <w:vertAlign w:val="superscript"/>
                    </w:rPr>
                    <w:t>2</w:t>
                  </w:r>
                  <w:r>
                    <w:rPr>
                      <w:rFonts w:ascii="Times New Roman" w:hAnsi="宋体"/>
                      <w:b/>
                      <w:color w:val="auto"/>
                      <w:szCs w:val="21"/>
                      <w:highlight w:val="none"/>
                    </w:rPr>
                    <w:t>）</w:t>
                  </w:r>
                </w:p>
              </w:tc>
            </w:tr>
            <w:tr w14:paraId="7985C7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5C9F2C86">
                  <w:pPr>
                    <w:pStyle w:val="104"/>
                    <w:spacing w:line="240" w:lineRule="auto"/>
                    <w:rPr>
                      <w:rFonts w:ascii="Times New Roman"/>
                      <w:color w:val="auto"/>
                      <w:szCs w:val="21"/>
                      <w:highlight w:val="none"/>
                    </w:rPr>
                  </w:pPr>
                  <w:r>
                    <w:rPr>
                      <w:rFonts w:ascii="Times New Roman" w:hAnsi="宋体"/>
                      <w:color w:val="auto"/>
                      <w:szCs w:val="21"/>
                      <w:highlight w:val="none"/>
                    </w:rPr>
                    <w:t>上村镇集中供水水源</w:t>
                  </w:r>
                </w:p>
              </w:tc>
              <w:tc>
                <w:tcPr>
                  <w:tcW w:w="795" w:type="pct"/>
                  <w:noWrap w:val="0"/>
                  <w:vAlign w:val="center"/>
                </w:tcPr>
                <w:p w14:paraId="185BCD43">
                  <w:pPr>
                    <w:pStyle w:val="104"/>
                    <w:spacing w:line="240" w:lineRule="auto"/>
                    <w:rPr>
                      <w:rFonts w:ascii="Times New Roman"/>
                      <w:color w:val="auto"/>
                      <w:szCs w:val="21"/>
                      <w:highlight w:val="none"/>
                    </w:rPr>
                  </w:pPr>
                  <w:r>
                    <w:rPr>
                      <w:rFonts w:ascii="Times New Roman"/>
                      <w:color w:val="auto"/>
                      <w:szCs w:val="21"/>
                      <w:highlight w:val="none"/>
                    </w:rPr>
                    <w:t>112°59′38″</w:t>
                  </w:r>
                </w:p>
              </w:tc>
              <w:tc>
                <w:tcPr>
                  <w:tcW w:w="993" w:type="pct"/>
                  <w:noWrap w:val="0"/>
                  <w:vAlign w:val="center"/>
                </w:tcPr>
                <w:p w14:paraId="56F7E9B8">
                  <w:pPr>
                    <w:pStyle w:val="104"/>
                    <w:spacing w:line="240" w:lineRule="auto"/>
                    <w:rPr>
                      <w:rFonts w:ascii="Times New Roman"/>
                      <w:color w:val="auto"/>
                      <w:szCs w:val="21"/>
                      <w:highlight w:val="none"/>
                    </w:rPr>
                  </w:pPr>
                  <w:r>
                    <w:rPr>
                      <w:rFonts w:ascii="Times New Roman"/>
                      <w:color w:val="auto"/>
                      <w:szCs w:val="21"/>
                      <w:highlight w:val="none"/>
                    </w:rPr>
                    <w:t>36°19′20″</w:t>
                  </w:r>
                </w:p>
              </w:tc>
              <w:tc>
                <w:tcPr>
                  <w:tcW w:w="738" w:type="pct"/>
                  <w:noWrap w:val="0"/>
                  <w:vAlign w:val="center"/>
                </w:tcPr>
                <w:p w14:paraId="0859EC3D">
                  <w:pPr>
                    <w:pStyle w:val="104"/>
                    <w:spacing w:line="240" w:lineRule="auto"/>
                    <w:rPr>
                      <w:rFonts w:ascii="Times New Roman"/>
                      <w:color w:val="auto"/>
                      <w:szCs w:val="21"/>
                      <w:highlight w:val="none"/>
                    </w:rPr>
                  </w:pPr>
                  <w:r>
                    <w:rPr>
                      <w:rFonts w:ascii="Times New Roman"/>
                      <w:color w:val="auto"/>
                      <w:szCs w:val="21"/>
                      <w:highlight w:val="none"/>
                    </w:rPr>
                    <w:t>73</w:t>
                  </w:r>
                </w:p>
              </w:tc>
              <w:tc>
                <w:tcPr>
                  <w:tcW w:w="812" w:type="pct"/>
                  <w:noWrap w:val="0"/>
                  <w:vAlign w:val="center"/>
                </w:tcPr>
                <w:p w14:paraId="693C517E">
                  <w:pPr>
                    <w:pStyle w:val="104"/>
                    <w:spacing w:line="240" w:lineRule="auto"/>
                    <w:rPr>
                      <w:rFonts w:ascii="Times New Roman"/>
                      <w:color w:val="auto"/>
                      <w:szCs w:val="21"/>
                      <w:highlight w:val="none"/>
                    </w:rPr>
                  </w:pPr>
                  <w:r>
                    <w:rPr>
                      <w:rFonts w:ascii="Times New Roman"/>
                      <w:color w:val="auto"/>
                      <w:szCs w:val="21"/>
                      <w:highlight w:val="none"/>
                    </w:rPr>
                    <w:t>0.0167</w:t>
                  </w:r>
                </w:p>
              </w:tc>
            </w:tr>
            <w:tr w14:paraId="6391C9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10B4FEBA">
                  <w:pPr>
                    <w:pStyle w:val="104"/>
                    <w:spacing w:line="240" w:lineRule="auto"/>
                    <w:rPr>
                      <w:rFonts w:ascii="Times New Roman"/>
                      <w:color w:val="auto"/>
                      <w:szCs w:val="21"/>
                      <w:highlight w:val="none"/>
                    </w:rPr>
                  </w:pPr>
                  <w:r>
                    <w:rPr>
                      <w:rFonts w:ascii="Times New Roman" w:hAnsi="宋体"/>
                      <w:color w:val="auto"/>
                      <w:szCs w:val="21"/>
                      <w:highlight w:val="none"/>
                    </w:rPr>
                    <w:t>渔泽镇集中供水水源</w:t>
                  </w:r>
                </w:p>
              </w:tc>
              <w:tc>
                <w:tcPr>
                  <w:tcW w:w="795" w:type="pct"/>
                  <w:noWrap w:val="0"/>
                  <w:vAlign w:val="center"/>
                </w:tcPr>
                <w:p w14:paraId="610B8F17">
                  <w:pPr>
                    <w:pStyle w:val="104"/>
                    <w:spacing w:line="240" w:lineRule="auto"/>
                    <w:rPr>
                      <w:rFonts w:ascii="Times New Roman"/>
                      <w:color w:val="auto"/>
                      <w:szCs w:val="21"/>
                      <w:highlight w:val="none"/>
                    </w:rPr>
                  </w:pPr>
                  <w:r>
                    <w:rPr>
                      <w:rFonts w:ascii="Times New Roman"/>
                      <w:color w:val="auto"/>
                      <w:szCs w:val="21"/>
                      <w:highlight w:val="none"/>
                    </w:rPr>
                    <w:t>112°58′48″</w:t>
                  </w:r>
                </w:p>
              </w:tc>
              <w:tc>
                <w:tcPr>
                  <w:tcW w:w="993" w:type="pct"/>
                  <w:noWrap w:val="0"/>
                  <w:vAlign w:val="center"/>
                </w:tcPr>
                <w:p w14:paraId="6F04FBBD">
                  <w:pPr>
                    <w:pStyle w:val="104"/>
                    <w:spacing w:line="240" w:lineRule="auto"/>
                    <w:rPr>
                      <w:rFonts w:ascii="Times New Roman"/>
                      <w:color w:val="auto"/>
                      <w:szCs w:val="21"/>
                      <w:highlight w:val="none"/>
                    </w:rPr>
                  </w:pPr>
                  <w:r>
                    <w:rPr>
                      <w:rFonts w:ascii="Times New Roman"/>
                      <w:color w:val="auto"/>
                      <w:szCs w:val="21"/>
                      <w:highlight w:val="none"/>
                    </w:rPr>
                    <w:t>36°21′35″</w:t>
                  </w:r>
                </w:p>
              </w:tc>
              <w:tc>
                <w:tcPr>
                  <w:tcW w:w="738" w:type="pct"/>
                  <w:noWrap w:val="0"/>
                  <w:vAlign w:val="center"/>
                </w:tcPr>
                <w:p w14:paraId="0E43D944">
                  <w:pPr>
                    <w:pStyle w:val="104"/>
                    <w:spacing w:line="240" w:lineRule="auto"/>
                    <w:rPr>
                      <w:rFonts w:ascii="Times New Roman"/>
                      <w:color w:val="auto"/>
                      <w:szCs w:val="21"/>
                      <w:highlight w:val="none"/>
                    </w:rPr>
                  </w:pPr>
                  <w:r>
                    <w:rPr>
                      <w:rFonts w:ascii="Times New Roman"/>
                      <w:color w:val="auto"/>
                      <w:szCs w:val="21"/>
                      <w:highlight w:val="none"/>
                    </w:rPr>
                    <w:t>47</w:t>
                  </w:r>
                </w:p>
              </w:tc>
              <w:tc>
                <w:tcPr>
                  <w:tcW w:w="812" w:type="pct"/>
                  <w:noWrap w:val="0"/>
                  <w:vAlign w:val="center"/>
                </w:tcPr>
                <w:p w14:paraId="7EA3B032">
                  <w:pPr>
                    <w:pStyle w:val="104"/>
                    <w:spacing w:line="240" w:lineRule="auto"/>
                    <w:rPr>
                      <w:rFonts w:ascii="Times New Roman"/>
                      <w:color w:val="auto"/>
                      <w:szCs w:val="21"/>
                      <w:highlight w:val="none"/>
                    </w:rPr>
                  </w:pPr>
                  <w:r>
                    <w:rPr>
                      <w:rFonts w:ascii="Times New Roman"/>
                      <w:color w:val="auto"/>
                      <w:szCs w:val="21"/>
                      <w:highlight w:val="none"/>
                    </w:rPr>
                    <w:t>0.0069</w:t>
                  </w:r>
                </w:p>
              </w:tc>
            </w:tr>
            <w:tr w14:paraId="179979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2918D52A">
                  <w:pPr>
                    <w:pStyle w:val="104"/>
                    <w:spacing w:line="240" w:lineRule="auto"/>
                    <w:rPr>
                      <w:rFonts w:ascii="Times New Roman"/>
                      <w:color w:val="auto"/>
                      <w:szCs w:val="21"/>
                      <w:highlight w:val="none"/>
                    </w:rPr>
                  </w:pPr>
                  <w:r>
                    <w:rPr>
                      <w:rFonts w:ascii="Times New Roman" w:hAnsi="宋体"/>
                      <w:color w:val="auto"/>
                      <w:szCs w:val="21"/>
                      <w:highlight w:val="none"/>
                    </w:rPr>
                    <w:t>余吾镇集中供水水源</w:t>
                  </w:r>
                </w:p>
              </w:tc>
              <w:tc>
                <w:tcPr>
                  <w:tcW w:w="795" w:type="pct"/>
                  <w:noWrap w:val="0"/>
                  <w:vAlign w:val="center"/>
                </w:tcPr>
                <w:p w14:paraId="348D770B">
                  <w:pPr>
                    <w:pStyle w:val="104"/>
                    <w:spacing w:line="240" w:lineRule="auto"/>
                    <w:rPr>
                      <w:rFonts w:ascii="Times New Roman"/>
                      <w:color w:val="auto"/>
                      <w:szCs w:val="21"/>
                      <w:highlight w:val="none"/>
                    </w:rPr>
                  </w:pPr>
                  <w:r>
                    <w:rPr>
                      <w:rFonts w:ascii="Times New Roman"/>
                      <w:color w:val="auto"/>
                      <w:szCs w:val="21"/>
                      <w:highlight w:val="none"/>
                    </w:rPr>
                    <w:t>112°49′56″</w:t>
                  </w:r>
                </w:p>
              </w:tc>
              <w:tc>
                <w:tcPr>
                  <w:tcW w:w="993" w:type="pct"/>
                  <w:noWrap w:val="0"/>
                  <w:vAlign w:val="center"/>
                </w:tcPr>
                <w:p w14:paraId="1F5EDE0B">
                  <w:pPr>
                    <w:pStyle w:val="104"/>
                    <w:spacing w:line="240" w:lineRule="auto"/>
                    <w:rPr>
                      <w:rFonts w:ascii="Times New Roman"/>
                      <w:color w:val="auto"/>
                      <w:szCs w:val="21"/>
                      <w:highlight w:val="none"/>
                    </w:rPr>
                  </w:pPr>
                  <w:r>
                    <w:rPr>
                      <w:rFonts w:ascii="Times New Roman"/>
                      <w:color w:val="auto"/>
                      <w:szCs w:val="21"/>
                      <w:highlight w:val="none"/>
                    </w:rPr>
                    <w:t>36°23′13″</w:t>
                  </w:r>
                </w:p>
              </w:tc>
              <w:tc>
                <w:tcPr>
                  <w:tcW w:w="738" w:type="pct"/>
                  <w:noWrap w:val="0"/>
                  <w:vAlign w:val="center"/>
                </w:tcPr>
                <w:p w14:paraId="52FCDC16">
                  <w:pPr>
                    <w:pStyle w:val="104"/>
                    <w:spacing w:line="240" w:lineRule="auto"/>
                    <w:rPr>
                      <w:rFonts w:ascii="Times New Roman"/>
                      <w:color w:val="auto"/>
                      <w:szCs w:val="21"/>
                      <w:highlight w:val="none"/>
                    </w:rPr>
                  </w:pPr>
                  <w:r>
                    <w:rPr>
                      <w:rFonts w:ascii="Times New Roman"/>
                      <w:color w:val="auto"/>
                      <w:szCs w:val="21"/>
                      <w:highlight w:val="none"/>
                    </w:rPr>
                    <w:t>59</w:t>
                  </w:r>
                </w:p>
              </w:tc>
              <w:tc>
                <w:tcPr>
                  <w:tcW w:w="812" w:type="pct"/>
                  <w:noWrap w:val="0"/>
                  <w:vAlign w:val="center"/>
                </w:tcPr>
                <w:p w14:paraId="0DAA9F32">
                  <w:pPr>
                    <w:pStyle w:val="104"/>
                    <w:spacing w:line="240" w:lineRule="auto"/>
                    <w:rPr>
                      <w:rFonts w:ascii="Times New Roman"/>
                      <w:color w:val="auto"/>
                      <w:szCs w:val="21"/>
                      <w:highlight w:val="none"/>
                    </w:rPr>
                  </w:pPr>
                  <w:r>
                    <w:rPr>
                      <w:rFonts w:ascii="Times New Roman"/>
                      <w:color w:val="auto"/>
                      <w:szCs w:val="21"/>
                      <w:highlight w:val="none"/>
                    </w:rPr>
                    <w:t>0.0109</w:t>
                  </w:r>
                </w:p>
              </w:tc>
            </w:tr>
            <w:tr w14:paraId="70D549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5128337C">
                  <w:pPr>
                    <w:pStyle w:val="104"/>
                    <w:spacing w:line="240" w:lineRule="auto"/>
                    <w:rPr>
                      <w:rFonts w:ascii="Times New Roman"/>
                      <w:color w:val="auto"/>
                      <w:szCs w:val="21"/>
                      <w:highlight w:val="none"/>
                    </w:rPr>
                  </w:pPr>
                  <w:r>
                    <w:rPr>
                      <w:rFonts w:ascii="Times New Roman" w:hAnsi="宋体"/>
                      <w:color w:val="auto"/>
                      <w:szCs w:val="21"/>
                      <w:highlight w:val="none"/>
                    </w:rPr>
                    <w:t>吾元镇集中供水水源</w:t>
                  </w:r>
                </w:p>
              </w:tc>
              <w:tc>
                <w:tcPr>
                  <w:tcW w:w="795" w:type="pct"/>
                  <w:noWrap w:val="0"/>
                  <w:vAlign w:val="center"/>
                </w:tcPr>
                <w:p w14:paraId="374E42D9">
                  <w:pPr>
                    <w:pStyle w:val="104"/>
                    <w:spacing w:line="240" w:lineRule="auto"/>
                    <w:rPr>
                      <w:rFonts w:ascii="Times New Roman"/>
                      <w:color w:val="auto"/>
                      <w:szCs w:val="21"/>
                      <w:highlight w:val="none"/>
                    </w:rPr>
                  </w:pPr>
                  <w:r>
                    <w:rPr>
                      <w:rFonts w:ascii="Times New Roman"/>
                      <w:color w:val="auto"/>
                      <w:szCs w:val="21"/>
                      <w:highlight w:val="none"/>
                    </w:rPr>
                    <w:t>112°41′35″</w:t>
                  </w:r>
                </w:p>
              </w:tc>
              <w:tc>
                <w:tcPr>
                  <w:tcW w:w="993" w:type="pct"/>
                  <w:noWrap w:val="0"/>
                  <w:vAlign w:val="center"/>
                </w:tcPr>
                <w:p w14:paraId="460BE946">
                  <w:pPr>
                    <w:pStyle w:val="104"/>
                    <w:spacing w:line="240" w:lineRule="auto"/>
                    <w:rPr>
                      <w:rFonts w:ascii="Times New Roman"/>
                      <w:color w:val="auto"/>
                      <w:szCs w:val="21"/>
                      <w:highlight w:val="none"/>
                    </w:rPr>
                  </w:pPr>
                  <w:r>
                    <w:rPr>
                      <w:rFonts w:ascii="Times New Roman"/>
                      <w:color w:val="auto"/>
                      <w:szCs w:val="21"/>
                      <w:highlight w:val="none"/>
                    </w:rPr>
                    <w:t>36°25′41″</w:t>
                  </w:r>
                </w:p>
              </w:tc>
              <w:tc>
                <w:tcPr>
                  <w:tcW w:w="738" w:type="pct"/>
                  <w:noWrap w:val="0"/>
                  <w:vAlign w:val="center"/>
                </w:tcPr>
                <w:p w14:paraId="52C4C12F">
                  <w:pPr>
                    <w:pStyle w:val="104"/>
                    <w:spacing w:line="240" w:lineRule="auto"/>
                    <w:rPr>
                      <w:rFonts w:ascii="Times New Roman"/>
                      <w:color w:val="auto"/>
                      <w:szCs w:val="21"/>
                      <w:highlight w:val="none"/>
                    </w:rPr>
                  </w:pPr>
                  <w:r>
                    <w:rPr>
                      <w:rFonts w:ascii="Times New Roman"/>
                      <w:color w:val="auto"/>
                      <w:szCs w:val="21"/>
                      <w:highlight w:val="none"/>
                    </w:rPr>
                    <w:t>89</w:t>
                  </w:r>
                </w:p>
              </w:tc>
              <w:tc>
                <w:tcPr>
                  <w:tcW w:w="812" w:type="pct"/>
                  <w:noWrap w:val="0"/>
                  <w:vAlign w:val="center"/>
                </w:tcPr>
                <w:p w14:paraId="3972B169">
                  <w:pPr>
                    <w:pStyle w:val="104"/>
                    <w:spacing w:line="240" w:lineRule="auto"/>
                    <w:rPr>
                      <w:rFonts w:ascii="Times New Roman"/>
                      <w:color w:val="auto"/>
                      <w:szCs w:val="21"/>
                      <w:highlight w:val="none"/>
                    </w:rPr>
                  </w:pPr>
                  <w:r>
                    <w:rPr>
                      <w:rFonts w:ascii="Times New Roman"/>
                      <w:color w:val="auto"/>
                      <w:szCs w:val="21"/>
                      <w:highlight w:val="none"/>
                    </w:rPr>
                    <w:t>0.0219</w:t>
                  </w:r>
                </w:p>
              </w:tc>
            </w:tr>
            <w:tr w14:paraId="1917D7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19B48DAB">
                  <w:pPr>
                    <w:pStyle w:val="104"/>
                    <w:spacing w:line="240" w:lineRule="auto"/>
                    <w:rPr>
                      <w:rFonts w:ascii="Times New Roman"/>
                      <w:color w:val="auto"/>
                      <w:szCs w:val="21"/>
                      <w:highlight w:val="none"/>
                    </w:rPr>
                  </w:pPr>
                  <w:r>
                    <w:rPr>
                      <w:rFonts w:ascii="Times New Roman" w:hAnsi="宋体"/>
                      <w:color w:val="auto"/>
                      <w:szCs w:val="21"/>
                      <w:highlight w:val="none"/>
                    </w:rPr>
                    <w:t>张店镇集中供水水源</w:t>
                  </w:r>
                </w:p>
              </w:tc>
              <w:tc>
                <w:tcPr>
                  <w:tcW w:w="795" w:type="pct"/>
                  <w:noWrap w:val="0"/>
                  <w:vAlign w:val="center"/>
                </w:tcPr>
                <w:p w14:paraId="02CBAE01">
                  <w:pPr>
                    <w:pStyle w:val="104"/>
                    <w:spacing w:line="240" w:lineRule="auto"/>
                    <w:rPr>
                      <w:rFonts w:ascii="Times New Roman"/>
                      <w:color w:val="auto"/>
                      <w:szCs w:val="21"/>
                      <w:highlight w:val="none"/>
                    </w:rPr>
                  </w:pPr>
                  <w:r>
                    <w:rPr>
                      <w:rFonts w:ascii="Times New Roman"/>
                      <w:color w:val="auto"/>
                      <w:szCs w:val="21"/>
                      <w:highlight w:val="none"/>
                    </w:rPr>
                    <w:t>112°35′56″</w:t>
                  </w:r>
                </w:p>
              </w:tc>
              <w:tc>
                <w:tcPr>
                  <w:tcW w:w="993" w:type="pct"/>
                  <w:noWrap w:val="0"/>
                  <w:vAlign w:val="center"/>
                </w:tcPr>
                <w:p w14:paraId="2E39571A">
                  <w:pPr>
                    <w:pStyle w:val="104"/>
                    <w:spacing w:line="240" w:lineRule="auto"/>
                    <w:rPr>
                      <w:rFonts w:ascii="Times New Roman"/>
                      <w:color w:val="auto"/>
                      <w:szCs w:val="21"/>
                      <w:highlight w:val="none"/>
                    </w:rPr>
                  </w:pPr>
                  <w:r>
                    <w:rPr>
                      <w:rFonts w:ascii="Times New Roman"/>
                      <w:color w:val="auto"/>
                      <w:szCs w:val="21"/>
                      <w:highlight w:val="none"/>
                    </w:rPr>
                    <w:t>36°21′03″</w:t>
                  </w:r>
                </w:p>
              </w:tc>
              <w:tc>
                <w:tcPr>
                  <w:tcW w:w="738" w:type="pct"/>
                  <w:noWrap w:val="0"/>
                  <w:vAlign w:val="center"/>
                </w:tcPr>
                <w:p w14:paraId="3713CBC4">
                  <w:pPr>
                    <w:pStyle w:val="104"/>
                    <w:spacing w:line="240" w:lineRule="auto"/>
                    <w:rPr>
                      <w:rFonts w:ascii="Times New Roman"/>
                      <w:color w:val="auto"/>
                      <w:szCs w:val="21"/>
                      <w:highlight w:val="none"/>
                    </w:rPr>
                  </w:pPr>
                  <w:r>
                    <w:rPr>
                      <w:rFonts w:ascii="Times New Roman"/>
                      <w:color w:val="auto"/>
                      <w:szCs w:val="21"/>
                      <w:highlight w:val="none"/>
                    </w:rPr>
                    <w:t>65</w:t>
                  </w:r>
                </w:p>
              </w:tc>
              <w:tc>
                <w:tcPr>
                  <w:tcW w:w="812" w:type="pct"/>
                  <w:noWrap w:val="0"/>
                  <w:vAlign w:val="center"/>
                </w:tcPr>
                <w:p w14:paraId="20C46DD0">
                  <w:pPr>
                    <w:pStyle w:val="104"/>
                    <w:spacing w:line="240" w:lineRule="auto"/>
                    <w:rPr>
                      <w:rFonts w:ascii="Times New Roman"/>
                      <w:color w:val="auto"/>
                      <w:szCs w:val="21"/>
                      <w:highlight w:val="none"/>
                    </w:rPr>
                  </w:pPr>
                  <w:r>
                    <w:rPr>
                      <w:rFonts w:ascii="Times New Roman"/>
                      <w:color w:val="auto"/>
                      <w:szCs w:val="21"/>
                      <w:highlight w:val="none"/>
                    </w:rPr>
                    <w:t>0.0133</w:t>
                  </w:r>
                </w:p>
              </w:tc>
            </w:tr>
            <w:tr w14:paraId="7D3E56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677004D0">
                  <w:pPr>
                    <w:pStyle w:val="104"/>
                    <w:spacing w:line="240" w:lineRule="auto"/>
                    <w:rPr>
                      <w:rFonts w:ascii="Times New Roman"/>
                      <w:color w:val="auto"/>
                      <w:szCs w:val="21"/>
                      <w:highlight w:val="none"/>
                    </w:rPr>
                  </w:pPr>
                  <w:r>
                    <w:rPr>
                      <w:rFonts w:ascii="Times New Roman" w:hAnsi="宋体"/>
                      <w:color w:val="auto"/>
                      <w:szCs w:val="21"/>
                      <w:highlight w:val="none"/>
                    </w:rPr>
                    <w:t>丰宜镇集中供水水源</w:t>
                  </w:r>
                </w:p>
              </w:tc>
              <w:tc>
                <w:tcPr>
                  <w:tcW w:w="795" w:type="pct"/>
                  <w:noWrap w:val="0"/>
                  <w:vAlign w:val="center"/>
                </w:tcPr>
                <w:p w14:paraId="4D748E9B">
                  <w:pPr>
                    <w:pStyle w:val="104"/>
                    <w:spacing w:line="240" w:lineRule="auto"/>
                    <w:rPr>
                      <w:rFonts w:ascii="Times New Roman"/>
                      <w:color w:val="auto"/>
                      <w:szCs w:val="21"/>
                      <w:highlight w:val="none"/>
                    </w:rPr>
                  </w:pPr>
                  <w:r>
                    <w:rPr>
                      <w:rFonts w:ascii="Times New Roman"/>
                      <w:color w:val="auto"/>
                      <w:szCs w:val="21"/>
                      <w:highlight w:val="none"/>
                    </w:rPr>
                    <w:t>112°43′39″</w:t>
                  </w:r>
                </w:p>
              </w:tc>
              <w:tc>
                <w:tcPr>
                  <w:tcW w:w="993" w:type="pct"/>
                  <w:noWrap w:val="0"/>
                  <w:vAlign w:val="center"/>
                </w:tcPr>
                <w:p w14:paraId="75B4FEC0">
                  <w:pPr>
                    <w:pStyle w:val="104"/>
                    <w:spacing w:line="240" w:lineRule="auto"/>
                    <w:rPr>
                      <w:rFonts w:ascii="Times New Roman"/>
                      <w:color w:val="auto"/>
                      <w:szCs w:val="21"/>
                      <w:highlight w:val="none"/>
                    </w:rPr>
                  </w:pPr>
                  <w:r>
                    <w:rPr>
                      <w:rFonts w:ascii="Times New Roman"/>
                      <w:color w:val="auto"/>
                      <w:szCs w:val="21"/>
                      <w:highlight w:val="none"/>
                    </w:rPr>
                    <w:t>36°14′16″</w:t>
                  </w:r>
                </w:p>
              </w:tc>
              <w:tc>
                <w:tcPr>
                  <w:tcW w:w="738" w:type="pct"/>
                  <w:noWrap w:val="0"/>
                  <w:vAlign w:val="center"/>
                </w:tcPr>
                <w:p w14:paraId="4C84BC53">
                  <w:pPr>
                    <w:pStyle w:val="104"/>
                    <w:spacing w:line="240" w:lineRule="auto"/>
                    <w:rPr>
                      <w:rFonts w:ascii="Times New Roman"/>
                      <w:color w:val="auto"/>
                      <w:szCs w:val="21"/>
                      <w:highlight w:val="none"/>
                    </w:rPr>
                  </w:pPr>
                  <w:r>
                    <w:rPr>
                      <w:rFonts w:ascii="Times New Roman"/>
                      <w:color w:val="auto"/>
                      <w:szCs w:val="21"/>
                      <w:highlight w:val="none"/>
                    </w:rPr>
                    <w:t>89</w:t>
                  </w:r>
                </w:p>
              </w:tc>
              <w:tc>
                <w:tcPr>
                  <w:tcW w:w="812" w:type="pct"/>
                  <w:noWrap w:val="0"/>
                  <w:vAlign w:val="center"/>
                </w:tcPr>
                <w:p w14:paraId="67E336AE">
                  <w:pPr>
                    <w:pStyle w:val="104"/>
                    <w:spacing w:line="240" w:lineRule="auto"/>
                    <w:rPr>
                      <w:rFonts w:ascii="Times New Roman"/>
                      <w:color w:val="auto"/>
                      <w:szCs w:val="21"/>
                      <w:highlight w:val="none"/>
                    </w:rPr>
                  </w:pPr>
                  <w:r>
                    <w:rPr>
                      <w:rFonts w:ascii="Times New Roman"/>
                      <w:color w:val="auto"/>
                      <w:szCs w:val="21"/>
                      <w:highlight w:val="none"/>
                    </w:rPr>
                    <w:t>0.0249</w:t>
                  </w:r>
                </w:p>
              </w:tc>
            </w:tr>
            <w:tr w14:paraId="051112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1837371F">
                  <w:pPr>
                    <w:pStyle w:val="104"/>
                    <w:spacing w:line="240" w:lineRule="auto"/>
                    <w:rPr>
                      <w:rFonts w:ascii="Times New Roman"/>
                      <w:color w:val="auto"/>
                      <w:szCs w:val="21"/>
                      <w:highlight w:val="none"/>
                    </w:rPr>
                  </w:pPr>
                  <w:r>
                    <w:rPr>
                      <w:rFonts w:ascii="Times New Roman" w:hAnsi="宋体"/>
                      <w:color w:val="auto"/>
                      <w:szCs w:val="21"/>
                      <w:highlight w:val="none"/>
                    </w:rPr>
                    <w:t>李高乡集中供水水源</w:t>
                  </w:r>
                </w:p>
              </w:tc>
              <w:tc>
                <w:tcPr>
                  <w:tcW w:w="795" w:type="pct"/>
                  <w:noWrap w:val="0"/>
                  <w:vAlign w:val="center"/>
                </w:tcPr>
                <w:p w14:paraId="4E04149A">
                  <w:pPr>
                    <w:pStyle w:val="104"/>
                    <w:spacing w:line="240" w:lineRule="auto"/>
                    <w:rPr>
                      <w:rFonts w:ascii="Times New Roman"/>
                      <w:color w:val="auto"/>
                      <w:szCs w:val="21"/>
                      <w:highlight w:val="none"/>
                    </w:rPr>
                  </w:pPr>
                  <w:r>
                    <w:rPr>
                      <w:rFonts w:ascii="Times New Roman"/>
                      <w:color w:val="auto"/>
                      <w:szCs w:val="21"/>
                      <w:highlight w:val="none"/>
                    </w:rPr>
                    <w:t>112°56′18″</w:t>
                  </w:r>
                </w:p>
              </w:tc>
              <w:tc>
                <w:tcPr>
                  <w:tcW w:w="993" w:type="pct"/>
                  <w:noWrap w:val="0"/>
                  <w:vAlign w:val="center"/>
                </w:tcPr>
                <w:p w14:paraId="71499F97">
                  <w:pPr>
                    <w:pStyle w:val="104"/>
                    <w:spacing w:line="240" w:lineRule="auto"/>
                    <w:rPr>
                      <w:rFonts w:ascii="Times New Roman"/>
                      <w:color w:val="auto"/>
                      <w:szCs w:val="21"/>
                      <w:highlight w:val="none"/>
                    </w:rPr>
                  </w:pPr>
                  <w:r>
                    <w:rPr>
                      <w:rFonts w:ascii="Times New Roman"/>
                      <w:color w:val="auto"/>
                      <w:szCs w:val="21"/>
                      <w:highlight w:val="none"/>
                    </w:rPr>
                    <w:t>36°15′22″</w:t>
                  </w:r>
                </w:p>
              </w:tc>
              <w:tc>
                <w:tcPr>
                  <w:tcW w:w="738" w:type="pct"/>
                  <w:noWrap w:val="0"/>
                  <w:vAlign w:val="center"/>
                </w:tcPr>
                <w:p w14:paraId="24BC3FD7">
                  <w:pPr>
                    <w:pStyle w:val="104"/>
                    <w:spacing w:line="240" w:lineRule="auto"/>
                    <w:rPr>
                      <w:rFonts w:ascii="Times New Roman"/>
                      <w:color w:val="auto"/>
                      <w:szCs w:val="21"/>
                      <w:highlight w:val="none"/>
                    </w:rPr>
                  </w:pPr>
                  <w:r>
                    <w:rPr>
                      <w:rFonts w:ascii="Times New Roman"/>
                      <w:color w:val="auto"/>
                      <w:szCs w:val="21"/>
                      <w:highlight w:val="none"/>
                    </w:rPr>
                    <w:t>81</w:t>
                  </w:r>
                </w:p>
              </w:tc>
              <w:tc>
                <w:tcPr>
                  <w:tcW w:w="812" w:type="pct"/>
                  <w:noWrap w:val="0"/>
                  <w:vAlign w:val="center"/>
                </w:tcPr>
                <w:p w14:paraId="7D2EF413">
                  <w:pPr>
                    <w:pStyle w:val="104"/>
                    <w:spacing w:line="240" w:lineRule="auto"/>
                    <w:rPr>
                      <w:rFonts w:ascii="Times New Roman"/>
                      <w:color w:val="auto"/>
                      <w:szCs w:val="21"/>
                      <w:highlight w:val="none"/>
                    </w:rPr>
                  </w:pPr>
                  <w:r>
                    <w:rPr>
                      <w:rFonts w:ascii="Times New Roman"/>
                      <w:color w:val="auto"/>
                      <w:szCs w:val="21"/>
                      <w:highlight w:val="none"/>
                    </w:rPr>
                    <w:t>0.0206</w:t>
                  </w:r>
                </w:p>
              </w:tc>
            </w:tr>
            <w:tr w14:paraId="7049EA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19DA2CD1">
                  <w:pPr>
                    <w:pStyle w:val="104"/>
                    <w:spacing w:line="240" w:lineRule="auto"/>
                    <w:rPr>
                      <w:rFonts w:ascii="Times New Roman"/>
                      <w:color w:val="auto"/>
                      <w:szCs w:val="21"/>
                      <w:highlight w:val="none"/>
                    </w:rPr>
                  </w:pPr>
                  <w:r>
                    <w:rPr>
                      <w:rFonts w:ascii="Times New Roman" w:hAnsi="宋体"/>
                      <w:color w:val="auto"/>
                      <w:szCs w:val="21"/>
                      <w:highlight w:val="none"/>
                    </w:rPr>
                    <w:t>河神庙乡集中供水水源</w:t>
                  </w:r>
                </w:p>
              </w:tc>
              <w:tc>
                <w:tcPr>
                  <w:tcW w:w="795" w:type="pct"/>
                  <w:noWrap w:val="0"/>
                  <w:vAlign w:val="center"/>
                </w:tcPr>
                <w:p w14:paraId="278C2066">
                  <w:pPr>
                    <w:pStyle w:val="104"/>
                    <w:spacing w:line="240" w:lineRule="auto"/>
                    <w:rPr>
                      <w:rFonts w:ascii="Times New Roman"/>
                      <w:color w:val="auto"/>
                      <w:szCs w:val="21"/>
                      <w:highlight w:val="none"/>
                    </w:rPr>
                  </w:pPr>
                  <w:r>
                    <w:rPr>
                      <w:rFonts w:ascii="Times New Roman"/>
                      <w:color w:val="auto"/>
                      <w:szCs w:val="21"/>
                      <w:highlight w:val="none"/>
                    </w:rPr>
                    <w:t>112°43′20″</w:t>
                  </w:r>
                </w:p>
              </w:tc>
              <w:tc>
                <w:tcPr>
                  <w:tcW w:w="993" w:type="pct"/>
                  <w:noWrap w:val="0"/>
                  <w:vAlign w:val="center"/>
                </w:tcPr>
                <w:p w14:paraId="605FC56C">
                  <w:pPr>
                    <w:pStyle w:val="104"/>
                    <w:spacing w:line="240" w:lineRule="auto"/>
                    <w:rPr>
                      <w:rFonts w:ascii="Times New Roman"/>
                      <w:color w:val="auto"/>
                      <w:szCs w:val="21"/>
                      <w:highlight w:val="none"/>
                    </w:rPr>
                  </w:pPr>
                  <w:r>
                    <w:rPr>
                      <w:rFonts w:ascii="Times New Roman"/>
                      <w:color w:val="auto"/>
                      <w:szCs w:val="21"/>
                      <w:highlight w:val="none"/>
                    </w:rPr>
                    <w:t>36°18′26″</w:t>
                  </w:r>
                </w:p>
              </w:tc>
              <w:tc>
                <w:tcPr>
                  <w:tcW w:w="738" w:type="pct"/>
                  <w:noWrap w:val="0"/>
                  <w:vAlign w:val="center"/>
                </w:tcPr>
                <w:p w14:paraId="6D4C4DB7">
                  <w:pPr>
                    <w:pStyle w:val="104"/>
                    <w:spacing w:line="240" w:lineRule="auto"/>
                    <w:rPr>
                      <w:rFonts w:ascii="Times New Roman"/>
                      <w:color w:val="auto"/>
                      <w:szCs w:val="21"/>
                      <w:highlight w:val="none"/>
                    </w:rPr>
                  </w:pPr>
                  <w:r>
                    <w:rPr>
                      <w:rFonts w:ascii="Times New Roman"/>
                      <w:color w:val="auto"/>
                      <w:szCs w:val="21"/>
                      <w:highlight w:val="none"/>
                    </w:rPr>
                    <w:t>39</w:t>
                  </w:r>
                </w:p>
              </w:tc>
              <w:tc>
                <w:tcPr>
                  <w:tcW w:w="812" w:type="pct"/>
                  <w:noWrap w:val="0"/>
                  <w:vAlign w:val="center"/>
                </w:tcPr>
                <w:p w14:paraId="1B4AA37B">
                  <w:pPr>
                    <w:pStyle w:val="104"/>
                    <w:spacing w:line="240" w:lineRule="auto"/>
                    <w:rPr>
                      <w:rFonts w:ascii="Times New Roman"/>
                      <w:color w:val="auto"/>
                      <w:szCs w:val="21"/>
                      <w:highlight w:val="none"/>
                    </w:rPr>
                  </w:pPr>
                  <w:r>
                    <w:rPr>
                      <w:rFonts w:ascii="Times New Roman"/>
                      <w:color w:val="auto"/>
                      <w:szCs w:val="21"/>
                      <w:highlight w:val="none"/>
                    </w:rPr>
                    <w:t>0.048</w:t>
                  </w:r>
                </w:p>
              </w:tc>
            </w:tr>
            <w:tr w14:paraId="086D04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51BD1CFF">
                  <w:pPr>
                    <w:pStyle w:val="104"/>
                    <w:spacing w:line="240" w:lineRule="auto"/>
                    <w:rPr>
                      <w:rFonts w:ascii="Times New Roman"/>
                      <w:color w:val="auto"/>
                      <w:szCs w:val="21"/>
                      <w:highlight w:val="none"/>
                    </w:rPr>
                  </w:pPr>
                  <w:r>
                    <w:rPr>
                      <w:rFonts w:ascii="Times New Roman" w:hAnsi="宋体"/>
                      <w:color w:val="auto"/>
                      <w:szCs w:val="21"/>
                      <w:highlight w:val="none"/>
                    </w:rPr>
                    <w:t>西流寨开发区集中供水水源</w:t>
                  </w:r>
                </w:p>
              </w:tc>
              <w:tc>
                <w:tcPr>
                  <w:tcW w:w="795" w:type="pct"/>
                  <w:noWrap w:val="0"/>
                  <w:vAlign w:val="center"/>
                </w:tcPr>
                <w:p w14:paraId="4B19563C">
                  <w:pPr>
                    <w:pStyle w:val="104"/>
                    <w:spacing w:line="240" w:lineRule="auto"/>
                    <w:rPr>
                      <w:rFonts w:ascii="Times New Roman"/>
                      <w:color w:val="auto"/>
                      <w:szCs w:val="21"/>
                      <w:highlight w:val="none"/>
                    </w:rPr>
                  </w:pPr>
                  <w:r>
                    <w:rPr>
                      <w:rFonts w:ascii="Times New Roman"/>
                      <w:color w:val="auto"/>
                      <w:szCs w:val="21"/>
                      <w:highlight w:val="none"/>
                    </w:rPr>
                    <w:t>112°38′47″</w:t>
                  </w:r>
                </w:p>
              </w:tc>
              <w:tc>
                <w:tcPr>
                  <w:tcW w:w="993" w:type="pct"/>
                  <w:noWrap w:val="0"/>
                  <w:vAlign w:val="center"/>
                </w:tcPr>
                <w:p w14:paraId="478E1B18">
                  <w:pPr>
                    <w:pStyle w:val="104"/>
                    <w:spacing w:line="240" w:lineRule="auto"/>
                    <w:rPr>
                      <w:rFonts w:ascii="Times New Roman"/>
                      <w:color w:val="auto"/>
                      <w:szCs w:val="21"/>
                      <w:highlight w:val="none"/>
                    </w:rPr>
                  </w:pPr>
                  <w:r>
                    <w:rPr>
                      <w:rFonts w:ascii="Times New Roman"/>
                      <w:color w:val="auto"/>
                      <w:szCs w:val="21"/>
                      <w:highlight w:val="none"/>
                    </w:rPr>
                    <w:t>36°13′39″</w:t>
                  </w:r>
                </w:p>
              </w:tc>
              <w:tc>
                <w:tcPr>
                  <w:tcW w:w="738" w:type="pct"/>
                  <w:noWrap w:val="0"/>
                  <w:vAlign w:val="center"/>
                </w:tcPr>
                <w:p w14:paraId="3231FE8A">
                  <w:pPr>
                    <w:pStyle w:val="104"/>
                    <w:spacing w:line="240" w:lineRule="auto"/>
                    <w:rPr>
                      <w:rFonts w:ascii="Times New Roman"/>
                      <w:color w:val="auto"/>
                      <w:szCs w:val="21"/>
                      <w:highlight w:val="none"/>
                    </w:rPr>
                  </w:pPr>
                  <w:r>
                    <w:rPr>
                      <w:rFonts w:ascii="Times New Roman"/>
                      <w:color w:val="auto"/>
                      <w:szCs w:val="21"/>
                      <w:highlight w:val="none"/>
                    </w:rPr>
                    <w:t>43</w:t>
                  </w:r>
                </w:p>
              </w:tc>
              <w:tc>
                <w:tcPr>
                  <w:tcW w:w="812" w:type="pct"/>
                  <w:noWrap w:val="0"/>
                  <w:vAlign w:val="center"/>
                </w:tcPr>
                <w:p w14:paraId="2C7FFF15">
                  <w:pPr>
                    <w:pStyle w:val="104"/>
                    <w:spacing w:line="240" w:lineRule="auto"/>
                    <w:rPr>
                      <w:rFonts w:ascii="Times New Roman"/>
                      <w:color w:val="auto"/>
                      <w:szCs w:val="21"/>
                      <w:highlight w:val="none"/>
                    </w:rPr>
                  </w:pPr>
                  <w:r>
                    <w:rPr>
                      <w:rFonts w:ascii="Times New Roman"/>
                      <w:color w:val="auto"/>
                      <w:szCs w:val="21"/>
                      <w:highlight w:val="none"/>
                    </w:rPr>
                    <w:t>0.0058</w:t>
                  </w:r>
                </w:p>
              </w:tc>
            </w:tr>
            <w:tr w14:paraId="79A500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660" w:type="pct"/>
                  <w:noWrap w:val="0"/>
                  <w:vAlign w:val="center"/>
                </w:tcPr>
                <w:p w14:paraId="571E3F44">
                  <w:pPr>
                    <w:pStyle w:val="104"/>
                    <w:spacing w:line="240" w:lineRule="auto"/>
                    <w:rPr>
                      <w:rFonts w:ascii="Times New Roman"/>
                      <w:color w:val="auto"/>
                      <w:szCs w:val="21"/>
                      <w:highlight w:val="none"/>
                    </w:rPr>
                  </w:pPr>
                  <w:r>
                    <w:rPr>
                      <w:rFonts w:ascii="Times New Roman" w:hAnsi="宋体"/>
                      <w:color w:val="auto"/>
                      <w:szCs w:val="21"/>
                      <w:highlight w:val="none"/>
                    </w:rPr>
                    <w:t>上莲开发区集中供水水源</w:t>
                  </w:r>
                </w:p>
              </w:tc>
              <w:tc>
                <w:tcPr>
                  <w:tcW w:w="795" w:type="pct"/>
                  <w:noWrap w:val="0"/>
                  <w:vAlign w:val="center"/>
                </w:tcPr>
                <w:p w14:paraId="6CAE7345">
                  <w:pPr>
                    <w:pStyle w:val="104"/>
                    <w:spacing w:line="240" w:lineRule="auto"/>
                    <w:rPr>
                      <w:rFonts w:ascii="Times New Roman"/>
                      <w:color w:val="auto"/>
                      <w:szCs w:val="21"/>
                      <w:highlight w:val="none"/>
                    </w:rPr>
                  </w:pPr>
                  <w:r>
                    <w:rPr>
                      <w:rFonts w:ascii="Times New Roman"/>
                      <w:color w:val="auto"/>
                      <w:szCs w:val="21"/>
                      <w:highlight w:val="none"/>
                    </w:rPr>
                    <w:t>112°50′22″</w:t>
                  </w:r>
                </w:p>
              </w:tc>
              <w:tc>
                <w:tcPr>
                  <w:tcW w:w="993" w:type="pct"/>
                  <w:noWrap w:val="0"/>
                  <w:vAlign w:val="center"/>
                </w:tcPr>
                <w:p w14:paraId="595D893B">
                  <w:pPr>
                    <w:pStyle w:val="104"/>
                    <w:spacing w:line="240" w:lineRule="auto"/>
                    <w:rPr>
                      <w:rFonts w:ascii="Times New Roman"/>
                      <w:color w:val="auto"/>
                      <w:szCs w:val="21"/>
                      <w:highlight w:val="none"/>
                    </w:rPr>
                  </w:pPr>
                  <w:r>
                    <w:rPr>
                      <w:rFonts w:ascii="Times New Roman"/>
                      <w:color w:val="auto"/>
                      <w:szCs w:val="21"/>
                      <w:highlight w:val="none"/>
                    </w:rPr>
                    <w:t>36°25′56″</w:t>
                  </w:r>
                </w:p>
              </w:tc>
              <w:tc>
                <w:tcPr>
                  <w:tcW w:w="738" w:type="pct"/>
                  <w:noWrap w:val="0"/>
                  <w:vAlign w:val="center"/>
                </w:tcPr>
                <w:p w14:paraId="748A30C1">
                  <w:pPr>
                    <w:pStyle w:val="104"/>
                    <w:spacing w:line="240" w:lineRule="auto"/>
                    <w:rPr>
                      <w:rFonts w:ascii="Times New Roman"/>
                      <w:color w:val="auto"/>
                      <w:szCs w:val="21"/>
                      <w:highlight w:val="none"/>
                    </w:rPr>
                  </w:pPr>
                  <w:r>
                    <w:rPr>
                      <w:rFonts w:ascii="Times New Roman"/>
                      <w:color w:val="auto"/>
                      <w:szCs w:val="21"/>
                      <w:highlight w:val="none"/>
                    </w:rPr>
                    <w:t>40</w:t>
                  </w:r>
                </w:p>
              </w:tc>
              <w:tc>
                <w:tcPr>
                  <w:tcW w:w="812" w:type="pct"/>
                  <w:noWrap w:val="0"/>
                  <w:vAlign w:val="center"/>
                </w:tcPr>
                <w:p w14:paraId="2E383357">
                  <w:pPr>
                    <w:pStyle w:val="104"/>
                    <w:spacing w:line="240" w:lineRule="auto"/>
                    <w:rPr>
                      <w:rFonts w:ascii="Times New Roman"/>
                      <w:color w:val="auto"/>
                      <w:szCs w:val="21"/>
                      <w:highlight w:val="none"/>
                    </w:rPr>
                  </w:pPr>
                  <w:r>
                    <w:rPr>
                      <w:rFonts w:ascii="Times New Roman"/>
                      <w:color w:val="auto"/>
                      <w:szCs w:val="21"/>
                      <w:highlight w:val="none"/>
                    </w:rPr>
                    <w:t>0.0050</w:t>
                  </w:r>
                </w:p>
              </w:tc>
            </w:tr>
          </w:tbl>
          <w:p w14:paraId="3ABAFE71">
            <w:pPr>
              <w:autoSpaceDE w:val="0"/>
              <w:autoSpaceDN w:val="0"/>
              <w:adjustRightInd w:val="0"/>
              <w:snapToGrid w:val="0"/>
              <w:spacing w:line="480" w:lineRule="exact"/>
              <w:ind w:firstLine="480" w:firstLineChars="200"/>
              <w:rPr>
                <w:rFonts w:cs="宋体"/>
                <w:color w:val="auto"/>
                <w:kern w:val="0"/>
                <w:sz w:val="24"/>
              </w:rPr>
            </w:pPr>
            <w:r>
              <w:rPr>
                <w:color w:val="auto"/>
                <w:sz w:val="24"/>
                <w:szCs w:val="21"/>
                <w:highlight w:val="none"/>
              </w:rPr>
              <w:t>本项目厂址距离屯留</w:t>
            </w:r>
            <w:r>
              <w:rPr>
                <w:rFonts w:hint="eastAsia"/>
                <w:color w:val="auto"/>
                <w:sz w:val="24"/>
                <w:szCs w:val="21"/>
                <w:highlight w:val="none"/>
              </w:rPr>
              <w:t>区</w:t>
            </w:r>
            <w:r>
              <w:rPr>
                <w:color w:val="auto"/>
                <w:sz w:val="24"/>
                <w:szCs w:val="21"/>
                <w:highlight w:val="none"/>
              </w:rPr>
              <w:t>各乡镇集中供水水源地最近的为</w:t>
            </w:r>
            <w:r>
              <w:rPr>
                <w:rFonts w:hint="eastAsia"/>
                <w:color w:val="auto"/>
                <w:sz w:val="24"/>
                <w:szCs w:val="21"/>
                <w:highlight w:val="none"/>
              </w:rPr>
              <w:t>余吾镇集中供水水源</w:t>
            </w:r>
            <w:r>
              <w:rPr>
                <w:color w:val="auto"/>
                <w:sz w:val="24"/>
                <w:szCs w:val="21"/>
                <w:highlight w:val="none"/>
              </w:rPr>
              <w:t>，距离其一级保护区边界为</w:t>
            </w:r>
            <w:r>
              <w:rPr>
                <w:rFonts w:hint="eastAsia"/>
                <w:color w:val="auto"/>
                <w:sz w:val="24"/>
                <w:szCs w:val="21"/>
                <w:highlight w:val="none"/>
                <w:lang w:val="en-US" w:eastAsia="zh-CN"/>
              </w:rPr>
              <w:t>6.1</w:t>
            </w:r>
            <w:r>
              <w:rPr>
                <w:color w:val="auto"/>
                <w:sz w:val="24"/>
                <w:szCs w:val="21"/>
                <w:highlight w:val="none"/>
              </w:rPr>
              <w:t>km，距离较远。</w:t>
            </w:r>
            <w:r>
              <w:rPr>
                <w:rFonts w:hint="eastAsia"/>
                <w:color w:val="auto"/>
                <w:sz w:val="24"/>
                <w:szCs w:val="21"/>
                <w:highlight w:val="none"/>
              </w:rPr>
              <w:t>本项目与</w:t>
            </w:r>
            <w:bookmarkStart w:id="3" w:name="_Hlk120198576"/>
            <w:r>
              <w:rPr>
                <w:rFonts w:hint="eastAsia"/>
                <w:color w:val="auto"/>
                <w:sz w:val="24"/>
                <w:szCs w:val="21"/>
                <w:highlight w:val="none"/>
                <w:lang w:val="en-US" w:eastAsia="zh-CN"/>
              </w:rPr>
              <w:t>余吾</w:t>
            </w:r>
            <w:r>
              <w:rPr>
                <w:rFonts w:hint="eastAsia"/>
                <w:color w:val="auto"/>
                <w:sz w:val="24"/>
                <w:szCs w:val="21"/>
                <w:highlight w:val="none"/>
              </w:rPr>
              <w:t>镇集中供水水源保护区</w:t>
            </w:r>
            <w:bookmarkEnd w:id="3"/>
            <w:r>
              <w:rPr>
                <w:rFonts w:hint="eastAsia"/>
                <w:color w:val="auto"/>
                <w:sz w:val="24"/>
                <w:szCs w:val="21"/>
                <w:highlight w:val="none"/>
              </w:rPr>
              <w:t>相对位置关系图见附图</w:t>
            </w:r>
            <w:r>
              <w:rPr>
                <w:rFonts w:hint="eastAsia"/>
                <w:color w:val="auto"/>
                <w:sz w:val="24"/>
                <w:szCs w:val="21"/>
                <w:highlight w:val="none"/>
                <w:lang w:val="en-US" w:eastAsia="zh-CN"/>
              </w:rPr>
              <w:t>9</w:t>
            </w:r>
            <w:r>
              <w:rPr>
                <w:rFonts w:hint="eastAsia"/>
                <w:color w:val="auto"/>
                <w:sz w:val="24"/>
                <w:szCs w:val="21"/>
                <w:highlight w:val="none"/>
              </w:rPr>
              <w:t>。</w:t>
            </w:r>
          </w:p>
          <w:p w14:paraId="7BB3F0A0">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b/>
                <w:bCs w:val="0"/>
                <w:color w:val="auto"/>
                <w:spacing w:val="0"/>
                <w:kern w:val="2"/>
                <w:sz w:val="24"/>
                <w:szCs w:val="24"/>
                <w:highlight w:val="none"/>
                <w:lang w:val="en-US" w:eastAsia="zh-CN" w:bidi="ar-SA"/>
              </w:rPr>
            </w:pPr>
            <w:r>
              <w:rPr>
                <w:rFonts w:hint="eastAsia" w:cs="Times New Roman"/>
                <w:b/>
                <w:bCs w:val="0"/>
                <w:color w:val="auto"/>
                <w:spacing w:val="0"/>
                <w:kern w:val="2"/>
                <w:sz w:val="24"/>
                <w:szCs w:val="24"/>
                <w:highlight w:val="none"/>
                <w:lang w:val="en-US" w:eastAsia="zh-CN" w:bidi="ar-SA"/>
              </w:rPr>
              <w:t>6</w:t>
            </w:r>
            <w:r>
              <w:rPr>
                <w:rFonts w:hint="default" w:ascii="Times New Roman" w:hAnsi="Times New Roman" w:eastAsia="宋体" w:cs="Times New Roman"/>
                <w:b/>
                <w:bCs w:val="0"/>
                <w:color w:val="auto"/>
                <w:spacing w:val="0"/>
                <w:kern w:val="2"/>
                <w:sz w:val="24"/>
                <w:szCs w:val="24"/>
                <w:highlight w:val="none"/>
                <w:lang w:val="en-US" w:eastAsia="zh-CN" w:bidi="ar-SA"/>
              </w:rPr>
              <w:t>、产业政策符合性分析</w:t>
            </w:r>
          </w:p>
          <w:p w14:paraId="172A6C1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本项目与《产业结构调整指导目录（2024年本）》、</w:t>
            </w:r>
            <w:r>
              <w:rPr>
                <w:rFonts w:hint="default" w:ascii="Times New Roman" w:hAnsi="Times New Roman" w:eastAsia="宋体" w:cs="Times New Roman"/>
                <w:color w:val="auto"/>
                <w:sz w:val="24"/>
                <w:szCs w:val="21"/>
                <w:highlight w:val="none"/>
                <w:lang w:val="en-US" w:eastAsia="zh-CN"/>
              </w:rPr>
              <w:t>《新型墙体材料产品目录》（2016年本</w:t>
            </w:r>
            <w:r>
              <w:rPr>
                <w:rFonts w:hint="eastAsia" w:ascii="Times New Roman" w:hAnsi="Times New Roman" w:eastAsia="宋体" w:cs="Times New Roman"/>
                <w:color w:val="auto"/>
                <w:sz w:val="24"/>
                <w:szCs w:val="21"/>
                <w:highlight w:val="none"/>
                <w:lang w:val="en-US" w:eastAsia="zh-CN"/>
              </w:rPr>
              <w:t>）、《墙体材料行业结构调整目录》（2016年本）的政策符合性见下表。</w:t>
            </w:r>
          </w:p>
          <w:p w14:paraId="5F515E5D">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color w:val="auto"/>
                <w:spacing w:val="-20"/>
                <w:w w:val="90"/>
                <w:sz w:val="24"/>
                <w:highlight w:val="none"/>
                <w:lang w:val="en-US" w:eastAsia="zh-CN"/>
              </w:rPr>
            </w:pPr>
            <w:r>
              <w:rPr>
                <w:rFonts w:hint="eastAsia" w:ascii="Times New Roman" w:hAnsi="Times New Roman" w:eastAsia="黑体" w:cs="Times New Roman"/>
                <w:color w:val="auto"/>
                <w:spacing w:val="-20"/>
                <w:w w:val="90"/>
                <w:sz w:val="24"/>
                <w:highlight w:val="none"/>
                <w:lang w:val="en-US" w:eastAsia="zh-CN"/>
              </w:rPr>
              <w:t>表1-</w:t>
            </w:r>
            <w:r>
              <w:rPr>
                <w:rFonts w:hint="eastAsia" w:eastAsia="黑体" w:cs="Times New Roman"/>
                <w:color w:val="auto"/>
                <w:spacing w:val="-20"/>
                <w:w w:val="90"/>
                <w:sz w:val="24"/>
                <w:highlight w:val="none"/>
                <w:lang w:val="en-US" w:eastAsia="zh-CN"/>
              </w:rPr>
              <w:t>4</w:t>
            </w:r>
            <w:r>
              <w:rPr>
                <w:rFonts w:hint="eastAsia" w:ascii="Times New Roman" w:hAnsi="Times New Roman" w:eastAsia="黑体" w:cs="Times New Roman"/>
                <w:color w:val="auto"/>
                <w:spacing w:val="-20"/>
                <w:w w:val="90"/>
                <w:sz w:val="24"/>
                <w:highlight w:val="none"/>
                <w:lang w:val="en-US" w:eastAsia="zh-CN"/>
              </w:rPr>
              <w:t xml:space="preserve">  与《产业结构调整指导目录（2024年本）》、《新型墙体材料产品目录》（2016年本）、《墙体材料行业结构调整目录》（2016年本）的政策符合性</w:t>
            </w:r>
          </w:p>
          <w:tbl>
            <w:tblPr>
              <w:tblStyle w:val="9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8"/>
              <w:gridCol w:w="625"/>
              <w:gridCol w:w="3"/>
              <w:gridCol w:w="2619"/>
              <w:gridCol w:w="1676"/>
              <w:gridCol w:w="610"/>
            </w:tblGrid>
            <w:tr w14:paraId="139ED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tcBorders>
                    <w:tl2br w:val="nil"/>
                    <w:tr2bl w:val="nil"/>
                  </w:tcBorders>
                  <w:noWrap w:val="0"/>
                  <w:vAlign w:val="center"/>
                </w:tcPr>
                <w:p w14:paraId="1B0C6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政策</w:t>
                  </w:r>
                  <w:r>
                    <w:rPr>
                      <w:rFonts w:hint="eastAsia" w:ascii="Times New Roman" w:hAnsi="Times New Roman" w:eastAsia="宋体" w:cs="Times New Roman"/>
                      <w:b/>
                      <w:bCs/>
                      <w:color w:val="auto"/>
                      <w:kern w:val="0"/>
                      <w:sz w:val="21"/>
                      <w:szCs w:val="21"/>
                      <w:highlight w:val="none"/>
                      <w:lang w:val="en-US" w:eastAsia="zh-CN"/>
                    </w:rPr>
                    <w:t>名称</w:t>
                  </w:r>
                </w:p>
              </w:tc>
              <w:tc>
                <w:tcPr>
                  <w:tcW w:w="2497" w:type="pct"/>
                  <w:gridSpan w:val="3"/>
                  <w:tcBorders>
                    <w:tl2br w:val="nil"/>
                    <w:tr2bl w:val="nil"/>
                  </w:tcBorders>
                  <w:noWrap w:val="0"/>
                  <w:vAlign w:val="center"/>
                </w:tcPr>
                <w:p w14:paraId="4ECECC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政策要求</w:t>
                  </w:r>
                </w:p>
              </w:tc>
              <w:tc>
                <w:tcPr>
                  <w:tcW w:w="1289" w:type="pct"/>
                  <w:tcBorders>
                    <w:tl2br w:val="nil"/>
                    <w:tr2bl w:val="nil"/>
                  </w:tcBorders>
                  <w:noWrap w:val="0"/>
                  <w:vAlign w:val="center"/>
                </w:tcPr>
                <w:p w14:paraId="71FB6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本项目情况</w:t>
                  </w:r>
                </w:p>
              </w:tc>
              <w:tc>
                <w:tcPr>
                  <w:tcW w:w="469" w:type="pct"/>
                  <w:tcBorders>
                    <w:tl2br w:val="nil"/>
                    <w:tr2bl w:val="nil"/>
                  </w:tcBorders>
                  <w:noWrap w:val="0"/>
                  <w:vAlign w:val="center"/>
                </w:tcPr>
                <w:p w14:paraId="6999A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相符性</w:t>
                  </w:r>
                </w:p>
              </w:tc>
            </w:tr>
            <w:tr w14:paraId="44F09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restart"/>
                  <w:tcBorders>
                    <w:tl2br w:val="nil"/>
                    <w:tr2bl w:val="nil"/>
                  </w:tcBorders>
                  <w:noWrap w:val="0"/>
                  <w:vAlign w:val="center"/>
                </w:tcPr>
                <w:p w14:paraId="002463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《产业结构调整指导目录（2024年本）》</w:t>
                  </w:r>
                </w:p>
              </w:tc>
              <w:tc>
                <w:tcPr>
                  <w:tcW w:w="480" w:type="pct"/>
                  <w:tcBorders>
                    <w:tl2br w:val="nil"/>
                    <w:tr2bl w:val="nil"/>
                  </w:tcBorders>
                  <w:noWrap w:val="0"/>
                  <w:vAlign w:val="center"/>
                </w:tcPr>
                <w:p w14:paraId="152E12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w:t>
                  </w:r>
                  <w:r>
                    <w:rPr>
                      <w:rFonts w:hint="eastAsia" w:ascii="Times New Roman" w:hAnsi="Times New Roman" w:eastAsia="宋体" w:cs="Times New Roman"/>
                      <w:color w:val="auto"/>
                      <w:kern w:val="0"/>
                      <w:sz w:val="21"/>
                      <w:szCs w:val="21"/>
                      <w:highlight w:val="none"/>
                      <w:lang w:val="en-US" w:eastAsia="zh-CN"/>
                    </w:rPr>
                    <w:t>一</w:t>
                  </w:r>
                  <w:r>
                    <w:rPr>
                      <w:rFonts w:hint="default" w:ascii="Times New Roman" w:hAnsi="Times New Roman" w:eastAsia="宋体" w:cs="Times New Roman"/>
                      <w:color w:val="auto"/>
                      <w:kern w:val="0"/>
                      <w:sz w:val="21"/>
                      <w:szCs w:val="21"/>
                      <w:highlight w:val="none"/>
                      <w:lang w:val="en-US" w:eastAsia="zh-CN"/>
                    </w:rPr>
                    <w:t>类</w:t>
                  </w:r>
                  <w:r>
                    <w:rPr>
                      <w:rFonts w:hint="eastAsia" w:ascii="Times New Roman" w:hAnsi="Times New Roman" w:eastAsia="宋体" w:cs="Times New Roman"/>
                      <w:color w:val="auto"/>
                      <w:kern w:val="0"/>
                      <w:sz w:val="21"/>
                      <w:szCs w:val="21"/>
                      <w:highlight w:val="none"/>
                      <w:lang w:val="en-US" w:eastAsia="zh-CN"/>
                    </w:rPr>
                    <w:t>鼓励</w:t>
                  </w:r>
                  <w:r>
                    <w:rPr>
                      <w:rFonts w:hint="default" w:ascii="Times New Roman" w:hAnsi="Times New Roman" w:eastAsia="宋体" w:cs="Times New Roman"/>
                      <w:color w:val="auto"/>
                      <w:kern w:val="0"/>
                      <w:sz w:val="21"/>
                      <w:szCs w:val="21"/>
                      <w:highlight w:val="none"/>
                      <w:lang w:val="en-US" w:eastAsia="zh-CN"/>
                    </w:rPr>
                    <w:t>类</w:t>
                  </w:r>
                </w:p>
              </w:tc>
              <w:tc>
                <w:tcPr>
                  <w:tcW w:w="2016" w:type="pct"/>
                  <w:gridSpan w:val="2"/>
                  <w:tcBorders>
                    <w:tl2br w:val="nil"/>
                    <w:tr2bl w:val="nil"/>
                  </w:tcBorders>
                  <w:noWrap w:val="0"/>
                  <w:vAlign w:val="center"/>
                </w:tcPr>
                <w:p w14:paraId="1B6505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SA"/>
                    </w:rPr>
                    <w:t>十二、</w:t>
                  </w:r>
                  <w:r>
                    <w:rPr>
                      <w:rFonts w:hint="default" w:ascii="Times New Roman" w:hAnsi="Times New Roman" w:eastAsia="宋体" w:cs="Times New Roman"/>
                      <w:b w:val="0"/>
                      <w:bCs w:val="0"/>
                      <w:color w:val="auto"/>
                      <w:kern w:val="0"/>
                      <w:sz w:val="21"/>
                      <w:szCs w:val="21"/>
                      <w:highlight w:val="none"/>
                      <w:lang w:val="en-US" w:eastAsia="zh-CN"/>
                    </w:rPr>
                    <w:t>环境保护与资源节约综合利用</w:t>
                  </w:r>
                </w:p>
                <w:p w14:paraId="3C36EC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8.</w:t>
                  </w:r>
                  <w:r>
                    <w:rPr>
                      <w:rFonts w:hint="default" w:ascii="Times New Roman" w:hAnsi="Times New Roman" w:eastAsia="宋体" w:cs="Times New Roman"/>
                      <w:b w:val="0"/>
                      <w:bCs w:val="0"/>
                      <w:color w:val="auto"/>
                      <w:kern w:val="0"/>
                      <w:sz w:val="21"/>
                      <w:szCs w:val="21"/>
                      <w:highlight w:val="none"/>
                      <w:lang w:val="en-US" w:eastAsia="zh-CN"/>
                    </w:rPr>
                    <w:t>废弃物循环利用：煤矸石、粉煤灰、尾矿（共伴生矿）、冶炼渣、工业副产石膏、赤泥、建筑垃圾等工业废弃物循环利用</w:t>
                  </w:r>
                </w:p>
              </w:tc>
              <w:tc>
                <w:tcPr>
                  <w:tcW w:w="1289" w:type="pct"/>
                  <w:tcBorders>
                    <w:tl2br w:val="nil"/>
                    <w:tr2bl w:val="nil"/>
                  </w:tcBorders>
                  <w:noWrap w:val="0"/>
                  <w:vAlign w:val="center"/>
                </w:tcPr>
                <w:p w14:paraId="56F0F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bCs/>
                      <w:color w:val="auto"/>
                      <w:kern w:val="0"/>
                      <w:sz w:val="21"/>
                      <w:szCs w:val="21"/>
                      <w:highlight w:val="none"/>
                      <w:lang w:val="en-US" w:eastAsia="zh-CN"/>
                    </w:rPr>
                  </w:pPr>
                  <w:r>
                    <w:rPr>
                      <w:color w:val="auto"/>
                      <w:spacing w:val="4"/>
                      <w:sz w:val="21"/>
                      <w:szCs w:val="21"/>
                      <w:highlight w:val="none"/>
                    </w:rPr>
                    <w:t>本项目利用煤矸石为原料生产烧结砖</w:t>
                  </w:r>
                  <w:r>
                    <w:rPr>
                      <w:rFonts w:hint="eastAsia"/>
                      <w:color w:val="auto"/>
                      <w:spacing w:val="4"/>
                      <w:sz w:val="21"/>
                      <w:szCs w:val="21"/>
                      <w:highlight w:val="none"/>
                      <w:lang w:eastAsia="zh-CN"/>
                    </w:rPr>
                    <w:t>。</w:t>
                  </w:r>
                </w:p>
              </w:tc>
              <w:tc>
                <w:tcPr>
                  <w:tcW w:w="469" w:type="pct"/>
                  <w:tcBorders>
                    <w:tl2br w:val="nil"/>
                    <w:tr2bl w:val="nil"/>
                  </w:tcBorders>
                  <w:noWrap w:val="0"/>
                  <w:vAlign w:val="center"/>
                </w:tcPr>
                <w:p w14:paraId="1AAE1B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符合</w:t>
                  </w:r>
                </w:p>
              </w:tc>
            </w:tr>
            <w:tr w14:paraId="73519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continue"/>
                  <w:tcBorders>
                    <w:tl2br w:val="nil"/>
                    <w:tr2bl w:val="nil"/>
                  </w:tcBorders>
                  <w:noWrap w:val="0"/>
                  <w:vAlign w:val="center"/>
                </w:tcPr>
                <w:p w14:paraId="0CC16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480" w:type="pct"/>
                  <w:tcBorders>
                    <w:tl2br w:val="nil"/>
                    <w:tr2bl w:val="nil"/>
                  </w:tcBorders>
                  <w:noWrap w:val="0"/>
                  <w:vAlign w:val="center"/>
                </w:tcPr>
                <w:p w14:paraId="68C99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第二类限制类</w:t>
                  </w:r>
                </w:p>
              </w:tc>
              <w:tc>
                <w:tcPr>
                  <w:tcW w:w="2016" w:type="pct"/>
                  <w:gridSpan w:val="2"/>
                  <w:tcBorders>
                    <w:tl2br w:val="nil"/>
                    <w:tr2bl w:val="nil"/>
                  </w:tcBorders>
                  <w:noWrap w:val="0"/>
                  <w:vAlign w:val="center"/>
                </w:tcPr>
                <w:p w14:paraId="473E52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九、</w:t>
                  </w:r>
                  <w:r>
                    <w:rPr>
                      <w:rFonts w:hint="eastAsia" w:ascii="Times New Roman" w:hAnsi="Times New Roman" w:eastAsia="宋体" w:cs="Times New Roman"/>
                      <w:color w:val="auto"/>
                      <w:kern w:val="0"/>
                      <w:sz w:val="21"/>
                      <w:szCs w:val="21"/>
                      <w:highlight w:val="none"/>
                      <w:lang w:val="en-US" w:eastAsia="zh-CN"/>
                    </w:rPr>
                    <w:t>建材</w:t>
                  </w:r>
                </w:p>
                <w:p w14:paraId="4CEE6D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8. 6</w:t>
                  </w:r>
                  <w:r>
                    <w:rPr>
                      <w:rFonts w:hint="default" w:ascii="Times New Roman" w:hAnsi="Times New Roman" w:eastAsia="宋体" w:cs="Times New Roman"/>
                      <w:color w:val="auto"/>
                      <w:kern w:val="0"/>
                      <w:sz w:val="21"/>
                      <w:szCs w:val="21"/>
                      <w:highlight w:val="none"/>
                      <w:lang w:val="en-US" w:eastAsia="zh-CN"/>
                    </w:rPr>
                    <w:t>000万标砖/年（不含）以下的烧结砖及烧结空心砌块生产线</w:t>
                  </w:r>
                </w:p>
              </w:tc>
              <w:tc>
                <w:tcPr>
                  <w:tcW w:w="1289" w:type="pct"/>
                  <w:tcBorders>
                    <w:tl2br w:val="nil"/>
                    <w:tr2bl w:val="nil"/>
                  </w:tcBorders>
                  <w:noWrap w:val="0"/>
                  <w:vAlign w:val="center"/>
                </w:tcPr>
                <w:p w14:paraId="70593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本项目年产</w:t>
                  </w:r>
                  <w:r>
                    <w:rPr>
                      <w:rFonts w:hint="eastAsia"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000</w:t>
                  </w:r>
                  <w:r>
                    <w:rPr>
                      <w:rFonts w:hint="default" w:ascii="Times New Roman" w:hAnsi="Times New Roman" w:eastAsia="宋体" w:cs="Times New Roman"/>
                      <w:color w:val="auto"/>
                      <w:kern w:val="0"/>
                      <w:sz w:val="21"/>
                      <w:szCs w:val="21"/>
                      <w:highlight w:val="none"/>
                      <w:lang w:val="en-US" w:eastAsia="zh-CN"/>
                    </w:rPr>
                    <w:t>万块烧结标准砖</w:t>
                  </w:r>
                  <w:r>
                    <w:rPr>
                      <w:rFonts w:hint="eastAsia" w:ascii="Times New Roman" w:hAnsi="Times New Roman" w:eastAsia="宋体" w:cs="Times New Roman"/>
                      <w:color w:val="auto"/>
                      <w:kern w:val="0"/>
                      <w:sz w:val="21"/>
                      <w:szCs w:val="21"/>
                      <w:highlight w:val="none"/>
                      <w:lang w:val="en-US" w:eastAsia="zh-CN"/>
                    </w:rPr>
                    <w:t>。</w:t>
                  </w:r>
                </w:p>
              </w:tc>
              <w:tc>
                <w:tcPr>
                  <w:tcW w:w="469" w:type="pct"/>
                  <w:tcBorders>
                    <w:tl2br w:val="nil"/>
                    <w:tr2bl w:val="nil"/>
                  </w:tcBorders>
                  <w:noWrap w:val="0"/>
                  <w:vAlign w:val="center"/>
                </w:tcPr>
                <w:p w14:paraId="6E4AD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不属于限制类</w:t>
                  </w:r>
                </w:p>
              </w:tc>
            </w:tr>
            <w:tr w14:paraId="71232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continue"/>
                  <w:tcBorders>
                    <w:tl2br w:val="nil"/>
                    <w:tr2bl w:val="nil"/>
                  </w:tcBorders>
                  <w:noWrap w:val="0"/>
                  <w:vAlign w:val="center"/>
                </w:tcPr>
                <w:p w14:paraId="6A316A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480" w:type="pct"/>
                  <w:tcBorders>
                    <w:tl2br w:val="nil"/>
                    <w:tr2bl w:val="nil"/>
                  </w:tcBorders>
                  <w:noWrap w:val="0"/>
                  <w:vAlign w:val="center"/>
                </w:tcPr>
                <w:p w14:paraId="511F1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第三类淘汰类</w:t>
                  </w:r>
                </w:p>
              </w:tc>
              <w:tc>
                <w:tcPr>
                  <w:tcW w:w="2016" w:type="pct"/>
                  <w:gridSpan w:val="2"/>
                  <w:tcBorders>
                    <w:tl2br w:val="nil"/>
                    <w:tr2bl w:val="nil"/>
                  </w:tcBorders>
                  <w:noWrap w:val="0"/>
                  <w:vAlign w:val="center"/>
                </w:tcPr>
                <w:p w14:paraId="6C901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八、建材</w:t>
                  </w:r>
                </w:p>
                <w:p w14:paraId="79C09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9.砖瓦轮窑以及立窑、无顶轮窑、马蹄窑等土窑</w:t>
                  </w:r>
                </w:p>
              </w:tc>
              <w:tc>
                <w:tcPr>
                  <w:tcW w:w="1289" w:type="pct"/>
                  <w:tcBorders>
                    <w:tl2br w:val="nil"/>
                    <w:tr2bl w:val="nil"/>
                  </w:tcBorders>
                  <w:noWrap w:val="0"/>
                  <w:vAlign w:val="center"/>
                </w:tcPr>
                <w:p w14:paraId="60CE2D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本项目采用隧道窑</w:t>
                  </w:r>
                  <w:r>
                    <w:rPr>
                      <w:rFonts w:hint="eastAsia" w:ascii="Times New Roman" w:hAnsi="Times New Roman" w:eastAsia="宋体" w:cs="Times New Roman"/>
                      <w:color w:val="auto"/>
                      <w:kern w:val="0"/>
                      <w:sz w:val="21"/>
                      <w:szCs w:val="21"/>
                      <w:highlight w:val="none"/>
                      <w:lang w:val="en-US" w:eastAsia="zh-CN"/>
                    </w:rPr>
                    <w:t>。</w:t>
                  </w:r>
                </w:p>
              </w:tc>
              <w:tc>
                <w:tcPr>
                  <w:tcW w:w="469" w:type="pct"/>
                  <w:tcBorders>
                    <w:tl2br w:val="nil"/>
                    <w:tr2bl w:val="nil"/>
                  </w:tcBorders>
                  <w:noWrap w:val="0"/>
                  <w:vAlign w:val="center"/>
                </w:tcPr>
                <w:p w14:paraId="5AF5A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不属于淘汰类</w:t>
                  </w:r>
                </w:p>
              </w:tc>
            </w:tr>
            <w:tr w14:paraId="3DDFC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tcBorders>
                    <w:tl2br w:val="nil"/>
                    <w:tr2bl w:val="nil"/>
                  </w:tcBorders>
                  <w:noWrap w:val="0"/>
                  <w:vAlign w:val="center"/>
                </w:tcPr>
                <w:p w14:paraId="38FF06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《新型墙体材料产品目录》（2016年本）</w:t>
                  </w:r>
                </w:p>
              </w:tc>
              <w:tc>
                <w:tcPr>
                  <w:tcW w:w="2497" w:type="pct"/>
                  <w:gridSpan w:val="3"/>
                  <w:tcBorders>
                    <w:tl2br w:val="nil"/>
                    <w:tr2bl w:val="nil"/>
                  </w:tcBorders>
                  <w:noWrap w:val="0"/>
                  <w:vAlign w:val="center"/>
                </w:tcPr>
                <w:p w14:paraId="0678A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三、砖类1、烧结多孔砖、烧结空心砖、烧结保温砖、烧结复合保温砖（须达到GB13544、GB/T13545、GB26538、GB/T29060要求）</w:t>
                  </w:r>
                </w:p>
              </w:tc>
              <w:tc>
                <w:tcPr>
                  <w:tcW w:w="1289" w:type="pct"/>
                  <w:tcBorders>
                    <w:tl2br w:val="nil"/>
                    <w:tr2bl w:val="nil"/>
                  </w:tcBorders>
                  <w:noWrap w:val="0"/>
                  <w:vAlign w:val="center"/>
                </w:tcPr>
                <w:p w14:paraId="5BD3F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本项目年产</w:t>
                  </w:r>
                  <w:r>
                    <w:rPr>
                      <w:rFonts w:hint="eastAsia"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000</w:t>
                  </w:r>
                  <w:r>
                    <w:rPr>
                      <w:rFonts w:hint="default" w:ascii="Times New Roman" w:hAnsi="Times New Roman" w:eastAsia="宋体" w:cs="Times New Roman"/>
                      <w:color w:val="auto"/>
                      <w:kern w:val="0"/>
                      <w:sz w:val="21"/>
                      <w:szCs w:val="21"/>
                      <w:highlight w:val="none"/>
                      <w:lang w:val="en-US" w:eastAsia="zh-CN"/>
                    </w:rPr>
                    <w:t>万块煤矸石烧结标准砖，产品质量满GB/T5101-2017《烧结普通砖》标准要求</w:t>
                  </w:r>
                  <w:r>
                    <w:rPr>
                      <w:rFonts w:hint="eastAsia" w:cs="Times New Roman"/>
                      <w:color w:val="auto"/>
                      <w:kern w:val="0"/>
                      <w:sz w:val="21"/>
                      <w:szCs w:val="21"/>
                      <w:highlight w:val="none"/>
                      <w:lang w:val="en-US" w:eastAsia="zh-CN"/>
                    </w:rPr>
                    <w:t>。</w:t>
                  </w:r>
                </w:p>
              </w:tc>
              <w:tc>
                <w:tcPr>
                  <w:tcW w:w="469" w:type="pct"/>
                  <w:tcBorders>
                    <w:tl2br w:val="nil"/>
                    <w:tr2bl w:val="nil"/>
                  </w:tcBorders>
                  <w:noWrap w:val="0"/>
                  <w:vAlign w:val="center"/>
                </w:tcPr>
                <w:p w14:paraId="7C1CC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0FE2E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restart"/>
                  <w:tcBorders>
                    <w:tl2br w:val="nil"/>
                    <w:tr2bl w:val="nil"/>
                  </w:tcBorders>
                  <w:noWrap w:val="0"/>
                  <w:vAlign w:val="center"/>
                </w:tcPr>
                <w:p w14:paraId="37501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《墙体材料行业结构调整目录》（2016年本）</w:t>
                  </w:r>
                </w:p>
              </w:tc>
              <w:tc>
                <w:tcPr>
                  <w:tcW w:w="483" w:type="pct"/>
                  <w:gridSpan w:val="2"/>
                  <w:tcBorders>
                    <w:tl2br w:val="nil"/>
                    <w:tr2bl w:val="nil"/>
                  </w:tcBorders>
                  <w:noWrap w:val="0"/>
                  <w:vAlign w:val="center"/>
                </w:tcPr>
                <w:p w14:paraId="2A12A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一、鼓励</w:t>
                  </w:r>
                  <w:r>
                    <w:rPr>
                      <w:rFonts w:hint="eastAsia" w:ascii="Times New Roman" w:hAnsi="Times New Roman" w:eastAsia="宋体" w:cs="Times New Roman"/>
                      <w:color w:val="auto"/>
                      <w:kern w:val="0"/>
                      <w:sz w:val="21"/>
                      <w:szCs w:val="21"/>
                      <w:highlight w:val="none"/>
                      <w:lang w:val="en-US" w:eastAsia="zh-CN"/>
                    </w:rPr>
                    <w:t>发展</w:t>
                  </w:r>
                  <w:r>
                    <w:rPr>
                      <w:rFonts w:hint="default" w:ascii="Times New Roman" w:hAnsi="Times New Roman" w:eastAsia="宋体" w:cs="Times New Roman"/>
                      <w:color w:val="auto"/>
                      <w:kern w:val="0"/>
                      <w:sz w:val="21"/>
                      <w:szCs w:val="21"/>
                      <w:highlight w:val="none"/>
                      <w:lang w:val="en-US" w:eastAsia="zh-CN"/>
                    </w:rPr>
                    <w:t>类</w:t>
                  </w:r>
                </w:p>
              </w:tc>
              <w:tc>
                <w:tcPr>
                  <w:tcW w:w="2014" w:type="pct"/>
                  <w:tcBorders>
                    <w:tl2br w:val="nil"/>
                    <w:tr2bl w:val="nil"/>
                  </w:tcBorders>
                  <w:noWrap w:val="0"/>
                  <w:vAlign w:val="center"/>
                </w:tcPr>
                <w:p w14:paraId="3A349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（三）砖类</w:t>
                  </w:r>
                </w:p>
                <w:p w14:paraId="438DF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1.采用以煤矸石、粉煤灰、页岩、建筑渣土、建筑基坑土、江河湖(渠)海淤泥、污泥、为建设用地平整土丘荒坡土等为主要原料生产的烧结多孔砖、烧结空心砖、烧结保温砖、烧结路面砖、烧结复合保温砖</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必须达到GB13544、GB13545、GB26538、GB/T26001、GB/T29060要求，经过原料精细化处理(包括建设陈化库)、55型以上成型砖机、人工干燥、自动码卸坯、4.6米以上断面的隧道窑、自动控温，单线年生产规模6000万块标砖及以上生产线(烧结路面砖单线年生产规模3000万块标砖及以上生产线，烧结复合保温砖单线年生产规模3万立方及以上生产线)。</w:t>
                  </w:r>
                </w:p>
              </w:tc>
              <w:tc>
                <w:tcPr>
                  <w:tcW w:w="1289" w:type="pct"/>
                  <w:tcBorders>
                    <w:tl2br w:val="nil"/>
                    <w:tr2bl w:val="nil"/>
                  </w:tcBorders>
                  <w:noWrap w:val="0"/>
                  <w:vAlign w:val="center"/>
                </w:tcPr>
                <w:p w14:paraId="23431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本项目以煤矸石为原料生产烧结实心砖，产品质量满足GB/T5101-2017《烧结普通砖》标准要求</w:t>
                  </w:r>
                  <w:r>
                    <w:rPr>
                      <w:rFonts w:hint="eastAsia" w:ascii="Times New Roman" w:hAnsi="Times New Roman" w:eastAsia="宋体" w:cs="Times New Roman"/>
                      <w:color w:val="auto"/>
                      <w:kern w:val="0"/>
                      <w:sz w:val="21"/>
                      <w:szCs w:val="21"/>
                      <w:highlight w:val="none"/>
                      <w:lang w:val="en-US" w:eastAsia="zh-CN"/>
                    </w:rPr>
                    <w:t>；</w:t>
                  </w:r>
                </w:p>
                <w:p w14:paraId="08880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项目隧道窑尺寸为</w:t>
                  </w:r>
                  <w:r>
                    <w:rPr>
                      <w:rFonts w:hint="eastAsia" w:cs="Times New Roman"/>
                      <w:color w:val="auto"/>
                      <w:kern w:val="0"/>
                      <w:sz w:val="21"/>
                      <w:szCs w:val="21"/>
                      <w:highlight w:val="none"/>
                      <w:lang w:val="en-US" w:eastAsia="zh-CN"/>
                    </w:rPr>
                    <w:t>155</w:t>
                  </w:r>
                  <w:r>
                    <w:rPr>
                      <w:rFonts w:hint="default" w:ascii="Times New Roman" w:hAnsi="Times New Roman" w:eastAsia="宋体" w:cs="Times New Roman"/>
                      <w:color w:val="auto"/>
                      <w:kern w:val="0"/>
                      <w:sz w:val="21"/>
                      <w:szCs w:val="21"/>
                      <w:highlight w:val="none"/>
                      <w:lang w:val="en-US" w:eastAsia="zh-CN"/>
                    </w:rPr>
                    <w:t>m×</w:t>
                  </w:r>
                  <w:r>
                    <w:rPr>
                      <w:rFonts w:hint="eastAsia" w:cs="Times New Roman"/>
                      <w:color w:val="auto"/>
                      <w:kern w:val="0"/>
                      <w:sz w:val="21"/>
                      <w:szCs w:val="21"/>
                      <w:highlight w:val="none"/>
                      <w:lang w:val="en-US" w:eastAsia="zh-CN"/>
                    </w:rPr>
                    <w:t>3.7</w:t>
                  </w:r>
                  <w:r>
                    <w:rPr>
                      <w:rFonts w:hint="default" w:ascii="Times New Roman" w:hAnsi="Times New Roman" w:eastAsia="宋体" w:cs="Times New Roman"/>
                      <w:color w:val="auto"/>
                      <w:kern w:val="0"/>
                      <w:sz w:val="21"/>
                      <w:szCs w:val="21"/>
                      <w:highlight w:val="none"/>
                      <w:lang w:val="en-US" w:eastAsia="zh-CN"/>
                    </w:rPr>
                    <w:t>m×</w:t>
                  </w:r>
                  <w:r>
                    <w:rPr>
                      <w:rFonts w:hint="eastAsia" w:cs="Times New Roman"/>
                      <w:color w:val="auto"/>
                      <w:kern w:val="0"/>
                      <w:sz w:val="21"/>
                      <w:szCs w:val="21"/>
                      <w:highlight w:val="none"/>
                      <w:lang w:val="en-US" w:eastAsia="zh-CN"/>
                    </w:rPr>
                    <w:t>2.9</w:t>
                  </w:r>
                  <w:r>
                    <w:rPr>
                      <w:rFonts w:hint="default"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lang w:val="en-US" w:eastAsia="zh-CN"/>
                    </w:rPr>
                    <w:t>；</w:t>
                  </w:r>
                </w:p>
                <w:p w14:paraId="69C56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lang w:val="en-US" w:eastAsia="zh-CN"/>
                    </w:rPr>
                    <w:t>单线年</w:t>
                  </w:r>
                  <w:r>
                    <w:rPr>
                      <w:rFonts w:hint="eastAsia" w:ascii="Times New Roman" w:hAnsi="Times New Roman" w:eastAsia="宋体" w:cs="Times New Roman"/>
                      <w:color w:val="auto"/>
                      <w:kern w:val="0"/>
                      <w:sz w:val="21"/>
                      <w:szCs w:val="21"/>
                      <w:highlight w:val="none"/>
                      <w:lang w:val="en-US" w:eastAsia="zh-CN"/>
                    </w:rPr>
                    <w:t>生产规模可达1</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000万块标砖。</w:t>
                  </w:r>
                </w:p>
              </w:tc>
              <w:tc>
                <w:tcPr>
                  <w:tcW w:w="469" w:type="pct"/>
                  <w:tcBorders>
                    <w:tl2br w:val="nil"/>
                    <w:tr2bl w:val="nil"/>
                  </w:tcBorders>
                  <w:noWrap w:val="0"/>
                  <w:vAlign w:val="center"/>
                </w:tcPr>
                <w:p w14:paraId="7A352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0E2A0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continue"/>
                  <w:tcBorders>
                    <w:tl2br w:val="nil"/>
                    <w:tr2bl w:val="nil"/>
                  </w:tcBorders>
                  <w:noWrap w:val="0"/>
                  <w:vAlign w:val="center"/>
                </w:tcPr>
                <w:p w14:paraId="6A6A3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p>
              </w:tc>
              <w:tc>
                <w:tcPr>
                  <w:tcW w:w="483" w:type="pct"/>
                  <w:gridSpan w:val="2"/>
                  <w:tcBorders>
                    <w:tl2br w:val="nil"/>
                    <w:tr2bl w:val="nil"/>
                  </w:tcBorders>
                  <w:noWrap w:val="0"/>
                  <w:vAlign w:val="center"/>
                </w:tcPr>
                <w:p w14:paraId="00CD2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二</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限制类</w:t>
                  </w:r>
                </w:p>
              </w:tc>
              <w:tc>
                <w:tcPr>
                  <w:tcW w:w="2014" w:type="pct"/>
                  <w:tcBorders>
                    <w:tl2br w:val="nil"/>
                    <w:tr2bl w:val="nil"/>
                  </w:tcBorders>
                  <w:noWrap w:val="0"/>
                  <w:vAlign w:val="center"/>
                </w:tcPr>
                <w:p w14:paraId="15573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（三）砖类</w:t>
                  </w:r>
                </w:p>
                <w:p w14:paraId="1BA7C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1.采用50型或以下挤砖机，单线年生产规模3000万块标砖以下的各种烧结砖及烧结空心砌块生产线。</w:t>
                  </w:r>
                </w:p>
              </w:tc>
              <w:tc>
                <w:tcPr>
                  <w:tcW w:w="1289" w:type="pct"/>
                  <w:tcBorders>
                    <w:tl2br w:val="nil"/>
                    <w:tr2bl w:val="nil"/>
                  </w:tcBorders>
                  <w:noWrap w:val="0"/>
                  <w:vAlign w:val="center"/>
                </w:tcPr>
                <w:p w14:paraId="630F4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1.本项目采用</w:t>
                  </w:r>
                  <w:r>
                    <w:rPr>
                      <w:rFonts w:hint="eastAsia" w:cs="Times New Roman"/>
                      <w:color w:val="auto"/>
                      <w:kern w:val="0"/>
                      <w:sz w:val="21"/>
                      <w:szCs w:val="21"/>
                      <w:highlight w:val="none"/>
                      <w:lang w:val="en-US" w:eastAsia="zh-CN"/>
                    </w:rPr>
                    <w:t>90</w:t>
                  </w:r>
                  <w:r>
                    <w:rPr>
                      <w:rFonts w:hint="default" w:ascii="Times New Roman" w:hAnsi="Times New Roman" w:eastAsia="宋体" w:cs="Times New Roman"/>
                      <w:color w:val="auto"/>
                      <w:kern w:val="0"/>
                      <w:sz w:val="21"/>
                      <w:szCs w:val="21"/>
                      <w:highlight w:val="none"/>
                      <w:lang w:val="en-US" w:eastAsia="zh-CN"/>
                    </w:rPr>
                    <w:t>型</w:t>
                  </w:r>
                  <w:r>
                    <w:rPr>
                      <w:rFonts w:hint="eastAsia" w:ascii="Times New Roman" w:hAnsi="Times New Roman" w:eastAsia="宋体" w:cs="Times New Roman"/>
                      <w:color w:val="auto"/>
                      <w:kern w:val="0"/>
                      <w:sz w:val="21"/>
                      <w:szCs w:val="21"/>
                      <w:highlight w:val="none"/>
                      <w:lang w:val="en-US" w:eastAsia="zh-CN"/>
                    </w:rPr>
                    <w:t>双级真空硬塑挤出机，单</w:t>
                  </w:r>
                  <w:r>
                    <w:rPr>
                      <w:rFonts w:hint="eastAsia" w:cs="Times New Roman"/>
                      <w:color w:val="auto"/>
                      <w:kern w:val="0"/>
                      <w:sz w:val="21"/>
                      <w:szCs w:val="21"/>
                      <w:highlight w:val="none"/>
                      <w:lang w:val="en-US" w:eastAsia="zh-CN"/>
                    </w:rPr>
                    <w:t>线</w:t>
                  </w:r>
                  <w:r>
                    <w:rPr>
                      <w:rFonts w:hint="eastAsia" w:ascii="Times New Roman" w:hAnsi="Times New Roman" w:eastAsia="宋体" w:cs="Times New Roman"/>
                      <w:color w:val="auto"/>
                      <w:kern w:val="0"/>
                      <w:sz w:val="21"/>
                      <w:szCs w:val="21"/>
                      <w:highlight w:val="none"/>
                      <w:lang w:val="en-US" w:eastAsia="zh-CN"/>
                    </w:rPr>
                    <w:t>年生产1</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000万块标砖。</w:t>
                  </w:r>
                </w:p>
              </w:tc>
              <w:tc>
                <w:tcPr>
                  <w:tcW w:w="469" w:type="pct"/>
                  <w:tcBorders>
                    <w:tl2br w:val="nil"/>
                    <w:tr2bl w:val="nil"/>
                  </w:tcBorders>
                  <w:noWrap w:val="0"/>
                  <w:vAlign w:val="center"/>
                </w:tcPr>
                <w:p w14:paraId="7D620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不属于限制类</w:t>
                  </w:r>
                </w:p>
              </w:tc>
            </w:tr>
            <w:tr w14:paraId="1621E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4" w:type="pct"/>
                  <w:vMerge w:val="continue"/>
                  <w:tcBorders>
                    <w:tl2br w:val="nil"/>
                    <w:tr2bl w:val="nil"/>
                  </w:tcBorders>
                  <w:noWrap w:val="0"/>
                  <w:vAlign w:val="center"/>
                </w:tcPr>
                <w:p w14:paraId="785EC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p>
              </w:tc>
              <w:tc>
                <w:tcPr>
                  <w:tcW w:w="483" w:type="pct"/>
                  <w:gridSpan w:val="2"/>
                  <w:tcBorders>
                    <w:tl2br w:val="nil"/>
                    <w:tr2bl w:val="nil"/>
                  </w:tcBorders>
                  <w:noWrap w:val="0"/>
                  <w:vAlign w:val="center"/>
                </w:tcPr>
                <w:p w14:paraId="0AC3F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三、淘汰类</w:t>
                  </w:r>
                </w:p>
              </w:tc>
              <w:tc>
                <w:tcPr>
                  <w:tcW w:w="2014" w:type="pct"/>
                  <w:tcBorders>
                    <w:tl2br w:val="nil"/>
                    <w:tr2bl w:val="nil"/>
                  </w:tcBorders>
                  <w:noWrap w:val="0"/>
                  <w:vAlign w:val="center"/>
                </w:tcPr>
                <w:p w14:paraId="7EE1F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（三）砖类</w:t>
                  </w:r>
                </w:p>
                <w:p w14:paraId="28D8F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2.轮窑及立窑、无顶轮窑、马蹄窑等土窑生产线。</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轮窑在2020年前完成</w:t>
                  </w:r>
                  <w:r>
                    <w:rPr>
                      <w:rFonts w:hint="eastAsia" w:ascii="Times New Roman" w:hAnsi="Times New Roman" w:eastAsia="宋体" w:cs="Times New Roman"/>
                      <w:color w:val="auto"/>
                      <w:kern w:val="0"/>
                      <w:sz w:val="21"/>
                      <w:szCs w:val="21"/>
                      <w:highlight w:val="none"/>
                      <w:lang w:val="en-US" w:eastAsia="zh-CN"/>
                    </w:rPr>
                    <w:t>）</w:t>
                  </w:r>
                </w:p>
                <w:p w14:paraId="52C72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3.普通挤砖机、SJ1580-3000双轴、单轴制砖搅拌机。</w:t>
                  </w:r>
                </w:p>
                <w:p w14:paraId="0AA2E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4.SQP400500</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700500双辊破碎机、1000型普通切条机。</w:t>
                  </w:r>
                </w:p>
                <w:p w14:paraId="41548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5.不符合国家产业政策，以及在城市规划区、生态保护区、风景名胜区、文物古迹保护区、基本农田保护区范围内和国道、省道、铁路、高速公路沿线可视范围内的烧结砖瓦窑生产线。</w:t>
                  </w:r>
                </w:p>
              </w:tc>
              <w:tc>
                <w:tcPr>
                  <w:tcW w:w="1289" w:type="pct"/>
                  <w:tcBorders>
                    <w:tl2br w:val="nil"/>
                    <w:tr2bl w:val="nil"/>
                  </w:tcBorders>
                  <w:noWrap w:val="0"/>
                  <w:vAlign w:val="center"/>
                </w:tcPr>
                <w:p w14:paraId="5577E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本项目采用隧道窑</w:t>
                  </w:r>
                  <w:r>
                    <w:rPr>
                      <w:rFonts w:hint="eastAsia" w:ascii="Times New Roman" w:hAnsi="Times New Roman" w:eastAsia="宋体" w:cs="Times New Roman"/>
                      <w:color w:val="auto"/>
                      <w:kern w:val="0"/>
                      <w:sz w:val="21"/>
                      <w:szCs w:val="21"/>
                      <w:highlight w:val="none"/>
                      <w:lang w:val="en-US" w:eastAsia="zh-CN"/>
                    </w:rPr>
                    <w:t>；</w:t>
                  </w:r>
                </w:p>
                <w:p w14:paraId="78021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3.项目不使用普通挤砖机、SJ1580-3000双轴、单轴制砖搅拌机；</w:t>
                  </w:r>
                </w:p>
                <w:p w14:paraId="3CF7F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4.项目不使用</w:t>
                  </w:r>
                  <w:r>
                    <w:rPr>
                      <w:rFonts w:hint="default" w:ascii="Times New Roman" w:hAnsi="Times New Roman" w:eastAsia="宋体" w:cs="Times New Roman"/>
                      <w:color w:val="auto"/>
                      <w:kern w:val="0"/>
                      <w:sz w:val="21"/>
                      <w:szCs w:val="21"/>
                      <w:highlight w:val="none"/>
                      <w:lang w:val="en-US" w:eastAsia="zh-CN"/>
                    </w:rPr>
                    <w:t>SQP400500</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700500双辊破碎机、1000型普通切条机。</w:t>
                  </w:r>
                </w:p>
                <w:p w14:paraId="378DC2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5.本项目不属于产业结构调整指导目录（2024年本）中的限制类和淘汰类项目，且</w:t>
                  </w:r>
                  <w:r>
                    <w:rPr>
                      <w:rFonts w:hint="eastAsia" w:cs="Times New Roman"/>
                      <w:color w:val="auto"/>
                      <w:kern w:val="0"/>
                      <w:sz w:val="21"/>
                      <w:szCs w:val="21"/>
                      <w:highlight w:val="none"/>
                      <w:lang w:val="en-US" w:eastAsia="zh-CN"/>
                    </w:rPr>
                    <w:t>长治市屯留区行政审批服务管理局</w:t>
                  </w:r>
                  <w:r>
                    <w:rPr>
                      <w:rFonts w:hint="eastAsia" w:ascii="Times New Roman" w:hAnsi="Times New Roman" w:eastAsia="宋体" w:cs="Times New Roman"/>
                      <w:color w:val="auto"/>
                      <w:kern w:val="0"/>
                      <w:sz w:val="21"/>
                      <w:szCs w:val="21"/>
                      <w:highlight w:val="none"/>
                      <w:lang w:val="en-US" w:eastAsia="zh-CN"/>
                    </w:rPr>
                    <w:t>对本项目进行了备案，项目的建设</w:t>
                  </w:r>
                  <w:r>
                    <w:rPr>
                      <w:rFonts w:hint="default" w:ascii="Times New Roman" w:hAnsi="Times New Roman" w:eastAsia="宋体" w:cs="Times New Roman"/>
                      <w:color w:val="auto"/>
                      <w:kern w:val="0"/>
                      <w:sz w:val="21"/>
                      <w:szCs w:val="21"/>
                      <w:highlight w:val="none"/>
                      <w:lang w:val="en-US" w:eastAsia="zh-CN"/>
                    </w:rPr>
                    <w:t>符合国家产业政策</w:t>
                  </w:r>
                  <w:r>
                    <w:rPr>
                      <w:rFonts w:hint="eastAsia" w:ascii="Times New Roman" w:hAnsi="Times New Roman" w:eastAsia="宋体" w:cs="Times New Roman"/>
                      <w:color w:val="auto"/>
                      <w:kern w:val="0"/>
                      <w:sz w:val="21"/>
                      <w:szCs w:val="21"/>
                      <w:highlight w:val="none"/>
                      <w:lang w:val="en-US" w:eastAsia="zh-CN"/>
                    </w:rPr>
                    <w:t>。项目不在城市规划区、生态保护区、风景名胜区、文物古迹保护区、基本农田保护区范围内和国道、省道、铁路、高速公路沿线可视范围内的烧结砖瓦窑生产线。</w:t>
                  </w:r>
                </w:p>
              </w:tc>
              <w:tc>
                <w:tcPr>
                  <w:tcW w:w="469" w:type="pct"/>
                  <w:tcBorders>
                    <w:tl2br w:val="nil"/>
                    <w:tr2bl w:val="nil"/>
                  </w:tcBorders>
                  <w:noWrap w:val="0"/>
                  <w:vAlign w:val="center"/>
                </w:tcPr>
                <w:p w14:paraId="42160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不属于</w:t>
                  </w:r>
                  <w:r>
                    <w:rPr>
                      <w:rFonts w:hint="eastAsia" w:ascii="Times New Roman" w:hAnsi="Times New Roman" w:eastAsia="宋体" w:cs="Times New Roman"/>
                      <w:color w:val="auto"/>
                      <w:kern w:val="0"/>
                      <w:sz w:val="21"/>
                      <w:szCs w:val="21"/>
                      <w:highlight w:val="none"/>
                      <w:lang w:val="en-US" w:eastAsia="zh-CN"/>
                    </w:rPr>
                    <w:t>淘汰类</w:t>
                  </w:r>
                </w:p>
              </w:tc>
            </w:tr>
          </w:tbl>
          <w:p w14:paraId="5B40DFC0">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b/>
                <w:bCs w:val="0"/>
                <w:color w:val="auto"/>
                <w:spacing w:val="0"/>
                <w:kern w:val="2"/>
                <w:sz w:val="24"/>
                <w:szCs w:val="24"/>
                <w:highlight w:val="none"/>
                <w:lang w:val="en-US" w:eastAsia="zh-CN" w:bidi="ar-SA"/>
              </w:rPr>
            </w:pPr>
            <w:r>
              <w:rPr>
                <w:rFonts w:hint="eastAsia" w:ascii="Times New Roman" w:hAnsi="Times New Roman" w:eastAsia="宋体" w:cs="Times New Roman"/>
                <w:b/>
                <w:bCs w:val="0"/>
                <w:color w:val="auto"/>
                <w:spacing w:val="0"/>
                <w:kern w:val="2"/>
                <w:sz w:val="24"/>
                <w:szCs w:val="24"/>
                <w:highlight w:val="none"/>
                <w:lang w:val="en-US" w:eastAsia="zh-CN" w:bidi="ar-SA"/>
              </w:rPr>
              <w:t>7、《工业炉窑大气污染综合治理方案》（环大气[2019]56号）符合性分析</w:t>
            </w:r>
          </w:p>
          <w:p w14:paraId="3B8F099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表1-</w:t>
            </w:r>
            <w:r>
              <w:rPr>
                <w:rFonts w:hint="eastAsia" w:eastAsia="黑体" w:cs="Times New Roman"/>
                <w:b w:val="0"/>
                <w:bCs/>
                <w:color w:val="auto"/>
                <w:spacing w:val="0"/>
                <w:kern w:val="2"/>
                <w:sz w:val="24"/>
                <w:szCs w:val="24"/>
                <w:highlight w:val="none"/>
                <w:lang w:val="en-US" w:eastAsia="zh-CN" w:bidi="ar-SA"/>
              </w:rPr>
              <w:t>5</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与</w:t>
            </w:r>
            <w:r>
              <w:rPr>
                <w:rFonts w:hint="eastAsia" w:ascii="Times New Roman" w:hAnsi="Times New Roman" w:eastAsia="黑体" w:cs="Times New Roman"/>
                <w:b w:val="0"/>
                <w:bCs/>
                <w:color w:val="auto"/>
                <w:spacing w:val="0"/>
                <w:kern w:val="2"/>
                <w:sz w:val="24"/>
                <w:szCs w:val="24"/>
                <w:highlight w:val="none"/>
                <w:lang w:val="en-US" w:eastAsia="zh-CN" w:bidi="ar-SA"/>
              </w:rPr>
              <w:t>“</w:t>
            </w:r>
            <w:r>
              <w:rPr>
                <w:rFonts w:hint="eastAsia" w:ascii="Times New Roman" w:hAnsi="Times New Roman" w:eastAsia="宋体" w:cs="Times New Roman"/>
                <w:b/>
                <w:bCs w:val="0"/>
                <w:color w:val="auto"/>
                <w:spacing w:val="0"/>
                <w:kern w:val="2"/>
                <w:sz w:val="24"/>
                <w:szCs w:val="24"/>
                <w:highlight w:val="none"/>
                <w:lang w:val="en-US" w:eastAsia="zh-CN" w:bidi="ar-SA"/>
              </w:rPr>
              <w:t>环大气[2019]56号</w:t>
            </w:r>
            <w:r>
              <w:rPr>
                <w:rFonts w:hint="eastAsia" w:ascii="Times New Roman" w:hAnsi="Times New Roman" w:eastAsia="黑体" w:cs="Times New Roman"/>
                <w:b w:val="0"/>
                <w:bCs/>
                <w:color w:val="auto"/>
                <w:spacing w:val="0"/>
                <w:kern w:val="2"/>
                <w:sz w:val="24"/>
                <w:szCs w:val="24"/>
                <w:highlight w:val="none"/>
                <w:lang w:val="en-US" w:eastAsia="zh-CN" w:bidi="ar-SA"/>
              </w:rPr>
              <w:t>”</w:t>
            </w:r>
            <w:r>
              <w:rPr>
                <w:rFonts w:hint="default" w:ascii="Times New Roman" w:hAnsi="Times New Roman" w:eastAsia="黑体" w:cs="Times New Roman"/>
                <w:b w:val="0"/>
                <w:bCs/>
                <w:color w:val="auto"/>
                <w:spacing w:val="0"/>
                <w:kern w:val="2"/>
                <w:sz w:val="24"/>
                <w:szCs w:val="24"/>
                <w:highlight w:val="none"/>
                <w:lang w:val="en-US" w:eastAsia="zh-CN" w:bidi="ar-SA"/>
              </w:rPr>
              <w:t>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3"/>
              <w:gridCol w:w="1577"/>
              <w:gridCol w:w="691"/>
            </w:tblGrid>
            <w:tr w14:paraId="11052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5" w:type="pct"/>
                  <w:tcBorders>
                    <w:tl2br w:val="nil"/>
                    <w:tr2bl w:val="nil"/>
                  </w:tcBorders>
                  <w:noWrap w:val="0"/>
                  <w:vAlign w:val="center"/>
                </w:tcPr>
                <w:p w14:paraId="34814E46">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color w:val="auto"/>
                      <w:sz w:val="21"/>
                      <w:szCs w:val="21"/>
                    </w:rPr>
                    <w:t>文件要求</w:t>
                  </w:r>
                </w:p>
              </w:tc>
              <w:tc>
                <w:tcPr>
                  <w:tcW w:w="1212" w:type="pct"/>
                  <w:tcBorders>
                    <w:tl2br w:val="nil"/>
                    <w:tr2bl w:val="nil"/>
                  </w:tcBorders>
                  <w:noWrap w:val="0"/>
                  <w:vAlign w:val="center"/>
                </w:tcPr>
                <w:p w14:paraId="3AE3D865">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本项目</w:t>
                  </w:r>
                </w:p>
              </w:tc>
              <w:tc>
                <w:tcPr>
                  <w:tcW w:w="532" w:type="pct"/>
                  <w:tcBorders>
                    <w:tl2br w:val="nil"/>
                    <w:tr2bl w:val="nil"/>
                  </w:tcBorders>
                  <w:noWrap w:val="0"/>
                  <w:vAlign w:val="center"/>
                </w:tcPr>
                <w:p w14:paraId="5BFBFC89">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相符性</w:t>
                  </w:r>
                </w:p>
              </w:tc>
            </w:tr>
            <w:tr w14:paraId="65444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5" w:type="pct"/>
                  <w:tcBorders>
                    <w:tl2br w:val="nil"/>
                    <w:tr2bl w:val="nil"/>
                  </w:tcBorders>
                  <w:noWrap w:val="0"/>
                  <w:vAlign w:val="center"/>
                </w:tcPr>
                <w:p w14:paraId="4DD523FA">
                  <w:pPr>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bidi="ar"/>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212" w:type="pct"/>
                  <w:tcBorders>
                    <w:tl2br w:val="nil"/>
                    <w:tr2bl w:val="nil"/>
                  </w:tcBorders>
                  <w:noWrap w:val="0"/>
                  <w:vAlign w:val="center"/>
                </w:tcPr>
                <w:p w14:paraId="65BD58E5">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本项目为</w:t>
                  </w:r>
                  <w:r>
                    <w:rPr>
                      <w:rFonts w:hint="eastAsia" w:ascii="Times New Roman" w:hAnsi="Times New Roman" w:eastAsia="宋体" w:cs="Times New Roman"/>
                      <w:color w:val="auto"/>
                      <w:sz w:val="21"/>
                      <w:szCs w:val="21"/>
                      <w:lang w:val="en-US" w:eastAsia="zh-CN"/>
                    </w:rPr>
                    <w:t>改建</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隧道窑烟气</w:t>
                  </w:r>
                  <w:r>
                    <w:rPr>
                      <w:rFonts w:hint="default" w:ascii="Times New Roman" w:hAnsi="Times New Roman" w:eastAsia="宋体" w:cs="Times New Roman"/>
                      <w:color w:val="auto"/>
                      <w:sz w:val="21"/>
                      <w:szCs w:val="21"/>
                      <w:lang w:eastAsia="zh-CN"/>
                    </w:rPr>
                    <w:t>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w:t>
                  </w:r>
                </w:p>
              </w:tc>
              <w:tc>
                <w:tcPr>
                  <w:tcW w:w="532" w:type="pct"/>
                  <w:tcBorders>
                    <w:tl2br w:val="nil"/>
                    <w:tr2bl w:val="nil"/>
                  </w:tcBorders>
                  <w:noWrap w:val="0"/>
                  <w:vAlign w:val="center"/>
                </w:tcPr>
                <w:p w14:paraId="65BF4928">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4CB92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5" w:type="pct"/>
                  <w:tcBorders>
                    <w:tl2br w:val="nil"/>
                    <w:tr2bl w:val="nil"/>
                  </w:tcBorders>
                  <w:noWrap w:val="0"/>
                  <w:vAlign w:val="center"/>
                </w:tcPr>
                <w:p w14:paraId="4F9F431F">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收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212" w:type="pct"/>
                  <w:tcBorders>
                    <w:tl2br w:val="nil"/>
                    <w:tr2bl w:val="nil"/>
                  </w:tcBorders>
                  <w:noWrap w:val="0"/>
                  <w:vAlign w:val="center"/>
                </w:tcPr>
                <w:p w14:paraId="279F8E77">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本项目建设全封闭煤矸石库，块状物料输送采用密闭输送带输送。</w:t>
                  </w:r>
                  <w:r>
                    <w:rPr>
                      <w:rFonts w:hint="default" w:ascii="Times New Roman" w:hAnsi="Times New Roman" w:eastAsia="宋体" w:cs="Times New Roman"/>
                      <w:color w:val="auto"/>
                      <w:sz w:val="21"/>
                      <w:szCs w:val="21"/>
                      <w:lang w:eastAsia="zh-CN" w:bidi="ar"/>
                    </w:rPr>
                    <w:t>破碎机、筛分机全封闭，进料口分别设置1个集气罩，</w:t>
                  </w:r>
                  <w:r>
                    <w:rPr>
                      <w:rFonts w:hint="default" w:ascii="Times New Roman" w:hAnsi="Times New Roman" w:eastAsia="宋体" w:cs="Times New Roman"/>
                      <w:color w:val="auto"/>
                      <w:sz w:val="21"/>
                      <w:szCs w:val="21"/>
                      <w:lang w:eastAsia="zh-CN"/>
                    </w:rPr>
                    <w:t>石灰采用筒仓储存。</w:t>
                  </w:r>
                </w:p>
              </w:tc>
              <w:tc>
                <w:tcPr>
                  <w:tcW w:w="532" w:type="pct"/>
                  <w:tcBorders>
                    <w:tl2br w:val="nil"/>
                    <w:tr2bl w:val="nil"/>
                  </w:tcBorders>
                  <w:noWrap w:val="0"/>
                  <w:vAlign w:val="center"/>
                </w:tcPr>
                <w:p w14:paraId="4A3A2A5A">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5D438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5" w:type="pct"/>
                  <w:tcBorders>
                    <w:tl2br w:val="nil"/>
                    <w:tr2bl w:val="nil"/>
                  </w:tcBorders>
                  <w:noWrap w:val="0"/>
                  <w:vAlign w:val="center"/>
                </w:tcPr>
                <w:p w14:paraId="0A29A917">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建立健全监测监控体系。加强重点污染源自动监控体系建设。加快其他行业工业炉窑大气污染物排放自动监控设施建设，重点区域内冲天炉、玻璃熔窑、以煤和煤矸石为燃料的砖瓦烧结窑、耐火材料焙烧窑（电窑除外）、炭素焙（煅）烧炉（窑）、石灰窑、铬盐焙烧窑、磷化工焙烧窑、铁合金矿热炉和精炼炉等，原则上应纳入重点排污单位名录，安装自动监控设施。具备条件的企业，应通过分布式控制系统（DCS）等，自动连续记录工业炉窑环保设施运行及相关生产过程主要参数。推进焦炉炉体等关键环节安装视频监控系统。自动监控、DCS监控等数据至少要保存一年，视频监控数据至少要保存三个月。</w:t>
                  </w:r>
                </w:p>
              </w:tc>
              <w:tc>
                <w:tcPr>
                  <w:tcW w:w="1212" w:type="pct"/>
                  <w:tcBorders>
                    <w:tl2br w:val="nil"/>
                    <w:tr2bl w:val="nil"/>
                  </w:tcBorders>
                  <w:noWrap w:val="0"/>
                  <w:vAlign w:val="center"/>
                </w:tcPr>
                <w:p w14:paraId="1ACE6AF3">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本项目排污许可证管理类别为重点管理，</w:t>
                  </w:r>
                  <w:r>
                    <w:rPr>
                      <w:rFonts w:hint="eastAsia" w:ascii="Times New Roman" w:hAnsi="Times New Roman" w:eastAsia="宋体" w:cs="Times New Roman"/>
                      <w:color w:val="auto"/>
                      <w:sz w:val="21"/>
                      <w:szCs w:val="21"/>
                      <w:lang w:val="en-US" w:eastAsia="zh-CN"/>
                    </w:rPr>
                    <w:t>隧道窑烟气</w:t>
                  </w:r>
                  <w:r>
                    <w:rPr>
                      <w:rFonts w:hint="default" w:ascii="Times New Roman" w:hAnsi="Times New Roman" w:eastAsia="宋体" w:cs="Times New Roman"/>
                      <w:color w:val="auto"/>
                      <w:sz w:val="21"/>
                      <w:szCs w:val="21"/>
                      <w:lang w:eastAsia="zh-CN"/>
                    </w:rPr>
                    <w:t>配套“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”装置，安装在线监测设备，并安排专人管理。</w:t>
                  </w:r>
                </w:p>
              </w:tc>
              <w:tc>
                <w:tcPr>
                  <w:tcW w:w="532" w:type="pct"/>
                  <w:tcBorders>
                    <w:tl2br w:val="nil"/>
                    <w:tr2bl w:val="nil"/>
                  </w:tcBorders>
                  <w:noWrap w:val="0"/>
                  <w:vAlign w:val="center"/>
                </w:tcPr>
                <w:p w14:paraId="3E59A204">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00EE2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5" w:type="pct"/>
                  <w:tcBorders>
                    <w:tl2br w:val="nil"/>
                    <w:tr2bl w:val="nil"/>
                  </w:tcBorders>
                  <w:noWrap w:val="0"/>
                  <w:vAlign w:val="center"/>
                </w:tcPr>
                <w:p w14:paraId="4A9C5088">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以煤、煤矸石等为燃料的烧结砖瓦窑应配备高效除尘设施，配备石灰石石膏法等高效脱硫设施；以天然气为燃料的烧结砖瓦窑配备除尘设施。</w:t>
                  </w:r>
                </w:p>
              </w:tc>
              <w:tc>
                <w:tcPr>
                  <w:tcW w:w="1212" w:type="pct"/>
                  <w:tcBorders>
                    <w:tl2br w:val="nil"/>
                    <w:tr2bl w:val="nil"/>
                  </w:tcBorders>
                  <w:noWrap w:val="0"/>
                  <w:vAlign w:val="center"/>
                </w:tcPr>
                <w:p w14:paraId="3BB1E242">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val="en-US" w:eastAsia="zh-CN"/>
                    </w:rPr>
                    <w:t>隧道窑</w:t>
                  </w:r>
                  <w:r>
                    <w:rPr>
                      <w:rFonts w:hint="default" w:ascii="Times New Roman" w:hAnsi="Times New Roman" w:eastAsia="宋体" w:cs="Times New Roman"/>
                      <w:color w:val="auto"/>
                      <w:sz w:val="21"/>
                      <w:szCs w:val="21"/>
                      <w:lang w:eastAsia="zh-CN"/>
                    </w:rPr>
                    <w:t>以煤矸石为燃料，配套1套“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w:t>
                  </w:r>
                </w:p>
              </w:tc>
              <w:tc>
                <w:tcPr>
                  <w:tcW w:w="532" w:type="pct"/>
                  <w:tcBorders>
                    <w:tl2br w:val="nil"/>
                    <w:tr2bl w:val="nil"/>
                  </w:tcBorders>
                  <w:noWrap w:val="0"/>
                  <w:vAlign w:val="center"/>
                </w:tcPr>
                <w:p w14:paraId="38877BE7">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bl>
          <w:p w14:paraId="40F8FE37">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482" w:firstLineChars="200"/>
              <w:jc w:val="both"/>
              <w:textAlignment w:val="auto"/>
              <w:rPr>
                <w:rFonts w:hint="default" w:ascii="Times New Roman" w:hAnsi="Times New Roman" w:eastAsia="宋体" w:cs="Times New Roman"/>
                <w:b/>
                <w:bCs w:val="0"/>
                <w:color w:val="auto"/>
                <w:spacing w:val="0"/>
                <w:kern w:val="2"/>
                <w:sz w:val="24"/>
                <w:szCs w:val="24"/>
                <w:highlight w:val="none"/>
                <w:lang w:val="en-US" w:eastAsia="zh-CN" w:bidi="ar-SA"/>
              </w:rPr>
            </w:pPr>
            <w:r>
              <w:rPr>
                <w:rFonts w:hint="eastAsia" w:ascii="Times New Roman" w:hAnsi="Times New Roman" w:eastAsia="宋体" w:cs="Times New Roman"/>
                <w:b/>
                <w:bCs w:val="0"/>
                <w:color w:val="auto"/>
                <w:spacing w:val="0"/>
                <w:kern w:val="2"/>
                <w:sz w:val="24"/>
                <w:szCs w:val="24"/>
                <w:highlight w:val="none"/>
                <w:lang w:val="en-US" w:eastAsia="zh-CN" w:bidi="ar-SA"/>
              </w:rPr>
              <w:t>8、《山西省工业炉窑大气污染物综合治理实施方案》（晋环大气〔2019〕164号）符合性分析</w:t>
            </w:r>
          </w:p>
          <w:p w14:paraId="2C2448D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表1-</w:t>
            </w:r>
            <w:r>
              <w:rPr>
                <w:rFonts w:hint="eastAsia" w:eastAsia="黑体" w:cs="Times New Roman"/>
                <w:b w:val="0"/>
                <w:bCs/>
                <w:color w:val="auto"/>
                <w:spacing w:val="0"/>
                <w:kern w:val="2"/>
                <w:sz w:val="24"/>
                <w:szCs w:val="24"/>
                <w:highlight w:val="none"/>
                <w:lang w:val="en-US" w:eastAsia="zh-CN" w:bidi="ar-SA"/>
              </w:rPr>
              <w:t>6</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与</w:t>
            </w:r>
            <w:r>
              <w:rPr>
                <w:rFonts w:hint="eastAsia" w:ascii="Times New Roman" w:hAnsi="Times New Roman" w:eastAsia="黑体" w:cs="Times New Roman"/>
                <w:b w:val="0"/>
                <w:bCs/>
                <w:color w:val="auto"/>
                <w:spacing w:val="0"/>
                <w:kern w:val="2"/>
                <w:sz w:val="24"/>
                <w:szCs w:val="24"/>
                <w:highlight w:val="none"/>
                <w:lang w:val="en-US" w:eastAsia="zh-CN" w:bidi="ar-SA"/>
              </w:rPr>
              <w:t>“晋环大气〔2019〕164号”</w:t>
            </w:r>
            <w:r>
              <w:rPr>
                <w:rFonts w:hint="default" w:ascii="Times New Roman" w:hAnsi="Times New Roman" w:eastAsia="黑体" w:cs="Times New Roman"/>
                <w:b w:val="0"/>
                <w:bCs/>
                <w:color w:val="auto"/>
                <w:spacing w:val="0"/>
                <w:kern w:val="2"/>
                <w:sz w:val="24"/>
                <w:szCs w:val="24"/>
                <w:highlight w:val="none"/>
                <w:lang w:val="en-US" w:eastAsia="zh-CN" w:bidi="ar-SA"/>
              </w:rPr>
              <w:t>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605"/>
              <w:gridCol w:w="1299"/>
              <w:gridCol w:w="829"/>
            </w:tblGrid>
            <w:tr w14:paraId="16B75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3" w:type="pct"/>
                  <w:gridSpan w:val="2"/>
                  <w:tcBorders>
                    <w:tl2br w:val="nil"/>
                    <w:tr2bl w:val="nil"/>
                  </w:tcBorders>
                  <w:noWrap w:val="0"/>
                  <w:vAlign w:val="center"/>
                </w:tcPr>
                <w:p w14:paraId="78B87DD0">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color w:val="auto"/>
                      <w:sz w:val="21"/>
                      <w:szCs w:val="21"/>
                    </w:rPr>
                    <w:t>文件要求</w:t>
                  </w:r>
                </w:p>
              </w:tc>
              <w:tc>
                <w:tcPr>
                  <w:tcW w:w="999" w:type="pct"/>
                  <w:tcBorders>
                    <w:tl2br w:val="nil"/>
                    <w:tr2bl w:val="nil"/>
                  </w:tcBorders>
                  <w:noWrap w:val="0"/>
                  <w:vAlign w:val="center"/>
                </w:tcPr>
                <w:p w14:paraId="2933E839">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本项目</w:t>
                  </w:r>
                </w:p>
              </w:tc>
              <w:tc>
                <w:tcPr>
                  <w:tcW w:w="637" w:type="pct"/>
                  <w:tcBorders>
                    <w:tl2br w:val="nil"/>
                    <w:tr2bl w:val="nil"/>
                  </w:tcBorders>
                  <w:noWrap w:val="0"/>
                  <w:vAlign w:val="center"/>
                </w:tcPr>
                <w:p w14:paraId="668EBD60">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相符性</w:t>
                  </w:r>
                </w:p>
              </w:tc>
            </w:tr>
            <w:tr w14:paraId="665AB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2745A452">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严格建设项目环境准入</w:t>
                  </w:r>
                </w:p>
              </w:tc>
              <w:tc>
                <w:tcPr>
                  <w:tcW w:w="2771" w:type="pct"/>
                  <w:tcBorders>
                    <w:tl2br w:val="nil"/>
                    <w:tr2bl w:val="nil"/>
                  </w:tcBorders>
                  <w:noWrap w:val="0"/>
                  <w:vAlign w:val="center"/>
                </w:tcPr>
                <w:p w14:paraId="51509AC6">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新建涉工业炉窑的建设项目，原则上要入园区，并符合园区规划环境影响评价要求， 配套建设高效环保治理设施。落实国家和我省相关产业政策及产能置换办法。重点区域严格控制涉工业炉窑建设项目，严禁新增钢铁、焦化、铸造、水泥、平板玻璃等产能。全省禁止新建燃料类煤气发生炉（园区现有企业统一建设的清洁煤制气中心除外）。</w:t>
                  </w:r>
                </w:p>
              </w:tc>
              <w:tc>
                <w:tcPr>
                  <w:tcW w:w="999" w:type="pct"/>
                  <w:tcBorders>
                    <w:tl2br w:val="nil"/>
                    <w:tr2bl w:val="nil"/>
                  </w:tcBorders>
                  <w:noWrap w:val="0"/>
                  <w:vAlign w:val="center"/>
                </w:tcPr>
                <w:p w14:paraId="0CCC1C10">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本项目为</w:t>
                  </w:r>
                  <w:r>
                    <w:rPr>
                      <w:rFonts w:hint="eastAsia" w:ascii="Times New Roman" w:hAnsi="Times New Roman" w:eastAsia="宋体" w:cs="Times New Roman"/>
                      <w:color w:val="auto"/>
                      <w:sz w:val="21"/>
                      <w:szCs w:val="21"/>
                      <w:lang w:val="en-US" w:eastAsia="zh-CN"/>
                    </w:rPr>
                    <w:t>改建</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sz w:val="21"/>
                      <w:szCs w:val="21"/>
                      <w:lang w:val="en-US" w:eastAsia="zh-CN"/>
                    </w:rPr>
                    <w:t>隧道窑</w:t>
                  </w:r>
                  <w:r>
                    <w:rPr>
                      <w:rFonts w:hint="default" w:ascii="Times New Roman" w:hAnsi="Times New Roman" w:eastAsia="宋体" w:cs="Times New Roman"/>
                      <w:color w:val="auto"/>
                      <w:sz w:val="21"/>
                      <w:szCs w:val="21"/>
                      <w:lang w:eastAsia="zh-CN"/>
                    </w:rPr>
                    <w:t>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。本项目产品为煤矸石砖，</w:t>
                  </w:r>
                  <w:r>
                    <w:rPr>
                      <w:rFonts w:hint="default" w:ascii="Times New Roman" w:hAnsi="Times New Roman" w:eastAsia="宋体" w:cs="Times New Roman"/>
                      <w:color w:val="auto"/>
                      <w:sz w:val="21"/>
                      <w:szCs w:val="21"/>
                      <w:lang w:eastAsia="zh-CN"/>
                    </w:rPr>
                    <w:t>不涉及</w:t>
                  </w:r>
                  <w:r>
                    <w:rPr>
                      <w:rFonts w:hint="default" w:ascii="Times New Roman" w:hAnsi="Times New Roman" w:eastAsia="宋体" w:cs="Times New Roman"/>
                      <w:color w:val="auto"/>
                      <w:sz w:val="21"/>
                      <w:szCs w:val="21"/>
                    </w:rPr>
                    <w:t>钢铁、焦化、铸造、水泥、平板玻璃等产能。</w:t>
                  </w:r>
                </w:p>
              </w:tc>
              <w:tc>
                <w:tcPr>
                  <w:tcW w:w="637" w:type="pct"/>
                  <w:tcBorders>
                    <w:tl2br w:val="nil"/>
                    <w:tr2bl w:val="nil"/>
                  </w:tcBorders>
                  <w:noWrap w:val="0"/>
                  <w:vAlign w:val="center"/>
                </w:tcPr>
                <w:p w14:paraId="1E090C16">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23D27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1CCBCC59">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加大过剩产能和不达标工业炉窑淘汰力度</w:t>
                  </w:r>
                </w:p>
              </w:tc>
              <w:tc>
                <w:tcPr>
                  <w:tcW w:w="2771" w:type="pct"/>
                  <w:tcBorders>
                    <w:tl2br w:val="nil"/>
                    <w:tr2bl w:val="nil"/>
                  </w:tcBorders>
                  <w:noWrap w:val="0"/>
                  <w:vAlign w:val="center"/>
                </w:tcPr>
                <w:p w14:paraId="1F1163FB">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全面清理《产业结构调整指导目录》淘汰类工业炉窑，加快推进限制类工业炉窑升级改造。落实《山西省焦化行业压减过剩产能打好污染防治攻坚行动方案》，加快炭化室高度4.3米及以下且运行寿命超过10年的焦炉淘汰步伐。对热效率低下、敞开未封闭，装备简易落后、自动化程度低，无组织排放突出，以及无治理设施或治理设施工艺落后等严重污染环境的工业炉窑，依法责令停业关闭。</w:t>
                  </w:r>
                </w:p>
              </w:tc>
              <w:tc>
                <w:tcPr>
                  <w:tcW w:w="999" w:type="pct"/>
                  <w:tcBorders>
                    <w:tl2br w:val="nil"/>
                    <w:tr2bl w:val="nil"/>
                  </w:tcBorders>
                  <w:noWrap w:val="0"/>
                  <w:vAlign w:val="center"/>
                </w:tcPr>
                <w:p w14:paraId="0BFAD273">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本项目不涉及目录和方案里面淘汰类工业炉窑，</w:t>
                  </w:r>
                  <w:r>
                    <w:rPr>
                      <w:rFonts w:hint="eastAsia" w:ascii="Times New Roman" w:hAnsi="Times New Roman" w:cs="Times New Roman"/>
                      <w:color w:val="auto"/>
                      <w:sz w:val="21"/>
                      <w:szCs w:val="21"/>
                      <w:lang w:val="en-US" w:eastAsia="zh-CN"/>
                    </w:rPr>
                    <w:t>隧道窑烟气</w:t>
                  </w:r>
                  <w:r>
                    <w:rPr>
                      <w:rFonts w:hint="default" w:ascii="Times New Roman" w:hAnsi="Times New Roman" w:eastAsia="宋体" w:cs="Times New Roman"/>
                      <w:color w:val="auto"/>
                      <w:sz w:val="21"/>
                      <w:szCs w:val="21"/>
                      <w:lang w:eastAsia="zh-CN"/>
                    </w:rPr>
                    <w:t>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w:t>
                  </w:r>
                </w:p>
              </w:tc>
              <w:tc>
                <w:tcPr>
                  <w:tcW w:w="637" w:type="pct"/>
                  <w:tcBorders>
                    <w:tl2br w:val="nil"/>
                    <w:tr2bl w:val="nil"/>
                  </w:tcBorders>
                  <w:noWrap w:val="0"/>
                  <w:vAlign w:val="center"/>
                </w:tcPr>
                <w:p w14:paraId="7B7ECEEC">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710F6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4103015F">
                  <w:pPr>
                    <w:pStyle w:val="105"/>
                    <w:keepNext w:val="0"/>
                    <w:keepLines w:val="0"/>
                    <w:pageBreakBefore w:val="0"/>
                    <w:widowControl w:val="0"/>
                    <w:kinsoku/>
                    <w:wordWrap/>
                    <w:overflowPunct/>
                    <w:topLinePunct w:val="0"/>
                    <w:autoSpaceDE/>
                    <w:autoSpaceDN/>
                    <w:bidi w:val="0"/>
                    <w:adjustRightInd w:val="0"/>
                    <w:snapToGrid w:val="0"/>
                    <w:spacing w:beforeLines="0" w:afterLines="0"/>
                    <w:ind w:left="0" w:leftChars="0"/>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加快燃料清洁低碳化替代</w:t>
                  </w:r>
                </w:p>
              </w:tc>
              <w:tc>
                <w:tcPr>
                  <w:tcW w:w="2771" w:type="pct"/>
                  <w:tcBorders>
                    <w:tl2br w:val="nil"/>
                    <w:tr2bl w:val="nil"/>
                  </w:tcBorders>
                  <w:noWrap w:val="0"/>
                  <w:vAlign w:val="center"/>
                </w:tcPr>
                <w:p w14:paraId="1356269E">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rPr>
                    <w:t>2020</w:t>
                  </w:r>
                  <w:r>
                    <w:rPr>
                      <w:rFonts w:hint="default" w:ascii="Times New Roman" w:hAnsi="Times New Roman" w:eastAsia="宋体" w:cs="Times New Roman"/>
                      <w:color w:val="auto"/>
                      <w:sz w:val="21"/>
                      <w:szCs w:val="21"/>
                    </w:rPr>
                    <w:t>年6月底前，现有以煤、石油焦、渣油、重油等为燃料的工业炉窑完成清洁低</w:t>
                  </w:r>
                  <w:r>
                    <w:rPr>
                      <w:rFonts w:hint="default" w:ascii="Times New Roman" w:hAnsi="Times New Roman" w:eastAsia="宋体" w:cs="Times New Roman"/>
                      <w:color w:val="auto"/>
                      <w:sz w:val="21"/>
                      <w:szCs w:val="21"/>
                      <w:lang w:eastAsia="zh-CN"/>
                    </w:rPr>
                    <w:t>碳</w:t>
                  </w:r>
                  <w:r>
                    <w:rPr>
                      <w:rFonts w:hint="default" w:ascii="Times New Roman" w:hAnsi="Times New Roman" w:eastAsia="宋体" w:cs="Times New Roman"/>
                      <w:color w:val="auto"/>
                      <w:sz w:val="21"/>
                      <w:szCs w:val="21"/>
                    </w:rPr>
                    <w:t>燃料、技术和装备替代改造， 全省铸造</w:t>
                  </w:r>
                  <w:r>
                    <w:rPr>
                      <w:rFonts w:hint="default" w:ascii="Times New Roman" w:hAnsi="Times New Roman" w:eastAsia="宋体" w:cs="Times New Roman"/>
                      <w:color w:val="auto"/>
                      <w:sz w:val="21"/>
                      <w:szCs w:val="21"/>
                      <w:lang w:eastAsia="zh-CN"/>
                    </w:rPr>
                    <w:t>（</w:t>
                  </w:r>
                  <w:r>
                    <w:rPr>
                      <w:rFonts w:hint="default" w:ascii="Times New Roman" w:hAnsi="Times New Roman" w:eastAsia="Times New Roman" w:cs="Times New Roman"/>
                      <w:color w:val="auto"/>
                      <w:sz w:val="21"/>
                      <w:szCs w:val="21"/>
                    </w:rPr>
                    <w:t>10</w:t>
                  </w:r>
                  <w:r>
                    <w:rPr>
                      <w:rFonts w:hint="default" w:ascii="Times New Roman" w:hAnsi="Times New Roman" w:eastAsia="宋体" w:cs="Times New Roman"/>
                      <w:color w:val="auto"/>
                      <w:sz w:val="21"/>
                      <w:szCs w:val="21"/>
                    </w:rPr>
                    <w:t>吨</w:t>
                  </w:r>
                  <w:r>
                    <w:rPr>
                      <w:rFonts w:hint="default" w:ascii="Times New Roman" w:hAnsi="Times New Roman" w:eastAsia="Times New Roman" w:cs="Times New Roman"/>
                      <w:color w:val="auto"/>
                      <w:sz w:val="21"/>
                      <w:szCs w:val="21"/>
                      <w:lang w:eastAsia="zh-CN"/>
                    </w:rPr>
                    <w:t>/</w:t>
                  </w:r>
                  <w:r>
                    <w:rPr>
                      <w:rFonts w:hint="default" w:ascii="Times New Roman" w:hAnsi="Times New Roman" w:eastAsia="宋体" w:cs="Times New Roman"/>
                      <w:color w:val="auto"/>
                      <w:sz w:val="21"/>
                      <w:szCs w:val="21"/>
                    </w:rPr>
                    <w:t>小时及以下）、岩棉等行业冲天炉改为电炉。禁止掺烧高硫石油焦（硫含量大于3%），玻璃行业全面禁止掺烧高硫石油焦。加大煤气发生炉淘汰力度</w:t>
                  </w:r>
                  <w:r>
                    <w:rPr>
                      <w:rFonts w:hint="default" w:ascii="Times New Roman" w:hAnsi="Times New Roman" w:eastAsia="宋体" w:cs="Times New Roman"/>
                      <w:color w:val="auto"/>
                      <w:sz w:val="21"/>
                      <w:szCs w:val="21"/>
                      <w:lang w:eastAsia="zh-CN"/>
                    </w:rPr>
                    <w:t>，</w:t>
                  </w:r>
                  <w:r>
                    <w:rPr>
                      <w:rFonts w:hint="default" w:ascii="Times New Roman" w:hAnsi="Times New Roman" w:eastAsia="Times New Roman" w:cs="Times New Roman"/>
                      <w:color w:val="auto"/>
                      <w:sz w:val="21"/>
                      <w:szCs w:val="21"/>
                    </w:rPr>
                    <w:t>2019</w:t>
                  </w:r>
                  <w:r>
                    <w:rPr>
                      <w:rFonts w:hint="default" w:ascii="Times New Roman" w:hAnsi="Times New Roman" w:eastAsia="宋体" w:cs="Times New Roman"/>
                      <w:color w:val="auto"/>
                      <w:sz w:val="21"/>
                      <w:szCs w:val="21"/>
                    </w:rPr>
                    <w:t>年底前全省基本淘汰炉膛直径3米以下燃料类煤气发生炉；集中使用煤气发生炉的工业园区，暂不具备改用天然气条件的，以及化肥行业固定床间歇式煤气化炉集中区域，2019年底前启动建设统一的清洁煤制气中心，取缔覆盖范围内的分散煤气发生炉，逐步淘汰化肥行业固定床间歇式煤气化炉，加快淘汰燃煤工业炉窑，重点区域2019年底取缔燃煤热风炉，基本淘汰热电联产供热管网覆盖范围内的燃煤加热、烘干炉（窑）。</w:t>
                  </w:r>
                </w:p>
              </w:tc>
              <w:tc>
                <w:tcPr>
                  <w:tcW w:w="999" w:type="pct"/>
                  <w:tcBorders>
                    <w:tl2br w:val="nil"/>
                    <w:tr2bl w:val="nil"/>
                  </w:tcBorders>
                  <w:noWrap w:val="0"/>
                  <w:vAlign w:val="center"/>
                </w:tcPr>
                <w:p w14:paraId="7190F196">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本项目隧道窑不属于</w:t>
                  </w:r>
                  <w:r>
                    <w:rPr>
                      <w:rFonts w:hint="default" w:ascii="Times New Roman" w:hAnsi="Times New Roman" w:eastAsia="宋体" w:cs="Times New Roman"/>
                      <w:color w:val="auto"/>
                      <w:sz w:val="21"/>
                      <w:szCs w:val="21"/>
                    </w:rPr>
                    <w:t>以煤、石油焦、渣油、重油等为燃料的工业炉窑</w:t>
                  </w:r>
                  <w:r>
                    <w:rPr>
                      <w:rFonts w:hint="default" w:ascii="Times New Roman" w:hAnsi="Times New Roman" w:eastAsia="宋体" w:cs="Times New Roman"/>
                      <w:color w:val="auto"/>
                      <w:sz w:val="21"/>
                      <w:szCs w:val="21"/>
                      <w:lang w:eastAsia="zh-CN"/>
                    </w:rPr>
                    <w:t>。</w:t>
                  </w:r>
                </w:p>
              </w:tc>
              <w:tc>
                <w:tcPr>
                  <w:tcW w:w="637" w:type="pct"/>
                  <w:tcBorders>
                    <w:tl2br w:val="nil"/>
                    <w:tr2bl w:val="nil"/>
                  </w:tcBorders>
                  <w:noWrap w:val="0"/>
                  <w:vAlign w:val="center"/>
                </w:tcPr>
                <w:p w14:paraId="3B280733">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15402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3599FC49">
                  <w:pPr>
                    <w:pStyle w:val="105"/>
                    <w:keepNext w:val="0"/>
                    <w:keepLines w:val="0"/>
                    <w:pageBreakBefore w:val="0"/>
                    <w:widowControl w:val="0"/>
                    <w:kinsoku/>
                    <w:wordWrap/>
                    <w:overflowPunct/>
                    <w:topLinePunct w:val="0"/>
                    <w:autoSpaceDE/>
                    <w:autoSpaceDN/>
                    <w:bidi w:val="0"/>
                    <w:adjustRightInd w:val="0"/>
                    <w:snapToGrid w:val="0"/>
                    <w:spacing w:beforeLines="0" w:afterLines="0"/>
                    <w:ind w:left="0" w:leftChars="0"/>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实施污染深度治理</w:t>
                  </w:r>
                </w:p>
              </w:tc>
              <w:tc>
                <w:tcPr>
                  <w:tcW w:w="2771" w:type="pct"/>
                  <w:tcBorders>
                    <w:tl2br w:val="nil"/>
                    <w:tr2bl w:val="nil"/>
                  </w:tcBorders>
                  <w:noWrap w:val="0"/>
                  <w:vAlign w:val="center"/>
                </w:tcPr>
                <w:p w14:paraId="6DCDA478">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推进工业炉窑全面达标排放。加大工业炉窑治理力度，配套建设高效脱硫脱硝除尘设施。已有行业排放标准的工业炉窑，严格执行行业排放标准特别排放限值及相关规定。暂未制订行业排放标准的工业炉窑，按照颗粒物、二氧化硫、氮氧化物排放限值分别不高于30、200、300毫克</w:t>
                  </w:r>
                  <w:r>
                    <w:rPr>
                      <w:rFonts w:hint="default" w:ascii="Times New Roman" w:hAnsi="Times New Roman" w:eastAsia="Times New Roman" w:cs="Times New Roman"/>
                      <w:color w:val="auto"/>
                      <w:sz w:val="21"/>
                      <w:szCs w:val="21"/>
                      <w:lang w:eastAsia="zh-CN"/>
                    </w:rPr>
                    <w:t>/</w:t>
                  </w:r>
                  <w:r>
                    <w:rPr>
                      <w:rFonts w:hint="default" w:ascii="Times New Roman" w:hAnsi="Times New Roman" w:eastAsia="宋体" w:cs="Times New Roman"/>
                      <w:color w:val="auto"/>
                      <w:sz w:val="21"/>
                      <w:szCs w:val="21"/>
                    </w:rPr>
                    <w:t>立方米考核评价，其中，日用玻璃、玻璃棉氮氧化物排放限值不高于400毫克</w:t>
                  </w:r>
                  <w:r>
                    <w:rPr>
                      <w:rFonts w:hint="default" w:ascii="Times New Roman" w:hAnsi="Times New Roman" w:eastAsia="Times New Roman" w:cs="Times New Roman"/>
                      <w:color w:val="auto"/>
                      <w:sz w:val="21"/>
                      <w:szCs w:val="21"/>
                      <w:lang w:eastAsia="zh-CN"/>
                    </w:rPr>
                    <w:t>/</w:t>
                  </w:r>
                  <w:r>
                    <w:rPr>
                      <w:rFonts w:hint="default" w:ascii="Times New Roman" w:hAnsi="Times New Roman" w:eastAsia="宋体" w:cs="Times New Roman"/>
                      <w:color w:val="auto"/>
                      <w:sz w:val="21"/>
                      <w:szCs w:val="21"/>
                    </w:rPr>
                    <w:t>立方米。各地有更严格管控要求的从严执行。</w:t>
                  </w:r>
                </w:p>
              </w:tc>
              <w:tc>
                <w:tcPr>
                  <w:tcW w:w="999" w:type="pct"/>
                  <w:tcBorders>
                    <w:tl2br w:val="nil"/>
                    <w:tr2bl w:val="nil"/>
                  </w:tcBorders>
                  <w:noWrap w:val="0"/>
                  <w:vAlign w:val="center"/>
                </w:tcPr>
                <w:p w14:paraId="19CC6F4A">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隧道窑</w:t>
                  </w:r>
                  <w:r>
                    <w:rPr>
                      <w:rFonts w:hint="default" w:ascii="Times New Roman" w:hAnsi="Times New Roman" w:eastAsia="宋体" w:cs="Times New Roman"/>
                      <w:color w:val="auto"/>
                      <w:sz w:val="21"/>
                      <w:szCs w:val="21"/>
                      <w:lang w:eastAsia="zh-CN"/>
                    </w:rPr>
                    <w:t>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rPr>
                    <w:t>保证窑尾废气达标排放并符合总量控制的要求。</w:t>
                  </w:r>
                </w:p>
              </w:tc>
              <w:tc>
                <w:tcPr>
                  <w:tcW w:w="637" w:type="pct"/>
                  <w:tcBorders>
                    <w:tl2br w:val="nil"/>
                    <w:tr2bl w:val="nil"/>
                  </w:tcBorders>
                  <w:noWrap w:val="0"/>
                  <w:vAlign w:val="center"/>
                </w:tcPr>
                <w:p w14:paraId="3064BF34">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62DFD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74A872E3">
                  <w:pPr>
                    <w:pStyle w:val="105"/>
                    <w:keepNext w:val="0"/>
                    <w:keepLines w:val="0"/>
                    <w:pageBreakBefore w:val="0"/>
                    <w:widowControl w:val="0"/>
                    <w:kinsoku/>
                    <w:wordWrap/>
                    <w:overflowPunct/>
                    <w:topLinePunct w:val="0"/>
                    <w:autoSpaceDE/>
                    <w:autoSpaceDN/>
                    <w:bidi w:val="0"/>
                    <w:adjustRightInd w:val="0"/>
                    <w:snapToGrid w:val="0"/>
                    <w:spacing w:beforeLines="0" w:afterLines="0"/>
                    <w:ind w:left="0" w:leftChars="0"/>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全面加强颗粒物无组织排放管理</w:t>
                  </w:r>
                </w:p>
              </w:tc>
              <w:tc>
                <w:tcPr>
                  <w:tcW w:w="2771" w:type="pct"/>
                  <w:tcBorders>
                    <w:tl2br w:val="nil"/>
                    <w:tr2bl w:val="nil"/>
                  </w:tcBorders>
                  <w:noWrap w:val="0"/>
                  <w:vAlign w:val="center"/>
                </w:tcPr>
                <w:p w14:paraId="19FB257B">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rPr>
                    <w:t>在保障生产安全的前提下，工业炉窑生产工艺过程及相关物料储存、输送等无组织排放环节采取密闭、封闭等有效措施，有效提高废气收集率，产尘点及车间不得有可见烟粉尘外逸。生产工艺产尘点（装置）应采取密闭、封闭或设置集气罩等措施。煤粉、粉煤灰、石灰、</w:t>
                  </w:r>
                  <w:r>
                    <w:rPr>
                      <w:rFonts w:hint="default" w:ascii="Times New Roman" w:hAnsi="Times New Roman" w:eastAsia="宋体" w:cs="Times New Roman"/>
                      <w:color w:val="auto"/>
                      <w:sz w:val="21"/>
                      <w:szCs w:val="21"/>
                      <w:lang w:eastAsia="zh-CN"/>
                    </w:rPr>
                    <w:t>收尘灰</w:t>
                  </w:r>
                  <w:r>
                    <w:rPr>
                      <w:rFonts w:hint="default" w:ascii="Times New Roman" w:hAnsi="Times New Roman" w:eastAsia="宋体" w:cs="Times New Roman"/>
                      <w:color w:val="auto"/>
                      <w:sz w:val="21"/>
                      <w:szCs w:val="21"/>
                    </w:rPr>
                    <w:t>、脱硫灰等粉状物料应密闭或封闭储存，采用密闭皮带、封闭通廊、管状带式输送机或密闭车厢、真空罐车、气力输送等方式输送。粒状、块状物料应采用入棚入仓或建设防风抑尘网等方式进行储存，粒状物料应采用密闭、封闭等方式输送。物料输送过程中产尘点应采取有效抑尘措施。</w:t>
                  </w:r>
                </w:p>
              </w:tc>
              <w:tc>
                <w:tcPr>
                  <w:tcW w:w="999" w:type="pct"/>
                  <w:tcBorders>
                    <w:tl2br w:val="nil"/>
                    <w:tr2bl w:val="nil"/>
                  </w:tcBorders>
                  <w:noWrap w:val="0"/>
                  <w:vAlign w:val="center"/>
                </w:tcPr>
                <w:p w14:paraId="7C8167E6">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本项目建设全封闭煤矸石仓库，块状物料输送采用密闭输送带输送。</w:t>
                  </w:r>
                </w:p>
              </w:tc>
              <w:tc>
                <w:tcPr>
                  <w:tcW w:w="637" w:type="pct"/>
                  <w:tcBorders>
                    <w:tl2br w:val="nil"/>
                    <w:tr2bl w:val="nil"/>
                  </w:tcBorders>
                  <w:noWrap w:val="0"/>
                  <w:vAlign w:val="center"/>
                </w:tcPr>
                <w:p w14:paraId="690207D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6034F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1C172B47">
                  <w:pPr>
                    <w:pStyle w:val="105"/>
                    <w:keepNext w:val="0"/>
                    <w:keepLines w:val="0"/>
                    <w:pageBreakBefore w:val="0"/>
                    <w:widowControl w:val="0"/>
                    <w:kinsoku/>
                    <w:wordWrap/>
                    <w:overflowPunct/>
                    <w:topLinePunct w:val="0"/>
                    <w:autoSpaceDE/>
                    <w:autoSpaceDN/>
                    <w:bidi w:val="0"/>
                    <w:adjustRightInd w:val="0"/>
                    <w:snapToGrid w:val="0"/>
                    <w:spacing w:beforeLines="0" w:afterLines="0"/>
                    <w:ind w:left="0" w:leftChars="0"/>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加强涉工业炉窑企业运输结构调整</w:t>
                  </w:r>
                </w:p>
              </w:tc>
              <w:tc>
                <w:tcPr>
                  <w:tcW w:w="2771" w:type="pct"/>
                  <w:tcBorders>
                    <w:tl2br w:val="nil"/>
                    <w:tr2bl w:val="nil"/>
                  </w:tcBorders>
                  <w:noWrap w:val="0"/>
                  <w:vAlign w:val="center"/>
                </w:tcPr>
                <w:p w14:paraId="1B38D45E">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rPr>
                    <w:t>2020</w:t>
                  </w:r>
                  <w:r>
                    <w:rPr>
                      <w:rFonts w:hint="default" w:ascii="Times New Roman" w:hAnsi="Times New Roman" w:eastAsia="宋体" w:cs="Times New Roman"/>
                      <w:color w:val="auto"/>
                      <w:sz w:val="21"/>
                      <w:szCs w:val="21"/>
                    </w:rPr>
                    <w:t>年，大宗货物年运量150万吨及以上，原则上全部修建铁路专用线；具有铁路专用线的，大宗货物铁路运输比例应达到80%以上。新、改、扩建涉及大宗物料运输的建设项目，原则上不得采用公路运输。</w:t>
                  </w:r>
                </w:p>
              </w:tc>
              <w:tc>
                <w:tcPr>
                  <w:tcW w:w="999" w:type="pct"/>
                  <w:tcBorders>
                    <w:tl2br w:val="nil"/>
                    <w:tr2bl w:val="nil"/>
                  </w:tcBorders>
                  <w:noWrap w:val="0"/>
                  <w:vAlign w:val="center"/>
                </w:tcPr>
                <w:p w14:paraId="6B27AFFD">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本项目不涉及</w:t>
                  </w:r>
                  <w:r>
                    <w:rPr>
                      <w:rFonts w:hint="eastAsia" w:cs="Times New Roman"/>
                      <w:color w:val="auto"/>
                      <w:sz w:val="21"/>
                      <w:szCs w:val="21"/>
                      <w:lang w:eastAsia="zh-CN"/>
                    </w:rPr>
                    <w:t>。</w:t>
                  </w:r>
                </w:p>
              </w:tc>
              <w:tc>
                <w:tcPr>
                  <w:tcW w:w="637" w:type="pct"/>
                  <w:tcBorders>
                    <w:tl2br w:val="nil"/>
                    <w:tr2bl w:val="nil"/>
                  </w:tcBorders>
                  <w:noWrap w:val="0"/>
                  <w:vAlign w:val="center"/>
                </w:tcPr>
                <w:p w14:paraId="450F58AC">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bl>
          <w:p w14:paraId="457B4B5B">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482" w:firstLineChars="200"/>
              <w:jc w:val="both"/>
              <w:textAlignment w:val="auto"/>
              <w:rPr>
                <w:rFonts w:hint="eastAsia" w:ascii="Times New Roman" w:hAnsi="Times New Roman" w:eastAsia="宋体" w:cs="Times New Roman"/>
                <w:b/>
                <w:bCs w:val="0"/>
                <w:color w:val="auto"/>
                <w:spacing w:val="0"/>
                <w:kern w:val="2"/>
                <w:sz w:val="24"/>
                <w:szCs w:val="24"/>
                <w:highlight w:val="none"/>
                <w:lang w:val="en-US" w:eastAsia="zh-CN" w:bidi="ar-SA"/>
              </w:rPr>
            </w:pPr>
            <w:r>
              <w:rPr>
                <w:rFonts w:hint="eastAsia" w:ascii="Times New Roman" w:hAnsi="Times New Roman" w:eastAsia="宋体" w:cs="Times New Roman"/>
                <w:b/>
                <w:bCs w:val="0"/>
                <w:color w:val="auto"/>
                <w:spacing w:val="0"/>
                <w:kern w:val="2"/>
                <w:sz w:val="24"/>
                <w:szCs w:val="24"/>
                <w:highlight w:val="none"/>
                <w:lang w:val="en-US" w:eastAsia="zh-CN" w:bidi="ar-SA"/>
              </w:rPr>
              <w:t>9、《长治市工业炉窑专项整治实施方案》（长气防办〔2019〕8号）符合性分析</w:t>
            </w:r>
          </w:p>
          <w:p w14:paraId="5AAAD3C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表1-</w:t>
            </w:r>
            <w:r>
              <w:rPr>
                <w:rFonts w:hint="eastAsia" w:eastAsia="黑体" w:cs="Times New Roman"/>
                <w:b w:val="0"/>
                <w:bCs/>
                <w:color w:val="auto"/>
                <w:spacing w:val="0"/>
                <w:kern w:val="2"/>
                <w:sz w:val="24"/>
                <w:szCs w:val="24"/>
                <w:highlight w:val="none"/>
                <w:lang w:val="en-US" w:eastAsia="zh-CN" w:bidi="ar-SA"/>
              </w:rPr>
              <w:t>7</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与</w:t>
            </w:r>
            <w:r>
              <w:rPr>
                <w:rFonts w:hint="eastAsia" w:ascii="Times New Roman" w:hAnsi="Times New Roman" w:eastAsia="黑体" w:cs="Times New Roman"/>
                <w:b w:val="0"/>
                <w:bCs/>
                <w:color w:val="auto"/>
                <w:spacing w:val="0"/>
                <w:kern w:val="2"/>
                <w:sz w:val="24"/>
                <w:szCs w:val="24"/>
                <w:highlight w:val="none"/>
                <w:lang w:val="en-US" w:eastAsia="zh-CN" w:bidi="ar-SA"/>
              </w:rPr>
              <w:t>“长气防办〔2019〕8号”</w:t>
            </w:r>
            <w:r>
              <w:rPr>
                <w:rFonts w:hint="default" w:ascii="Times New Roman" w:hAnsi="Times New Roman" w:eastAsia="黑体" w:cs="Times New Roman"/>
                <w:b w:val="0"/>
                <w:bCs/>
                <w:color w:val="auto"/>
                <w:spacing w:val="0"/>
                <w:kern w:val="2"/>
                <w:sz w:val="24"/>
                <w:szCs w:val="24"/>
                <w:highlight w:val="none"/>
                <w:lang w:val="en-US" w:eastAsia="zh-CN" w:bidi="ar-SA"/>
              </w:rPr>
              <w:t>符合性分析</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605"/>
              <w:gridCol w:w="1299"/>
              <w:gridCol w:w="831"/>
            </w:tblGrid>
            <w:tr w14:paraId="6A62D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2" w:type="pct"/>
                  <w:gridSpan w:val="2"/>
                  <w:tcBorders>
                    <w:tl2br w:val="nil"/>
                    <w:tr2bl w:val="nil"/>
                  </w:tcBorders>
                  <w:noWrap w:val="0"/>
                  <w:vAlign w:val="center"/>
                </w:tcPr>
                <w:p w14:paraId="79D794B6">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color w:val="auto"/>
                      <w:sz w:val="21"/>
                      <w:szCs w:val="21"/>
                    </w:rPr>
                    <w:t>文件要求</w:t>
                  </w:r>
                </w:p>
              </w:tc>
              <w:tc>
                <w:tcPr>
                  <w:tcW w:w="999" w:type="pct"/>
                  <w:tcBorders>
                    <w:tl2br w:val="nil"/>
                    <w:tr2bl w:val="nil"/>
                  </w:tcBorders>
                  <w:noWrap w:val="0"/>
                  <w:vAlign w:val="center"/>
                </w:tcPr>
                <w:p w14:paraId="3167D568">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本项目</w:t>
                  </w:r>
                </w:p>
              </w:tc>
              <w:tc>
                <w:tcPr>
                  <w:tcW w:w="638" w:type="pct"/>
                  <w:tcBorders>
                    <w:tl2br w:val="nil"/>
                    <w:tr2bl w:val="nil"/>
                  </w:tcBorders>
                  <w:noWrap w:val="0"/>
                  <w:vAlign w:val="center"/>
                </w:tcPr>
                <w:p w14:paraId="424CBF61">
                  <w:pPr>
                    <w:pStyle w:val="31"/>
                    <w:keepNext w:val="0"/>
                    <w:keepLines w:val="0"/>
                    <w:pageBreakBefore w:val="0"/>
                    <w:widowControl w:val="0"/>
                    <w:kinsoku/>
                    <w:wordWrap/>
                    <w:overflowPunct/>
                    <w:topLinePunct w:val="0"/>
                    <w:bidi w:val="0"/>
                    <w:adjustRightInd w:val="0"/>
                    <w:snapToGrid w:val="0"/>
                    <w:spacing w:beforeLines="0" w:afterLines="0"/>
                    <w:ind w:left="0" w:left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相符性</w:t>
                  </w:r>
                </w:p>
              </w:tc>
            </w:tr>
            <w:tr w14:paraId="3AAB0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tcBorders>
                    <w:tl2br w:val="nil"/>
                    <w:tr2bl w:val="nil"/>
                  </w:tcBorders>
                  <w:noWrap w:val="0"/>
                  <w:vAlign w:val="center"/>
                </w:tcPr>
                <w:p w14:paraId="63F7047B">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着力源头控制，推进工业炉窑燃料清洁化。</w:t>
                  </w:r>
                </w:p>
              </w:tc>
              <w:tc>
                <w:tcPr>
                  <w:tcW w:w="2770" w:type="pct"/>
                  <w:tcBorders>
                    <w:tl2br w:val="nil"/>
                    <w:tr2bl w:val="nil"/>
                  </w:tcBorders>
                  <w:noWrap w:val="0"/>
                  <w:vAlign w:val="center"/>
                </w:tcPr>
                <w:p w14:paraId="1FCCAF40">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rPr>
                    <w:t>3.</w:t>
                  </w:r>
                  <w:r>
                    <w:rPr>
                      <w:rFonts w:hint="default" w:ascii="Times New Roman" w:hAnsi="Times New Roman" w:eastAsia="宋体" w:cs="Times New Roman"/>
                      <w:color w:val="auto"/>
                      <w:sz w:val="21"/>
                      <w:szCs w:val="21"/>
                    </w:rPr>
                    <w:t>严格燃煤工业炉窑准入。2019年，严格限制新建燃煤工业炉窑准入，新、改、扩建燃煤工业炉窑要实行煤炭减量替代。在“禁煤区”范围内严禁新建燃煤工业炉窑。</w:t>
                  </w:r>
                </w:p>
              </w:tc>
              <w:tc>
                <w:tcPr>
                  <w:tcW w:w="999" w:type="pct"/>
                  <w:tcBorders>
                    <w:tl2br w:val="nil"/>
                    <w:tr2bl w:val="nil"/>
                  </w:tcBorders>
                  <w:noWrap w:val="0"/>
                  <w:vAlign w:val="center"/>
                </w:tcPr>
                <w:p w14:paraId="09FDB1E8">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本项目隧道窑不属于</w:t>
                  </w:r>
                  <w:r>
                    <w:rPr>
                      <w:rFonts w:hint="default" w:ascii="Times New Roman" w:hAnsi="Times New Roman" w:eastAsia="宋体" w:cs="Times New Roman"/>
                      <w:color w:val="auto"/>
                      <w:sz w:val="21"/>
                      <w:szCs w:val="21"/>
                    </w:rPr>
                    <w:t>燃煤工业炉窑</w:t>
                  </w:r>
                  <w:r>
                    <w:rPr>
                      <w:rFonts w:hint="default" w:ascii="Times New Roman" w:hAnsi="Times New Roman" w:eastAsia="宋体" w:cs="Times New Roman"/>
                      <w:color w:val="auto"/>
                      <w:sz w:val="21"/>
                      <w:szCs w:val="21"/>
                      <w:lang w:eastAsia="zh-CN"/>
                    </w:rPr>
                    <w:t>。</w:t>
                  </w:r>
                </w:p>
              </w:tc>
              <w:tc>
                <w:tcPr>
                  <w:tcW w:w="638" w:type="pct"/>
                  <w:tcBorders>
                    <w:tl2br w:val="nil"/>
                    <w:tr2bl w:val="nil"/>
                  </w:tcBorders>
                  <w:noWrap w:val="0"/>
                  <w:vAlign w:val="center"/>
                </w:tcPr>
                <w:p w14:paraId="07BD0115">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0CB02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vMerge w:val="restart"/>
                  <w:tcBorders>
                    <w:tl2br w:val="nil"/>
                    <w:tr2bl w:val="nil"/>
                  </w:tcBorders>
                  <w:noWrap w:val="0"/>
                  <w:vAlign w:val="center"/>
                </w:tcPr>
                <w:p w14:paraId="6EDE3AF1">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四</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着力深度治理，实现工业炉窑达标排放。</w:t>
                  </w:r>
                </w:p>
              </w:tc>
              <w:tc>
                <w:tcPr>
                  <w:tcW w:w="2770" w:type="pct"/>
                  <w:tcBorders>
                    <w:tl2br w:val="nil"/>
                    <w:tr2bl w:val="nil"/>
                  </w:tcBorders>
                  <w:noWrap w:val="0"/>
                  <w:vAlign w:val="center"/>
                </w:tcPr>
                <w:p w14:paraId="3CFADCF4">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18.</w:t>
                  </w:r>
                  <w:r>
                    <w:rPr>
                      <w:rFonts w:hint="default" w:ascii="Times New Roman" w:hAnsi="Times New Roman" w:eastAsia="宋体" w:cs="Times New Roman"/>
                      <w:color w:val="auto"/>
                      <w:sz w:val="21"/>
                      <w:szCs w:val="21"/>
                      <w:lang w:eastAsia="zh-CN"/>
                    </w:rPr>
                    <w:t>实施简单治污设施升级改造。2019年12月底前，要全面淘汰工艺、治污效果较差的除尘脱硫设施，重点是单一重力沉降室、旋风除尘器、多管除尘器、水膜除尘器、生物降尘等除尘设施以及水洗法、简易碱法、简易氨法、生物脱硫等脱硫设施，企业应根据排放废气的风量、烟温、浓度、工况等，选择适宜的技术路线，采取工艺成熟、先进可靠、稳定达标、安全环保的治理设施，譬如电袋、湿电除尘以及干法脱硫等先进治理设施。</w:t>
                  </w:r>
                </w:p>
              </w:tc>
              <w:tc>
                <w:tcPr>
                  <w:tcW w:w="999" w:type="pct"/>
                  <w:tcBorders>
                    <w:tl2br w:val="nil"/>
                    <w:tr2bl w:val="nil"/>
                  </w:tcBorders>
                  <w:noWrap w:val="0"/>
                  <w:vAlign w:val="center"/>
                </w:tcPr>
                <w:p w14:paraId="0B810170">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val="en-US" w:eastAsia="zh-CN"/>
                    </w:rPr>
                    <w:t>隧道窑</w:t>
                  </w:r>
                  <w:r>
                    <w:rPr>
                      <w:rFonts w:hint="default" w:ascii="Times New Roman" w:hAnsi="Times New Roman" w:eastAsia="宋体" w:cs="Times New Roman"/>
                      <w:color w:val="auto"/>
                      <w:sz w:val="21"/>
                      <w:szCs w:val="21"/>
                      <w:lang w:eastAsia="zh-CN"/>
                    </w:rPr>
                    <w:t>配套1套“</w:t>
                  </w:r>
                  <w:r>
                    <w:rPr>
                      <w:rFonts w:hint="default" w:ascii="Times New Roman" w:hAnsi="Times New Roman" w:eastAsia="Times New Roman" w:cs="Times New Roman"/>
                      <w:color w:val="auto"/>
                      <w:sz w:val="21"/>
                      <w:szCs w:val="21"/>
                      <w:lang w:eastAsia="zh-CN"/>
                    </w:rPr>
                    <w:t>SNCR脱硝+双碱法脱硫+湿电除尘器</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eastAsia="zh-CN"/>
                    </w:rPr>
                    <w:t>符合要求。</w:t>
                  </w:r>
                </w:p>
              </w:tc>
              <w:tc>
                <w:tcPr>
                  <w:tcW w:w="638" w:type="pct"/>
                  <w:tcBorders>
                    <w:tl2br w:val="nil"/>
                    <w:tr2bl w:val="nil"/>
                  </w:tcBorders>
                  <w:noWrap w:val="0"/>
                  <w:vAlign w:val="center"/>
                </w:tcPr>
                <w:p w14:paraId="55939F0E">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6E479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vMerge w:val="continue"/>
                  <w:tcBorders>
                    <w:tl2br w:val="nil"/>
                    <w:tr2bl w:val="nil"/>
                  </w:tcBorders>
                  <w:noWrap w:val="0"/>
                  <w:vAlign w:val="center"/>
                </w:tcPr>
                <w:p w14:paraId="086FD14C">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p>
              </w:tc>
              <w:tc>
                <w:tcPr>
                  <w:tcW w:w="2770" w:type="pct"/>
                  <w:tcBorders>
                    <w:tl2br w:val="nil"/>
                    <w:tr2bl w:val="nil"/>
                  </w:tcBorders>
                  <w:noWrap w:val="0"/>
                  <w:vAlign w:val="center"/>
                </w:tcPr>
                <w:p w14:paraId="0D464B2E">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19.</w:t>
                  </w:r>
                  <w:r>
                    <w:rPr>
                      <w:rFonts w:hint="default" w:ascii="Times New Roman" w:hAnsi="Times New Roman" w:eastAsia="宋体" w:cs="Times New Roman"/>
                      <w:color w:val="auto"/>
                      <w:sz w:val="21"/>
                      <w:szCs w:val="21"/>
                      <w:lang w:eastAsia="zh-CN"/>
                    </w:rPr>
                    <w:t>推进执行更严的排放标准。利用1年过渡期，从2020年10月1日起，全市的建材行业包括水泥、砖瓦、陶瓷、石灰、耐火材料、石材加工等、非金属矿开采加工业以及玻璃行业排放的大气污染物全部执行《山东省建材工业排放标准》（DB 37/2373-2018）中新建工业大气污染物排放标准重点区域限值（具体限值见附件2；国家、山西省出台相应的标准后，执行相应的排放限值）。</w:t>
                  </w:r>
                </w:p>
              </w:tc>
              <w:tc>
                <w:tcPr>
                  <w:tcW w:w="999" w:type="pct"/>
                  <w:tcBorders>
                    <w:tl2br w:val="nil"/>
                    <w:tr2bl w:val="nil"/>
                  </w:tcBorders>
                  <w:noWrap w:val="0"/>
                  <w:vAlign w:val="center"/>
                </w:tcPr>
                <w:p w14:paraId="01FE62BA">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本项目属于C3031粘土砖瓦及建筑砌块制造，大气污染物执行《长治市人民政府办公室关于印发长治市大气和水污染物排放管控要求的通知》（长政办规〔2023〕1号）砖瓦行业管控要求。</w:t>
                  </w:r>
                </w:p>
              </w:tc>
              <w:tc>
                <w:tcPr>
                  <w:tcW w:w="638" w:type="pct"/>
                  <w:tcBorders>
                    <w:tl2br w:val="nil"/>
                    <w:tr2bl w:val="nil"/>
                  </w:tcBorders>
                  <w:noWrap w:val="0"/>
                  <w:vAlign w:val="center"/>
                </w:tcPr>
                <w:p w14:paraId="6C587C9F">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698AE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1" w:type="pct"/>
                  <w:vMerge w:val="continue"/>
                  <w:tcBorders>
                    <w:tl2br w:val="nil"/>
                    <w:tr2bl w:val="nil"/>
                  </w:tcBorders>
                  <w:noWrap w:val="0"/>
                  <w:vAlign w:val="center"/>
                </w:tcPr>
                <w:p w14:paraId="480B6A63">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rPr>
                  </w:pPr>
                </w:p>
              </w:tc>
              <w:tc>
                <w:tcPr>
                  <w:tcW w:w="2770" w:type="pct"/>
                  <w:tcBorders>
                    <w:tl2br w:val="nil"/>
                    <w:tr2bl w:val="nil"/>
                  </w:tcBorders>
                  <w:noWrap w:val="0"/>
                  <w:vAlign w:val="center"/>
                </w:tcPr>
                <w:p w14:paraId="18C44783">
                  <w:pPr>
                    <w:keepNext w:val="0"/>
                    <w:keepLines w:val="0"/>
                    <w:pageBreakBefore w:val="0"/>
                    <w:widowControl w:val="0"/>
                    <w:kinsoku/>
                    <w:wordWrap/>
                    <w:overflowPunct/>
                    <w:topLinePunct w:val="0"/>
                    <w:autoSpaceDE/>
                    <w:autoSpaceDN/>
                    <w:bidi w:val="0"/>
                    <w:adjustRightInd w:val="0"/>
                    <w:snapToGrid w:val="0"/>
                    <w:spacing w:beforeLines="0" w:afterLines="0"/>
                    <w:ind w:left="0" w:leftChars="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20.</w:t>
                  </w:r>
                  <w:r>
                    <w:rPr>
                      <w:rFonts w:hint="default" w:ascii="Times New Roman" w:hAnsi="Times New Roman" w:eastAsia="宋体" w:cs="Times New Roman"/>
                      <w:color w:val="auto"/>
                      <w:sz w:val="21"/>
                      <w:szCs w:val="21"/>
                      <w:lang w:eastAsia="zh-CN"/>
                    </w:rPr>
                    <w:t>实施无组织排放治理。严格管控工业炉窑无组织排放，工业炉窑所配套的储煤、储料棚进出口一律安装颗粒物在线监测和视频监控系统并与各县区环境监控平台联网实时传输，工业炉窑及其配套设施要严格从“储存、转运、工艺过程、运输”等过程全面实施无组织排放治理，重点行业要按照国家、省出台的行业政策实施无组织排放治理，鼓励钢铁、焦化、水泥、有色等重点行业引进更先进的技术，在工艺和生产安全的条件下，选取更有效的方式综合管控厂区无组织排放，力争达到国内先进水平。</w:t>
                  </w:r>
                </w:p>
              </w:tc>
              <w:tc>
                <w:tcPr>
                  <w:tcW w:w="999" w:type="pct"/>
                  <w:tcBorders>
                    <w:tl2br w:val="nil"/>
                    <w:tr2bl w:val="nil"/>
                  </w:tcBorders>
                  <w:noWrap w:val="0"/>
                  <w:vAlign w:val="center"/>
                </w:tcPr>
                <w:p w14:paraId="3F54438D">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本项目不涉及</w:t>
                  </w:r>
                  <w:r>
                    <w:rPr>
                      <w:rFonts w:hint="eastAsia" w:cs="Times New Roman"/>
                      <w:color w:val="auto"/>
                      <w:sz w:val="21"/>
                      <w:szCs w:val="21"/>
                      <w:lang w:eastAsia="zh-CN"/>
                    </w:rPr>
                    <w:t>。</w:t>
                  </w:r>
                </w:p>
              </w:tc>
              <w:tc>
                <w:tcPr>
                  <w:tcW w:w="638" w:type="pct"/>
                  <w:tcBorders>
                    <w:tl2br w:val="nil"/>
                    <w:tr2bl w:val="nil"/>
                  </w:tcBorders>
                  <w:noWrap w:val="0"/>
                  <w:vAlign w:val="center"/>
                </w:tcPr>
                <w:p w14:paraId="2931F092">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jc w:val="center"/>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bl>
          <w:p w14:paraId="4F77703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spacing w:val="0"/>
                <w:kern w:val="2"/>
                <w:sz w:val="24"/>
                <w:szCs w:val="24"/>
                <w:highlight w:val="none"/>
                <w:lang w:val="en-US" w:eastAsia="zh-CN" w:bidi="ar-SA"/>
              </w:rPr>
              <w:t>10、</w:t>
            </w:r>
            <w:r>
              <w:rPr>
                <w:rFonts w:hint="default" w:ascii="Times New Roman" w:hAnsi="Times New Roman" w:eastAsia="宋体" w:cs="Times New Roman"/>
                <w:b/>
                <w:bCs w:val="0"/>
                <w:color w:val="auto"/>
                <w:kern w:val="2"/>
                <w:sz w:val="24"/>
                <w:szCs w:val="24"/>
                <w:highlight w:val="none"/>
                <w:lang w:val="en-US" w:eastAsia="zh-CN" w:bidi="ar-SA"/>
              </w:rPr>
              <w:t>《关于印发长治市工业企业无组织排放治理实方案的通知》（长气防办[2019]9号）符合性分析</w:t>
            </w:r>
          </w:p>
          <w:p w14:paraId="0EB6868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表1-</w:t>
            </w:r>
            <w:r>
              <w:rPr>
                <w:rFonts w:hint="eastAsia" w:eastAsia="黑体" w:cs="Times New Roman"/>
                <w:b w:val="0"/>
                <w:bCs/>
                <w:color w:val="auto"/>
                <w:spacing w:val="0"/>
                <w:kern w:val="2"/>
                <w:sz w:val="24"/>
                <w:szCs w:val="24"/>
                <w:highlight w:val="none"/>
                <w:lang w:val="en-US" w:eastAsia="zh-CN" w:bidi="ar-SA"/>
              </w:rPr>
              <w:t>8</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与“长气防办[2019]9号文”符合性分析表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3907"/>
              <w:gridCol w:w="1296"/>
              <w:gridCol w:w="735"/>
            </w:tblGrid>
            <w:tr w14:paraId="7699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noWrap/>
                  <w:vAlign w:val="center"/>
                </w:tcPr>
                <w:p w14:paraId="565B24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003" w:type="pct"/>
                  <w:tcBorders>
                    <w:tl2br w:val="nil"/>
                    <w:tr2bl w:val="nil"/>
                  </w:tcBorders>
                  <w:noWrap/>
                  <w:vAlign w:val="center"/>
                </w:tcPr>
                <w:p w14:paraId="4B7852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意见</w:t>
                  </w:r>
                  <w:r>
                    <w:rPr>
                      <w:rFonts w:hint="default" w:ascii="Times New Roman" w:hAnsi="Times New Roman" w:eastAsia="宋体" w:cs="Times New Roman"/>
                      <w:b/>
                      <w:bCs/>
                      <w:color w:val="auto"/>
                      <w:sz w:val="21"/>
                      <w:szCs w:val="21"/>
                      <w:highlight w:val="none"/>
                    </w:rPr>
                    <w:t>要求</w:t>
                  </w:r>
                </w:p>
              </w:tc>
              <w:tc>
                <w:tcPr>
                  <w:tcW w:w="996" w:type="pct"/>
                  <w:tcBorders>
                    <w:tl2br w:val="nil"/>
                    <w:tr2bl w:val="nil"/>
                  </w:tcBorders>
                  <w:noWrap/>
                  <w:vAlign w:val="center"/>
                </w:tcPr>
                <w:p w14:paraId="79F648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564" w:type="pct"/>
                  <w:tcBorders>
                    <w:tl2br w:val="nil"/>
                    <w:tr2bl w:val="nil"/>
                  </w:tcBorders>
                  <w:noWrap/>
                  <w:vAlign w:val="center"/>
                </w:tcPr>
                <w:p w14:paraId="506A57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1FF7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restart"/>
                  <w:tcBorders>
                    <w:tl2br w:val="nil"/>
                    <w:tr2bl w:val="nil"/>
                  </w:tcBorders>
                  <w:noWrap/>
                  <w:vAlign w:val="center"/>
                </w:tcPr>
                <w:p w14:paraId="5E87F9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003" w:type="pct"/>
                  <w:vMerge w:val="restart"/>
                  <w:tcBorders>
                    <w:tl2br w:val="nil"/>
                    <w:tr2bl w:val="nil"/>
                  </w:tcBorders>
                  <w:noWrap/>
                  <w:vAlign w:val="center"/>
                </w:tcPr>
                <w:p w14:paraId="2D03AD7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1、储存</w:t>
                  </w:r>
                </w:p>
                <w:p w14:paraId="4FDC12C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）各类生产、加工企业的粉状或颗粒状物料要全部仓储，禁止露天存放。仓储方式包括全封闭储料仓（钢结构或气膜）、筒仓</w:t>
                  </w:r>
                  <w:r>
                    <w:rPr>
                      <w:rFonts w:hint="default" w:ascii="Times New Roman" w:hAnsi="Times New Roman" w:eastAsia="宋体" w:cs="Times New Roman"/>
                      <w:color w:val="auto"/>
                      <w:sz w:val="21"/>
                      <w:szCs w:val="21"/>
                      <w:highlight w:val="none"/>
                      <w:lang w:val="en-US" w:eastAsia="zh-CN"/>
                    </w:rPr>
                    <w:t>。</w:t>
                  </w:r>
                </w:p>
                <w:p w14:paraId="2DEB69F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（2）全封闭储料仓防尘措施</w:t>
                  </w:r>
                </w:p>
                <w:p w14:paraId="6B0247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棚仓（含门窗）必须全密封，因防爆、职业防治、安全等物殊原因的可按要求留口。顶部和四周封闭材料不得存在锈蚀损坏，脱落现象。</w:t>
                  </w:r>
                </w:p>
                <w:p w14:paraId="06D917C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地面必须硬化。</w:t>
                  </w:r>
                </w:p>
                <w:p w14:paraId="2EE3F2C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储存质量较轻的粉状物料棚仓要在顶部或房梁部加装雾化喷淋装置，做到仓内抑尘。储存砂石、铁矿粉、炉渣等质量较大的物料，棚仓配装射程可覆盖全仓的雾炮。对含水率有要求的物料可以采用高效于雾等抑尘措施。</w:t>
                  </w:r>
                </w:p>
                <w:p w14:paraId="65F20DD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辆出入口加装密闭门，密闭门优先选择自动感应门或自动升降帘，当工艺有特殊要求时，可选择手动，无车辆出入时保持关闭状态。棚仓出口必须加设车辆冲洗平台，储存粉状物料的棚仓要在车辆进出口加设扬尘在线监测和视频监控设施，并与生态环境部门联网，实时传输监测数据。</w:t>
                  </w:r>
                </w:p>
              </w:tc>
              <w:tc>
                <w:tcPr>
                  <w:tcW w:w="996" w:type="pct"/>
                  <w:tcBorders>
                    <w:tl2br w:val="nil"/>
                    <w:tr2bl w:val="nil"/>
                  </w:tcBorders>
                  <w:noWrap/>
                  <w:vAlign w:val="center"/>
                </w:tcPr>
                <w:p w14:paraId="453B0E8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lang w:eastAsia="zh-CN"/>
                    </w:rPr>
                    <w:t>全封闭</w:t>
                  </w:r>
                  <w:r>
                    <w:rPr>
                      <w:rFonts w:hint="eastAsia" w:cs="Times New Roman"/>
                      <w:color w:val="auto"/>
                      <w:sz w:val="21"/>
                      <w:szCs w:val="21"/>
                      <w:highlight w:val="none"/>
                      <w:lang w:eastAsia="zh-CN"/>
                    </w:rPr>
                    <w:t>原料库</w:t>
                  </w:r>
                  <w:r>
                    <w:rPr>
                      <w:rFonts w:hint="default" w:ascii="Times New Roman" w:hAnsi="Times New Roman" w:eastAsia="宋体" w:cs="Times New Roman"/>
                      <w:color w:val="auto"/>
                      <w:sz w:val="21"/>
                      <w:szCs w:val="21"/>
                      <w:highlight w:val="none"/>
                      <w:lang w:eastAsia="zh-CN"/>
                    </w:rPr>
                    <w:t>。</w:t>
                  </w:r>
                </w:p>
              </w:tc>
              <w:tc>
                <w:tcPr>
                  <w:tcW w:w="564" w:type="pct"/>
                  <w:vMerge w:val="restart"/>
                  <w:tcBorders>
                    <w:tl2br w:val="nil"/>
                    <w:tr2bl w:val="nil"/>
                  </w:tcBorders>
                  <w:noWrap/>
                  <w:vAlign w:val="center"/>
                </w:tcPr>
                <w:p w14:paraId="644ED3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15D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noWrap/>
                  <w:vAlign w:val="center"/>
                </w:tcPr>
                <w:p w14:paraId="608561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3003" w:type="pct"/>
                  <w:vMerge w:val="continue"/>
                  <w:tcBorders>
                    <w:tl2br w:val="nil"/>
                    <w:tr2bl w:val="nil"/>
                  </w:tcBorders>
                  <w:noWrap/>
                  <w:vAlign w:val="center"/>
                </w:tcPr>
                <w:p w14:paraId="4E3652E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p>
              </w:tc>
              <w:tc>
                <w:tcPr>
                  <w:tcW w:w="996" w:type="pct"/>
                  <w:tcBorders>
                    <w:tl2br w:val="nil"/>
                    <w:tr2bl w:val="nil"/>
                  </w:tcBorders>
                  <w:noWrap/>
                  <w:vAlign w:val="center"/>
                </w:tcPr>
                <w:p w14:paraId="51EC95C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厂区</w:t>
                  </w:r>
                  <w:r>
                    <w:rPr>
                      <w:rFonts w:hint="default" w:ascii="Times New Roman" w:hAnsi="Times New Roman" w:eastAsia="宋体" w:cs="Times New Roman"/>
                      <w:color w:val="auto"/>
                      <w:sz w:val="21"/>
                      <w:szCs w:val="21"/>
                      <w:highlight w:val="none"/>
                      <w:lang w:eastAsia="zh-CN"/>
                    </w:rPr>
                    <w:t>地面硬化。</w:t>
                  </w:r>
                </w:p>
              </w:tc>
              <w:tc>
                <w:tcPr>
                  <w:tcW w:w="564" w:type="pct"/>
                  <w:vMerge w:val="continue"/>
                  <w:tcBorders>
                    <w:tl2br w:val="nil"/>
                    <w:tr2bl w:val="nil"/>
                  </w:tcBorders>
                  <w:noWrap/>
                  <w:vAlign w:val="center"/>
                </w:tcPr>
                <w:p w14:paraId="36144D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47BAB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noWrap/>
                  <w:vAlign w:val="center"/>
                </w:tcPr>
                <w:p w14:paraId="3CBB38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3003" w:type="pct"/>
                  <w:vMerge w:val="continue"/>
                  <w:tcBorders>
                    <w:tl2br w:val="nil"/>
                    <w:tr2bl w:val="nil"/>
                  </w:tcBorders>
                  <w:noWrap/>
                  <w:vAlign w:val="center"/>
                </w:tcPr>
                <w:p w14:paraId="5F33BD9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p>
              </w:tc>
              <w:tc>
                <w:tcPr>
                  <w:tcW w:w="996" w:type="pct"/>
                  <w:tcBorders>
                    <w:tl2br w:val="nil"/>
                    <w:tr2bl w:val="nil"/>
                  </w:tcBorders>
                  <w:noWrap/>
                  <w:vAlign w:val="center"/>
                </w:tcPr>
                <w:p w14:paraId="358D6E1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本项目在原料库顶部设置喷雾抑尘设施</w:t>
                  </w:r>
                  <w:r>
                    <w:rPr>
                      <w:rFonts w:hint="default" w:ascii="Times New Roman" w:hAnsi="Times New Roman" w:eastAsia="宋体" w:cs="Times New Roman"/>
                      <w:color w:val="auto"/>
                      <w:sz w:val="21"/>
                      <w:szCs w:val="21"/>
                      <w:highlight w:val="none"/>
                      <w:lang w:val="en-US" w:eastAsia="zh-CN"/>
                    </w:rPr>
                    <w:t>。</w:t>
                  </w:r>
                </w:p>
              </w:tc>
              <w:tc>
                <w:tcPr>
                  <w:tcW w:w="564" w:type="pct"/>
                  <w:vMerge w:val="continue"/>
                  <w:tcBorders>
                    <w:tl2br w:val="nil"/>
                    <w:tr2bl w:val="nil"/>
                  </w:tcBorders>
                  <w:noWrap/>
                  <w:vAlign w:val="center"/>
                </w:tcPr>
                <w:p w14:paraId="72C43B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r>
            <w:tr w14:paraId="2032D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noWrap/>
                  <w:vAlign w:val="center"/>
                </w:tcPr>
                <w:p w14:paraId="3B1D09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c>
                <w:tcPr>
                  <w:tcW w:w="3003" w:type="pct"/>
                  <w:vMerge w:val="continue"/>
                  <w:tcBorders>
                    <w:tl2br w:val="nil"/>
                    <w:tr2bl w:val="nil"/>
                  </w:tcBorders>
                  <w:noWrap/>
                  <w:vAlign w:val="center"/>
                </w:tcPr>
                <w:p w14:paraId="411C69D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p>
              </w:tc>
              <w:tc>
                <w:tcPr>
                  <w:tcW w:w="996" w:type="pct"/>
                  <w:tcBorders>
                    <w:tl2br w:val="nil"/>
                    <w:tr2bl w:val="nil"/>
                  </w:tcBorders>
                  <w:noWrap/>
                  <w:vAlign w:val="center"/>
                </w:tcPr>
                <w:p w14:paraId="1F5240B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eastAsia="zh-CN"/>
                    </w:rPr>
                    <w:t>车辆出入口加装密闭门。</w:t>
                  </w:r>
                </w:p>
              </w:tc>
              <w:tc>
                <w:tcPr>
                  <w:tcW w:w="564" w:type="pct"/>
                  <w:vMerge w:val="continue"/>
                  <w:tcBorders>
                    <w:tl2br w:val="nil"/>
                    <w:tr2bl w:val="nil"/>
                  </w:tcBorders>
                  <w:noWrap/>
                  <w:vAlign w:val="center"/>
                </w:tcPr>
                <w:p w14:paraId="4DD66F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r>
            <w:tr w14:paraId="36A76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noWrap/>
                  <w:vAlign w:val="center"/>
                </w:tcPr>
                <w:p w14:paraId="20BA87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c>
                <w:tcPr>
                  <w:tcW w:w="3003" w:type="pct"/>
                  <w:vMerge w:val="continue"/>
                  <w:tcBorders>
                    <w:tl2br w:val="nil"/>
                    <w:tr2bl w:val="nil"/>
                  </w:tcBorders>
                  <w:noWrap/>
                  <w:vAlign w:val="center"/>
                </w:tcPr>
                <w:p w14:paraId="7D07B44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p>
              </w:tc>
              <w:tc>
                <w:tcPr>
                  <w:tcW w:w="996" w:type="pct"/>
                  <w:tcBorders>
                    <w:tl2br w:val="nil"/>
                    <w:tr2bl w:val="nil"/>
                  </w:tcBorders>
                  <w:noWrap/>
                  <w:vAlign w:val="center"/>
                </w:tcPr>
                <w:p w14:paraId="1196D4E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eastAsia="zh-CN"/>
                    </w:rPr>
                    <w:t>厂区出入口设置洗车平台，并建议企业加装扬尘在线监测和视频监控设施并与生态环境部门联网。</w:t>
                  </w:r>
                </w:p>
              </w:tc>
              <w:tc>
                <w:tcPr>
                  <w:tcW w:w="564" w:type="pct"/>
                  <w:vMerge w:val="continue"/>
                  <w:tcBorders>
                    <w:tl2br w:val="nil"/>
                    <w:tr2bl w:val="nil"/>
                  </w:tcBorders>
                  <w:noWrap/>
                  <w:vAlign w:val="center"/>
                </w:tcPr>
                <w:p w14:paraId="631318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p>
              </w:tc>
            </w:tr>
            <w:tr w14:paraId="37FEF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noWrap/>
                  <w:vAlign w:val="center"/>
                </w:tcPr>
                <w:p w14:paraId="048F03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p>
              </w:tc>
              <w:tc>
                <w:tcPr>
                  <w:tcW w:w="3003" w:type="pct"/>
                  <w:tcBorders>
                    <w:tl2br w:val="nil"/>
                    <w:tr2bl w:val="nil"/>
                  </w:tcBorders>
                  <w:noWrap/>
                  <w:vAlign w:val="center"/>
                </w:tcPr>
                <w:p w14:paraId="557567A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2、装卸</w:t>
                  </w:r>
                </w:p>
                <w:p w14:paraId="7B04EA9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（1）装车</w:t>
                  </w:r>
                </w:p>
                <w:p w14:paraId="063D600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煤炭、煤开石、砂石、矿粉等物料应在密闭储仓内装运，采用筒仓储存的应通过皮带转运，抑尘装车时应固定装车位，并同步设置收尘、吸尘装置，装车时适当提高含水率，无法增加含水率的，装车过程中同步使用雾炮、喷淋或高效干雾抑尘。</w:t>
                  </w:r>
                </w:p>
                <w:p w14:paraId="29AA05C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（2）卸车</w:t>
                  </w:r>
                </w:p>
                <w:p w14:paraId="679CEBC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煤炭、砂石、矿石、粉煤灰等物料和作为生产原料的粘土必须在密闭的料仓内卸车，当卸载物料时，必须同步开启收尘、除尘装置，并同步使用雾炮喷淋除尘。</w:t>
                  </w:r>
                </w:p>
              </w:tc>
              <w:tc>
                <w:tcPr>
                  <w:tcW w:w="996" w:type="pct"/>
                  <w:tcBorders>
                    <w:tl2br w:val="nil"/>
                    <w:tr2bl w:val="nil"/>
                  </w:tcBorders>
                  <w:noWrap/>
                  <w:vAlign w:val="center"/>
                </w:tcPr>
                <w:p w14:paraId="5C4DED2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lang w:eastAsia="zh-CN"/>
                    </w:rPr>
                    <w:t>全封闭原料库，在原料库顶部设置喷雾抑尘</w:t>
                  </w:r>
                  <w:r>
                    <w:rPr>
                      <w:rFonts w:hint="default" w:ascii="Times New Roman" w:hAnsi="Times New Roman" w:eastAsia="宋体" w:cs="Times New Roman"/>
                      <w:color w:val="auto"/>
                      <w:sz w:val="21"/>
                      <w:szCs w:val="21"/>
                      <w:highlight w:val="none"/>
                      <w:lang w:val="en-US" w:eastAsia="zh-CN"/>
                    </w:rPr>
                    <w:t>设施。</w:t>
                  </w:r>
                </w:p>
              </w:tc>
              <w:tc>
                <w:tcPr>
                  <w:tcW w:w="564" w:type="pct"/>
                  <w:tcBorders>
                    <w:tl2br w:val="nil"/>
                    <w:tr2bl w:val="nil"/>
                  </w:tcBorders>
                  <w:noWrap/>
                  <w:vAlign w:val="center"/>
                </w:tcPr>
                <w:p w14:paraId="1BEBB1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EE50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noWrap/>
                  <w:vAlign w:val="center"/>
                </w:tcPr>
                <w:p w14:paraId="7A1887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w:t>
                  </w:r>
                </w:p>
              </w:tc>
              <w:tc>
                <w:tcPr>
                  <w:tcW w:w="3003" w:type="pct"/>
                  <w:tcBorders>
                    <w:tl2br w:val="nil"/>
                    <w:tr2bl w:val="nil"/>
                  </w:tcBorders>
                  <w:noWrap/>
                  <w:vAlign w:val="center"/>
                </w:tcPr>
                <w:p w14:paraId="185EB02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6、厂区内道路及厂区至主于公路的道路必须硬化，采用吸尘车或洒水车进行喷洒抑尘、道路洗扫，厂区内不得有明显积尘。</w:t>
                  </w:r>
                </w:p>
              </w:tc>
              <w:tc>
                <w:tcPr>
                  <w:tcW w:w="996" w:type="pct"/>
                  <w:tcBorders>
                    <w:tl2br w:val="nil"/>
                    <w:tr2bl w:val="nil"/>
                  </w:tcBorders>
                  <w:noWrap/>
                  <w:vAlign w:val="center"/>
                </w:tcPr>
                <w:p w14:paraId="40BAE83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eastAsia="zh-CN"/>
                    </w:rPr>
                    <w:t>厂区内道路硬化，定期洒水抑尘。</w:t>
                  </w:r>
                </w:p>
              </w:tc>
              <w:tc>
                <w:tcPr>
                  <w:tcW w:w="564" w:type="pct"/>
                  <w:tcBorders>
                    <w:tl2br w:val="nil"/>
                    <w:tr2bl w:val="nil"/>
                  </w:tcBorders>
                  <w:noWrap/>
                  <w:vAlign w:val="center"/>
                </w:tcPr>
                <w:p w14:paraId="06F54D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4B1753A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spacing w:val="0"/>
                <w:kern w:val="2"/>
                <w:sz w:val="24"/>
                <w:szCs w:val="24"/>
                <w:highlight w:val="none"/>
                <w:lang w:val="en-US" w:eastAsia="zh-CN" w:bidi="ar-SA"/>
              </w:rPr>
            </w:pPr>
            <w:r>
              <w:rPr>
                <w:rFonts w:hint="eastAsia" w:cs="Times New Roman"/>
                <w:b/>
                <w:bCs w:val="0"/>
                <w:color w:val="auto"/>
                <w:spacing w:val="0"/>
                <w:kern w:val="2"/>
                <w:sz w:val="24"/>
                <w:szCs w:val="24"/>
                <w:highlight w:val="none"/>
                <w:lang w:val="en-US" w:eastAsia="zh-CN" w:bidi="ar-SA"/>
              </w:rPr>
              <w:t>11</w:t>
            </w:r>
            <w:r>
              <w:rPr>
                <w:rFonts w:hint="eastAsia" w:ascii="Times New Roman" w:hAnsi="Times New Roman" w:eastAsia="宋体" w:cs="Times New Roman"/>
                <w:b/>
                <w:bCs w:val="0"/>
                <w:color w:val="auto"/>
                <w:spacing w:val="0"/>
                <w:kern w:val="2"/>
                <w:sz w:val="24"/>
                <w:szCs w:val="24"/>
                <w:highlight w:val="none"/>
                <w:lang w:val="en-US" w:eastAsia="zh-CN" w:bidi="ar-SA"/>
              </w:rPr>
              <w:t>、《山西省“两高”项目重点管理范围（2025年版）》的通知（晋发改资环发〔2025〕136号）符合性分析</w:t>
            </w:r>
          </w:p>
          <w:p w14:paraId="10B0ED51">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cs="宋体"/>
                <w:color w:val="auto"/>
                <w:kern w:val="0"/>
                <w:sz w:val="24"/>
              </w:rPr>
            </w:pPr>
            <w:r>
              <w:rPr>
                <w:rFonts w:hint="eastAsia" w:ascii="Times New Roman" w:hAnsi="Times New Roman" w:eastAsia="宋体" w:cs="Times New Roman"/>
                <w:color w:val="auto"/>
                <w:sz w:val="24"/>
                <w:szCs w:val="21"/>
                <w:highlight w:val="none"/>
                <w:lang w:val="en-US" w:eastAsia="zh-CN"/>
              </w:rPr>
              <w:t>根据山西省“两高”项目重点管理范围（2025年版）可知“非金属矿物制品业（30）—粘土砖瓦及建筑砌块制造（3031）—烧结砖、烧结瓦（不包括资源综合利用烧结砖瓦），砖瓦窑”属于两高项目，本项目原料为煤矸石，属于资源综合利用烧结砖，不属于“两高”项目。</w:t>
            </w:r>
          </w:p>
          <w:p w14:paraId="03A99BB5">
            <w:pPr>
              <w:pStyle w:val="29"/>
              <w:rPr>
                <w:rFonts w:cs="宋体"/>
                <w:color w:val="auto"/>
                <w:kern w:val="0"/>
                <w:sz w:val="24"/>
              </w:rPr>
            </w:pPr>
          </w:p>
          <w:p w14:paraId="7D1E1880">
            <w:pPr>
              <w:rPr>
                <w:rFonts w:cs="宋体"/>
                <w:color w:val="auto"/>
                <w:kern w:val="0"/>
                <w:sz w:val="24"/>
              </w:rPr>
            </w:pPr>
          </w:p>
          <w:p w14:paraId="37858242">
            <w:pPr>
              <w:rPr>
                <w:rFonts w:cs="宋体"/>
                <w:color w:val="auto"/>
                <w:kern w:val="0"/>
                <w:sz w:val="24"/>
              </w:rPr>
            </w:pPr>
          </w:p>
          <w:p w14:paraId="782868F7">
            <w:pPr>
              <w:rPr>
                <w:rFonts w:cs="宋体"/>
                <w:color w:val="auto"/>
                <w:kern w:val="0"/>
                <w:sz w:val="24"/>
              </w:rPr>
            </w:pPr>
          </w:p>
          <w:p w14:paraId="594AB948">
            <w:pPr>
              <w:rPr>
                <w:rFonts w:cs="宋体"/>
                <w:color w:val="auto"/>
                <w:kern w:val="0"/>
                <w:sz w:val="24"/>
              </w:rPr>
            </w:pPr>
          </w:p>
          <w:p w14:paraId="11C34175">
            <w:pPr>
              <w:rPr>
                <w:rFonts w:cs="宋体"/>
                <w:color w:val="auto"/>
                <w:kern w:val="0"/>
                <w:sz w:val="24"/>
              </w:rPr>
            </w:pPr>
          </w:p>
          <w:p w14:paraId="3A2E88F8">
            <w:pPr>
              <w:rPr>
                <w:rFonts w:cs="宋体"/>
                <w:color w:val="auto"/>
                <w:kern w:val="0"/>
                <w:sz w:val="24"/>
              </w:rPr>
            </w:pPr>
          </w:p>
          <w:p w14:paraId="078459E1">
            <w:pPr>
              <w:rPr>
                <w:rFonts w:cs="宋体"/>
                <w:color w:val="auto"/>
                <w:kern w:val="0"/>
                <w:sz w:val="24"/>
              </w:rPr>
            </w:pPr>
          </w:p>
          <w:p w14:paraId="2541880B">
            <w:pPr>
              <w:rPr>
                <w:rFonts w:cs="宋体"/>
                <w:color w:val="auto"/>
                <w:kern w:val="0"/>
                <w:sz w:val="24"/>
              </w:rPr>
            </w:pPr>
          </w:p>
          <w:p w14:paraId="2D62A2C9">
            <w:pPr>
              <w:rPr>
                <w:rFonts w:cs="宋体"/>
                <w:color w:val="auto"/>
                <w:kern w:val="0"/>
                <w:sz w:val="24"/>
              </w:rPr>
            </w:pPr>
          </w:p>
          <w:p w14:paraId="6A81A04F">
            <w:pPr>
              <w:rPr>
                <w:rFonts w:cs="宋体"/>
                <w:color w:val="auto"/>
                <w:kern w:val="0"/>
                <w:sz w:val="24"/>
              </w:rPr>
            </w:pPr>
          </w:p>
          <w:p w14:paraId="70AA2254">
            <w:pPr>
              <w:rPr>
                <w:rFonts w:cs="宋体"/>
                <w:color w:val="auto"/>
                <w:kern w:val="0"/>
                <w:sz w:val="24"/>
              </w:rPr>
            </w:pPr>
          </w:p>
          <w:p w14:paraId="0CAC2AEE">
            <w:pPr>
              <w:rPr>
                <w:rFonts w:cs="宋体"/>
                <w:color w:val="auto"/>
                <w:kern w:val="0"/>
                <w:sz w:val="24"/>
              </w:rPr>
            </w:pPr>
          </w:p>
          <w:p w14:paraId="6CAA76E7">
            <w:pPr>
              <w:rPr>
                <w:rFonts w:cs="宋体"/>
                <w:color w:val="auto"/>
                <w:kern w:val="0"/>
                <w:sz w:val="24"/>
              </w:rPr>
            </w:pPr>
          </w:p>
          <w:p w14:paraId="6F6DED40">
            <w:pPr>
              <w:pStyle w:val="31"/>
              <w:rPr>
                <w:rFonts w:cs="宋体"/>
                <w:color w:val="auto"/>
                <w:kern w:val="0"/>
                <w:sz w:val="24"/>
              </w:rPr>
            </w:pPr>
          </w:p>
          <w:p w14:paraId="7134A7B0">
            <w:pPr>
              <w:pStyle w:val="33"/>
              <w:rPr>
                <w:color w:val="auto"/>
              </w:rPr>
            </w:pPr>
          </w:p>
        </w:tc>
      </w:tr>
    </w:tbl>
    <w:p w14:paraId="68ED14D3">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A44BF30">
      <w:pPr>
        <w:pStyle w:val="2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8458"/>
      </w:tblGrid>
      <w:tr w14:paraId="580A9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331" w:type="pct"/>
            <w:tcBorders>
              <w:tl2br w:val="nil"/>
              <w:tr2bl w:val="nil"/>
            </w:tcBorders>
            <w:vAlign w:val="center"/>
          </w:tcPr>
          <w:p w14:paraId="6A677ACA">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bCs/>
                <w:color w:val="auto"/>
                <w:sz w:val="24"/>
                <w:szCs w:val="24"/>
              </w:rPr>
              <w:t>建设内容</w:t>
            </w:r>
          </w:p>
        </w:tc>
        <w:tc>
          <w:tcPr>
            <w:tcW w:w="4668" w:type="pct"/>
            <w:tcBorders>
              <w:tl2br w:val="nil"/>
              <w:tr2bl w:val="nil"/>
            </w:tcBorders>
          </w:tcPr>
          <w:p w14:paraId="03FB72A1">
            <w:pPr>
              <w:keepNext w:val="0"/>
              <w:keepLines w:val="0"/>
              <w:pageBreakBefore w:val="0"/>
              <w:widowControl w:val="0"/>
              <w:kinsoku/>
              <w:wordWrap/>
              <w:overflowPunct/>
              <w:topLinePunct w:val="0"/>
              <w:autoSpaceDE/>
              <w:autoSpaceDN/>
              <w:bidi w:val="0"/>
              <w:adjustRightInd/>
              <w:snapToGrid/>
              <w:spacing w:line="480" w:lineRule="exact"/>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2.1项目背景及工程组成</w:t>
            </w:r>
          </w:p>
          <w:p w14:paraId="18988B9C">
            <w:pPr>
              <w:keepNext w:val="0"/>
              <w:keepLines w:val="0"/>
              <w:pageBreakBefore w:val="0"/>
              <w:widowControl w:val="0"/>
              <w:kinsoku/>
              <w:wordWrap/>
              <w:overflowPunct/>
              <w:topLinePunct w:val="0"/>
              <w:autoSpaceDE/>
              <w:autoSpaceDN/>
              <w:bidi w:val="0"/>
              <w:adjustRightInd/>
              <w:snapToGrid/>
              <w:spacing w:line="480" w:lineRule="exact"/>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2.1.1项目背景</w:t>
            </w:r>
          </w:p>
          <w:p w14:paraId="52EF2A7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2008年</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lang w:val="en-US" w:eastAsia="zh-CN"/>
              </w:rPr>
              <w:t>日，</w:t>
            </w:r>
            <w:r>
              <w:rPr>
                <w:rFonts w:hint="eastAsia" w:ascii="Times New Roman" w:hAnsi="Times New Roman" w:eastAsia="宋体" w:cs="Times New Roman"/>
                <w:b w:val="0"/>
                <w:bCs w:val="0"/>
                <w:color w:val="auto"/>
                <w:sz w:val="24"/>
                <w:szCs w:val="24"/>
                <w:highlight w:val="none"/>
                <w:lang w:val="en-US" w:eastAsia="zh-CN"/>
              </w:rPr>
              <w:t>原</w:t>
            </w:r>
            <w:r>
              <w:rPr>
                <w:rFonts w:hint="eastAsia" w:cs="Times New Roman"/>
                <w:b w:val="0"/>
                <w:bCs w:val="0"/>
                <w:color w:val="auto"/>
                <w:sz w:val="24"/>
                <w:szCs w:val="24"/>
                <w:highlight w:val="none"/>
                <w:lang w:val="en-US" w:eastAsia="zh-CN"/>
              </w:rPr>
              <w:t>长治市</w:t>
            </w:r>
            <w:r>
              <w:rPr>
                <w:rFonts w:hint="default" w:ascii="Times New Roman" w:hAnsi="Times New Roman" w:eastAsia="宋体" w:cs="Times New Roman"/>
                <w:b w:val="0"/>
                <w:bCs w:val="0"/>
                <w:color w:val="auto"/>
                <w:sz w:val="24"/>
                <w:szCs w:val="24"/>
                <w:highlight w:val="none"/>
                <w:lang w:val="en-US" w:eastAsia="zh-CN"/>
              </w:rPr>
              <w:t>环境保护局以“</w:t>
            </w:r>
            <w:r>
              <w:rPr>
                <w:rFonts w:hint="eastAsia" w:cs="Times New Roman"/>
                <w:b w:val="0"/>
                <w:bCs w:val="0"/>
                <w:color w:val="auto"/>
                <w:sz w:val="24"/>
                <w:szCs w:val="24"/>
                <w:highlight w:val="none"/>
                <w:lang w:val="en-US" w:eastAsia="zh-CN"/>
              </w:rPr>
              <w:t>长</w:t>
            </w:r>
            <w:r>
              <w:rPr>
                <w:rFonts w:hint="default" w:ascii="Times New Roman" w:hAnsi="Times New Roman" w:eastAsia="宋体" w:cs="Times New Roman"/>
                <w:b w:val="0"/>
                <w:bCs w:val="0"/>
                <w:color w:val="auto"/>
                <w:sz w:val="24"/>
                <w:szCs w:val="24"/>
                <w:highlight w:val="none"/>
                <w:lang w:val="en-US" w:eastAsia="zh-CN"/>
              </w:rPr>
              <w:t>环函〔2008〕</w:t>
            </w:r>
            <w:r>
              <w:rPr>
                <w:rFonts w:hint="eastAsia" w:cs="Times New Roman"/>
                <w:b w:val="0"/>
                <w:bCs w:val="0"/>
                <w:color w:val="auto"/>
                <w:sz w:val="24"/>
                <w:szCs w:val="24"/>
                <w:highlight w:val="none"/>
                <w:lang w:val="en-US" w:eastAsia="zh-CN"/>
              </w:rPr>
              <w:t>144</w:t>
            </w:r>
            <w:r>
              <w:rPr>
                <w:rFonts w:hint="default" w:ascii="Times New Roman" w:hAnsi="Times New Roman" w:eastAsia="宋体" w:cs="Times New Roman"/>
                <w:b w:val="0"/>
                <w:bCs w:val="0"/>
                <w:color w:val="auto"/>
                <w:sz w:val="24"/>
                <w:szCs w:val="24"/>
                <w:highlight w:val="none"/>
                <w:lang w:val="en-US" w:eastAsia="zh-CN"/>
              </w:rPr>
              <w:t>号”</w:t>
            </w:r>
            <w:r>
              <w:rPr>
                <w:rFonts w:hint="eastAsia" w:ascii="Times New Roman" w:hAnsi="Times New Roman" w:eastAsia="宋体" w:cs="Times New Roman"/>
                <w:b w:val="0"/>
                <w:bCs w:val="0"/>
                <w:color w:val="auto"/>
                <w:sz w:val="24"/>
                <w:szCs w:val="24"/>
                <w:highlight w:val="none"/>
                <w:lang w:val="en-US" w:eastAsia="zh-CN"/>
              </w:rPr>
              <w:t>文</w:t>
            </w:r>
            <w:r>
              <w:rPr>
                <w:rFonts w:hint="default" w:ascii="Times New Roman" w:hAnsi="Times New Roman" w:eastAsia="宋体" w:cs="Times New Roman"/>
                <w:b w:val="0"/>
                <w:bCs w:val="0"/>
                <w:color w:val="auto"/>
                <w:sz w:val="24"/>
                <w:szCs w:val="24"/>
                <w:highlight w:val="none"/>
                <w:lang w:val="en-US" w:eastAsia="zh-CN"/>
              </w:rPr>
              <w:t>出具</w:t>
            </w:r>
            <w:r>
              <w:rPr>
                <w:rFonts w:hint="eastAsia" w:ascii="Times New Roman" w:hAnsi="Times New Roman" w:eastAsia="宋体" w:cs="Times New Roman"/>
                <w:b w:val="0"/>
                <w:bCs w:val="0"/>
                <w:color w:val="auto"/>
                <w:sz w:val="24"/>
                <w:szCs w:val="24"/>
                <w:highlight w:val="none"/>
                <w:lang w:val="en-US" w:eastAsia="zh-CN"/>
              </w:rPr>
              <w:t>了</w:t>
            </w:r>
            <w:r>
              <w:rPr>
                <w:rFonts w:hint="default" w:ascii="Times New Roman" w:hAnsi="Times New Roman" w:eastAsia="宋体" w:cs="Times New Roman"/>
                <w:b w:val="0"/>
                <w:bCs w:val="0"/>
                <w:color w:val="auto"/>
                <w:sz w:val="24"/>
                <w:szCs w:val="24"/>
                <w:highlight w:val="none"/>
                <w:lang w:val="en-US" w:eastAsia="zh-CN"/>
              </w:rPr>
              <w:t>“关于</w:t>
            </w:r>
            <w:r>
              <w:rPr>
                <w:rFonts w:hint="eastAsia" w:ascii="Times New Roman" w:hAnsi="Times New Roman" w:eastAsia="宋体" w:cs="Times New Roman"/>
                <w:b w:val="0"/>
                <w:bCs w:val="0"/>
                <w:color w:val="auto"/>
                <w:sz w:val="24"/>
                <w:szCs w:val="24"/>
                <w:highlight w:val="none"/>
                <w:lang w:val="en-US" w:eastAsia="zh-CN"/>
              </w:rPr>
              <w:t>屯留县圣烨建材有限公司年产6000万块煤矸石烧结砖项目环境影响报告表</w:t>
            </w:r>
            <w:r>
              <w:rPr>
                <w:rFonts w:hint="default" w:ascii="Times New Roman" w:hAnsi="Times New Roman" w:eastAsia="宋体" w:cs="Times New Roman"/>
                <w:b w:val="0"/>
                <w:bCs w:val="0"/>
                <w:color w:val="auto"/>
                <w:sz w:val="24"/>
                <w:szCs w:val="24"/>
                <w:highlight w:val="none"/>
                <w:lang w:val="en-US" w:eastAsia="zh-CN"/>
              </w:rPr>
              <w:t>的批复”</w:t>
            </w:r>
            <w:r>
              <w:rPr>
                <w:rFonts w:hint="eastAsia" w:cs="Times New Roman"/>
                <w:b w:val="0"/>
                <w:bCs w:val="0"/>
                <w:color w:val="auto"/>
                <w:sz w:val="24"/>
                <w:szCs w:val="24"/>
                <w:highlight w:val="none"/>
                <w:lang w:val="en-US" w:eastAsia="zh-CN"/>
              </w:rPr>
              <w:t>（附件3）；2008年7月4日，原屯留县环境保护局以“屯环发</w:t>
            </w:r>
            <w:r>
              <w:rPr>
                <w:rFonts w:hint="default" w:ascii="Times New Roman" w:hAnsi="Times New Roman" w:eastAsia="宋体" w:cs="Times New Roman"/>
                <w:b w:val="0"/>
                <w:bCs w:val="0"/>
                <w:color w:val="auto"/>
                <w:sz w:val="24"/>
                <w:szCs w:val="24"/>
                <w:highlight w:val="none"/>
                <w:lang w:val="en-US" w:eastAsia="zh-CN"/>
              </w:rPr>
              <w:t>〔2008〕</w:t>
            </w:r>
            <w:r>
              <w:rPr>
                <w:rFonts w:hint="eastAsia" w:cs="Times New Roman"/>
                <w:b w:val="0"/>
                <w:bCs w:val="0"/>
                <w:color w:val="auto"/>
                <w:sz w:val="24"/>
                <w:szCs w:val="24"/>
                <w:highlight w:val="none"/>
                <w:lang w:val="en-US" w:eastAsia="zh-CN"/>
              </w:rPr>
              <w:t>16</w:t>
            </w:r>
            <w:r>
              <w:rPr>
                <w:rFonts w:hint="default" w:ascii="Times New Roman" w:hAnsi="Times New Roman" w:eastAsia="宋体" w:cs="Times New Roman"/>
                <w:b w:val="0"/>
                <w:bCs w:val="0"/>
                <w:color w:val="auto"/>
                <w:sz w:val="24"/>
                <w:szCs w:val="24"/>
                <w:highlight w:val="none"/>
                <w:lang w:val="en-US" w:eastAsia="zh-CN"/>
              </w:rPr>
              <w:t>号</w:t>
            </w:r>
            <w:r>
              <w:rPr>
                <w:rFonts w:hint="eastAsia" w:cs="Times New Roman"/>
                <w:b w:val="0"/>
                <w:bCs w:val="0"/>
                <w:color w:val="auto"/>
                <w:sz w:val="24"/>
                <w:szCs w:val="24"/>
                <w:highlight w:val="none"/>
                <w:lang w:val="en-US" w:eastAsia="zh-CN"/>
              </w:rPr>
              <w:t>”文出具了“关于</w:t>
            </w:r>
            <w:r>
              <w:rPr>
                <w:rFonts w:hint="eastAsia" w:ascii="Times New Roman" w:hAnsi="Times New Roman" w:eastAsia="宋体" w:cs="Times New Roman"/>
                <w:b w:val="0"/>
                <w:bCs w:val="0"/>
                <w:color w:val="auto"/>
                <w:sz w:val="24"/>
                <w:szCs w:val="24"/>
                <w:highlight w:val="none"/>
                <w:lang w:val="en-US" w:eastAsia="zh-CN"/>
              </w:rPr>
              <w:t>屯留县圣烨建材有限公司年产6000万块煤矸石烧结砖项目</w:t>
            </w:r>
            <w:r>
              <w:rPr>
                <w:rFonts w:hint="eastAsia" w:cs="Times New Roman"/>
                <w:b w:val="0"/>
                <w:bCs w:val="0"/>
                <w:color w:val="auto"/>
                <w:sz w:val="24"/>
                <w:szCs w:val="24"/>
                <w:highlight w:val="none"/>
                <w:lang w:val="en-US" w:eastAsia="zh-CN"/>
              </w:rPr>
              <w:t>污染物排放总量指标的批复”（附件4），批复烟尘：110t/a，粉尘：18t/a，SO</w:t>
            </w:r>
            <w:r>
              <w:rPr>
                <w:rFonts w:hint="eastAsia" w:cs="Times New Roman"/>
                <w:b w:val="0"/>
                <w:bCs w:val="0"/>
                <w:color w:val="auto"/>
                <w:sz w:val="24"/>
                <w:szCs w:val="24"/>
                <w:highlight w:val="none"/>
                <w:vertAlign w:val="subscript"/>
                <w:lang w:val="en-US" w:eastAsia="zh-CN"/>
              </w:rPr>
              <w:t>2</w:t>
            </w:r>
            <w:r>
              <w:rPr>
                <w:rFonts w:hint="eastAsia" w:cs="Times New Roman"/>
                <w:b w:val="0"/>
                <w:bCs w:val="0"/>
                <w:color w:val="auto"/>
                <w:sz w:val="24"/>
                <w:szCs w:val="24"/>
                <w:highlight w:val="none"/>
                <w:vertAlign w:val="baseline"/>
                <w:lang w:val="en-US" w:eastAsia="zh-CN"/>
              </w:rPr>
              <w:t>：12.64t/a，按照当时总量置换要求，置换量分别为</w:t>
            </w:r>
            <w:r>
              <w:rPr>
                <w:rFonts w:hint="eastAsia" w:cs="Times New Roman"/>
                <w:b w:val="0"/>
                <w:bCs w:val="0"/>
                <w:color w:val="auto"/>
                <w:sz w:val="24"/>
                <w:szCs w:val="24"/>
                <w:highlight w:val="none"/>
                <w:lang w:val="en-US" w:eastAsia="zh-CN"/>
              </w:rPr>
              <w:t>烟尘：123.2t/a，粉尘：20.16t/a，SO</w:t>
            </w:r>
            <w:r>
              <w:rPr>
                <w:rFonts w:hint="eastAsia" w:cs="Times New Roman"/>
                <w:b w:val="0"/>
                <w:bCs w:val="0"/>
                <w:color w:val="auto"/>
                <w:sz w:val="24"/>
                <w:szCs w:val="24"/>
                <w:highlight w:val="none"/>
                <w:vertAlign w:val="subscript"/>
                <w:lang w:val="en-US" w:eastAsia="zh-CN"/>
              </w:rPr>
              <w:t>2</w:t>
            </w:r>
            <w:r>
              <w:rPr>
                <w:rFonts w:hint="eastAsia" w:cs="Times New Roman"/>
                <w:b w:val="0"/>
                <w:bCs w:val="0"/>
                <w:color w:val="auto"/>
                <w:sz w:val="24"/>
                <w:szCs w:val="24"/>
                <w:highlight w:val="none"/>
                <w:vertAlign w:val="baseline"/>
                <w:lang w:val="en-US" w:eastAsia="zh-CN"/>
              </w:rPr>
              <w:t>：14.41t/a；</w:t>
            </w:r>
            <w:r>
              <w:rPr>
                <w:rFonts w:hint="default" w:ascii="Times New Roman" w:hAnsi="Times New Roman" w:eastAsia="宋体" w:cs="Times New Roman"/>
                <w:b w:val="0"/>
                <w:bCs w:val="0"/>
                <w:color w:val="auto"/>
                <w:sz w:val="24"/>
                <w:szCs w:val="24"/>
                <w:highlight w:val="none"/>
                <w:lang w:val="en-US" w:eastAsia="zh-CN"/>
              </w:rPr>
              <w:t>201</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年</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月9日，原</w:t>
            </w:r>
            <w:r>
              <w:rPr>
                <w:rFonts w:hint="eastAsia" w:cs="Times New Roman"/>
                <w:b w:val="0"/>
                <w:bCs w:val="0"/>
                <w:color w:val="auto"/>
                <w:sz w:val="24"/>
                <w:szCs w:val="24"/>
                <w:highlight w:val="none"/>
                <w:lang w:val="en-US" w:eastAsia="zh-CN"/>
              </w:rPr>
              <w:t>长治市</w:t>
            </w:r>
            <w:r>
              <w:rPr>
                <w:rFonts w:hint="default" w:ascii="Times New Roman" w:hAnsi="Times New Roman" w:eastAsia="宋体" w:cs="Times New Roman"/>
                <w:b w:val="0"/>
                <w:bCs w:val="0"/>
                <w:color w:val="auto"/>
                <w:sz w:val="24"/>
                <w:szCs w:val="24"/>
                <w:highlight w:val="none"/>
                <w:lang w:val="en-US" w:eastAsia="zh-CN"/>
              </w:rPr>
              <w:t>环境保护局以</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长</w:t>
            </w:r>
            <w:r>
              <w:rPr>
                <w:rFonts w:hint="default" w:ascii="Times New Roman" w:hAnsi="Times New Roman" w:eastAsia="宋体" w:cs="Times New Roman"/>
                <w:b w:val="0"/>
                <w:bCs w:val="0"/>
                <w:color w:val="auto"/>
                <w:sz w:val="24"/>
                <w:szCs w:val="24"/>
                <w:highlight w:val="none"/>
                <w:lang w:val="en-US" w:eastAsia="zh-CN"/>
              </w:rPr>
              <w:t>环函[201</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81</w:t>
            </w:r>
            <w:r>
              <w:rPr>
                <w:rFonts w:hint="default" w:ascii="Times New Roman" w:hAnsi="Times New Roman" w:eastAsia="宋体" w:cs="Times New Roman"/>
                <w:b w:val="0"/>
                <w:bCs w:val="0"/>
                <w:color w:val="auto"/>
                <w:sz w:val="24"/>
                <w:szCs w:val="24"/>
                <w:highlight w:val="none"/>
                <w:lang w:val="en-US" w:eastAsia="zh-CN"/>
              </w:rPr>
              <w:t>号</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文出具了“关于屯留县圣烨建材有限公司年产6000万块(一期3000万块)煤矸石烧结砖项目竣工环境保护设施验收意见</w:t>
            </w:r>
            <w:r>
              <w:rPr>
                <w:rFonts w:hint="eastAsia" w:cs="Times New Roman"/>
                <w:b w:val="0"/>
                <w:bCs w:val="0"/>
                <w:color w:val="auto"/>
                <w:sz w:val="24"/>
                <w:szCs w:val="24"/>
                <w:highlight w:val="none"/>
                <w:lang w:val="en-US" w:eastAsia="zh-CN"/>
              </w:rPr>
              <w:t>”（附件5）</w:t>
            </w:r>
            <w:r>
              <w:rPr>
                <w:rFonts w:hint="default" w:ascii="Times New Roman" w:hAnsi="Times New Roman" w:eastAsia="宋体" w:cs="Times New Roman"/>
                <w:b w:val="0"/>
                <w:bCs w:val="0"/>
                <w:color w:val="auto"/>
                <w:sz w:val="24"/>
                <w:szCs w:val="24"/>
                <w:highlight w:val="none"/>
                <w:lang w:val="en-US" w:eastAsia="zh-CN"/>
              </w:rPr>
              <w:t>，对一期工程年产</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000万块项目进行了验收。</w:t>
            </w:r>
            <w:r>
              <w:rPr>
                <w:rFonts w:hint="eastAsia" w:cs="Times New Roman"/>
                <w:b w:val="0"/>
                <w:bCs w:val="0"/>
                <w:color w:val="auto"/>
                <w:sz w:val="24"/>
                <w:szCs w:val="24"/>
                <w:highlight w:val="none"/>
                <w:lang w:val="en-US" w:eastAsia="zh-CN"/>
              </w:rPr>
              <w:t>自此，形成</w:t>
            </w:r>
            <w:r>
              <w:rPr>
                <w:rFonts w:hint="default" w:ascii="Times New Roman" w:hAnsi="Times New Roman" w:eastAsia="宋体" w:cs="Times New Roman"/>
                <w:b w:val="0"/>
                <w:bCs w:val="0"/>
                <w:color w:val="auto"/>
                <w:sz w:val="24"/>
                <w:szCs w:val="24"/>
                <w:highlight w:val="none"/>
                <w:lang w:val="en-US" w:eastAsia="zh-CN"/>
              </w:rPr>
              <w:t>年产</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000万块煤矸石烧结砖</w:t>
            </w:r>
            <w:r>
              <w:rPr>
                <w:rFonts w:hint="eastAsia" w:cs="Times New Roman"/>
                <w:b w:val="0"/>
                <w:bCs w:val="0"/>
                <w:color w:val="auto"/>
                <w:sz w:val="24"/>
                <w:szCs w:val="24"/>
                <w:highlight w:val="none"/>
                <w:lang w:val="en-US" w:eastAsia="zh-CN"/>
              </w:rPr>
              <w:t>的生产规模，投产以来生产运行持续稳定。</w:t>
            </w:r>
          </w:p>
          <w:p w14:paraId="7532B961">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2022年，为实现节能减排、提质增效，保障企业的可持续发展，屯留县圣烨建材有限公司决定对现有生产线在原址进行改扩建，并于2022年10月14日取得了《屯留县圣烨建材有限公司年产6000万块煤矸石烧结砖技改项目》项目备案证；2023年5月30日，长治市行政审批服务管理局以“屯审管建函〔2023〕24号”文出具了“关于屯留县圣烨建材有限公司年产6000万块煤矸石烧结砖技改项目环境影响报告表的批复”（附件6）；2023年4月24日，长治市生态环境局屯留分局以“屯环函</w:t>
            </w:r>
            <w:r>
              <w:rPr>
                <w:rFonts w:hint="default" w:ascii="Times New Roman" w:hAnsi="Times New Roman" w:eastAsia="宋体" w:cs="Times New Roman"/>
                <w:b w:val="0"/>
                <w:bCs w:val="0"/>
                <w:color w:val="auto"/>
                <w:sz w:val="24"/>
                <w:szCs w:val="24"/>
                <w:highlight w:val="none"/>
                <w:lang w:val="en-US" w:eastAsia="zh-CN"/>
              </w:rPr>
              <w:t>〔20</w:t>
            </w:r>
            <w:r>
              <w:rPr>
                <w:rFonts w:hint="eastAsia"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lang w:val="en-US" w:eastAsia="zh-CN"/>
              </w:rPr>
              <w:t>号</w:t>
            </w:r>
            <w:r>
              <w:rPr>
                <w:rFonts w:hint="eastAsia" w:cs="Times New Roman"/>
                <w:b w:val="0"/>
                <w:bCs w:val="0"/>
                <w:color w:val="auto"/>
                <w:sz w:val="24"/>
                <w:szCs w:val="24"/>
                <w:highlight w:val="none"/>
                <w:lang w:val="en-US" w:eastAsia="zh-CN"/>
              </w:rPr>
              <w:t>”文出具了“关于屯留县圣烨建材有限公司年产6000万块煤矸石烧结砖技改项目大气污染物排放总量控制指标的核定意见”（附件7），核定该项目大气污染物排放量为颗粒物：1.41t/a，二氧化硫：3.405t/a，氮氧化物</w:t>
            </w:r>
            <w:r>
              <w:rPr>
                <w:rFonts w:hint="eastAsia" w:cs="Times New Roman"/>
                <w:b w:val="0"/>
                <w:bCs w:val="0"/>
                <w:color w:val="auto"/>
                <w:sz w:val="24"/>
                <w:szCs w:val="24"/>
                <w:highlight w:val="none"/>
                <w:vertAlign w:val="baseline"/>
                <w:lang w:val="en-US" w:eastAsia="zh-CN"/>
              </w:rPr>
              <w:t>：14.688t/a。根据山西省生态环境厅《关于印发建设项目主要污染物排放总量指标核定暂行办法的通知》(晋环规[2023]1号)第三章第十三条规定，该项目颗粒物、二氧化硫实行1：1置换，颗粒物置换量：1.41吨/年，二氧化硫置换量：3.405吨/年。氮氧化物需实行2倍置换，置换量为29.376吨/年。根据原有总量批复文件（</w:t>
            </w:r>
            <w:r>
              <w:rPr>
                <w:rFonts w:hint="eastAsia" w:cs="Times New Roman"/>
                <w:b w:val="0"/>
                <w:bCs w:val="0"/>
                <w:color w:val="auto"/>
                <w:sz w:val="24"/>
                <w:szCs w:val="24"/>
                <w:highlight w:val="none"/>
                <w:lang w:val="en-US" w:eastAsia="zh-CN"/>
              </w:rPr>
              <w:t>屯环发</w:t>
            </w:r>
            <w:r>
              <w:rPr>
                <w:rFonts w:hint="default" w:ascii="Times New Roman" w:hAnsi="Times New Roman" w:eastAsia="宋体" w:cs="Times New Roman"/>
                <w:b w:val="0"/>
                <w:bCs w:val="0"/>
                <w:color w:val="auto"/>
                <w:sz w:val="24"/>
                <w:szCs w:val="24"/>
                <w:highlight w:val="none"/>
                <w:lang w:val="en-US" w:eastAsia="zh-CN"/>
              </w:rPr>
              <w:t>〔2008〕</w:t>
            </w:r>
            <w:r>
              <w:rPr>
                <w:rFonts w:hint="eastAsia" w:cs="Times New Roman"/>
                <w:b w:val="0"/>
                <w:bCs w:val="0"/>
                <w:color w:val="auto"/>
                <w:sz w:val="24"/>
                <w:szCs w:val="24"/>
                <w:highlight w:val="none"/>
                <w:lang w:val="en-US" w:eastAsia="zh-CN"/>
              </w:rPr>
              <w:t>16</w:t>
            </w:r>
            <w:r>
              <w:rPr>
                <w:rFonts w:hint="default" w:ascii="Times New Roman" w:hAnsi="Times New Roman" w:eastAsia="宋体" w:cs="Times New Roman"/>
                <w:b w:val="0"/>
                <w:bCs w:val="0"/>
                <w:color w:val="auto"/>
                <w:sz w:val="24"/>
                <w:szCs w:val="24"/>
                <w:highlight w:val="none"/>
                <w:lang w:val="en-US" w:eastAsia="zh-CN"/>
              </w:rPr>
              <w:t>号</w:t>
            </w:r>
            <w:r>
              <w:rPr>
                <w:rFonts w:hint="eastAsia" w:cs="Times New Roman"/>
                <w:b w:val="0"/>
                <w:bCs w:val="0"/>
                <w:color w:val="auto"/>
                <w:sz w:val="24"/>
                <w:szCs w:val="24"/>
                <w:highlight w:val="none"/>
                <w:vertAlign w:val="baseline"/>
                <w:lang w:val="en-US" w:eastAsia="zh-CN"/>
              </w:rPr>
              <w:t>），本次技改项目所需颗粒物、二氧化硫未超出(</w:t>
            </w:r>
            <w:r>
              <w:rPr>
                <w:rFonts w:hint="eastAsia" w:cs="Times New Roman"/>
                <w:b w:val="0"/>
                <w:bCs w:val="0"/>
                <w:color w:val="auto"/>
                <w:sz w:val="24"/>
                <w:szCs w:val="24"/>
                <w:highlight w:val="none"/>
                <w:lang w:val="en-US" w:eastAsia="zh-CN"/>
              </w:rPr>
              <w:t>屯环发</w:t>
            </w:r>
            <w:r>
              <w:rPr>
                <w:rFonts w:hint="default" w:ascii="Times New Roman" w:hAnsi="Times New Roman" w:eastAsia="宋体" w:cs="Times New Roman"/>
                <w:b w:val="0"/>
                <w:bCs w:val="0"/>
                <w:color w:val="auto"/>
                <w:sz w:val="24"/>
                <w:szCs w:val="24"/>
                <w:highlight w:val="none"/>
                <w:lang w:val="en-US" w:eastAsia="zh-CN"/>
              </w:rPr>
              <w:t>〔2008〕</w:t>
            </w:r>
            <w:r>
              <w:rPr>
                <w:rFonts w:hint="eastAsia" w:cs="Times New Roman"/>
                <w:b w:val="0"/>
                <w:bCs w:val="0"/>
                <w:color w:val="auto"/>
                <w:sz w:val="24"/>
                <w:szCs w:val="24"/>
                <w:highlight w:val="none"/>
                <w:lang w:val="en-US" w:eastAsia="zh-CN"/>
              </w:rPr>
              <w:t>16</w:t>
            </w:r>
            <w:r>
              <w:rPr>
                <w:rFonts w:hint="default" w:ascii="Times New Roman" w:hAnsi="Times New Roman" w:eastAsia="宋体" w:cs="Times New Roman"/>
                <w:b w:val="0"/>
                <w:bCs w:val="0"/>
                <w:color w:val="auto"/>
                <w:sz w:val="24"/>
                <w:szCs w:val="24"/>
                <w:highlight w:val="none"/>
                <w:lang w:val="en-US" w:eastAsia="zh-CN"/>
              </w:rPr>
              <w:t>号</w:t>
            </w:r>
            <w:r>
              <w:rPr>
                <w:rFonts w:hint="eastAsia" w:cs="Times New Roman"/>
                <w:b w:val="0"/>
                <w:bCs w:val="0"/>
                <w:color w:val="auto"/>
                <w:sz w:val="24"/>
                <w:szCs w:val="24"/>
                <w:highlight w:val="none"/>
                <w:vertAlign w:val="baseline"/>
                <w:lang w:val="en-US" w:eastAsia="zh-CN"/>
              </w:rPr>
              <w:t>)文件污染物总量控制指标要求。最终，原则同意氮氧化物排放总量：14.688吨/年，该氮氧化物置换量29.376吨/年严格执行排污权交易制度，通过排污权交易解决（附件8）。</w:t>
            </w:r>
            <w:r>
              <w:rPr>
                <w:rFonts w:hint="eastAsia" w:cs="Times New Roman"/>
                <w:b w:val="0"/>
                <w:bCs w:val="0"/>
                <w:color w:val="auto"/>
                <w:sz w:val="24"/>
                <w:szCs w:val="24"/>
                <w:highlight w:val="none"/>
                <w:lang w:val="en-US" w:eastAsia="zh-CN"/>
              </w:rPr>
              <w:t>2024年7月29日，屯留县圣烨建材有限公司填报并领取了《排污许可证》（附件9），有效期限：2024年7月29日至2029年7月28日，证书编号：9114042468021372X3001Q；2024年9月20日，屯留县圣烨建材有限公司自行组织该项目竣工环境保护验收会，并取得验收意见（附件10）。</w:t>
            </w:r>
          </w:p>
          <w:p w14:paraId="24571E62">
            <w:pPr>
              <w:pStyle w:val="29"/>
              <w:keepNext w:val="0"/>
              <w:keepLines w:val="0"/>
              <w:pageBreakBefore w:val="0"/>
              <w:kinsoku/>
              <w:wordWrap/>
              <w:overflowPunct/>
              <w:topLinePunct w:val="0"/>
              <w:autoSpaceDE/>
              <w:autoSpaceDN/>
              <w:bidi w:val="0"/>
              <w:snapToGrid/>
              <w:spacing w:line="480" w:lineRule="exact"/>
              <w:ind w:left="0" w:right="0"/>
              <w:jc w:val="both"/>
              <w:rPr>
                <w:rFonts w:hint="default"/>
                <w:b/>
                <w:bCs/>
                <w:lang w:val="en-US" w:eastAsia="zh-CN"/>
              </w:rPr>
            </w:pPr>
            <w:r>
              <w:rPr>
                <w:rFonts w:hint="eastAsia" w:cs="Times New Roman"/>
                <w:b/>
                <w:bCs/>
                <w:color w:val="auto"/>
                <w:sz w:val="24"/>
                <w:szCs w:val="24"/>
                <w:highlight w:val="none"/>
                <w:lang w:val="en-US" w:eastAsia="zh-CN"/>
              </w:rPr>
              <w:t>2.1.2工程组成</w:t>
            </w:r>
          </w:p>
          <w:p w14:paraId="7C2FEF3F">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企业战略发展需要，屯留县圣烨建材有限公司拟在现有生产线基础上实施技术改造，通过对隧道窑进行升级、对关键生产设备进行迭代更新，系统性提升生产效能。项目改造完成后，预计可形成年产1.1亿块煤矸石烧结砖的生产能力。</w:t>
            </w:r>
          </w:p>
          <w:p w14:paraId="5BD6A4E1">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本次改建工程位于现有厂区内，不新增用地，项目</w:t>
            </w:r>
            <w:r>
              <w:rPr>
                <w:rFonts w:hint="default" w:ascii="Times New Roman" w:hAnsi="Times New Roman" w:eastAsia="宋体" w:cs="Times New Roman"/>
                <w:b w:val="0"/>
                <w:bCs w:val="0"/>
                <w:color w:val="auto"/>
                <w:sz w:val="24"/>
                <w:szCs w:val="24"/>
                <w:highlight w:val="none"/>
              </w:rPr>
              <w:t>中心</w:t>
            </w:r>
            <w:r>
              <w:rPr>
                <w:rFonts w:hint="default" w:ascii="Times New Roman" w:hAnsi="Times New Roman" w:eastAsia="宋体" w:cs="Times New Roman"/>
                <w:b w:val="0"/>
                <w:bCs w:val="0"/>
                <w:color w:val="auto"/>
                <w:kern w:val="0"/>
                <w:sz w:val="24"/>
                <w:szCs w:val="24"/>
                <w:highlight w:val="none"/>
                <w:lang w:val="en-US" w:eastAsia="zh-CN"/>
              </w:rPr>
              <w:t>地</w:t>
            </w:r>
            <w:r>
              <w:rPr>
                <w:rFonts w:hint="default" w:ascii="Times New Roman" w:hAnsi="Times New Roman" w:eastAsia="宋体" w:cs="Times New Roman"/>
                <w:b w:val="0"/>
                <w:bCs w:val="0"/>
                <w:color w:val="auto"/>
                <w:sz w:val="24"/>
                <w:szCs w:val="24"/>
                <w:highlight w:val="none"/>
              </w:rPr>
              <w:t>理坐标：</w:t>
            </w:r>
            <w:r>
              <w:rPr>
                <w:rFonts w:hint="default" w:ascii="Times New Roman" w:hAnsi="Times New Roman" w:eastAsia="宋体" w:cs="Times New Roman"/>
                <w:b w:val="0"/>
                <w:bCs w:val="0"/>
                <w:color w:val="auto"/>
                <w:sz w:val="24"/>
                <w:szCs w:val="24"/>
                <w:highlight w:val="none"/>
                <w:lang w:eastAsia="zh-CN"/>
              </w:rPr>
              <w:t>11</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53</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1.288</w:t>
            </w:r>
            <w:r>
              <w:rPr>
                <w:rFonts w:hint="default" w:ascii="Times New Roman" w:hAnsi="Times New Roman" w:eastAsia="宋体" w:cs="Times New Roman"/>
                <w:b w:val="0"/>
                <w:bCs w:val="0"/>
                <w:color w:val="auto"/>
                <w:sz w:val="24"/>
                <w:szCs w:val="24"/>
                <w:highlight w:val="none"/>
                <w:lang w:eastAsia="zh-CN"/>
              </w:rPr>
              <w:t>″，36°</w:t>
            </w:r>
            <w:r>
              <w:rPr>
                <w:rFonts w:hint="eastAsia" w:ascii="Times New Roman" w:hAnsi="Times New Roman" w:eastAsia="宋体"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13.545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本项目地理位置图见附图1，四邻关系及环境保护目标图见附图2。</w:t>
            </w:r>
          </w:p>
          <w:p w14:paraId="46B9857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lang w:val="en-US" w:eastAsia="zh-CN"/>
              </w:rPr>
              <w:t>项目主要改建内容为：</w:t>
            </w:r>
          </w:p>
          <w:p w14:paraId="66198B8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破碎筛分工序拆除现有设备，</w:t>
            </w:r>
            <w:r>
              <w:rPr>
                <w:rFonts w:hint="eastAsia" w:cs="Times New Roman"/>
                <w:b w:val="0"/>
                <w:bCs w:val="0"/>
                <w:color w:val="auto"/>
                <w:sz w:val="24"/>
                <w:szCs w:val="24"/>
                <w:highlight w:val="none"/>
                <w:lang w:val="en-US" w:eastAsia="zh-CN"/>
              </w:rPr>
              <w:t>更新</w:t>
            </w:r>
            <w:r>
              <w:rPr>
                <w:rFonts w:hint="default" w:ascii="Times New Roman" w:hAnsi="Times New Roman" w:eastAsia="宋体" w:cs="Times New Roman"/>
                <w:b w:val="0"/>
                <w:bCs w:val="0"/>
                <w:color w:val="auto"/>
                <w:sz w:val="24"/>
                <w:szCs w:val="24"/>
                <w:highlight w:val="none"/>
                <w:lang w:val="en-US" w:eastAsia="zh-CN"/>
              </w:rPr>
              <w:t>生产设备，并新建环保设施</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对现有破碎筛分工序增加生产时间，即由现有年生产时间</w:t>
            </w:r>
            <w:r>
              <w:rPr>
                <w:rFonts w:hint="eastAsia"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00小时（</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h/d，300d/a）增至3</w:t>
            </w:r>
            <w:r>
              <w:rPr>
                <w:rFonts w:hint="eastAsia" w:cs="Times New Roman"/>
                <w:b w:val="0"/>
                <w:bCs w:val="0"/>
                <w:color w:val="auto"/>
                <w:sz w:val="24"/>
                <w:szCs w:val="24"/>
                <w:highlight w:val="none"/>
                <w:lang w:val="en-US" w:eastAsia="zh-CN"/>
              </w:rPr>
              <w:t>96</w:t>
            </w:r>
            <w:r>
              <w:rPr>
                <w:rFonts w:hint="default" w:ascii="Times New Roman" w:hAnsi="Times New Roman" w:eastAsia="宋体" w:cs="Times New Roman"/>
                <w:b w:val="0"/>
                <w:bCs w:val="0"/>
                <w:color w:val="auto"/>
                <w:sz w:val="24"/>
                <w:szCs w:val="24"/>
                <w:highlight w:val="none"/>
                <w:lang w:val="en-US" w:eastAsia="zh-CN"/>
              </w:rPr>
              <w:t>0小时（12h/d，3</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0d/a）。</w:t>
            </w:r>
          </w:p>
          <w:p w14:paraId="6BCFEEE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现有工程原料为煤矸石和页岩，改建后原料为煤矸石。</w:t>
            </w:r>
          </w:p>
          <w:p w14:paraId="6EBD252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调整厂区布局，扩建陈化库、晾坯车间。</w:t>
            </w:r>
          </w:p>
          <w:p w14:paraId="5082BCD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对现有隧道窑进行</w:t>
            </w:r>
            <w:r>
              <w:rPr>
                <w:rFonts w:hint="eastAsia" w:cs="Times New Roman"/>
                <w:b w:val="0"/>
                <w:bCs w:val="0"/>
                <w:color w:val="auto"/>
                <w:sz w:val="24"/>
                <w:szCs w:val="24"/>
                <w:highlight w:val="none"/>
                <w:lang w:val="en-US" w:eastAsia="zh-CN"/>
              </w:rPr>
              <w:t>系统性</w:t>
            </w:r>
            <w:r>
              <w:rPr>
                <w:rFonts w:hint="default" w:ascii="Times New Roman" w:hAnsi="Times New Roman" w:eastAsia="宋体" w:cs="Times New Roman"/>
                <w:b w:val="0"/>
                <w:bCs w:val="0"/>
                <w:color w:val="auto"/>
                <w:sz w:val="24"/>
                <w:szCs w:val="24"/>
                <w:highlight w:val="none"/>
                <w:lang w:val="en-US" w:eastAsia="zh-CN"/>
              </w:rPr>
              <w:t>改建，改造建设节能环保高产低耗隧道窑炉1座，改造后窑内长</w:t>
            </w:r>
            <w:r>
              <w:rPr>
                <w:rFonts w:hint="eastAsia" w:cs="Times New Roman"/>
                <w:b w:val="0"/>
                <w:bCs w:val="0"/>
                <w:color w:val="auto"/>
                <w:sz w:val="24"/>
                <w:szCs w:val="24"/>
                <w:highlight w:val="none"/>
                <w:lang w:val="en-US" w:eastAsia="zh-CN"/>
              </w:rPr>
              <w:t>155</w:t>
            </w:r>
            <w:r>
              <w:rPr>
                <w:rFonts w:hint="default" w:ascii="Times New Roman" w:hAnsi="Times New Roman" w:eastAsia="宋体" w:cs="Times New Roman"/>
                <w:b w:val="0"/>
                <w:bCs w:val="0"/>
                <w:color w:val="auto"/>
                <w:sz w:val="24"/>
                <w:szCs w:val="24"/>
                <w:highlight w:val="none"/>
                <w:lang w:val="en-US" w:eastAsia="zh-CN"/>
              </w:rPr>
              <w:t>m×宽</w:t>
            </w:r>
            <w:r>
              <w:rPr>
                <w:rFonts w:hint="eastAsia" w:cs="Times New Roman"/>
                <w:b w:val="0"/>
                <w:bCs w:val="0"/>
                <w:color w:val="auto"/>
                <w:sz w:val="24"/>
                <w:szCs w:val="24"/>
                <w:highlight w:val="none"/>
                <w:lang w:val="en-US" w:eastAsia="zh-CN"/>
              </w:rPr>
              <w:t>3.7</w:t>
            </w:r>
            <w:r>
              <w:rPr>
                <w:rFonts w:hint="default" w:ascii="Times New Roman" w:hAnsi="Times New Roman" w:eastAsia="宋体" w:cs="Times New Roman"/>
                <w:b w:val="0"/>
                <w:bCs w:val="0"/>
                <w:color w:val="auto"/>
                <w:sz w:val="24"/>
                <w:szCs w:val="24"/>
                <w:highlight w:val="none"/>
                <w:lang w:val="en-US" w:eastAsia="zh-CN"/>
              </w:rPr>
              <w:t>m×高</w:t>
            </w:r>
            <w:r>
              <w:rPr>
                <w:rFonts w:hint="eastAsia" w:cs="Times New Roman"/>
                <w:b w:val="0"/>
                <w:bCs w:val="0"/>
                <w:color w:val="auto"/>
                <w:sz w:val="24"/>
                <w:szCs w:val="24"/>
                <w:highlight w:val="none"/>
                <w:lang w:val="en-US" w:eastAsia="zh-CN"/>
              </w:rPr>
              <w:t>2.9</w:t>
            </w:r>
            <w:r>
              <w:rPr>
                <w:rFonts w:hint="default" w:ascii="Times New Roman" w:hAnsi="Times New Roman" w:eastAsia="宋体" w:cs="Times New Roman"/>
                <w:b w:val="0"/>
                <w:bCs w:val="0"/>
                <w:color w:val="auto"/>
                <w:sz w:val="24"/>
                <w:szCs w:val="24"/>
                <w:highlight w:val="none"/>
                <w:lang w:val="en-US" w:eastAsia="zh-CN"/>
              </w:rPr>
              <w:t>m，本项目隧道窑内部结构图见附图1</w:t>
            </w:r>
            <w:r>
              <w:rPr>
                <w:rFonts w:hint="eastAsia"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具体改造方案如下：</w:t>
            </w:r>
          </w:p>
          <w:p w14:paraId="5B012C4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①改造方式：</w:t>
            </w:r>
          </w:p>
          <w:p w14:paraId="48F414D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采用"内增高+复合保温+智能控制+余热回收"的综合改造技术路线。</w:t>
            </w:r>
          </w:p>
          <w:p w14:paraId="60A2B18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②改造部位及部件：</w:t>
            </w:r>
          </w:p>
          <w:p w14:paraId="35DA4647">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一）窑体结构改造</w:t>
            </w:r>
          </w:p>
          <w:p w14:paraId="0242271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1.窑顶拆除与重建</w:t>
            </w:r>
          </w:p>
          <w:p w14:paraId="3CE7B4F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改造内容：</w:t>
            </w:r>
          </w:p>
          <w:p w14:paraId="654FD85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拆除原有平顶或微拱顶结构（高2.43m），新建微拱形吊顶结构，净高增至2.9m（自窑车台面计），采用平顶-微拱复合结构，主梁采用耐高温合金钢，次梁分布间距≤1.2m。</w:t>
            </w:r>
          </w:p>
          <w:p w14:paraId="36F4541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结构层次（从内到外）：</w:t>
            </w:r>
          </w:p>
          <w:p w14:paraId="4B0B913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工作层：50mm厚高铝质耐火浇注料</w:t>
            </w:r>
            <w:r>
              <w:rPr>
                <w:rFonts w:hint="eastAsia" w:ascii="Times New Roman" w:hAnsi="Times New Roman" w:cs="Times New Roman"/>
                <w:b w:val="0"/>
                <w:bCs w:val="0"/>
                <w:color w:val="auto"/>
                <w:sz w:val="24"/>
                <w:szCs w:val="24"/>
                <w:highlight w:val="none"/>
                <w:lang w:val="en-US" w:eastAsia="zh-CN"/>
              </w:rPr>
              <w:t>；</w:t>
            </w:r>
          </w:p>
          <w:p w14:paraId="29645816">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保温层：150mm厚硅酸铝纤维模块</w:t>
            </w:r>
            <w:r>
              <w:rPr>
                <w:rFonts w:hint="eastAsia" w:ascii="Times New Roman" w:hAnsi="Times New Roman" w:cs="Times New Roman"/>
                <w:b w:val="0"/>
                <w:bCs w:val="0"/>
                <w:color w:val="auto"/>
                <w:sz w:val="24"/>
                <w:szCs w:val="24"/>
                <w:highlight w:val="none"/>
                <w:lang w:val="en-US" w:eastAsia="zh-CN"/>
              </w:rPr>
              <w:t>；</w:t>
            </w:r>
          </w:p>
          <w:p w14:paraId="302CB76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隔热层：30mm厚纳米微孔绝热板</w:t>
            </w:r>
            <w:r>
              <w:rPr>
                <w:rFonts w:hint="eastAsia" w:ascii="Times New Roman" w:hAnsi="Times New Roman" w:cs="Times New Roman"/>
                <w:b w:val="0"/>
                <w:bCs w:val="0"/>
                <w:color w:val="auto"/>
                <w:sz w:val="24"/>
                <w:szCs w:val="24"/>
                <w:highlight w:val="none"/>
                <w:lang w:val="en-US" w:eastAsia="zh-CN"/>
              </w:rPr>
              <w:t>；</w:t>
            </w:r>
          </w:p>
          <w:p w14:paraId="29B9527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密封层：5mm厚高温密封涂料</w:t>
            </w:r>
            <w:r>
              <w:rPr>
                <w:rFonts w:hint="eastAsia" w:ascii="Times New Roman" w:hAnsi="Times New Roman" w:cs="Times New Roman"/>
                <w:b w:val="0"/>
                <w:bCs w:val="0"/>
                <w:color w:val="auto"/>
                <w:sz w:val="24"/>
                <w:szCs w:val="24"/>
                <w:highlight w:val="none"/>
                <w:lang w:val="en-US" w:eastAsia="zh-CN"/>
              </w:rPr>
              <w:t>；</w:t>
            </w:r>
          </w:p>
          <w:p w14:paraId="396514D4">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钢结构：主梁+次梁支撑系统，表面喷涂防腐涂层</w:t>
            </w:r>
            <w:r>
              <w:rPr>
                <w:rFonts w:hint="eastAsia" w:ascii="Times New Roman" w:hAnsi="Times New Roman" w:cs="Times New Roman"/>
                <w:b w:val="0"/>
                <w:bCs w:val="0"/>
                <w:color w:val="auto"/>
                <w:sz w:val="24"/>
                <w:szCs w:val="24"/>
                <w:highlight w:val="none"/>
                <w:lang w:val="en-US" w:eastAsia="zh-CN"/>
              </w:rPr>
              <w:t>。</w:t>
            </w:r>
          </w:p>
          <w:p w14:paraId="2DA2431E">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2.窑墙加固与保温</w:t>
            </w:r>
          </w:p>
          <w:p w14:paraId="5F25059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改造内容：</w:t>
            </w:r>
          </w:p>
          <w:p w14:paraId="3DD304D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保留原有窑墙主体结构，内侧增设保温层，窑墙总厚度从原约600mm增至800-900mm。</w:t>
            </w:r>
          </w:p>
          <w:p w14:paraId="7AB116E9">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结构层次（从内到外）：</w:t>
            </w:r>
          </w:p>
          <w:p w14:paraId="442C72D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耐火层：230mm厚高铝砖；</w:t>
            </w:r>
          </w:p>
          <w:p w14:paraId="652BCBC7">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保温层：200mm厚轻质高铝砖；</w:t>
            </w:r>
          </w:p>
          <w:p w14:paraId="3E66C60A">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隔热层：150mm厚硅酸铝纤维毯；</w:t>
            </w:r>
          </w:p>
          <w:p w14:paraId="59AE8C7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外护层：钢板外壳+高温密封涂料。</w:t>
            </w:r>
          </w:p>
          <w:p w14:paraId="2B0FD464">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3.窑车系统改造</w:t>
            </w:r>
          </w:p>
          <w:p w14:paraId="56E46D5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窑车增高：窑车台面以上有效装载高度从2.1m增至2.6m；</w:t>
            </w:r>
          </w:p>
          <w:p w14:paraId="27F43A0B">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码坯层数：从14层提升至16-18层，单车载量提升20-30%。</w:t>
            </w:r>
          </w:p>
          <w:p w14:paraId="539D6C9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密封升级：</w:t>
            </w:r>
          </w:p>
          <w:p w14:paraId="7EC76B24">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窑车之间：采用双重曲封结构（砂封+曲折密封），曲封间隙20-30mm；</w:t>
            </w:r>
          </w:p>
          <w:p w14:paraId="3494695B">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窑车与窑墙：两侧设置弹性密封件（耐高温硅胶+陶瓷纤维复合）；</w:t>
            </w:r>
          </w:p>
          <w:p w14:paraId="3FE8A0E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窑车底部：优化砂封槽结构，减少车下漏风</w:t>
            </w:r>
            <w:r>
              <w:rPr>
                <w:rFonts w:hint="default" w:ascii="Times New Roman" w:hAnsi="Times New Roman" w:eastAsia="宋体" w:cs="Times New Roman"/>
                <w:b w:val="0"/>
                <w:bCs w:val="0"/>
                <w:color w:val="auto"/>
                <w:sz w:val="24"/>
                <w:szCs w:val="24"/>
                <w:highlight w:val="none"/>
                <w:lang w:val="en-US" w:eastAsia="zh-CN"/>
              </w:rPr>
              <w:t>。</w:t>
            </w:r>
          </w:p>
          <w:p w14:paraId="50A531F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（二）</w:t>
            </w:r>
            <w:r>
              <w:rPr>
                <w:rFonts w:hint="default" w:ascii="Times New Roman" w:hAnsi="Times New Roman" w:eastAsia="宋体" w:cs="Times New Roman"/>
                <w:b w:val="0"/>
                <w:bCs w:val="0"/>
                <w:color w:val="auto"/>
                <w:sz w:val="24"/>
                <w:szCs w:val="24"/>
                <w:highlight w:val="none"/>
                <w:lang w:val="en-US" w:eastAsia="zh-CN"/>
              </w:rPr>
              <w:t>配风系统优化</w:t>
            </w:r>
          </w:p>
          <w:p w14:paraId="1E8EAFC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助燃风系统：</w:t>
            </w:r>
          </w:p>
          <w:p w14:paraId="64FF1077">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安装热管换热器，利用烟气余热将助燃风预热至200-300℃</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送风机改为变频控制，根据窑温自动调节风量</w:t>
            </w:r>
            <w:r>
              <w:rPr>
                <w:rFonts w:hint="eastAsia" w:cs="Times New Roman"/>
                <w:b w:val="0"/>
                <w:bCs w:val="0"/>
                <w:color w:val="auto"/>
                <w:sz w:val="24"/>
                <w:szCs w:val="24"/>
                <w:highlight w:val="none"/>
                <w:lang w:val="en-US" w:eastAsia="zh-CN"/>
              </w:rPr>
              <w:t>。</w:t>
            </w:r>
          </w:p>
          <w:p w14:paraId="1A4E87AA">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冷却带配风：</w:t>
            </w:r>
          </w:p>
          <w:p w14:paraId="66DD3FB9">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窑尾冷却带设置3个配风点，风量可调</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采用分散配风方式，避免局部过冷。</w:t>
            </w:r>
          </w:p>
          <w:p w14:paraId="12F0AACA">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（三）</w:t>
            </w:r>
            <w:r>
              <w:rPr>
                <w:rFonts w:hint="default" w:ascii="Times New Roman" w:hAnsi="Times New Roman" w:eastAsia="宋体" w:cs="Times New Roman"/>
                <w:b w:val="0"/>
                <w:bCs w:val="0"/>
                <w:color w:val="auto"/>
                <w:sz w:val="24"/>
                <w:szCs w:val="24"/>
                <w:highlight w:val="none"/>
                <w:lang w:val="en-US" w:eastAsia="zh-CN"/>
              </w:rPr>
              <w:t>排烟与余热回收系统</w:t>
            </w:r>
          </w:p>
          <w:p w14:paraId="7FD6008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排烟系统改造</w:t>
            </w:r>
          </w:p>
          <w:p w14:paraId="1B692FC0">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支管位置调整：</w:t>
            </w:r>
          </w:p>
          <w:p w14:paraId="216A235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预热带排烟支管从原有位置向窑头方向前移2-3m</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支管间距优化为8-10m，管径根据风量重新计算</w:t>
            </w:r>
            <w:r>
              <w:rPr>
                <w:rFonts w:hint="eastAsia" w:ascii="Times New Roman" w:hAnsi="Times New Roman" w:eastAsia="宋体" w:cs="Times New Roman"/>
                <w:b w:val="0"/>
                <w:bCs w:val="0"/>
                <w:color w:val="auto"/>
                <w:sz w:val="24"/>
                <w:szCs w:val="24"/>
                <w:highlight w:val="none"/>
                <w:lang w:val="en-US" w:eastAsia="zh-CN"/>
              </w:rPr>
              <w:t>。</w:t>
            </w:r>
          </w:p>
          <w:p w14:paraId="5796752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烟道耐蚀处理：</w:t>
            </w:r>
          </w:p>
          <w:p w14:paraId="0AC4E145">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排烟支烟道和主烟道内衬耐酸砖（耐酸度≥99%）</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烟道表面喷涂高温耐酸涂料，防止SO₂腐蚀</w:t>
            </w:r>
            <w:r>
              <w:rPr>
                <w:rFonts w:hint="eastAsia" w:ascii="Times New Roman" w:hAnsi="Times New Roman" w:eastAsia="宋体" w:cs="Times New Roman"/>
                <w:b w:val="0"/>
                <w:bCs w:val="0"/>
                <w:color w:val="auto"/>
                <w:sz w:val="24"/>
                <w:szCs w:val="24"/>
                <w:highlight w:val="none"/>
                <w:lang w:val="en-US" w:eastAsia="zh-CN"/>
              </w:rPr>
              <w:t>。</w:t>
            </w:r>
          </w:p>
          <w:p w14:paraId="1ABAAFF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余热回收系统</w:t>
            </w:r>
          </w:p>
          <w:p w14:paraId="55D27AA9">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高温烟气余热：</w:t>
            </w:r>
          </w:p>
          <w:p w14:paraId="3A019B96">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在烧成带后部设置热管换热器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产生蒸汽参数：0.8-1.2MPa，用于干燥窑或生产生活用热</w:t>
            </w:r>
            <w:r>
              <w:rPr>
                <w:rFonts w:hint="eastAsia" w:ascii="Times New Roman" w:hAnsi="Times New Roman" w:eastAsia="宋体" w:cs="Times New Roman"/>
                <w:b w:val="0"/>
                <w:bCs w:val="0"/>
                <w:color w:val="auto"/>
                <w:sz w:val="24"/>
                <w:szCs w:val="24"/>
                <w:highlight w:val="none"/>
                <w:lang w:val="en-US" w:eastAsia="zh-CN"/>
              </w:rPr>
              <w:t>。</w:t>
            </w:r>
          </w:p>
          <w:p w14:paraId="0E0F8EB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冷却带余热：</w:t>
            </w:r>
          </w:p>
          <w:p w14:paraId="14A25BBE">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设置换热管道，抽取冷却带热风送至干燥窑</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余热利用率提升至60%以上</w:t>
            </w:r>
            <w:r>
              <w:rPr>
                <w:rFonts w:hint="eastAsia" w:ascii="Times New Roman" w:hAnsi="Times New Roman" w:eastAsia="宋体" w:cs="Times New Roman"/>
                <w:b w:val="0"/>
                <w:bCs w:val="0"/>
                <w:color w:val="auto"/>
                <w:sz w:val="24"/>
                <w:szCs w:val="24"/>
                <w:highlight w:val="none"/>
                <w:lang w:val="en-US" w:eastAsia="zh-CN"/>
              </w:rPr>
              <w:t>。</w:t>
            </w:r>
          </w:p>
          <w:p w14:paraId="075A616A">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（四）</w:t>
            </w:r>
            <w:r>
              <w:rPr>
                <w:rFonts w:hint="default" w:ascii="Times New Roman" w:hAnsi="Times New Roman" w:eastAsia="宋体" w:cs="Times New Roman"/>
                <w:b w:val="0"/>
                <w:bCs w:val="0"/>
                <w:color w:val="auto"/>
                <w:sz w:val="24"/>
                <w:szCs w:val="24"/>
                <w:highlight w:val="none"/>
                <w:lang w:val="en-US" w:eastAsia="zh-CN"/>
              </w:rPr>
              <w:t>智能控制系统</w:t>
            </w:r>
          </w:p>
          <w:p w14:paraId="57C274C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温度监测系统</w:t>
            </w:r>
          </w:p>
          <w:p w14:paraId="1A974CF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测点布置：</w:t>
            </w:r>
          </w:p>
          <w:p w14:paraId="262CC39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预热带：每5m设置1个测点，共6个</w:t>
            </w:r>
            <w:r>
              <w:rPr>
                <w:rFonts w:hint="eastAsia" w:ascii="Times New Roman" w:hAnsi="Times New Roman" w:eastAsia="宋体" w:cs="Times New Roman"/>
                <w:b w:val="0"/>
                <w:bCs w:val="0"/>
                <w:color w:val="auto"/>
                <w:sz w:val="24"/>
                <w:szCs w:val="24"/>
                <w:highlight w:val="none"/>
                <w:lang w:val="en-US" w:eastAsia="zh-CN"/>
              </w:rPr>
              <w:t>；</w:t>
            </w:r>
          </w:p>
          <w:p w14:paraId="3FD80C22">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烧成带：每3m设置1个测点（上下各1个），共10个</w:t>
            </w:r>
            <w:r>
              <w:rPr>
                <w:rFonts w:hint="eastAsia" w:ascii="Times New Roman" w:hAnsi="Times New Roman" w:eastAsia="宋体" w:cs="Times New Roman"/>
                <w:b w:val="0"/>
                <w:bCs w:val="0"/>
                <w:color w:val="auto"/>
                <w:sz w:val="24"/>
                <w:szCs w:val="24"/>
                <w:highlight w:val="none"/>
                <w:lang w:val="en-US" w:eastAsia="zh-CN"/>
              </w:rPr>
              <w:t>；</w:t>
            </w:r>
          </w:p>
          <w:p w14:paraId="33F538DE">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冷却带：每5m设置1个测点，共6个</w:t>
            </w:r>
            <w:r>
              <w:rPr>
                <w:rFonts w:hint="eastAsia" w:ascii="Times New Roman" w:hAnsi="Times New Roman" w:eastAsia="宋体" w:cs="Times New Roman"/>
                <w:b w:val="0"/>
                <w:bCs w:val="0"/>
                <w:color w:val="auto"/>
                <w:sz w:val="24"/>
                <w:szCs w:val="24"/>
                <w:highlight w:val="none"/>
                <w:lang w:val="en-US" w:eastAsia="zh-CN"/>
              </w:rPr>
              <w:t>；</w:t>
            </w:r>
          </w:p>
          <w:p w14:paraId="5936AF13">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采用K型热电偶+红外测温仪双重监测</w:t>
            </w:r>
          </w:p>
          <w:p w14:paraId="5BCE876E">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压力监测系统</w:t>
            </w:r>
          </w:p>
          <w:p w14:paraId="619CA49E">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在窑头、预热带中部、烧成带中部、冷却带中部、窑尾设置微压差传感器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窑内压力控制在微正压（5-10Pa），防止冷空气吸入</w:t>
            </w:r>
            <w:r>
              <w:rPr>
                <w:rFonts w:hint="eastAsia" w:ascii="Times New Roman" w:hAnsi="Times New Roman" w:eastAsia="宋体" w:cs="Times New Roman"/>
                <w:b w:val="0"/>
                <w:bCs w:val="0"/>
                <w:color w:val="auto"/>
                <w:sz w:val="24"/>
                <w:szCs w:val="24"/>
                <w:highlight w:val="none"/>
                <w:lang w:val="en-US" w:eastAsia="zh-CN"/>
              </w:rPr>
              <w:t>。</w:t>
            </w:r>
          </w:p>
          <w:p w14:paraId="73E8F99A">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自动控制系统</w:t>
            </w:r>
          </w:p>
          <w:p w14:paraId="265367B8">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采用PLC+触摸屏控制，实现自动比例调节</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窑车推进速度自动调节</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风机变频联动控制</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故障报警与应急处理</w:t>
            </w:r>
            <w:r>
              <w:rPr>
                <w:rFonts w:hint="eastAsia" w:ascii="Times New Roman" w:hAnsi="Times New Roman" w:eastAsia="宋体" w:cs="Times New Roman"/>
                <w:b w:val="0"/>
                <w:bCs w:val="0"/>
                <w:color w:val="auto"/>
                <w:sz w:val="24"/>
                <w:szCs w:val="24"/>
                <w:highlight w:val="none"/>
                <w:lang w:val="en-US" w:eastAsia="zh-CN"/>
              </w:rPr>
              <w:t>。</w:t>
            </w:r>
          </w:p>
          <w:p w14:paraId="7A7D0CD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对现有窑炉烟气治理设施进行改造：</w:t>
            </w:r>
          </w:p>
          <w:p w14:paraId="310B046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①SNCR脱硝系统改造</w:t>
            </w:r>
          </w:p>
          <w:p w14:paraId="3A7EFDA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喷射系统重新设计</w:t>
            </w:r>
          </w:p>
          <w:p w14:paraId="6EEA9BF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喷射点位置优化：根据改造后窑炉热工标定，在烧成带顶部设置4层喷射层，每层2-3个喷射点</w:t>
            </w:r>
            <w:r>
              <w:rPr>
                <w:rFonts w:hint="eastAsia" w:ascii="Times New Roman" w:hAnsi="Times New Roman" w:cs="Times New Roman"/>
                <w:b w:val="0"/>
                <w:bCs w:val="0"/>
                <w:color w:val="auto"/>
                <w:sz w:val="24"/>
                <w:szCs w:val="24"/>
                <w:highlight w:val="none"/>
                <w:lang w:val="en-US" w:eastAsia="zh-CN"/>
              </w:rPr>
              <w:t>；</w:t>
            </w:r>
          </w:p>
          <w:p w14:paraId="3C1F4A4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喷射方式：由单流体喷嘴改为双流体雾化喷嘴（压缩空气+尿素溶液），雾化粒径50-100μm</w:t>
            </w:r>
            <w:r>
              <w:rPr>
                <w:rFonts w:hint="eastAsia" w:ascii="Times New Roman" w:hAnsi="Times New Roman" w:cs="Times New Roman"/>
                <w:b w:val="0"/>
                <w:bCs w:val="0"/>
                <w:color w:val="auto"/>
                <w:sz w:val="24"/>
                <w:szCs w:val="24"/>
                <w:highlight w:val="none"/>
                <w:lang w:val="en-US" w:eastAsia="zh-CN"/>
              </w:rPr>
              <w:t>。</w:t>
            </w:r>
          </w:p>
          <w:p w14:paraId="07E1D37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还原剂储存与供应系统升级</w:t>
            </w:r>
          </w:p>
          <w:p w14:paraId="46FA0BF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尿素溶液储罐：容积从5m³扩容至10m³，304不锈钢材质，带搅拌和保温（防止结晶）</w:t>
            </w:r>
            <w:r>
              <w:rPr>
                <w:rFonts w:hint="eastAsia" w:ascii="Times New Roman" w:hAnsi="Times New Roman" w:cs="Times New Roman"/>
                <w:b w:val="0"/>
                <w:bCs w:val="0"/>
                <w:color w:val="auto"/>
                <w:sz w:val="24"/>
                <w:szCs w:val="24"/>
                <w:highlight w:val="none"/>
                <w:lang w:val="en-US" w:eastAsia="zh-CN"/>
              </w:rPr>
              <w:t>；</w:t>
            </w:r>
          </w:p>
          <w:p w14:paraId="2309A8D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输送泵：流量0-200L/h，变频控制，一用一备</w:t>
            </w:r>
            <w:r>
              <w:rPr>
                <w:rFonts w:hint="eastAsia" w:ascii="Times New Roman" w:hAnsi="Times New Roman" w:cs="Times New Roman"/>
                <w:b w:val="0"/>
                <w:bCs w:val="0"/>
                <w:color w:val="auto"/>
                <w:sz w:val="24"/>
                <w:szCs w:val="24"/>
                <w:highlight w:val="none"/>
                <w:lang w:val="en-US" w:eastAsia="zh-CN"/>
              </w:rPr>
              <w:t>；</w:t>
            </w:r>
          </w:p>
          <w:p w14:paraId="11F35BD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稀释系统：增设在线稀释装置，根据烟气NOₓ浓度自动调节尿素浓度</w:t>
            </w:r>
            <w:r>
              <w:rPr>
                <w:rFonts w:hint="eastAsia" w:ascii="Times New Roman" w:hAnsi="Times New Roman" w:cs="Times New Roman"/>
                <w:b w:val="0"/>
                <w:bCs w:val="0"/>
                <w:color w:val="auto"/>
                <w:sz w:val="24"/>
                <w:szCs w:val="24"/>
                <w:highlight w:val="none"/>
                <w:lang w:val="en-US" w:eastAsia="zh-CN"/>
              </w:rPr>
              <w:t>。</w:t>
            </w:r>
          </w:p>
          <w:p w14:paraId="2CA9364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控制系统优化</w:t>
            </w:r>
          </w:p>
          <w:p w14:paraId="0A2C080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采用PLC自动控制，根据烟气在线监测的NOₓ浓度和氧含量，自动调节喷射量</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设置氨逃逸监测仪，防止过量喷氨造成二次污染</w:t>
            </w:r>
            <w:r>
              <w:rPr>
                <w:rFonts w:hint="eastAsia" w:cs="Times New Roman"/>
                <w:b w:val="0"/>
                <w:bCs w:val="0"/>
                <w:color w:val="auto"/>
                <w:sz w:val="24"/>
                <w:szCs w:val="24"/>
                <w:highlight w:val="none"/>
                <w:lang w:val="en-US" w:eastAsia="zh-CN"/>
              </w:rPr>
              <w:t>。</w:t>
            </w:r>
          </w:p>
          <w:p w14:paraId="5837D30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lang w:val="en-US" w:eastAsia="zh-CN"/>
              </w:rPr>
              <w:t>双碱法脱硫系统改造</w:t>
            </w:r>
          </w:p>
          <w:p w14:paraId="6CDFDD6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脱硫塔本体扩容</w:t>
            </w:r>
          </w:p>
          <w:p w14:paraId="762A645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塔径：从原有Φ</w:t>
            </w: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m扩大至Φ</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m</w:t>
            </w:r>
            <w:r>
              <w:rPr>
                <w:rFonts w:hint="eastAsia" w:cs="Times New Roman"/>
                <w:b w:val="0"/>
                <w:bCs w:val="0"/>
                <w:color w:val="auto"/>
                <w:sz w:val="24"/>
                <w:szCs w:val="24"/>
                <w:highlight w:val="none"/>
                <w:lang w:val="en-US" w:eastAsia="zh-CN"/>
              </w:rPr>
              <w:t>；</w:t>
            </w:r>
          </w:p>
          <w:p w14:paraId="79DE96E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塔高：从原有</w:t>
            </w:r>
            <w:r>
              <w:rPr>
                <w:rFonts w:hint="eastAsia"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lang w:val="en-US" w:eastAsia="zh-CN"/>
              </w:rPr>
              <w:t>m增高至22m（增加反应时间）</w:t>
            </w:r>
            <w:r>
              <w:rPr>
                <w:rFonts w:hint="eastAsia" w:cs="Times New Roman"/>
                <w:b w:val="0"/>
                <w:bCs w:val="0"/>
                <w:color w:val="auto"/>
                <w:sz w:val="24"/>
                <w:szCs w:val="24"/>
                <w:highlight w:val="none"/>
                <w:lang w:val="en-US" w:eastAsia="zh-CN"/>
              </w:rPr>
              <w:t>；</w:t>
            </w:r>
          </w:p>
          <w:p w14:paraId="422843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材质：内衬耐酸瓷砖（厚50mm）+花岗岩或玻璃钢（FRP）整体缠绕，耐温≥120℃，耐酸度≥99%</w:t>
            </w:r>
            <w:r>
              <w:rPr>
                <w:rFonts w:hint="eastAsia" w:cs="Times New Roman"/>
                <w:b w:val="0"/>
                <w:bCs w:val="0"/>
                <w:color w:val="auto"/>
                <w:sz w:val="24"/>
                <w:szCs w:val="24"/>
                <w:highlight w:val="none"/>
                <w:lang w:val="en-US" w:eastAsia="zh-CN"/>
              </w:rPr>
              <w:t>。</w:t>
            </w:r>
          </w:p>
          <w:p w14:paraId="721140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内部构件优化</w:t>
            </w:r>
          </w:p>
          <w:p w14:paraId="797C3C8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喷淋系统：每层设置螺旋喷嘴，覆盖率≥200%</w:t>
            </w:r>
            <w:r>
              <w:rPr>
                <w:rFonts w:hint="eastAsia" w:cs="Times New Roman"/>
                <w:b w:val="0"/>
                <w:bCs w:val="0"/>
                <w:color w:val="auto"/>
                <w:sz w:val="24"/>
                <w:szCs w:val="24"/>
                <w:highlight w:val="none"/>
                <w:lang w:val="en-US" w:eastAsia="zh-CN"/>
              </w:rPr>
              <w:t>；</w:t>
            </w:r>
          </w:p>
          <w:p w14:paraId="562F858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除雾器：增设三级屋脊式除雾器（PP材质），每层冲洗，出口液滴含量≤50mg/m³</w:t>
            </w:r>
            <w:r>
              <w:rPr>
                <w:rFonts w:hint="eastAsia" w:cs="Times New Roman"/>
                <w:b w:val="0"/>
                <w:bCs w:val="0"/>
                <w:color w:val="auto"/>
                <w:sz w:val="24"/>
                <w:szCs w:val="24"/>
                <w:highlight w:val="none"/>
                <w:lang w:val="en-US" w:eastAsia="zh-CN"/>
              </w:rPr>
              <w:t>；</w:t>
            </w:r>
          </w:p>
          <w:p w14:paraId="733C285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曝气氧化系统：脱硫再生池增设曝气装置（罗茨风机供气），强制氧化亚硫酸钠，保证脱硫副产物稳定</w:t>
            </w:r>
          </w:p>
          <w:p w14:paraId="2DCAE10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循环系统升级</w:t>
            </w:r>
          </w:p>
          <w:p w14:paraId="1B3B24F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循环泵：流量从150m³/h增至300m³/h（一用一备），扬程25m，变频控制</w:t>
            </w:r>
            <w:r>
              <w:rPr>
                <w:rFonts w:hint="eastAsia" w:cs="Times New Roman"/>
                <w:b w:val="0"/>
                <w:bCs w:val="0"/>
                <w:color w:val="auto"/>
                <w:sz w:val="24"/>
                <w:szCs w:val="24"/>
                <w:highlight w:val="none"/>
                <w:lang w:val="en-US" w:eastAsia="zh-CN"/>
              </w:rPr>
              <w:t>；</w:t>
            </w:r>
          </w:p>
          <w:p w14:paraId="3A55C04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循环池：容积从</w:t>
            </w:r>
            <w:r>
              <w:rPr>
                <w:rFonts w:hint="eastAsia" w:cs="Times New Roman"/>
                <w:b w:val="0"/>
                <w:bCs w:val="0"/>
                <w:color w:val="auto"/>
                <w:sz w:val="24"/>
                <w:szCs w:val="24"/>
                <w:highlight w:val="none"/>
                <w:lang w:val="en-US" w:eastAsia="zh-CN"/>
              </w:rPr>
              <w:t>300</w:t>
            </w:r>
            <w:r>
              <w:rPr>
                <w:rFonts w:hint="default" w:ascii="Times New Roman" w:hAnsi="Times New Roman" w:eastAsia="宋体" w:cs="Times New Roman"/>
                <w:b w:val="0"/>
                <w:bCs w:val="0"/>
                <w:color w:val="auto"/>
                <w:sz w:val="24"/>
                <w:szCs w:val="24"/>
                <w:highlight w:val="none"/>
                <w:lang w:val="en-US" w:eastAsia="zh-CN"/>
              </w:rPr>
              <w:t>m³扩大至</w:t>
            </w:r>
            <w:r>
              <w:rPr>
                <w:rFonts w:hint="eastAsia" w:cs="Times New Roman"/>
                <w:b w:val="0"/>
                <w:bCs w:val="0"/>
                <w:color w:val="auto"/>
                <w:sz w:val="24"/>
                <w:szCs w:val="24"/>
                <w:highlight w:val="none"/>
                <w:lang w:val="en-US" w:eastAsia="zh-CN"/>
              </w:rPr>
              <w:t>800</w:t>
            </w:r>
            <w:r>
              <w:rPr>
                <w:rFonts w:hint="default" w:ascii="Times New Roman" w:hAnsi="Times New Roman" w:eastAsia="宋体" w:cs="Times New Roman"/>
                <w:b w:val="0"/>
                <w:bCs w:val="0"/>
                <w:color w:val="auto"/>
                <w:sz w:val="24"/>
                <w:szCs w:val="24"/>
                <w:highlight w:val="none"/>
                <w:lang w:val="en-US" w:eastAsia="zh-CN"/>
              </w:rPr>
              <w:t>m³，分再生池和沉淀池，停留时间≥10min</w:t>
            </w:r>
            <w:r>
              <w:rPr>
                <w:rFonts w:hint="eastAsia" w:cs="Times New Roman"/>
                <w:b w:val="0"/>
                <w:bCs w:val="0"/>
                <w:color w:val="auto"/>
                <w:sz w:val="24"/>
                <w:szCs w:val="24"/>
                <w:highlight w:val="none"/>
                <w:lang w:val="en-US" w:eastAsia="zh-CN"/>
              </w:rPr>
              <w:t>。</w:t>
            </w:r>
          </w:p>
          <w:p w14:paraId="6A15A57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自动控制系统</w:t>
            </w:r>
          </w:p>
          <w:p w14:paraId="4C91A7F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在线pH监测：安装pH计，自动控制加碱泵启停，维持pH值6.5-7.5</w:t>
            </w:r>
            <w:r>
              <w:rPr>
                <w:rFonts w:hint="eastAsia" w:cs="Times New Roman"/>
                <w:b w:val="0"/>
                <w:bCs w:val="0"/>
                <w:color w:val="auto"/>
                <w:sz w:val="24"/>
                <w:szCs w:val="24"/>
                <w:highlight w:val="none"/>
                <w:lang w:val="en-US" w:eastAsia="zh-CN"/>
              </w:rPr>
              <w:t>；</w:t>
            </w:r>
          </w:p>
          <w:p w14:paraId="1EDEFCE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自动加碱装置：设置NaOH储罐（10m³，碳钢衬胶），计量泵自动投加</w:t>
            </w:r>
            <w:r>
              <w:rPr>
                <w:rFonts w:hint="eastAsia" w:cs="Times New Roman"/>
                <w:b w:val="0"/>
                <w:bCs w:val="0"/>
                <w:color w:val="auto"/>
                <w:sz w:val="24"/>
                <w:szCs w:val="24"/>
                <w:highlight w:val="none"/>
                <w:lang w:val="en-US" w:eastAsia="zh-CN"/>
              </w:rPr>
              <w:t>；</w:t>
            </w:r>
          </w:p>
          <w:p w14:paraId="618C2EC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液位控制：循环池、石灰乳池设置液位计，自动补水和排渣</w:t>
            </w:r>
            <w:r>
              <w:rPr>
                <w:rFonts w:hint="eastAsia" w:cs="Times New Roman"/>
                <w:b w:val="0"/>
                <w:bCs w:val="0"/>
                <w:color w:val="auto"/>
                <w:sz w:val="24"/>
                <w:szCs w:val="24"/>
                <w:highlight w:val="none"/>
                <w:lang w:val="en-US" w:eastAsia="zh-CN"/>
              </w:rPr>
              <w:t>。</w:t>
            </w:r>
          </w:p>
          <w:p w14:paraId="4A47FE6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副产物处理</w:t>
            </w:r>
          </w:p>
          <w:p w14:paraId="1FE23A6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设置板框压滤机（过滤面积50m²），将脱硫石膏（含水率≤60%）压滤后外售建材企业综合利用</w:t>
            </w:r>
            <w:r>
              <w:rPr>
                <w:rFonts w:hint="eastAsia" w:cs="Times New Roman"/>
                <w:b w:val="0"/>
                <w:bCs w:val="0"/>
                <w:color w:val="auto"/>
                <w:sz w:val="24"/>
                <w:szCs w:val="24"/>
                <w:highlight w:val="none"/>
                <w:lang w:val="en-US" w:eastAsia="zh-CN"/>
              </w:rPr>
              <w:t>。</w:t>
            </w:r>
          </w:p>
          <w:p w14:paraId="782F407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③湿电除尘器升级</w:t>
            </w:r>
          </w:p>
          <w:p w14:paraId="12E93EF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本体结构改造</w:t>
            </w:r>
          </w:p>
          <w:p w14:paraId="7B0C4D0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处理风量：按</w:t>
            </w:r>
            <w:r>
              <w:rPr>
                <w:rFonts w:hint="eastAsia" w:cs="Times New Roman"/>
                <w:b w:val="0"/>
                <w:bCs w:val="0"/>
                <w:color w:val="auto"/>
                <w:sz w:val="24"/>
                <w:szCs w:val="24"/>
                <w:highlight w:val="none"/>
                <w:lang w:val="en-US" w:eastAsia="zh-CN"/>
              </w:rPr>
              <w:t>25</w:t>
            </w:r>
            <w:r>
              <w:rPr>
                <w:rFonts w:hint="default" w:ascii="Times New Roman" w:hAnsi="Times New Roman" w:eastAsia="宋体" w:cs="Times New Roman"/>
                <w:b w:val="0"/>
                <w:bCs w:val="0"/>
                <w:color w:val="auto"/>
                <w:sz w:val="24"/>
                <w:szCs w:val="24"/>
                <w:highlight w:val="none"/>
                <w:lang w:val="en-US" w:eastAsia="zh-CN"/>
              </w:rPr>
              <w:t>0000Nm³/h设计，烟气流速控制在1.0-1.2m/s</w:t>
            </w:r>
            <w:r>
              <w:rPr>
                <w:rFonts w:hint="eastAsia" w:cs="Times New Roman"/>
                <w:b w:val="0"/>
                <w:bCs w:val="0"/>
                <w:color w:val="auto"/>
                <w:sz w:val="24"/>
                <w:szCs w:val="24"/>
                <w:highlight w:val="none"/>
                <w:lang w:val="en-US" w:eastAsia="zh-CN"/>
              </w:rPr>
              <w:t>；</w:t>
            </w:r>
          </w:p>
          <w:p w14:paraId="0024C7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结构形式：采用方形立式结构，上部设烟气导流板和气体分布板</w:t>
            </w:r>
            <w:r>
              <w:rPr>
                <w:rFonts w:hint="eastAsia" w:cs="Times New Roman"/>
                <w:b w:val="0"/>
                <w:bCs w:val="0"/>
                <w:color w:val="auto"/>
                <w:sz w:val="24"/>
                <w:szCs w:val="24"/>
                <w:highlight w:val="none"/>
                <w:lang w:val="en-US" w:eastAsia="zh-CN"/>
              </w:rPr>
              <w:t>；</w:t>
            </w:r>
          </w:p>
          <w:p w14:paraId="3F53BAF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材质：整体采用2205双相不锈钢或玻璃钢（FRP）+碳纤维导电层，耐腐蚀、使用寿命长</w:t>
            </w:r>
            <w:r>
              <w:rPr>
                <w:rFonts w:hint="eastAsia" w:cs="Times New Roman"/>
                <w:b w:val="0"/>
                <w:bCs w:val="0"/>
                <w:color w:val="auto"/>
                <w:sz w:val="24"/>
                <w:szCs w:val="24"/>
                <w:highlight w:val="none"/>
                <w:lang w:val="en-US" w:eastAsia="zh-CN"/>
              </w:rPr>
              <w:t>。</w:t>
            </w:r>
          </w:p>
          <w:p w14:paraId="2B73555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阳极系统</w:t>
            </w:r>
          </w:p>
          <w:p w14:paraId="07D08E3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阳极管：采用蜂窝式或板式结构，材质2205双相不锈钢或导电玻璃钢</w:t>
            </w:r>
            <w:r>
              <w:rPr>
                <w:rFonts w:hint="eastAsia" w:cs="Times New Roman"/>
                <w:b w:val="0"/>
                <w:bCs w:val="0"/>
                <w:color w:val="auto"/>
                <w:sz w:val="24"/>
                <w:szCs w:val="24"/>
                <w:highlight w:val="none"/>
                <w:lang w:val="en-US" w:eastAsia="zh-CN"/>
              </w:rPr>
              <w:t>；</w:t>
            </w:r>
          </w:p>
          <w:p w14:paraId="62979B3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规格：内切圆Φ250-360mm，管长6m，比集尘面积≥15m²/(m³/s)</w:t>
            </w:r>
            <w:r>
              <w:rPr>
                <w:rFonts w:hint="eastAsia" w:cs="Times New Roman"/>
                <w:b w:val="0"/>
                <w:bCs w:val="0"/>
                <w:color w:val="auto"/>
                <w:sz w:val="24"/>
                <w:szCs w:val="24"/>
                <w:highlight w:val="none"/>
                <w:lang w:val="en-US" w:eastAsia="zh-CN"/>
              </w:rPr>
              <w:t>；</w:t>
            </w:r>
          </w:p>
          <w:p w14:paraId="08AA03B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支撑：上下部支撑管固定，上部支撑管兼作冲洗水管，实现六个面在线冲洗</w:t>
            </w:r>
            <w:r>
              <w:rPr>
                <w:rFonts w:hint="eastAsia" w:cs="Times New Roman"/>
                <w:b w:val="0"/>
                <w:bCs w:val="0"/>
                <w:color w:val="auto"/>
                <w:sz w:val="24"/>
                <w:szCs w:val="24"/>
                <w:highlight w:val="none"/>
                <w:lang w:val="en-US" w:eastAsia="zh-CN"/>
              </w:rPr>
              <w:t>。</w:t>
            </w:r>
          </w:p>
          <w:p w14:paraId="25395B8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阴极系统</w:t>
            </w:r>
          </w:p>
          <w:p w14:paraId="140A6F6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阴极线：采用2205不锈钢芒刺线或钛合金极线，耐腐蚀、放电性能好</w:t>
            </w:r>
            <w:r>
              <w:rPr>
                <w:rFonts w:hint="eastAsia" w:cs="Times New Roman"/>
                <w:b w:val="0"/>
                <w:bCs w:val="0"/>
                <w:color w:val="auto"/>
                <w:sz w:val="24"/>
                <w:szCs w:val="24"/>
                <w:highlight w:val="none"/>
                <w:lang w:val="en-US" w:eastAsia="zh-CN"/>
              </w:rPr>
              <w:t>；</w:t>
            </w:r>
          </w:p>
          <w:p w14:paraId="068D41C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固定方式：上下框架固定，通过绝缘箱支撑</w:t>
            </w:r>
            <w:r>
              <w:rPr>
                <w:rFonts w:hint="eastAsia" w:cs="Times New Roman"/>
                <w:b w:val="0"/>
                <w:bCs w:val="0"/>
                <w:color w:val="auto"/>
                <w:sz w:val="24"/>
                <w:szCs w:val="24"/>
                <w:highlight w:val="none"/>
                <w:lang w:val="en-US" w:eastAsia="zh-CN"/>
              </w:rPr>
              <w:t>；</w:t>
            </w:r>
          </w:p>
          <w:p w14:paraId="33A0DCB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绝缘：设置4个绝缘箱，通入热风（电加热，100-120℃），保持阴极装置干燥绝缘</w:t>
            </w:r>
            <w:r>
              <w:rPr>
                <w:rFonts w:hint="eastAsia" w:cs="Times New Roman"/>
                <w:b w:val="0"/>
                <w:bCs w:val="0"/>
                <w:color w:val="auto"/>
                <w:sz w:val="24"/>
                <w:szCs w:val="24"/>
                <w:highlight w:val="none"/>
                <w:lang w:val="en-US" w:eastAsia="zh-CN"/>
              </w:rPr>
              <w:t>。</w:t>
            </w:r>
          </w:p>
          <w:p w14:paraId="34AAEE7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供电系统</w:t>
            </w:r>
          </w:p>
          <w:p w14:paraId="71BDA9C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高压电源：采用高频恒流电源（72kV/1000mA），效率&gt;90%，具有断电振打、反电晕控制功能</w:t>
            </w:r>
            <w:r>
              <w:rPr>
                <w:rFonts w:hint="eastAsia" w:cs="Times New Roman"/>
                <w:b w:val="0"/>
                <w:bCs w:val="0"/>
                <w:color w:val="auto"/>
                <w:sz w:val="24"/>
                <w:szCs w:val="24"/>
                <w:highlight w:val="none"/>
                <w:lang w:val="en-US" w:eastAsia="zh-CN"/>
              </w:rPr>
              <w:t>；</w:t>
            </w:r>
          </w:p>
          <w:p w14:paraId="40B3CC4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电场数：设置2个电场，提高除尘效率</w:t>
            </w:r>
            <w:r>
              <w:rPr>
                <w:rFonts w:hint="eastAsia" w:cs="Times New Roman"/>
                <w:b w:val="0"/>
                <w:bCs w:val="0"/>
                <w:color w:val="auto"/>
                <w:sz w:val="24"/>
                <w:szCs w:val="24"/>
                <w:highlight w:val="none"/>
                <w:lang w:val="en-US" w:eastAsia="zh-CN"/>
              </w:rPr>
              <w:t>。</w:t>
            </w:r>
          </w:p>
          <w:p w14:paraId="3B83F74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水循环系统</w:t>
            </w:r>
          </w:p>
          <w:p w14:paraId="4608ADA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自清洗过滤器：过滤精度50μm，防止喷嘴堵塞</w:t>
            </w:r>
            <w:r>
              <w:rPr>
                <w:rFonts w:hint="eastAsia" w:cs="Times New Roman"/>
                <w:b w:val="0"/>
                <w:bCs w:val="0"/>
                <w:color w:val="auto"/>
                <w:sz w:val="24"/>
                <w:szCs w:val="24"/>
                <w:highlight w:val="none"/>
                <w:lang w:val="en-US" w:eastAsia="zh-CN"/>
              </w:rPr>
              <w:t>；</w:t>
            </w:r>
          </w:p>
          <w:p w14:paraId="49F22AE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冲洗周期：根据压差和定时自动冲洗，每次2-3min</w:t>
            </w:r>
            <w:r>
              <w:rPr>
                <w:rFonts w:hint="eastAsia" w:ascii="Times New Roman" w:hAnsi="Times New Roman" w:eastAsia="宋体" w:cs="Times New Roman"/>
                <w:b w:val="0"/>
                <w:bCs w:val="0"/>
                <w:color w:val="auto"/>
                <w:sz w:val="24"/>
                <w:szCs w:val="24"/>
                <w:highlight w:val="none"/>
                <w:lang w:val="en-US" w:eastAsia="zh-CN"/>
              </w:rPr>
              <w:t>。</w:t>
            </w:r>
          </w:p>
          <w:p w14:paraId="1613B4E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将极板间距缩小，使有效集尘面积增加；提高变压器功率；改造后湿电除尘器阳极管内切圆变为</w:t>
            </w:r>
            <w:r>
              <w:rPr>
                <w:rFonts w:hint="eastAsia" w:ascii="Times New Roman" w:hAnsi="Times New Roman" w:eastAsia="宋体" w:cs="Times New Roman"/>
                <w:b w:val="0"/>
                <w:bCs w:val="0"/>
                <w:color w:val="auto"/>
                <w:sz w:val="24"/>
                <w:szCs w:val="24"/>
                <w:highlight w:val="none"/>
                <w:lang w:val="en-US" w:eastAsia="zh-CN"/>
              </w:rPr>
              <w:t>400</w:t>
            </w:r>
            <w:r>
              <w:rPr>
                <w:rFonts w:hint="default" w:ascii="Times New Roman" w:hAnsi="Times New Roman" w:eastAsia="宋体" w:cs="Times New Roman"/>
                <w:b w:val="0"/>
                <w:bCs w:val="0"/>
                <w:color w:val="auto"/>
                <w:sz w:val="24"/>
                <w:szCs w:val="24"/>
                <w:highlight w:val="none"/>
                <w:lang w:val="en-US" w:eastAsia="zh-CN"/>
              </w:rPr>
              <w:t>mm，数量变为</w:t>
            </w:r>
            <w:r>
              <w:rPr>
                <w:rFonts w:hint="eastAsia" w:ascii="Times New Roman" w:hAnsi="Times New Roman" w:eastAsia="宋体" w:cs="Times New Roman"/>
                <w:b w:val="0"/>
                <w:bCs w:val="0"/>
                <w:color w:val="auto"/>
                <w:sz w:val="24"/>
                <w:szCs w:val="24"/>
                <w:highlight w:val="none"/>
                <w:lang w:val="en-US" w:eastAsia="zh-CN"/>
              </w:rPr>
              <w:t>366</w:t>
            </w:r>
            <w:r>
              <w:rPr>
                <w:rFonts w:hint="default" w:ascii="Times New Roman" w:hAnsi="Times New Roman" w:eastAsia="宋体" w:cs="Times New Roman"/>
                <w:b w:val="0"/>
                <w:bCs w:val="0"/>
                <w:color w:val="auto"/>
                <w:sz w:val="24"/>
                <w:szCs w:val="24"/>
                <w:highlight w:val="none"/>
                <w:lang w:val="en-US" w:eastAsia="zh-CN"/>
              </w:rPr>
              <w:t>支。</w:t>
            </w:r>
          </w:p>
          <w:p w14:paraId="4096C23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6</w:t>
            </w:r>
            <w:r>
              <w:rPr>
                <w:rFonts w:hint="default"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rPr>
              <w:t>淘汰现有老旧生产设备，</w:t>
            </w:r>
            <w:r>
              <w:rPr>
                <w:rFonts w:hint="eastAsia" w:cs="Times New Roman"/>
                <w:b w:val="0"/>
                <w:bCs w:val="0"/>
                <w:color w:val="auto"/>
                <w:sz w:val="24"/>
                <w:szCs w:val="24"/>
                <w:highlight w:val="none"/>
                <w:lang w:val="en-US" w:eastAsia="zh-CN"/>
              </w:rPr>
              <w:t>跟新</w:t>
            </w:r>
            <w:r>
              <w:rPr>
                <w:rFonts w:hint="default" w:ascii="Times New Roman" w:hAnsi="Times New Roman" w:eastAsia="宋体" w:cs="Times New Roman"/>
                <w:b w:val="0"/>
                <w:bCs w:val="0"/>
                <w:color w:val="auto"/>
                <w:sz w:val="24"/>
                <w:szCs w:val="24"/>
                <w:highlight w:val="none"/>
                <w:lang w:val="en-US" w:eastAsia="zh-CN"/>
              </w:rPr>
              <w:t>生产设备</w:t>
            </w:r>
            <w:r>
              <w:rPr>
                <w:rFonts w:hint="eastAsia" w:cs="Times New Roman"/>
                <w:b w:val="0"/>
                <w:bCs w:val="0"/>
                <w:color w:val="auto"/>
                <w:sz w:val="24"/>
                <w:szCs w:val="24"/>
                <w:highlight w:val="none"/>
                <w:lang w:val="en-US" w:eastAsia="zh-CN"/>
              </w:rPr>
              <w:t>，详见设备表</w:t>
            </w:r>
            <w:r>
              <w:rPr>
                <w:rFonts w:hint="default" w:ascii="Times New Roman" w:hAnsi="Times New Roman" w:eastAsia="宋体" w:cs="Times New Roman"/>
                <w:b w:val="0"/>
                <w:bCs w:val="0"/>
                <w:color w:val="auto"/>
                <w:sz w:val="24"/>
                <w:szCs w:val="24"/>
                <w:highlight w:val="none"/>
                <w:lang w:val="en-US" w:eastAsia="zh-CN"/>
              </w:rPr>
              <w:t>。</w:t>
            </w:r>
          </w:p>
          <w:p w14:paraId="726EEF0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7</w:t>
            </w:r>
            <w:r>
              <w:rPr>
                <w:rFonts w:hint="default"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rPr>
              <w:t>优化生产线布局，提高自动化水平，减少人工操作环节，降低能耗和排放。通过这些改造，预计年产能由</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000万块标砖变为</w:t>
            </w:r>
            <w:r>
              <w:rPr>
                <w:rFonts w:hint="eastAsia" w:cs="Times New Roman"/>
                <w:b w:val="0"/>
                <w:bCs w:val="0"/>
                <w:color w:val="auto"/>
                <w:sz w:val="24"/>
                <w:szCs w:val="24"/>
                <w:highlight w:val="none"/>
                <w:lang w:val="en-US" w:eastAsia="zh-CN"/>
              </w:rPr>
              <w:t>11</w:t>
            </w:r>
            <w:r>
              <w:rPr>
                <w:rFonts w:hint="eastAsia"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00万块标砖。</w:t>
            </w:r>
          </w:p>
          <w:p w14:paraId="7D36C91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color w:val="auto"/>
                <w:highlight w:val="none"/>
              </w:rPr>
            </w:pPr>
            <w:r>
              <w:rPr>
                <w:rFonts w:hint="default" w:ascii="Times New Roman" w:hAnsi="Times New Roman" w:eastAsia="宋体" w:cs="Times New Roman"/>
                <w:b w:val="0"/>
                <w:bCs w:val="0"/>
                <w:color w:val="auto"/>
                <w:sz w:val="24"/>
                <w:szCs w:val="24"/>
                <w:highlight w:val="none"/>
                <w:lang w:val="en-US" w:eastAsia="zh-CN"/>
              </w:rPr>
              <w:t>本项目主要建设内容见表2-1。</w:t>
            </w:r>
          </w:p>
        </w:tc>
      </w:tr>
    </w:tbl>
    <w:p w14:paraId="72425EE2">
      <w:pPr>
        <w:pStyle w:val="20"/>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9E7E65E">
      <w:pPr>
        <w:keepNext w:val="0"/>
        <w:keepLines w:val="0"/>
        <w:pageBreakBefore w:val="0"/>
        <w:widowControl/>
        <w:suppressLineNumbers w:val="0"/>
        <w:kinsoku/>
        <w:wordWrap/>
        <w:overflowPunct/>
        <w:topLinePunct w:val="0"/>
        <w:autoSpaceDE/>
        <w:autoSpaceDN/>
        <w:bidi w:val="0"/>
        <w:adjustRightInd/>
        <w:snapToGrid/>
        <w:spacing w:line="480" w:lineRule="exact"/>
        <w:ind w:left="0" w:right="0"/>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w:t>
      </w:r>
      <w:r>
        <w:rPr>
          <w:rFonts w:hint="eastAsia" w:ascii="Times New Roman" w:hAnsi="Times New Roman" w:eastAsia="黑体" w:cs="Times New Roman"/>
          <w:b w:val="0"/>
          <w:bCs/>
          <w:color w:val="auto"/>
          <w:spacing w:val="0"/>
          <w:kern w:val="2"/>
          <w:sz w:val="24"/>
          <w:szCs w:val="24"/>
          <w:highlight w:val="none"/>
          <w:lang w:val="en-US" w:eastAsia="zh-CN" w:bidi="ar-SA"/>
        </w:rPr>
        <w:t>2-1</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主要建设内容表</w:t>
      </w:r>
    </w:p>
    <w:tbl>
      <w:tblPr>
        <w:tblStyle w:val="24"/>
        <w:tblW w:w="49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490"/>
        <w:gridCol w:w="1030"/>
        <w:gridCol w:w="649"/>
        <w:gridCol w:w="4862"/>
        <w:gridCol w:w="4887"/>
        <w:gridCol w:w="1445"/>
      </w:tblGrid>
      <w:tr w14:paraId="7F9F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tcBorders>
              <w:tl2br w:val="nil"/>
              <w:tr2bl w:val="nil"/>
            </w:tcBorders>
            <w:noWrap w:val="0"/>
            <w:vAlign w:val="center"/>
          </w:tcPr>
          <w:p w14:paraId="1E9DC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lang w:val="en-US" w:eastAsia="zh-CN"/>
              </w:rPr>
              <w:t>类别</w:t>
            </w:r>
          </w:p>
        </w:tc>
        <w:tc>
          <w:tcPr>
            <w:tcW w:w="779" w:type="pct"/>
            <w:gridSpan w:val="3"/>
            <w:tcBorders>
              <w:tl2br w:val="nil"/>
              <w:tr2bl w:val="nil"/>
            </w:tcBorders>
            <w:noWrap w:val="0"/>
            <w:vAlign w:val="center"/>
          </w:tcPr>
          <w:p w14:paraId="37445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名称</w:t>
            </w:r>
          </w:p>
        </w:tc>
        <w:tc>
          <w:tcPr>
            <w:tcW w:w="1746" w:type="pct"/>
            <w:tcBorders>
              <w:tl2br w:val="nil"/>
              <w:tr2bl w:val="nil"/>
            </w:tcBorders>
            <w:noWrap w:val="0"/>
            <w:vAlign w:val="center"/>
          </w:tcPr>
          <w:p w14:paraId="57383EC6">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lang w:val="en-US" w:eastAsia="zh-CN"/>
              </w:rPr>
              <w:t>现有项目</w:t>
            </w:r>
            <w:r>
              <w:rPr>
                <w:rFonts w:hint="default" w:ascii="Times New Roman" w:hAnsi="Times New Roman" w:eastAsia="宋体" w:cs="Times New Roman"/>
                <w:b/>
                <w:bCs/>
                <w:color w:val="auto"/>
                <w:sz w:val="21"/>
                <w:szCs w:val="21"/>
                <w:highlight w:val="none"/>
              </w:rPr>
              <w:t>主要工程内容</w:t>
            </w:r>
          </w:p>
        </w:tc>
        <w:tc>
          <w:tcPr>
            <w:tcW w:w="1754" w:type="pct"/>
            <w:tcBorders>
              <w:tl2br w:val="nil"/>
              <w:tr2bl w:val="nil"/>
            </w:tcBorders>
            <w:noWrap w:val="0"/>
            <w:vAlign w:val="center"/>
          </w:tcPr>
          <w:p w14:paraId="11556B13">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lang w:val="en-US" w:eastAsia="zh-CN"/>
              </w:rPr>
              <w:t>改建项目</w:t>
            </w:r>
            <w:r>
              <w:rPr>
                <w:rFonts w:hint="default" w:ascii="Times New Roman" w:hAnsi="Times New Roman" w:eastAsia="宋体" w:cs="Times New Roman"/>
                <w:b/>
                <w:bCs/>
                <w:color w:val="auto"/>
                <w:sz w:val="21"/>
                <w:szCs w:val="21"/>
                <w:highlight w:val="none"/>
              </w:rPr>
              <w:t>主要工程内容</w:t>
            </w:r>
          </w:p>
        </w:tc>
        <w:tc>
          <w:tcPr>
            <w:tcW w:w="519" w:type="pct"/>
            <w:tcBorders>
              <w:tl2br w:val="nil"/>
              <w:tr2bl w:val="nil"/>
            </w:tcBorders>
            <w:noWrap w:val="0"/>
            <w:vAlign w:val="center"/>
          </w:tcPr>
          <w:p w14:paraId="42FA6760">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本项目与现有项目的衔接关系</w:t>
            </w:r>
          </w:p>
        </w:tc>
      </w:tr>
      <w:tr w14:paraId="49BAB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4EEEF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14:paraId="6528D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工程</w:t>
            </w:r>
          </w:p>
        </w:tc>
        <w:tc>
          <w:tcPr>
            <w:tcW w:w="176" w:type="pct"/>
            <w:vMerge w:val="restart"/>
            <w:tcBorders>
              <w:tl2br w:val="nil"/>
              <w:tr2bl w:val="nil"/>
            </w:tcBorders>
            <w:noWrap w:val="0"/>
            <w:vAlign w:val="center"/>
          </w:tcPr>
          <w:p w14:paraId="5FFE7B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生产车间</w:t>
            </w:r>
          </w:p>
        </w:tc>
        <w:tc>
          <w:tcPr>
            <w:tcW w:w="603" w:type="pct"/>
            <w:gridSpan w:val="2"/>
            <w:tcBorders>
              <w:tl2br w:val="nil"/>
              <w:tr2bl w:val="nil"/>
            </w:tcBorders>
            <w:noWrap w:val="0"/>
            <w:vAlign w:val="center"/>
          </w:tcPr>
          <w:p w14:paraId="42006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破碎</w:t>
            </w:r>
            <w:r>
              <w:rPr>
                <w:rFonts w:hint="default" w:ascii="Times New Roman" w:hAnsi="Times New Roman" w:eastAsia="宋体" w:cs="Times New Roman"/>
                <w:bCs/>
                <w:color w:val="auto"/>
                <w:sz w:val="21"/>
                <w:szCs w:val="21"/>
                <w:highlight w:val="none"/>
                <w:lang w:val="en-US" w:eastAsia="zh-CN"/>
              </w:rPr>
              <w:t>筛分区</w:t>
            </w:r>
          </w:p>
        </w:tc>
        <w:tc>
          <w:tcPr>
            <w:tcW w:w="1746" w:type="pct"/>
            <w:tcBorders>
              <w:tl2br w:val="nil"/>
              <w:tr2bl w:val="nil"/>
            </w:tcBorders>
            <w:noWrap w:val="0"/>
            <w:vAlign w:val="center"/>
          </w:tcPr>
          <w:p w14:paraId="01D68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破碎</w:t>
            </w:r>
            <w:r>
              <w:rPr>
                <w:rFonts w:hint="default" w:ascii="Times New Roman" w:hAnsi="Times New Roman" w:eastAsia="宋体" w:cs="Times New Roman"/>
                <w:bCs/>
                <w:color w:val="auto"/>
                <w:sz w:val="21"/>
                <w:szCs w:val="21"/>
                <w:highlight w:val="none"/>
                <w:lang w:val="en-US" w:eastAsia="zh-CN"/>
              </w:rPr>
              <w:t>筛分区位于生产车间</w:t>
            </w:r>
            <w:r>
              <w:rPr>
                <w:rFonts w:hint="eastAsia" w:cs="Times New Roman"/>
                <w:bCs/>
                <w:color w:val="auto"/>
                <w:sz w:val="21"/>
                <w:szCs w:val="21"/>
                <w:highlight w:val="none"/>
                <w:lang w:val="en-US" w:eastAsia="zh-CN"/>
              </w:rPr>
              <w:t>南</w:t>
            </w:r>
            <w:r>
              <w:rPr>
                <w:rFonts w:hint="default" w:ascii="Times New Roman" w:hAnsi="Times New Roman" w:eastAsia="宋体" w:cs="Times New Roman"/>
                <w:bCs/>
                <w:color w:val="auto"/>
                <w:sz w:val="21"/>
                <w:szCs w:val="21"/>
                <w:highlight w:val="none"/>
                <w:lang w:val="en-US" w:eastAsia="zh-CN"/>
              </w:rPr>
              <w:t>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占地面积</w:t>
            </w:r>
            <w:r>
              <w:rPr>
                <w:rFonts w:hint="eastAsia"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，主要将煤矸石进行</w:t>
            </w:r>
            <w:r>
              <w:rPr>
                <w:rFonts w:hint="default" w:ascii="Times New Roman" w:hAnsi="Times New Roman" w:eastAsia="宋体" w:cs="Times New Roman"/>
                <w:bCs/>
                <w:color w:val="auto"/>
                <w:sz w:val="21"/>
                <w:szCs w:val="21"/>
                <w:highlight w:val="none"/>
                <w:lang w:eastAsia="zh-CN"/>
              </w:rPr>
              <w:t>破碎、</w:t>
            </w:r>
            <w:r>
              <w:rPr>
                <w:rFonts w:hint="default" w:ascii="Times New Roman" w:hAnsi="Times New Roman" w:eastAsia="宋体" w:cs="Times New Roman"/>
                <w:bCs/>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val="en-US" w:eastAsia="zh-CN"/>
              </w:rPr>
              <w:t>。</w:t>
            </w:r>
          </w:p>
          <w:p w14:paraId="1D6C3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现有车间建设有</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val="en-US" w:eastAsia="zh-CN"/>
              </w:rPr>
              <w:t>机，</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滚筒筛分机</w:t>
            </w:r>
            <w:r>
              <w:rPr>
                <w:rFonts w:hint="default" w:ascii="Times New Roman" w:hAnsi="Times New Roman" w:eastAsia="宋体" w:cs="Times New Roman"/>
                <w:color w:val="auto"/>
                <w:sz w:val="21"/>
                <w:szCs w:val="21"/>
                <w:highlight w:val="none"/>
                <w:lang w:val="en-US" w:eastAsia="zh-CN"/>
              </w:rPr>
              <w:t>。</w:t>
            </w:r>
          </w:p>
        </w:tc>
        <w:tc>
          <w:tcPr>
            <w:tcW w:w="1754" w:type="pct"/>
            <w:tcBorders>
              <w:tl2br w:val="nil"/>
              <w:tr2bl w:val="nil"/>
            </w:tcBorders>
            <w:noWrap w:val="0"/>
            <w:vAlign w:val="center"/>
          </w:tcPr>
          <w:p w14:paraId="07F89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所有生产设备淘汰升级，设1台</w:t>
            </w:r>
            <w:r>
              <w:rPr>
                <w:rFonts w:hint="default" w:ascii="Times New Roman" w:hAnsi="Times New Roman" w:eastAsia="宋体" w:cs="Times New Roman"/>
                <w:bCs/>
                <w:color w:val="auto"/>
                <w:sz w:val="21"/>
                <w:szCs w:val="21"/>
                <w:highlight w:val="none"/>
                <w:lang w:eastAsia="zh-CN"/>
              </w:rPr>
              <w:t>破碎</w:t>
            </w:r>
            <w:r>
              <w:rPr>
                <w:rFonts w:hint="eastAsia" w:ascii="Times New Roman" w:hAnsi="Times New Roman" w:eastAsia="宋体" w:cs="Times New Roman"/>
                <w:bCs/>
                <w:color w:val="auto"/>
                <w:sz w:val="21"/>
                <w:szCs w:val="21"/>
                <w:highlight w:val="none"/>
                <w:lang w:val="en-US" w:eastAsia="zh-CN"/>
              </w:rPr>
              <w:t>机、</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滚筒筛分机</w:t>
            </w:r>
          </w:p>
        </w:tc>
        <w:tc>
          <w:tcPr>
            <w:tcW w:w="519" w:type="pct"/>
            <w:tcBorders>
              <w:tl2br w:val="nil"/>
              <w:tr2bl w:val="nil"/>
            </w:tcBorders>
            <w:noWrap w:val="0"/>
            <w:vAlign w:val="center"/>
          </w:tcPr>
          <w:p w14:paraId="248D4773">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车间利旧，</w:t>
            </w:r>
            <w:r>
              <w:rPr>
                <w:rFonts w:hint="eastAsia" w:ascii="Times New Roman" w:hAnsi="Times New Roman" w:cs="Times New Roman"/>
                <w:color w:val="auto"/>
                <w:sz w:val="21"/>
                <w:szCs w:val="21"/>
                <w:highlight w:val="none"/>
                <w:lang w:val="en-US" w:eastAsia="zh-CN"/>
              </w:rPr>
              <w:t>更新</w:t>
            </w:r>
            <w:r>
              <w:rPr>
                <w:rFonts w:hint="default" w:ascii="Times New Roman" w:hAnsi="Times New Roman" w:eastAsia="宋体" w:cs="Times New Roman"/>
                <w:color w:val="auto"/>
                <w:sz w:val="21"/>
                <w:szCs w:val="21"/>
                <w:highlight w:val="none"/>
                <w:lang w:val="en-US" w:eastAsia="zh-CN"/>
              </w:rPr>
              <w:t>设备</w:t>
            </w:r>
          </w:p>
        </w:tc>
      </w:tr>
      <w:tr w14:paraId="0D42B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45AF0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6" w:type="pct"/>
            <w:vMerge w:val="continue"/>
            <w:tcBorders>
              <w:tl2br w:val="nil"/>
              <w:tr2bl w:val="nil"/>
            </w:tcBorders>
            <w:noWrap w:val="0"/>
            <w:vAlign w:val="center"/>
          </w:tcPr>
          <w:p w14:paraId="0DCD8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5CDE7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陈化区</w:t>
            </w:r>
          </w:p>
        </w:tc>
        <w:tc>
          <w:tcPr>
            <w:tcW w:w="1746" w:type="pct"/>
            <w:tcBorders>
              <w:tl2br w:val="nil"/>
              <w:tr2bl w:val="nil"/>
            </w:tcBorders>
            <w:noWrap w:val="0"/>
            <w:vAlign w:val="center"/>
          </w:tcPr>
          <w:p w14:paraId="427CB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陈化区</w:t>
            </w:r>
            <w:r>
              <w:rPr>
                <w:rFonts w:hint="default" w:ascii="Times New Roman" w:hAnsi="Times New Roman" w:eastAsia="宋体" w:cs="Times New Roman"/>
                <w:bCs/>
                <w:color w:val="auto"/>
                <w:sz w:val="21"/>
                <w:szCs w:val="21"/>
                <w:highlight w:val="none"/>
                <w:lang w:val="en-US" w:eastAsia="zh-CN"/>
              </w:rPr>
              <w:t>位于生产车间</w:t>
            </w:r>
            <w:r>
              <w:rPr>
                <w:rFonts w:hint="eastAsia" w:cs="Times New Roman"/>
                <w:color w:val="auto"/>
                <w:sz w:val="21"/>
                <w:szCs w:val="21"/>
                <w:highlight w:val="none"/>
                <w:lang w:val="en-US" w:eastAsia="zh-CN"/>
              </w:rPr>
              <w:t>中部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占地面积</w:t>
            </w:r>
            <w:r>
              <w:rPr>
                <w:rFonts w:hint="eastAsia"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，主要将原料进行陈化</w:t>
            </w:r>
            <w:r>
              <w:rPr>
                <w:rFonts w:hint="eastAsia" w:cs="Times New Roman"/>
                <w:color w:val="auto"/>
                <w:sz w:val="21"/>
                <w:szCs w:val="21"/>
                <w:highlight w:val="none"/>
                <w:lang w:val="en-US" w:eastAsia="zh-CN"/>
              </w:rPr>
              <w:t>，内设1台布料机</w:t>
            </w:r>
            <w:r>
              <w:rPr>
                <w:rFonts w:hint="default" w:ascii="Times New Roman" w:hAnsi="Times New Roman" w:eastAsia="宋体" w:cs="Times New Roman"/>
                <w:color w:val="auto"/>
                <w:sz w:val="21"/>
                <w:szCs w:val="21"/>
                <w:highlight w:val="none"/>
                <w:lang w:val="en-US" w:eastAsia="zh-CN"/>
              </w:rPr>
              <w:t>。</w:t>
            </w:r>
          </w:p>
        </w:tc>
        <w:tc>
          <w:tcPr>
            <w:tcW w:w="1754" w:type="pct"/>
            <w:tcBorders>
              <w:tl2br w:val="nil"/>
              <w:tr2bl w:val="nil"/>
            </w:tcBorders>
            <w:noWrap w:val="0"/>
            <w:vAlign w:val="center"/>
          </w:tcPr>
          <w:p w14:paraId="11F2C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扩建陈化区，扩建后占地面积800m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vertAlign w:val="baseline"/>
                <w:lang w:val="en-US" w:eastAsia="zh-CN" w:bidi="ar-SA"/>
              </w:rPr>
              <w:t>，</w:t>
            </w:r>
            <w:r>
              <w:rPr>
                <w:rFonts w:hint="default" w:ascii="Times New Roman" w:hAnsi="Times New Roman" w:eastAsia="宋体" w:cs="Times New Roman"/>
                <w:color w:val="auto"/>
                <w:sz w:val="21"/>
                <w:szCs w:val="21"/>
                <w:highlight w:val="none"/>
                <w:lang w:val="en-US" w:eastAsia="zh-CN"/>
              </w:rPr>
              <w:t>主要将原料进行陈化</w:t>
            </w:r>
            <w:r>
              <w:rPr>
                <w:rFonts w:hint="eastAsia" w:cs="Times New Roman"/>
                <w:color w:val="auto"/>
                <w:sz w:val="21"/>
                <w:szCs w:val="21"/>
                <w:highlight w:val="none"/>
                <w:lang w:val="en-US" w:eastAsia="zh-CN"/>
              </w:rPr>
              <w:t>，内设1台布料机</w:t>
            </w:r>
            <w:r>
              <w:rPr>
                <w:rFonts w:hint="default" w:ascii="Times New Roman" w:hAnsi="Times New Roman" w:eastAsia="宋体" w:cs="Times New Roman"/>
                <w:color w:val="auto"/>
                <w:sz w:val="21"/>
                <w:szCs w:val="21"/>
                <w:highlight w:val="none"/>
                <w:lang w:val="en-US" w:eastAsia="zh-CN"/>
              </w:rPr>
              <w:t>。陈化区占地面积800m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，物料有效储存面积以85%计，则物料有效储存面积为680m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，储存高度约5m，则有效容积约3400m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。物料体积密度取值为1.85t/m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，则物料的实际有效存储量约为6290吨。本项目设计</w:t>
            </w:r>
            <w:r>
              <w:rPr>
                <w:rFonts w:hint="eastAsia" w:ascii="Times New Roman" w:hAnsi="Times New Roman" w:eastAsia="宋体" w:cs="Times New Roman"/>
                <w:color w:val="auto"/>
                <w:sz w:val="21"/>
                <w:szCs w:val="21"/>
                <w:highlight w:val="none"/>
                <w:lang w:val="en-US" w:eastAsia="zh-CN"/>
              </w:rPr>
              <w:t>累计</w:t>
            </w:r>
            <w:r>
              <w:rPr>
                <w:rFonts w:hint="default" w:ascii="Times New Roman" w:hAnsi="Times New Roman" w:eastAsia="宋体" w:cs="Times New Roman"/>
                <w:color w:val="auto"/>
                <w:sz w:val="21"/>
                <w:szCs w:val="21"/>
                <w:highlight w:val="none"/>
                <w:lang w:val="en-US" w:eastAsia="zh-CN"/>
              </w:rPr>
              <w:t>产品</w:t>
            </w:r>
            <w:r>
              <w:rPr>
                <w:rFonts w:hint="eastAsia" w:ascii="Times New Roman" w:hAnsi="Times New Roman" w:eastAsia="宋体" w:cs="Times New Roman"/>
                <w:color w:val="auto"/>
                <w:sz w:val="21"/>
                <w:szCs w:val="21"/>
                <w:highlight w:val="none"/>
                <w:lang w:val="en-US" w:eastAsia="zh-CN"/>
              </w:rPr>
              <w:t>量为</w:t>
            </w:r>
            <w:r>
              <w:rPr>
                <w:rFonts w:hint="default" w:ascii="Times New Roman" w:hAnsi="Times New Roman" w:eastAsia="宋体" w:cs="Times New Roman"/>
                <w:color w:val="auto"/>
                <w:sz w:val="21"/>
                <w:szCs w:val="21"/>
                <w:highlight w:val="none"/>
                <w:lang w:val="en-US" w:eastAsia="zh-CN"/>
              </w:rPr>
              <w:t>297680吨，可储存7天的量，满足《烧结砖瓦工厂设计规范（GB50701-2011）》中陈化时间不应低于3d要求。</w:t>
            </w:r>
          </w:p>
        </w:tc>
        <w:tc>
          <w:tcPr>
            <w:tcW w:w="519" w:type="pct"/>
            <w:tcBorders>
              <w:tl2br w:val="nil"/>
              <w:tr2bl w:val="nil"/>
            </w:tcBorders>
            <w:noWrap w:val="0"/>
            <w:vAlign w:val="center"/>
          </w:tcPr>
          <w:p w14:paraId="6536CAD5">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扩建改造，设备利旧</w:t>
            </w:r>
          </w:p>
        </w:tc>
      </w:tr>
      <w:tr w14:paraId="2F3BD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FED54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6" w:type="pct"/>
            <w:vMerge w:val="continue"/>
            <w:tcBorders>
              <w:tl2br w:val="nil"/>
              <w:tr2bl w:val="nil"/>
            </w:tcBorders>
            <w:noWrap w:val="0"/>
            <w:vAlign w:val="center"/>
          </w:tcPr>
          <w:p w14:paraId="59F97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1B5163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制砖</w:t>
            </w:r>
            <w:r>
              <w:rPr>
                <w:rFonts w:hint="eastAsia" w:cs="Times New Roman"/>
                <w:color w:val="auto"/>
                <w:sz w:val="21"/>
                <w:szCs w:val="21"/>
                <w:highlight w:val="none"/>
                <w:lang w:val="en-US" w:eastAsia="zh-CN"/>
              </w:rPr>
              <w:t>区</w:t>
            </w:r>
          </w:p>
        </w:tc>
        <w:tc>
          <w:tcPr>
            <w:tcW w:w="1746" w:type="pct"/>
            <w:tcBorders>
              <w:tl2br w:val="nil"/>
              <w:tr2bl w:val="nil"/>
            </w:tcBorders>
            <w:noWrap w:val="0"/>
            <w:vAlign w:val="center"/>
          </w:tcPr>
          <w:p w14:paraId="6E3F1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制砖</w:t>
            </w:r>
            <w:r>
              <w:rPr>
                <w:rFonts w:hint="eastAsia"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生产</w:t>
            </w:r>
            <w:r>
              <w:rPr>
                <w:rFonts w:hint="default" w:ascii="Times New Roman" w:hAnsi="Times New Roman" w:eastAsia="宋体" w:cs="Times New Roman"/>
                <w:bCs/>
                <w:color w:val="auto"/>
                <w:sz w:val="21"/>
                <w:szCs w:val="21"/>
                <w:highlight w:val="none"/>
                <w:lang w:eastAsia="zh-CN"/>
              </w:rPr>
              <w:t>车间</w:t>
            </w:r>
            <w:r>
              <w:rPr>
                <w:rFonts w:hint="eastAsia" w:cs="Times New Roman"/>
                <w:bCs/>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占地面积</w:t>
            </w:r>
            <w:r>
              <w:rPr>
                <w:rFonts w:hint="eastAsia"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14:paraId="1C4EC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现有车间建设有</w:t>
            </w:r>
            <w:r>
              <w:rPr>
                <w:rFonts w:hint="eastAsia" w:cs="Times New Roman"/>
                <w:color w:val="auto"/>
                <w:sz w:val="21"/>
                <w:szCs w:val="21"/>
                <w:highlight w:val="none"/>
                <w:lang w:val="en-US" w:eastAsia="zh-CN"/>
              </w:rPr>
              <w:t>2台双轴搅拌机，</w:t>
            </w:r>
            <w:r>
              <w:rPr>
                <w:rFonts w:hint="default" w:ascii="Times New Roman" w:hAnsi="Times New Roman" w:eastAsia="宋体" w:cs="Times New Roman"/>
                <w:color w:val="auto"/>
                <w:sz w:val="21"/>
                <w:szCs w:val="21"/>
                <w:highlight w:val="none"/>
                <w:lang w:val="en-US" w:eastAsia="zh-CN"/>
              </w:rPr>
              <w:t>1台搅拌挤出机</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1台切条机，1台</w:t>
            </w:r>
            <w:r>
              <w:rPr>
                <w:rFonts w:hint="eastAsia"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lang w:val="en-US" w:eastAsia="zh-CN"/>
              </w:rPr>
              <w:t>切坯机，1台</w:t>
            </w:r>
            <w:r>
              <w:rPr>
                <w:rFonts w:hint="eastAsia" w:cs="Times New Roman"/>
                <w:color w:val="auto"/>
                <w:sz w:val="21"/>
                <w:szCs w:val="21"/>
                <w:highlight w:val="none"/>
                <w:lang w:val="en-US" w:eastAsia="zh-CN"/>
              </w:rPr>
              <w:t>码</w:t>
            </w:r>
            <w:r>
              <w:rPr>
                <w:rFonts w:hint="default" w:ascii="Times New Roman" w:hAnsi="Times New Roman" w:eastAsia="宋体" w:cs="Times New Roman"/>
                <w:color w:val="auto"/>
                <w:sz w:val="21"/>
                <w:szCs w:val="21"/>
                <w:highlight w:val="none"/>
                <w:lang w:val="en-US" w:eastAsia="zh-CN"/>
              </w:rPr>
              <w:t>坯机</w:t>
            </w:r>
          </w:p>
        </w:tc>
        <w:tc>
          <w:tcPr>
            <w:tcW w:w="1754" w:type="pct"/>
            <w:tcBorders>
              <w:tl2br w:val="nil"/>
              <w:tr2bl w:val="nil"/>
            </w:tcBorders>
            <w:noWrap w:val="0"/>
            <w:vAlign w:val="center"/>
          </w:tcPr>
          <w:p w14:paraId="51144A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淘汰</w:t>
            </w:r>
            <w:r>
              <w:rPr>
                <w:rFonts w:hint="eastAsia" w:cs="Times New Roman"/>
                <w:color w:val="auto"/>
                <w:sz w:val="21"/>
                <w:szCs w:val="21"/>
                <w:highlight w:val="none"/>
                <w:lang w:val="en-US" w:eastAsia="zh-CN"/>
              </w:rPr>
              <w:t>升级</w:t>
            </w:r>
            <w:r>
              <w:rPr>
                <w:rFonts w:hint="default" w:ascii="Times New Roman" w:hAnsi="Times New Roman" w:eastAsia="宋体" w:cs="Times New Roman"/>
                <w:color w:val="auto"/>
                <w:sz w:val="21"/>
                <w:szCs w:val="21"/>
                <w:highlight w:val="none"/>
                <w:lang w:val="en-US" w:eastAsia="zh-CN"/>
              </w:rPr>
              <w:t>1台搅拌挤</w:t>
            </w:r>
            <w:r>
              <w:rPr>
                <w:rFonts w:hint="eastAsia" w:cs="Times New Roman"/>
                <w:color w:val="auto"/>
                <w:sz w:val="21"/>
                <w:szCs w:val="21"/>
                <w:highlight w:val="none"/>
                <w:lang w:val="en-US" w:eastAsia="zh-CN"/>
              </w:rPr>
              <w:t>出</w:t>
            </w:r>
            <w:r>
              <w:rPr>
                <w:rFonts w:hint="default" w:ascii="Times New Roman" w:hAnsi="Times New Roman" w:eastAsia="宋体" w:cs="Times New Roman"/>
                <w:color w:val="auto"/>
                <w:sz w:val="21"/>
                <w:szCs w:val="21"/>
                <w:highlight w:val="none"/>
                <w:lang w:val="en-US" w:eastAsia="zh-CN"/>
              </w:rPr>
              <w:t>机</w:t>
            </w:r>
            <w:r>
              <w:rPr>
                <w:rFonts w:hint="eastAsia" w:cs="Times New Roman"/>
                <w:color w:val="auto"/>
                <w:kern w:val="0"/>
                <w:sz w:val="21"/>
                <w:szCs w:val="21"/>
                <w:highlight w:val="none"/>
                <w:vertAlign w:val="baseline"/>
                <w:lang w:val="en-US" w:eastAsia="zh-CN"/>
              </w:rPr>
              <w:t>；其余设备利旧</w:t>
            </w:r>
            <w:r>
              <w:rPr>
                <w:rFonts w:hint="default" w:ascii="Times New Roman" w:hAnsi="Times New Roman" w:eastAsia="宋体" w:cs="Times New Roman"/>
                <w:color w:val="auto"/>
                <w:kern w:val="0"/>
                <w:sz w:val="21"/>
                <w:szCs w:val="21"/>
                <w:highlight w:val="none"/>
                <w:vertAlign w:val="baseline"/>
                <w:lang w:val="en-US" w:eastAsia="zh-CN"/>
              </w:rPr>
              <w:t>。</w:t>
            </w:r>
          </w:p>
        </w:tc>
        <w:tc>
          <w:tcPr>
            <w:tcW w:w="519" w:type="pct"/>
            <w:tcBorders>
              <w:tl2br w:val="nil"/>
              <w:tr2bl w:val="nil"/>
            </w:tcBorders>
            <w:noWrap w:val="0"/>
            <w:vAlign w:val="center"/>
          </w:tcPr>
          <w:p w14:paraId="73887305">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车间利旧，更换生产设备</w:t>
            </w:r>
            <w:r>
              <w:rPr>
                <w:rFonts w:hint="eastAsia" w:ascii="Times New Roman" w:hAnsi="Times New Roman" w:cs="Times New Roman"/>
                <w:color w:val="auto"/>
                <w:sz w:val="21"/>
                <w:szCs w:val="21"/>
                <w:highlight w:val="none"/>
                <w:lang w:val="en-US" w:eastAsia="zh-CN"/>
              </w:rPr>
              <w:t>，部分设备利旧</w:t>
            </w:r>
          </w:p>
        </w:tc>
      </w:tr>
      <w:tr w14:paraId="492CF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9F52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5B312C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晾坯车间</w:t>
            </w:r>
          </w:p>
        </w:tc>
        <w:tc>
          <w:tcPr>
            <w:tcW w:w="1746" w:type="pct"/>
            <w:tcBorders>
              <w:tl2br w:val="nil"/>
              <w:tr2bl w:val="nil"/>
            </w:tcBorders>
            <w:noWrap w:val="0"/>
            <w:vAlign w:val="center"/>
          </w:tcPr>
          <w:p w14:paraId="71C19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1座全封闭钢结构生产车间，位于制砖车间</w:t>
            </w: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占地面积</w:t>
            </w:r>
            <w:r>
              <w:rPr>
                <w:rFonts w:hint="eastAsia"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754" w:type="pct"/>
            <w:tcBorders>
              <w:tl2br w:val="nil"/>
              <w:tr2bl w:val="nil"/>
            </w:tcBorders>
            <w:noWrap w:val="0"/>
            <w:vAlign w:val="center"/>
          </w:tcPr>
          <w:p w14:paraId="5BFD2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扩建晾坯车间，扩建后占地面积1200m</w:t>
            </w:r>
            <w:r>
              <w:rPr>
                <w:rFonts w:hint="eastAsia" w:ascii="Times New Roman" w:hAnsi="Times New Roman" w:eastAsia="宋体" w:cs="Times New Roman"/>
                <w:color w:val="auto"/>
                <w:sz w:val="21"/>
                <w:szCs w:val="21"/>
                <w:highlight w:val="none"/>
                <w:vertAlign w:val="superscript"/>
                <w:lang w:val="en-US" w:eastAsia="zh-CN"/>
              </w:rPr>
              <w:t>2</w:t>
            </w:r>
          </w:p>
        </w:tc>
        <w:tc>
          <w:tcPr>
            <w:tcW w:w="519" w:type="pct"/>
            <w:tcBorders>
              <w:tl2br w:val="nil"/>
              <w:tr2bl w:val="nil"/>
            </w:tcBorders>
            <w:noWrap w:val="0"/>
            <w:vAlign w:val="center"/>
          </w:tcPr>
          <w:p w14:paraId="314A35E8">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扩建改造</w:t>
            </w:r>
          </w:p>
        </w:tc>
      </w:tr>
      <w:tr w14:paraId="63E6F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31BF1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34A49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隧道窑</w:t>
            </w:r>
          </w:p>
        </w:tc>
        <w:tc>
          <w:tcPr>
            <w:tcW w:w="1746" w:type="pct"/>
            <w:tcBorders>
              <w:tl2br w:val="nil"/>
              <w:tr2bl w:val="nil"/>
            </w:tcBorders>
            <w:noWrap w:val="0"/>
            <w:vAlign w:val="center"/>
          </w:tcPr>
          <w:p w14:paraId="34D58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1座，位于厂区</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侧，尺寸为</w:t>
            </w:r>
            <w:r>
              <w:rPr>
                <w:rFonts w:hint="eastAsia" w:cs="Times New Roman"/>
                <w:color w:val="auto"/>
                <w:sz w:val="21"/>
                <w:szCs w:val="21"/>
                <w:highlight w:val="none"/>
                <w:lang w:val="en-US" w:eastAsia="zh-CN"/>
              </w:rPr>
              <w:t>155</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3.7</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2.43</w:t>
            </w:r>
            <w:r>
              <w:rPr>
                <w:rFonts w:hint="default" w:ascii="Times New Roman" w:hAnsi="Times New Roman" w:eastAsia="宋体" w:cs="Times New Roman"/>
                <w:color w:val="auto"/>
                <w:sz w:val="21"/>
                <w:szCs w:val="21"/>
                <w:highlight w:val="none"/>
                <w:lang w:val="en-US" w:eastAsia="zh-CN"/>
              </w:rPr>
              <w:t>m。</w:t>
            </w:r>
          </w:p>
        </w:tc>
        <w:tc>
          <w:tcPr>
            <w:tcW w:w="1754" w:type="pct"/>
            <w:tcBorders>
              <w:tl2br w:val="nil"/>
              <w:tr2bl w:val="nil"/>
            </w:tcBorders>
            <w:noWrap w:val="0"/>
            <w:vAlign w:val="center"/>
          </w:tcPr>
          <w:p w14:paraId="3C45F1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对现有隧道窑进行改造，建设1座节能环保高产低耗隧道窑（烘烧一体窑），改造后尺寸为</w:t>
            </w:r>
            <w:r>
              <w:rPr>
                <w:rFonts w:hint="eastAsia" w:cs="Times New Roman"/>
                <w:color w:val="auto"/>
                <w:sz w:val="21"/>
                <w:szCs w:val="21"/>
                <w:highlight w:val="none"/>
                <w:lang w:val="en-US" w:eastAsia="zh-CN"/>
              </w:rPr>
              <w:t>155</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3.7</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val="en-US" w:eastAsia="zh-CN"/>
              </w:rPr>
              <w:t>m。</w:t>
            </w:r>
          </w:p>
        </w:tc>
        <w:tc>
          <w:tcPr>
            <w:tcW w:w="519" w:type="pct"/>
            <w:tcBorders>
              <w:tl2br w:val="nil"/>
              <w:tr2bl w:val="nil"/>
            </w:tcBorders>
            <w:noWrap w:val="0"/>
            <w:vAlign w:val="center"/>
          </w:tcPr>
          <w:p w14:paraId="553C8042">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改造</w:t>
            </w:r>
          </w:p>
        </w:tc>
      </w:tr>
      <w:tr w14:paraId="55C13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44B5E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储运工程</w:t>
            </w:r>
          </w:p>
        </w:tc>
        <w:tc>
          <w:tcPr>
            <w:tcW w:w="779" w:type="pct"/>
            <w:gridSpan w:val="3"/>
            <w:tcBorders>
              <w:tl2br w:val="nil"/>
              <w:tr2bl w:val="nil"/>
            </w:tcBorders>
            <w:noWrap w:val="0"/>
            <w:vAlign w:val="center"/>
          </w:tcPr>
          <w:p w14:paraId="02CC7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原料库</w:t>
            </w:r>
          </w:p>
        </w:tc>
        <w:tc>
          <w:tcPr>
            <w:tcW w:w="1746" w:type="pct"/>
            <w:tcBorders>
              <w:tl2br w:val="nil"/>
              <w:tr2bl w:val="nil"/>
            </w:tcBorders>
            <w:noWrap w:val="0"/>
            <w:vAlign w:val="center"/>
          </w:tcPr>
          <w:p w14:paraId="0CEC26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1座全封车间，位于厂区</w:t>
            </w:r>
            <w:r>
              <w:rPr>
                <w:rFonts w:hint="eastAsia" w:cs="Times New Roman"/>
                <w:color w:val="auto"/>
                <w:sz w:val="21"/>
                <w:szCs w:val="21"/>
                <w:highlight w:val="none"/>
                <w:lang w:val="en-US" w:eastAsia="zh-CN"/>
              </w:rPr>
              <w:t>中部南</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占地面积</w:t>
            </w:r>
            <w:r>
              <w:rPr>
                <w:rFonts w:hint="eastAsia" w:cs="Times New Roman"/>
                <w:color w:val="auto"/>
                <w:sz w:val="21"/>
                <w:szCs w:val="21"/>
                <w:highlight w:val="none"/>
                <w:lang w:val="en-US" w:eastAsia="zh-CN"/>
              </w:rPr>
              <w:t>1700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，主要存放煤矸石。</w:t>
            </w:r>
          </w:p>
        </w:tc>
        <w:tc>
          <w:tcPr>
            <w:tcW w:w="1754" w:type="pct"/>
            <w:tcBorders>
              <w:tl2br w:val="nil"/>
              <w:tr2bl w:val="nil"/>
            </w:tcBorders>
            <w:noWrap w:val="0"/>
            <w:vAlign w:val="center"/>
          </w:tcPr>
          <w:p w14:paraId="7C1B8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3FBB2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9420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33DB88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285B3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产品堆场</w:t>
            </w:r>
          </w:p>
        </w:tc>
        <w:tc>
          <w:tcPr>
            <w:tcW w:w="1746" w:type="pct"/>
            <w:tcBorders>
              <w:tl2br w:val="nil"/>
              <w:tr2bl w:val="nil"/>
            </w:tcBorders>
            <w:noWrap w:val="0"/>
            <w:vAlign w:val="center"/>
          </w:tcPr>
          <w:p w14:paraId="06F65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w:t>
            </w: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占地面积</w:t>
            </w:r>
            <w:r>
              <w:rPr>
                <w:rFonts w:hint="eastAsia"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，主要存放产品</w:t>
            </w:r>
            <w:r>
              <w:rPr>
                <w:rFonts w:hint="default" w:ascii="Times New Roman" w:hAnsi="Times New Roman" w:eastAsia="宋体" w:cs="Times New Roman"/>
                <w:color w:val="auto"/>
                <w:sz w:val="21"/>
                <w:szCs w:val="21"/>
                <w:highlight w:val="none"/>
              </w:rPr>
              <w:t>煤矸石烧结实心砖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地面硬化。</w:t>
            </w:r>
          </w:p>
        </w:tc>
        <w:tc>
          <w:tcPr>
            <w:tcW w:w="1754" w:type="pct"/>
            <w:tcBorders>
              <w:tl2br w:val="nil"/>
              <w:tr2bl w:val="nil"/>
            </w:tcBorders>
            <w:noWrap w:val="0"/>
            <w:vAlign w:val="center"/>
          </w:tcPr>
          <w:p w14:paraId="7F617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本次改造工程设置三处产品堆场，分别位于厂区东北侧、厂区西南侧，以及生产车间西侧。总计占地面积7300m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主要存放产品</w:t>
            </w:r>
            <w:r>
              <w:rPr>
                <w:rFonts w:hint="default" w:ascii="Times New Roman" w:hAnsi="Times New Roman" w:eastAsia="宋体" w:cs="Times New Roman"/>
                <w:color w:val="auto"/>
                <w:sz w:val="21"/>
                <w:szCs w:val="21"/>
                <w:highlight w:val="none"/>
              </w:rPr>
              <w:t>煤矸石烧结实心砖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地面硬化。</w:t>
            </w:r>
          </w:p>
        </w:tc>
        <w:tc>
          <w:tcPr>
            <w:tcW w:w="519" w:type="pct"/>
            <w:tcBorders>
              <w:tl2br w:val="nil"/>
              <w:tr2bl w:val="nil"/>
            </w:tcBorders>
            <w:noWrap w:val="0"/>
            <w:vAlign w:val="center"/>
          </w:tcPr>
          <w:p w14:paraId="122A3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扩建改造</w:t>
            </w:r>
          </w:p>
        </w:tc>
      </w:tr>
      <w:tr w14:paraId="4871B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5EC92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24DC9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石灰筒仓</w:t>
            </w:r>
          </w:p>
        </w:tc>
        <w:tc>
          <w:tcPr>
            <w:tcW w:w="1746" w:type="pct"/>
            <w:tcBorders>
              <w:tl2br w:val="nil"/>
              <w:tr2bl w:val="nil"/>
            </w:tcBorders>
            <w:noWrap w:val="0"/>
            <w:vAlign w:val="center"/>
          </w:tcPr>
          <w:p w14:paraId="185C8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30吨，</w:t>
            </w:r>
            <w:r>
              <w:rPr>
                <w:rFonts w:hint="default" w:ascii="Times New Roman" w:hAnsi="Times New Roman" w:eastAsia="宋体" w:cs="Times New Roman"/>
                <w:color w:val="auto"/>
                <w:sz w:val="21"/>
                <w:szCs w:val="21"/>
                <w:highlight w:val="none"/>
                <w:lang w:val="en-US" w:eastAsia="zh-CN"/>
              </w:rPr>
              <w:t>主要存放石灰。</w:t>
            </w:r>
          </w:p>
        </w:tc>
        <w:tc>
          <w:tcPr>
            <w:tcW w:w="1754" w:type="pct"/>
            <w:tcBorders>
              <w:tl2br w:val="nil"/>
              <w:tr2bl w:val="nil"/>
            </w:tcBorders>
            <w:noWrap w:val="0"/>
            <w:vAlign w:val="center"/>
          </w:tcPr>
          <w:p w14:paraId="7818BD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2D1E0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A390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073F7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779" w:type="pct"/>
            <w:gridSpan w:val="3"/>
            <w:tcBorders>
              <w:tl2br w:val="nil"/>
              <w:tr2bl w:val="nil"/>
            </w:tcBorders>
            <w:noWrap w:val="0"/>
            <w:vAlign w:val="center"/>
          </w:tcPr>
          <w:p w14:paraId="42B5C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办公区</w:t>
            </w:r>
          </w:p>
        </w:tc>
        <w:tc>
          <w:tcPr>
            <w:tcW w:w="1746" w:type="pct"/>
            <w:tcBorders>
              <w:tl2br w:val="nil"/>
              <w:tr2bl w:val="nil"/>
            </w:tcBorders>
            <w:noWrap w:val="0"/>
            <w:vAlign w:val="center"/>
          </w:tcPr>
          <w:p w14:paraId="30ABF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一层，</w:t>
            </w:r>
            <w:r>
              <w:rPr>
                <w:rFonts w:hint="default" w:ascii="Times New Roman" w:hAnsi="Times New Roman" w:eastAsia="宋体" w:cs="Times New Roman"/>
                <w:color w:val="auto"/>
                <w:sz w:val="21"/>
                <w:szCs w:val="21"/>
                <w:highlight w:val="none"/>
              </w:rPr>
              <w:t>砖混结构</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754" w:type="pct"/>
            <w:tcBorders>
              <w:tl2br w:val="nil"/>
              <w:tr2bl w:val="nil"/>
            </w:tcBorders>
            <w:noWrap w:val="0"/>
            <w:vAlign w:val="center"/>
          </w:tcPr>
          <w:p w14:paraId="588A5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201C3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7C94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697C0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291C5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洗车平台</w:t>
            </w:r>
          </w:p>
        </w:tc>
        <w:tc>
          <w:tcPr>
            <w:tcW w:w="1746" w:type="pct"/>
            <w:tcBorders>
              <w:tl2br w:val="nil"/>
              <w:tr2bl w:val="nil"/>
            </w:tcBorders>
            <w:noWrap w:val="0"/>
            <w:vAlign w:val="center"/>
          </w:tcPr>
          <w:p w14:paraId="278A9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厂区大门口设置有12m×4m</w:t>
            </w:r>
            <w:r>
              <w:rPr>
                <w:rFonts w:hint="default" w:ascii="Times New Roman" w:hAnsi="Times New Roman" w:eastAsia="宋体" w:cs="Times New Roman"/>
                <w:bCs/>
                <w:color w:val="auto"/>
                <w:spacing w:val="4"/>
                <w:sz w:val="21"/>
                <w:szCs w:val="21"/>
                <w:highlight w:val="none"/>
                <w:shd w:val="clear" w:color="auto" w:fill="auto"/>
              </w:rPr>
              <w:t>洗车</w:t>
            </w:r>
            <w:r>
              <w:rPr>
                <w:rFonts w:hint="default" w:ascii="Times New Roman" w:hAnsi="Times New Roman" w:eastAsia="宋体" w:cs="Times New Roman"/>
                <w:bCs/>
                <w:color w:val="auto"/>
                <w:spacing w:val="4"/>
                <w:sz w:val="21"/>
                <w:szCs w:val="21"/>
                <w:highlight w:val="none"/>
                <w:shd w:val="clear" w:color="auto" w:fill="auto"/>
                <w:lang w:val="en-US" w:eastAsia="zh-CN"/>
              </w:rPr>
              <w:t>台</w:t>
            </w:r>
            <w:r>
              <w:rPr>
                <w:rFonts w:hint="default" w:ascii="Times New Roman" w:hAnsi="Times New Roman" w:eastAsia="宋体" w:cs="Times New Roman"/>
                <w:b w:val="0"/>
                <w:bCs/>
                <w:color w:val="auto"/>
                <w:spacing w:val="4"/>
                <w:sz w:val="21"/>
                <w:szCs w:val="21"/>
                <w:highlight w:val="none"/>
                <w:shd w:val="clear" w:color="auto" w:fill="auto"/>
                <w:lang w:val="en-US" w:eastAsia="zh-CN"/>
              </w:rPr>
              <w:t>，并配备5m</w:t>
            </w:r>
            <w:r>
              <w:rPr>
                <w:rFonts w:hint="default" w:ascii="Times New Roman" w:hAnsi="Times New Roman" w:eastAsia="宋体" w:cs="Times New Roman"/>
                <w:b w:val="0"/>
                <w:bCs/>
                <w:color w:val="auto"/>
                <w:spacing w:val="4"/>
                <w:sz w:val="21"/>
                <w:szCs w:val="21"/>
                <w:highlight w:val="none"/>
                <w:shd w:val="clear" w:color="auto" w:fill="auto"/>
                <w:vertAlign w:val="superscript"/>
                <w:lang w:val="en-US" w:eastAsia="zh-CN"/>
              </w:rPr>
              <w:t>3</w:t>
            </w:r>
            <w:r>
              <w:rPr>
                <w:rFonts w:hint="default" w:ascii="Times New Roman" w:hAnsi="Times New Roman" w:eastAsia="宋体" w:cs="Times New Roman"/>
                <w:b w:val="0"/>
                <w:bCs/>
                <w:color w:val="auto"/>
                <w:spacing w:val="4"/>
                <w:sz w:val="21"/>
                <w:szCs w:val="21"/>
                <w:highlight w:val="none"/>
                <w:shd w:val="clear" w:color="auto" w:fill="auto"/>
                <w:lang w:val="en-US" w:eastAsia="zh-CN"/>
              </w:rPr>
              <w:t>的沉淀池</w:t>
            </w:r>
          </w:p>
        </w:tc>
        <w:tc>
          <w:tcPr>
            <w:tcW w:w="1754" w:type="pct"/>
            <w:tcBorders>
              <w:tl2br w:val="nil"/>
              <w:tr2bl w:val="nil"/>
            </w:tcBorders>
            <w:noWrap w:val="0"/>
            <w:vAlign w:val="center"/>
          </w:tcPr>
          <w:p w14:paraId="57A5A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4F4AC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52FE3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45602E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79240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初期雨水收集池</w:t>
            </w:r>
          </w:p>
        </w:tc>
        <w:tc>
          <w:tcPr>
            <w:tcW w:w="1746" w:type="pct"/>
            <w:tcBorders>
              <w:tl2br w:val="nil"/>
              <w:tr2bl w:val="nil"/>
            </w:tcBorders>
            <w:noWrap w:val="0"/>
            <w:vAlign w:val="center"/>
          </w:tcPr>
          <w:p w14:paraId="664E91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1座，位于厂区</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1754" w:type="pct"/>
            <w:tcBorders>
              <w:tl2br w:val="nil"/>
              <w:tr2bl w:val="nil"/>
            </w:tcBorders>
            <w:noWrap w:val="0"/>
            <w:vAlign w:val="center"/>
          </w:tcPr>
          <w:p w14:paraId="19240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对初期雨水池进行扩建，扩建后容积为550m</w:t>
            </w:r>
            <w:r>
              <w:rPr>
                <w:rFonts w:hint="eastAsia" w:cs="Times New Roman"/>
                <w:color w:val="auto"/>
                <w:sz w:val="21"/>
                <w:szCs w:val="21"/>
                <w:highlight w:val="none"/>
                <w:vertAlign w:val="superscript"/>
                <w:lang w:val="en-US" w:eastAsia="zh-CN"/>
              </w:rPr>
              <w:t>3</w:t>
            </w:r>
          </w:p>
        </w:tc>
        <w:tc>
          <w:tcPr>
            <w:tcW w:w="519" w:type="pct"/>
            <w:tcBorders>
              <w:tl2br w:val="nil"/>
              <w:tr2bl w:val="nil"/>
            </w:tcBorders>
            <w:noWrap w:val="0"/>
            <w:vAlign w:val="center"/>
          </w:tcPr>
          <w:p w14:paraId="156AF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以新带老整改</w:t>
            </w:r>
          </w:p>
        </w:tc>
      </w:tr>
      <w:tr w14:paraId="718AE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2B85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03220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w:t>
            </w:r>
          </w:p>
        </w:tc>
        <w:tc>
          <w:tcPr>
            <w:tcW w:w="1746" w:type="pct"/>
            <w:tcBorders>
              <w:tl2br w:val="nil"/>
              <w:tr2bl w:val="nil"/>
            </w:tcBorders>
            <w:noWrap w:val="0"/>
            <w:vAlign w:val="center"/>
          </w:tcPr>
          <w:p w14:paraId="6C0F6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部，建筑面积10m</w:t>
            </w:r>
            <w:r>
              <w:rPr>
                <w:rFonts w:hint="default" w:ascii="Times New Roman" w:hAnsi="Times New Roman" w:eastAsia="宋体" w:cs="Times New Roman"/>
                <w:color w:val="auto"/>
                <w:sz w:val="21"/>
                <w:szCs w:val="21"/>
                <w:highlight w:val="none"/>
                <w:vertAlign w:val="superscript"/>
                <w:lang w:val="en-US" w:eastAsia="zh-CN"/>
              </w:rPr>
              <w:t>2</w:t>
            </w:r>
          </w:p>
        </w:tc>
        <w:tc>
          <w:tcPr>
            <w:tcW w:w="1754" w:type="pct"/>
            <w:tcBorders>
              <w:tl2br w:val="nil"/>
              <w:tr2bl w:val="nil"/>
            </w:tcBorders>
            <w:noWrap w:val="0"/>
            <w:vAlign w:val="center"/>
          </w:tcPr>
          <w:p w14:paraId="7CF8C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407E5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4715E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45FD7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公用工程</w:t>
            </w:r>
          </w:p>
        </w:tc>
        <w:tc>
          <w:tcPr>
            <w:tcW w:w="779" w:type="pct"/>
            <w:gridSpan w:val="3"/>
            <w:tcBorders>
              <w:tl2br w:val="nil"/>
              <w:tr2bl w:val="nil"/>
            </w:tcBorders>
            <w:noWrap w:val="0"/>
            <w:vAlign w:val="center"/>
          </w:tcPr>
          <w:p w14:paraId="741C4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供水</w:t>
            </w:r>
          </w:p>
        </w:tc>
        <w:tc>
          <w:tcPr>
            <w:tcW w:w="1746" w:type="pct"/>
            <w:tcBorders>
              <w:tl2br w:val="nil"/>
              <w:tr2bl w:val="nil"/>
            </w:tcBorders>
            <w:noWrap w:val="0"/>
            <w:vAlign w:val="center"/>
          </w:tcPr>
          <w:p w14:paraId="04EB3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厂区自备水井</w:t>
            </w:r>
            <w:r>
              <w:rPr>
                <w:rFonts w:hint="default" w:ascii="Times New Roman" w:hAnsi="Times New Roman" w:eastAsia="宋体" w:cs="Times New Roman"/>
                <w:color w:val="auto"/>
                <w:sz w:val="21"/>
                <w:szCs w:val="21"/>
                <w:highlight w:val="none"/>
                <w:lang w:eastAsia="zh-CN"/>
              </w:rPr>
              <w:t>供给</w:t>
            </w:r>
          </w:p>
        </w:tc>
        <w:tc>
          <w:tcPr>
            <w:tcW w:w="1754" w:type="pct"/>
            <w:tcBorders>
              <w:tl2br w:val="nil"/>
              <w:tr2bl w:val="nil"/>
            </w:tcBorders>
            <w:noWrap w:val="0"/>
            <w:vAlign w:val="center"/>
          </w:tcPr>
          <w:p w14:paraId="2AEE0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vMerge w:val="restart"/>
            <w:tcBorders>
              <w:tl2br w:val="nil"/>
              <w:tr2bl w:val="nil"/>
            </w:tcBorders>
            <w:noWrap w:val="0"/>
            <w:vAlign w:val="center"/>
          </w:tcPr>
          <w:p w14:paraId="045E7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依托现有</w:t>
            </w:r>
          </w:p>
        </w:tc>
      </w:tr>
      <w:tr w14:paraId="006FE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3C846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137B0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供电</w:t>
            </w:r>
          </w:p>
        </w:tc>
        <w:tc>
          <w:tcPr>
            <w:tcW w:w="1746" w:type="pct"/>
            <w:tcBorders>
              <w:tl2br w:val="nil"/>
              <w:tr2bl w:val="nil"/>
            </w:tcBorders>
            <w:noWrap w:val="0"/>
            <w:vAlign w:val="center"/>
          </w:tcPr>
          <w:p w14:paraId="3E1D2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厂区配套变压器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国家电网提供</w:t>
            </w:r>
          </w:p>
        </w:tc>
        <w:tc>
          <w:tcPr>
            <w:tcW w:w="1754" w:type="pct"/>
            <w:tcBorders>
              <w:tl2br w:val="nil"/>
              <w:tr2bl w:val="nil"/>
            </w:tcBorders>
            <w:noWrap w:val="0"/>
            <w:vAlign w:val="center"/>
          </w:tcPr>
          <w:p w14:paraId="0C36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vMerge w:val="continue"/>
            <w:tcBorders>
              <w:tl2br w:val="nil"/>
              <w:tr2bl w:val="nil"/>
            </w:tcBorders>
            <w:noWrap w:val="0"/>
            <w:vAlign w:val="center"/>
          </w:tcPr>
          <w:p w14:paraId="08F1D5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123C0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3EEDE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9" w:type="pct"/>
            <w:gridSpan w:val="3"/>
            <w:tcBorders>
              <w:tl2br w:val="nil"/>
              <w:tr2bl w:val="nil"/>
            </w:tcBorders>
            <w:noWrap w:val="0"/>
            <w:vAlign w:val="center"/>
          </w:tcPr>
          <w:p w14:paraId="0AC5C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供热</w:t>
            </w:r>
          </w:p>
        </w:tc>
        <w:tc>
          <w:tcPr>
            <w:tcW w:w="1746" w:type="pct"/>
            <w:tcBorders>
              <w:tl2br w:val="nil"/>
              <w:tr2bl w:val="nil"/>
            </w:tcBorders>
            <w:noWrap w:val="0"/>
            <w:vAlign w:val="center"/>
          </w:tcPr>
          <w:p w14:paraId="094A7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使用隧道窑的余热供暖</w:t>
            </w:r>
          </w:p>
        </w:tc>
        <w:tc>
          <w:tcPr>
            <w:tcW w:w="1754" w:type="pct"/>
            <w:tcBorders>
              <w:tl2br w:val="nil"/>
              <w:tr2bl w:val="nil"/>
            </w:tcBorders>
            <w:noWrap w:val="0"/>
            <w:vAlign w:val="center"/>
          </w:tcPr>
          <w:p w14:paraId="65CC9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vMerge w:val="continue"/>
            <w:tcBorders>
              <w:tl2br w:val="nil"/>
              <w:tr2bl w:val="nil"/>
            </w:tcBorders>
            <w:noWrap w:val="0"/>
            <w:vAlign w:val="center"/>
          </w:tcPr>
          <w:p w14:paraId="1A8D0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17489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5CBDF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环保工程</w:t>
            </w:r>
          </w:p>
        </w:tc>
        <w:tc>
          <w:tcPr>
            <w:tcW w:w="176" w:type="pct"/>
            <w:vMerge w:val="restart"/>
            <w:tcBorders>
              <w:tl2br w:val="nil"/>
              <w:tr2bl w:val="nil"/>
            </w:tcBorders>
            <w:noWrap w:val="0"/>
            <w:vAlign w:val="center"/>
          </w:tcPr>
          <w:p w14:paraId="65D9D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603" w:type="pct"/>
            <w:gridSpan w:val="2"/>
            <w:tcBorders>
              <w:tl2br w:val="nil"/>
              <w:tr2bl w:val="nil"/>
            </w:tcBorders>
            <w:noWrap w:val="0"/>
            <w:vAlign w:val="center"/>
          </w:tcPr>
          <w:p w14:paraId="3836B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物料堆存、装卸粉尘</w:t>
            </w:r>
          </w:p>
        </w:tc>
        <w:tc>
          <w:tcPr>
            <w:tcW w:w="1746" w:type="pct"/>
            <w:tcBorders>
              <w:tl2br w:val="nil"/>
              <w:tr2bl w:val="nil"/>
            </w:tcBorders>
            <w:noWrap w:val="0"/>
            <w:vAlign w:val="center"/>
          </w:tcPr>
          <w:p w14:paraId="3E08D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①全封闭</w:t>
            </w:r>
            <w:r>
              <w:rPr>
                <w:rFonts w:hint="eastAsia" w:cs="Times New Roman"/>
                <w:color w:val="auto"/>
                <w:sz w:val="21"/>
                <w:szCs w:val="21"/>
                <w:highlight w:val="none"/>
                <w:lang w:val="en-US" w:eastAsia="zh-CN"/>
              </w:rPr>
              <w:t>原料库</w:t>
            </w:r>
            <w:r>
              <w:rPr>
                <w:rFonts w:hint="default" w:ascii="Times New Roman" w:hAnsi="Times New Roman" w:eastAsia="宋体" w:cs="Times New Roman"/>
                <w:color w:val="auto"/>
                <w:sz w:val="21"/>
                <w:szCs w:val="21"/>
                <w:highlight w:val="none"/>
                <w:lang w:val="en-US" w:eastAsia="zh-CN"/>
              </w:rPr>
              <w:t>，地面硬化，顶部配套建设覆盖全场的喷淋洒水装置，以及1台移动式雾炮机。原料全部储存其内，不露天堆放。②物料装卸装卸在封闭</w:t>
            </w:r>
            <w:r>
              <w:rPr>
                <w:rFonts w:hint="eastAsia" w:cs="Times New Roman"/>
                <w:color w:val="auto"/>
                <w:sz w:val="21"/>
                <w:szCs w:val="21"/>
                <w:highlight w:val="none"/>
                <w:lang w:val="en-US" w:eastAsia="zh-CN"/>
              </w:rPr>
              <w:t>原料库</w:t>
            </w:r>
            <w:r>
              <w:rPr>
                <w:rFonts w:hint="default" w:ascii="Times New Roman" w:hAnsi="Times New Roman" w:eastAsia="宋体" w:cs="Times New Roman"/>
                <w:color w:val="auto"/>
                <w:sz w:val="21"/>
                <w:szCs w:val="21"/>
                <w:highlight w:val="none"/>
                <w:lang w:val="en-US" w:eastAsia="zh-CN"/>
              </w:rPr>
              <w:t>内进行，固定装卸位；卸车时开启喷雾抑尘设施；③厂区出入口设置洗车平台，对进出厂区的车辆车身及轮胎进行冲洗；</w:t>
            </w:r>
          </w:p>
        </w:tc>
        <w:tc>
          <w:tcPr>
            <w:tcW w:w="1754" w:type="pct"/>
            <w:tcBorders>
              <w:tl2br w:val="nil"/>
              <w:tr2bl w:val="nil"/>
            </w:tcBorders>
            <w:noWrap w:val="0"/>
            <w:vAlign w:val="center"/>
          </w:tcPr>
          <w:p w14:paraId="43B75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厂区地面粉尘要及时清理，保持原料堆场周边整洁、干净，减少二次扬尘。</w:t>
            </w:r>
          </w:p>
        </w:tc>
        <w:tc>
          <w:tcPr>
            <w:tcW w:w="519" w:type="pct"/>
            <w:tcBorders>
              <w:tl2br w:val="nil"/>
              <w:tr2bl w:val="nil"/>
            </w:tcBorders>
            <w:noWrap w:val="0"/>
            <w:vAlign w:val="center"/>
          </w:tcPr>
          <w:p w14:paraId="7449B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以新带老整改</w:t>
            </w:r>
          </w:p>
        </w:tc>
      </w:tr>
      <w:tr w14:paraId="1FF5F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6786D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4C398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4F298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破碎工序粉尘</w:t>
            </w:r>
          </w:p>
        </w:tc>
        <w:tc>
          <w:tcPr>
            <w:tcW w:w="1746" w:type="pct"/>
            <w:tcBorders>
              <w:tl2br w:val="nil"/>
              <w:tr2bl w:val="nil"/>
            </w:tcBorders>
            <w:noWrap w:val="0"/>
            <w:vAlign w:val="center"/>
          </w:tcPr>
          <w:p w14:paraId="2CCED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在破碎处设置集尘罩，产生的颗粒物通过布袋除尘器处理+1根15m高排气筒（DA00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）排放</w:t>
            </w:r>
          </w:p>
        </w:tc>
        <w:tc>
          <w:tcPr>
            <w:tcW w:w="1754" w:type="pct"/>
            <w:tcBorders>
              <w:tl2br w:val="nil"/>
              <w:tr2bl w:val="nil"/>
            </w:tcBorders>
            <w:noWrap w:val="0"/>
            <w:vAlign w:val="center"/>
          </w:tcPr>
          <w:p w14:paraId="48B78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19" w:type="pct"/>
            <w:tcBorders>
              <w:tl2br w:val="nil"/>
              <w:tr2bl w:val="nil"/>
            </w:tcBorders>
            <w:noWrap w:val="0"/>
            <w:vAlign w:val="center"/>
          </w:tcPr>
          <w:p w14:paraId="41B57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7DDB1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20B05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2C81F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48C9C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筛分工序粉尘</w:t>
            </w:r>
          </w:p>
        </w:tc>
        <w:tc>
          <w:tcPr>
            <w:tcW w:w="1746" w:type="pct"/>
            <w:tcBorders>
              <w:tl2br w:val="nil"/>
              <w:tr2bl w:val="nil"/>
            </w:tcBorders>
            <w:noWrap w:val="0"/>
            <w:vAlign w:val="center"/>
          </w:tcPr>
          <w:p w14:paraId="04474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在筛分处设置集尘罩，产生的颗粒物通过布袋除尘器处理+1根15m高排气筒（DA00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）排放</w:t>
            </w:r>
          </w:p>
        </w:tc>
        <w:tc>
          <w:tcPr>
            <w:tcW w:w="1754" w:type="pct"/>
            <w:tcBorders>
              <w:tl2br w:val="nil"/>
              <w:tr2bl w:val="nil"/>
            </w:tcBorders>
            <w:noWrap w:val="0"/>
            <w:vAlign w:val="center"/>
          </w:tcPr>
          <w:p w14:paraId="5FE6A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19" w:type="pct"/>
            <w:tcBorders>
              <w:tl2br w:val="nil"/>
              <w:tr2bl w:val="nil"/>
            </w:tcBorders>
            <w:noWrap w:val="0"/>
            <w:vAlign w:val="center"/>
          </w:tcPr>
          <w:p w14:paraId="4C4FB1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A7F9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FFA9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3A9B4E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3B58D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炉窑焙烧废气</w:t>
            </w:r>
          </w:p>
        </w:tc>
        <w:tc>
          <w:tcPr>
            <w:tcW w:w="1746" w:type="pct"/>
            <w:tcBorders>
              <w:tl2br w:val="nil"/>
              <w:tr2bl w:val="nil"/>
            </w:tcBorders>
            <w:noWrap w:val="0"/>
            <w:vAlign w:val="center"/>
          </w:tcPr>
          <w:p w14:paraId="4B2FD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隧道窑焙烧段烟气经1套SNCR脱硝+双碱法脱硫+湿电除尘器处理后经1根</w:t>
            </w:r>
            <w:r>
              <w:rPr>
                <w:rFonts w:hint="eastAsia" w:cs="Times New Roman"/>
                <w:bCs/>
                <w:color w:val="auto"/>
                <w:kern w:val="2"/>
                <w:sz w:val="21"/>
                <w:szCs w:val="21"/>
                <w:highlight w:val="none"/>
                <w:lang w:val="en-US" w:eastAsia="zh-CN" w:bidi="ar-SA"/>
              </w:rPr>
              <w:t>32</w:t>
            </w:r>
            <w:r>
              <w:rPr>
                <w:rFonts w:hint="default" w:ascii="Times New Roman" w:hAnsi="Times New Roman" w:eastAsia="宋体" w:cs="Times New Roman"/>
                <w:bCs/>
                <w:color w:val="auto"/>
                <w:kern w:val="2"/>
                <w:sz w:val="21"/>
                <w:szCs w:val="21"/>
                <w:highlight w:val="none"/>
                <w:lang w:val="en-US" w:eastAsia="zh-CN" w:bidi="ar-SA"/>
              </w:rPr>
              <w:t>m高排气筒（DA00</w:t>
            </w:r>
            <w:r>
              <w:rPr>
                <w:rFonts w:hint="eastAsia" w:cs="Times New Roman"/>
                <w:bCs/>
                <w:color w:val="auto"/>
                <w:kern w:val="2"/>
                <w:sz w:val="21"/>
                <w:szCs w:val="21"/>
                <w:highlight w:val="none"/>
                <w:lang w:val="en-US" w:eastAsia="zh-CN" w:bidi="ar-SA"/>
              </w:rPr>
              <w:t>1</w:t>
            </w:r>
            <w:r>
              <w:rPr>
                <w:rFonts w:hint="default" w:ascii="Times New Roman" w:hAnsi="Times New Roman" w:eastAsia="宋体" w:cs="Times New Roman"/>
                <w:bCs/>
                <w:color w:val="auto"/>
                <w:kern w:val="2"/>
                <w:sz w:val="21"/>
                <w:szCs w:val="21"/>
                <w:highlight w:val="none"/>
                <w:lang w:val="en-US" w:eastAsia="zh-CN" w:bidi="ar-SA"/>
              </w:rPr>
              <w:t>）排放，</w:t>
            </w:r>
            <w:r>
              <w:rPr>
                <w:rFonts w:hint="default" w:ascii="Times New Roman" w:hAnsi="Times New Roman" w:eastAsia="宋体" w:cs="Times New Roman"/>
                <w:color w:val="auto"/>
                <w:sz w:val="21"/>
                <w:szCs w:val="21"/>
                <w:highlight w:val="none"/>
                <w:lang w:eastAsia="zh-CN"/>
              </w:rPr>
              <w:t>排气筒设置在线监测装置</w:t>
            </w:r>
          </w:p>
        </w:tc>
        <w:tc>
          <w:tcPr>
            <w:tcW w:w="1754" w:type="pct"/>
            <w:tcBorders>
              <w:tl2br w:val="nil"/>
              <w:tr2bl w:val="nil"/>
            </w:tcBorders>
            <w:noWrap w:val="0"/>
            <w:vAlign w:val="center"/>
          </w:tcPr>
          <w:p w14:paraId="4E0AAF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隧道窑焙烧段烟气经1套SNCR脱硝+双碱法脱硫+湿电除尘器处理后经1根</w:t>
            </w:r>
            <w:r>
              <w:rPr>
                <w:rFonts w:hint="eastAsia" w:cs="Times New Roman"/>
                <w:bCs/>
                <w:color w:val="auto"/>
                <w:kern w:val="2"/>
                <w:sz w:val="21"/>
                <w:szCs w:val="21"/>
                <w:highlight w:val="none"/>
                <w:lang w:val="en-US" w:eastAsia="zh-CN" w:bidi="ar-SA"/>
              </w:rPr>
              <w:t>32</w:t>
            </w:r>
            <w:r>
              <w:rPr>
                <w:rFonts w:hint="default" w:ascii="Times New Roman" w:hAnsi="Times New Roman" w:eastAsia="宋体" w:cs="Times New Roman"/>
                <w:bCs/>
                <w:color w:val="auto"/>
                <w:kern w:val="2"/>
                <w:sz w:val="21"/>
                <w:szCs w:val="21"/>
                <w:highlight w:val="none"/>
                <w:lang w:val="en-US" w:eastAsia="zh-CN" w:bidi="ar-SA"/>
              </w:rPr>
              <w:t>m高排气筒（DA00</w:t>
            </w:r>
            <w:r>
              <w:rPr>
                <w:rFonts w:hint="eastAsia" w:cs="Times New Roman"/>
                <w:bCs/>
                <w:color w:val="auto"/>
                <w:kern w:val="2"/>
                <w:sz w:val="21"/>
                <w:szCs w:val="21"/>
                <w:highlight w:val="none"/>
                <w:lang w:val="en-US" w:eastAsia="zh-CN" w:bidi="ar-SA"/>
              </w:rPr>
              <w:t>1</w:t>
            </w:r>
            <w:r>
              <w:rPr>
                <w:rFonts w:hint="default" w:ascii="Times New Roman" w:hAnsi="Times New Roman" w:eastAsia="宋体" w:cs="Times New Roman"/>
                <w:bCs/>
                <w:color w:val="auto"/>
                <w:kern w:val="2"/>
                <w:sz w:val="21"/>
                <w:szCs w:val="21"/>
                <w:highlight w:val="none"/>
                <w:lang w:val="en-US" w:eastAsia="zh-CN" w:bidi="ar-SA"/>
              </w:rPr>
              <w:t>）排放，</w:t>
            </w:r>
            <w:r>
              <w:rPr>
                <w:rFonts w:hint="default" w:ascii="Times New Roman" w:hAnsi="Times New Roman" w:eastAsia="宋体" w:cs="Times New Roman"/>
                <w:color w:val="auto"/>
                <w:sz w:val="21"/>
                <w:szCs w:val="21"/>
                <w:highlight w:val="none"/>
                <w:lang w:eastAsia="zh-CN"/>
              </w:rPr>
              <w:t>排气筒设置在线监测装置</w:t>
            </w:r>
          </w:p>
        </w:tc>
        <w:tc>
          <w:tcPr>
            <w:tcW w:w="519" w:type="pct"/>
            <w:tcBorders>
              <w:tl2br w:val="nil"/>
              <w:tr2bl w:val="nil"/>
            </w:tcBorders>
            <w:noWrap w:val="0"/>
            <w:vAlign w:val="center"/>
          </w:tcPr>
          <w:p w14:paraId="449E9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进行系统化</w:t>
            </w:r>
            <w:r>
              <w:rPr>
                <w:rFonts w:hint="default" w:ascii="Times New Roman" w:hAnsi="Times New Roman" w:eastAsia="宋体" w:cs="Times New Roman"/>
                <w:color w:val="auto"/>
                <w:sz w:val="21"/>
                <w:szCs w:val="21"/>
                <w:highlight w:val="none"/>
                <w:lang w:val="en-US" w:eastAsia="zh-CN"/>
              </w:rPr>
              <w:t>改造</w:t>
            </w:r>
          </w:p>
        </w:tc>
      </w:tr>
      <w:tr w14:paraId="09EDC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168E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5C526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62959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道路运输扬尘</w:t>
            </w:r>
          </w:p>
        </w:tc>
        <w:tc>
          <w:tcPr>
            <w:tcW w:w="1746" w:type="pct"/>
            <w:tcBorders>
              <w:tl2br w:val="nil"/>
              <w:tr2bl w:val="nil"/>
            </w:tcBorders>
            <w:noWrap w:val="0"/>
            <w:vAlign w:val="center"/>
          </w:tcPr>
          <w:p w14:paraId="15465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①厂内运输道路硬化和洒水抑尘；②块状物料运输必须苫盖，密闭运输；③厂区出入口设置洗车平台，对运输车辆车身及轮胎进行冲洗。</w:t>
            </w:r>
          </w:p>
        </w:tc>
        <w:tc>
          <w:tcPr>
            <w:tcW w:w="1754" w:type="pct"/>
            <w:tcBorders>
              <w:tl2br w:val="nil"/>
              <w:tr2bl w:val="nil"/>
            </w:tcBorders>
            <w:noWrap w:val="0"/>
            <w:vAlign w:val="center"/>
          </w:tcPr>
          <w:p w14:paraId="2F89E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519" w:type="pct"/>
            <w:tcBorders>
              <w:tl2br w:val="nil"/>
              <w:tr2bl w:val="nil"/>
            </w:tcBorders>
            <w:noWrap w:val="0"/>
            <w:vAlign w:val="center"/>
          </w:tcPr>
          <w:p w14:paraId="059F2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93A3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5BA2E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1BC7DF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34E9C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石灰筒仓粉尘</w:t>
            </w:r>
          </w:p>
        </w:tc>
        <w:tc>
          <w:tcPr>
            <w:tcW w:w="1746" w:type="pct"/>
            <w:tcBorders>
              <w:tl2br w:val="nil"/>
              <w:tr2bl w:val="nil"/>
            </w:tcBorders>
            <w:noWrap w:val="0"/>
            <w:vAlign w:val="center"/>
          </w:tcPr>
          <w:p w14:paraId="59ED41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配1套布袋除尘器，粉尘经处理后由1根15m高排气筒（DA003）排放</w:t>
            </w:r>
          </w:p>
        </w:tc>
        <w:tc>
          <w:tcPr>
            <w:tcW w:w="1754" w:type="pct"/>
            <w:tcBorders>
              <w:tl2br w:val="nil"/>
              <w:tr2bl w:val="nil"/>
            </w:tcBorders>
            <w:noWrap w:val="0"/>
            <w:vAlign w:val="center"/>
          </w:tcPr>
          <w:p w14:paraId="62349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w:t>
            </w:r>
          </w:p>
        </w:tc>
        <w:tc>
          <w:tcPr>
            <w:tcW w:w="519" w:type="pct"/>
            <w:tcBorders>
              <w:tl2br w:val="nil"/>
              <w:tr2bl w:val="nil"/>
            </w:tcBorders>
            <w:noWrap w:val="0"/>
            <w:vAlign w:val="center"/>
          </w:tcPr>
          <w:p w14:paraId="0A3F7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1F7B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765B28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30B7B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2000E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皮带输送粉尘</w:t>
            </w:r>
          </w:p>
        </w:tc>
        <w:tc>
          <w:tcPr>
            <w:tcW w:w="1746" w:type="pct"/>
            <w:tcBorders>
              <w:tl2br w:val="nil"/>
              <w:tr2bl w:val="nil"/>
            </w:tcBorders>
            <w:noWrap w:val="0"/>
            <w:vAlign w:val="center"/>
          </w:tcPr>
          <w:p w14:paraId="2F950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车间无组织排放</w:t>
            </w:r>
            <w:r>
              <w:rPr>
                <w:rFonts w:hint="eastAsia" w:cs="Times New Roman"/>
                <w:snapToGrid w:val="0"/>
                <w:color w:val="auto"/>
                <w:kern w:val="0"/>
                <w:sz w:val="21"/>
                <w:szCs w:val="21"/>
                <w:highlight w:val="none"/>
                <w:lang w:val="en-US" w:eastAsia="zh-CN" w:bidi="ar-SA"/>
              </w:rPr>
              <w:t>，部分皮带未全封闭</w:t>
            </w:r>
          </w:p>
        </w:tc>
        <w:tc>
          <w:tcPr>
            <w:tcW w:w="1754" w:type="pct"/>
            <w:tcBorders>
              <w:tl2br w:val="nil"/>
              <w:tr2bl w:val="nil"/>
            </w:tcBorders>
            <w:noWrap w:val="0"/>
            <w:vAlign w:val="center"/>
          </w:tcPr>
          <w:p w14:paraId="6C8D9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车间</w:t>
            </w:r>
            <w:r>
              <w:rPr>
                <w:rFonts w:hint="default" w:ascii="Times New Roman" w:hAnsi="Times New Roman" w:eastAsia="宋体" w:cs="Times New Roman"/>
                <w:color w:val="auto"/>
                <w:sz w:val="21"/>
                <w:szCs w:val="21"/>
                <w:highlight w:val="none"/>
                <w:lang w:val="en-US" w:eastAsia="zh-CN"/>
              </w:rPr>
              <w:t>皮带</w:t>
            </w:r>
            <w:r>
              <w:rPr>
                <w:rFonts w:hint="default" w:ascii="Times New Roman" w:hAnsi="Times New Roman" w:eastAsia="宋体" w:cs="Times New Roman"/>
                <w:snapToGrid w:val="0"/>
                <w:color w:val="auto"/>
                <w:kern w:val="0"/>
                <w:sz w:val="21"/>
                <w:szCs w:val="21"/>
                <w:highlight w:val="none"/>
                <w:lang w:val="en-US" w:eastAsia="zh-CN" w:bidi="ar-SA"/>
              </w:rPr>
              <w:t>输送采用全封闭，并降低物料跌落高度</w:t>
            </w:r>
          </w:p>
        </w:tc>
        <w:tc>
          <w:tcPr>
            <w:tcW w:w="519" w:type="pct"/>
            <w:tcBorders>
              <w:tl2br w:val="nil"/>
              <w:tr2bl w:val="nil"/>
            </w:tcBorders>
            <w:noWrap w:val="0"/>
            <w:vAlign w:val="center"/>
          </w:tcPr>
          <w:p w14:paraId="1126E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以新带老整改</w:t>
            </w:r>
          </w:p>
        </w:tc>
      </w:tr>
      <w:tr w14:paraId="3D80C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5B3E0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restart"/>
            <w:tcBorders>
              <w:tl2br w:val="nil"/>
              <w:tr2bl w:val="nil"/>
            </w:tcBorders>
            <w:noWrap w:val="0"/>
            <w:vAlign w:val="center"/>
          </w:tcPr>
          <w:p w14:paraId="2D13F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603" w:type="pct"/>
            <w:gridSpan w:val="2"/>
            <w:tcBorders>
              <w:tl2br w:val="nil"/>
              <w:tr2bl w:val="nil"/>
            </w:tcBorders>
            <w:noWrap w:val="0"/>
            <w:vAlign w:val="center"/>
          </w:tcPr>
          <w:p w14:paraId="1D89C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w:t>
            </w:r>
            <w:r>
              <w:rPr>
                <w:rFonts w:hint="default"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w:t>
            </w:r>
          </w:p>
        </w:tc>
        <w:tc>
          <w:tcPr>
            <w:tcW w:w="1746" w:type="pct"/>
            <w:tcBorders>
              <w:tl2br w:val="nil"/>
              <w:tr2bl w:val="nil"/>
            </w:tcBorders>
            <w:noWrap w:val="0"/>
            <w:vAlign w:val="center"/>
          </w:tcPr>
          <w:p w14:paraId="48550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排入</w:t>
            </w:r>
            <w:r>
              <w:rPr>
                <w:rFonts w:hint="eastAsia" w:cs="Times New Roman"/>
                <w:snapToGrid w:val="0"/>
                <w:color w:val="auto"/>
                <w:kern w:val="0"/>
                <w:sz w:val="21"/>
                <w:szCs w:val="21"/>
                <w:highlight w:val="none"/>
                <w:lang w:val="en-US" w:eastAsia="zh-CN" w:bidi="ar-SA"/>
              </w:rPr>
              <w:t>化粪池</w:t>
            </w:r>
            <w:r>
              <w:rPr>
                <w:rFonts w:hint="default" w:ascii="Times New Roman" w:hAnsi="Times New Roman" w:eastAsia="宋体" w:cs="Times New Roman"/>
                <w:snapToGrid w:val="0"/>
                <w:color w:val="auto"/>
                <w:kern w:val="0"/>
                <w:sz w:val="21"/>
                <w:szCs w:val="21"/>
                <w:highlight w:val="none"/>
                <w:lang w:val="en-US" w:eastAsia="zh-CN" w:bidi="ar-SA"/>
              </w:rPr>
              <w:t>定期清掏用作农肥不外排</w:t>
            </w:r>
          </w:p>
        </w:tc>
        <w:tc>
          <w:tcPr>
            <w:tcW w:w="1754" w:type="pct"/>
            <w:tcBorders>
              <w:tl2br w:val="nil"/>
              <w:tr2bl w:val="nil"/>
            </w:tcBorders>
            <w:noWrap w:val="0"/>
            <w:vAlign w:val="center"/>
          </w:tcPr>
          <w:p w14:paraId="76237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02C7D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76973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29519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592DD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297AFE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脱硫、</w:t>
            </w:r>
            <w:r>
              <w:rPr>
                <w:rFonts w:hint="default" w:ascii="Times New Roman" w:hAnsi="Times New Roman" w:eastAsia="宋体" w:cs="Times New Roman"/>
                <w:color w:val="auto"/>
                <w:sz w:val="21"/>
                <w:szCs w:val="21"/>
                <w:highlight w:val="none"/>
                <w:lang w:val="en-US" w:eastAsia="zh-CN"/>
              </w:rPr>
              <w:t>湿式电除尘</w:t>
            </w:r>
            <w:r>
              <w:rPr>
                <w:rFonts w:hint="default" w:ascii="Times New Roman" w:hAnsi="Times New Roman" w:eastAsia="宋体" w:cs="Times New Roman"/>
                <w:color w:val="auto"/>
                <w:sz w:val="21"/>
                <w:szCs w:val="21"/>
                <w:highlight w:val="none"/>
                <w:lang w:eastAsia="zh-CN"/>
              </w:rPr>
              <w:t>废水</w:t>
            </w:r>
          </w:p>
        </w:tc>
        <w:tc>
          <w:tcPr>
            <w:tcW w:w="1746" w:type="pct"/>
            <w:tcBorders>
              <w:tl2br w:val="nil"/>
              <w:tr2bl w:val="nil"/>
            </w:tcBorders>
            <w:noWrap w:val="0"/>
            <w:vAlign w:val="center"/>
          </w:tcPr>
          <w:p w14:paraId="526043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经</w:t>
            </w:r>
            <w:r>
              <w:rPr>
                <w:rFonts w:hint="eastAsia"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循环水池</w:t>
            </w:r>
            <w:r>
              <w:rPr>
                <w:rFonts w:hint="default" w:ascii="Times New Roman" w:hAnsi="Times New Roman" w:eastAsia="宋体" w:cs="Times New Roman"/>
                <w:color w:val="auto"/>
                <w:sz w:val="21"/>
                <w:szCs w:val="21"/>
                <w:highlight w:val="none"/>
                <w:lang w:val="en-US" w:eastAsia="zh-CN"/>
              </w:rPr>
              <w:t>处理后循环使用，不外</w:t>
            </w:r>
            <w:r>
              <w:rPr>
                <w:rFonts w:hint="default" w:ascii="Times New Roman" w:hAnsi="Times New Roman" w:eastAsia="宋体" w:cs="Times New Roman"/>
                <w:color w:val="auto"/>
                <w:sz w:val="21"/>
                <w:szCs w:val="21"/>
                <w:highlight w:val="none"/>
                <w:lang w:eastAsia="zh-CN"/>
              </w:rPr>
              <w:t>排</w:t>
            </w:r>
          </w:p>
        </w:tc>
        <w:tc>
          <w:tcPr>
            <w:tcW w:w="1754" w:type="pct"/>
            <w:tcBorders>
              <w:tl2br w:val="nil"/>
              <w:tr2bl w:val="nil"/>
            </w:tcBorders>
            <w:noWrap w:val="0"/>
            <w:vAlign w:val="center"/>
          </w:tcPr>
          <w:p w14:paraId="3962B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696A2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7B1E3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3BB0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7983A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74B60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洗车废水</w:t>
            </w:r>
          </w:p>
        </w:tc>
        <w:tc>
          <w:tcPr>
            <w:tcW w:w="1746" w:type="pct"/>
            <w:tcBorders>
              <w:tl2br w:val="nil"/>
              <w:tr2bl w:val="nil"/>
            </w:tcBorders>
            <w:noWrap w:val="0"/>
            <w:vAlign w:val="center"/>
          </w:tcPr>
          <w:p w14:paraId="145375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经沉淀池（合计5m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处理后回用</w:t>
            </w:r>
            <w:r>
              <w:rPr>
                <w:rFonts w:hint="default" w:ascii="Times New Roman" w:hAnsi="Times New Roman" w:eastAsia="宋体" w:cs="Times New Roman"/>
                <w:color w:val="auto"/>
                <w:sz w:val="21"/>
                <w:szCs w:val="21"/>
                <w:highlight w:val="none"/>
                <w:lang w:eastAsia="zh-CN"/>
              </w:rPr>
              <w:t>，不外排</w:t>
            </w:r>
          </w:p>
        </w:tc>
        <w:tc>
          <w:tcPr>
            <w:tcW w:w="1754" w:type="pct"/>
            <w:tcBorders>
              <w:tl2br w:val="nil"/>
              <w:tr2bl w:val="nil"/>
            </w:tcBorders>
            <w:noWrap w:val="0"/>
            <w:vAlign w:val="center"/>
          </w:tcPr>
          <w:p w14:paraId="72B2F0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694BB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E847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3791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7646F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7EA996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w:t>
            </w:r>
          </w:p>
        </w:tc>
        <w:tc>
          <w:tcPr>
            <w:tcW w:w="1746" w:type="pct"/>
            <w:tcBorders>
              <w:tl2br w:val="nil"/>
              <w:tr2bl w:val="nil"/>
            </w:tcBorders>
            <w:noWrap w:val="0"/>
            <w:vAlign w:val="center"/>
          </w:tcPr>
          <w:p w14:paraId="14448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初期雨水池收集，回用于抑尘洒水</w:t>
            </w:r>
            <w:r>
              <w:rPr>
                <w:rFonts w:hint="default" w:ascii="Times New Roman" w:hAnsi="Times New Roman" w:eastAsia="宋体" w:cs="Times New Roman"/>
                <w:color w:val="auto"/>
                <w:sz w:val="21"/>
                <w:szCs w:val="21"/>
                <w:highlight w:val="none"/>
                <w:lang w:val="en-US" w:eastAsia="zh-CN"/>
              </w:rPr>
              <w:t>不外排</w:t>
            </w:r>
          </w:p>
        </w:tc>
        <w:tc>
          <w:tcPr>
            <w:tcW w:w="1754" w:type="pct"/>
            <w:tcBorders>
              <w:tl2br w:val="nil"/>
              <w:tr2bl w:val="nil"/>
            </w:tcBorders>
            <w:noWrap w:val="0"/>
            <w:vAlign w:val="center"/>
          </w:tcPr>
          <w:p w14:paraId="30C80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val="en-US" w:eastAsia="zh-CN"/>
              </w:rPr>
              <w:t>550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初期雨水池收集，回用于抑尘洒水</w:t>
            </w:r>
            <w:r>
              <w:rPr>
                <w:rFonts w:hint="default" w:ascii="Times New Roman" w:hAnsi="Times New Roman" w:eastAsia="宋体" w:cs="Times New Roman"/>
                <w:color w:val="auto"/>
                <w:sz w:val="21"/>
                <w:szCs w:val="21"/>
                <w:highlight w:val="none"/>
                <w:lang w:val="en-US" w:eastAsia="zh-CN"/>
              </w:rPr>
              <w:t>不外排</w:t>
            </w:r>
          </w:p>
        </w:tc>
        <w:tc>
          <w:tcPr>
            <w:tcW w:w="519" w:type="pct"/>
            <w:tcBorders>
              <w:tl2br w:val="nil"/>
              <w:tr2bl w:val="nil"/>
            </w:tcBorders>
            <w:noWrap w:val="0"/>
            <w:vAlign w:val="center"/>
          </w:tcPr>
          <w:p w14:paraId="61C35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以新带老整改</w:t>
            </w:r>
          </w:p>
        </w:tc>
      </w:tr>
      <w:tr w14:paraId="65ABE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60ABB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tcBorders>
              <w:tl2br w:val="nil"/>
              <w:tr2bl w:val="nil"/>
            </w:tcBorders>
            <w:noWrap w:val="0"/>
            <w:vAlign w:val="center"/>
          </w:tcPr>
          <w:p w14:paraId="3B6F2D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603" w:type="pct"/>
            <w:gridSpan w:val="2"/>
            <w:tcBorders>
              <w:tl2br w:val="nil"/>
              <w:tr2bl w:val="nil"/>
            </w:tcBorders>
            <w:noWrap w:val="0"/>
            <w:vAlign w:val="center"/>
          </w:tcPr>
          <w:p w14:paraId="5B46E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设备、运输车辆、装载机等</w:t>
            </w:r>
          </w:p>
        </w:tc>
        <w:tc>
          <w:tcPr>
            <w:tcW w:w="1746" w:type="pct"/>
            <w:tcBorders>
              <w:tl2br w:val="nil"/>
              <w:tr2bl w:val="nil"/>
            </w:tcBorders>
            <w:noWrap w:val="0"/>
            <w:vAlign w:val="center"/>
          </w:tcPr>
          <w:p w14:paraId="3D9E1E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选用低噪设备、生产设备全部位于室内，设置基础减震、</w:t>
            </w:r>
            <w:r>
              <w:rPr>
                <w:rFonts w:hint="default" w:ascii="Times New Roman" w:hAnsi="Times New Roman" w:eastAsia="宋体"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lang w:eastAsia="zh-CN"/>
              </w:rPr>
              <w:t>隔声等措施，运输车辆限速、禁鸣笛；装载机定期维护保持良好工况</w:t>
            </w:r>
          </w:p>
        </w:tc>
        <w:tc>
          <w:tcPr>
            <w:tcW w:w="1754" w:type="pct"/>
            <w:tcBorders>
              <w:tl2br w:val="nil"/>
              <w:tr2bl w:val="nil"/>
            </w:tcBorders>
            <w:noWrap w:val="0"/>
            <w:vAlign w:val="center"/>
          </w:tcPr>
          <w:p w14:paraId="1410F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78B47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14574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13B49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restart"/>
            <w:tcBorders>
              <w:tl2br w:val="nil"/>
              <w:tr2bl w:val="nil"/>
            </w:tcBorders>
            <w:noWrap w:val="0"/>
            <w:vAlign w:val="center"/>
          </w:tcPr>
          <w:p w14:paraId="5AC43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603" w:type="pct"/>
            <w:gridSpan w:val="2"/>
            <w:tcBorders>
              <w:tl2br w:val="nil"/>
              <w:tr2bl w:val="nil"/>
            </w:tcBorders>
            <w:noWrap w:val="0"/>
            <w:vAlign w:val="center"/>
          </w:tcPr>
          <w:p w14:paraId="6EE98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746" w:type="pct"/>
            <w:tcBorders>
              <w:tl2br w:val="nil"/>
              <w:tr2bl w:val="nil"/>
            </w:tcBorders>
            <w:noWrap w:val="0"/>
            <w:vAlign w:val="center"/>
          </w:tcPr>
          <w:p w14:paraId="65980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集中收集后由当地环卫部门统一处理</w:t>
            </w:r>
          </w:p>
        </w:tc>
        <w:tc>
          <w:tcPr>
            <w:tcW w:w="1754" w:type="pct"/>
            <w:tcBorders>
              <w:tl2br w:val="nil"/>
              <w:tr2bl w:val="nil"/>
            </w:tcBorders>
            <w:noWrap w:val="0"/>
            <w:vAlign w:val="center"/>
          </w:tcPr>
          <w:p w14:paraId="5D6B1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7D9126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6DB1A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46EE3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42CBA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70" w:type="pct"/>
            <w:vMerge w:val="restart"/>
            <w:tcBorders>
              <w:tl2br w:val="nil"/>
              <w:tr2bl w:val="nil"/>
            </w:tcBorders>
            <w:noWrap w:val="0"/>
            <w:vAlign w:val="center"/>
          </w:tcPr>
          <w:p w14:paraId="2B124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233" w:type="pct"/>
            <w:tcBorders>
              <w:tl2br w:val="nil"/>
              <w:tr2bl w:val="nil"/>
            </w:tcBorders>
            <w:noWrap w:val="0"/>
            <w:vAlign w:val="center"/>
          </w:tcPr>
          <w:p w14:paraId="4B5539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除尘灰</w:t>
            </w:r>
          </w:p>
        </w:tc>
        <w:tc>
          <w:tcPr>
            <w:tcW w:w="1746" w:type="pct"/>
            <w:vMerge w:val="restart"/>
            <w:tcBorders>
              <w:tl2br w:val="nil"/>
              <w:tr2bl w:val="nil"/>
            </w:tcBorders>
            <w:noWrap w:val="0"/>
            <w:vAlign w:val="center"/>
          </w:tcPr>
          <w:p w14:paraId="3172D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作为原料回用于生产</w:t>
            </w:r>
          </w:p>
        </w:tc>
        <w:tc>
          <w:tcPr>
            <w:tcW w:w="1754" w:type="pct"/>
            <w:tcBorders>
              <w:tl2br w:val="nil"/>
              <w:tr2bl w:val="nil"/>
            </w:tcBorders>
            <w:noWrap w:val="0"/>
            <w:vAlign w:val="center"/>
          </w:tcPr>
          <w:p w14:paraId="63185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58AA0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6C61B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75D97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7C1AE7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70" w:type="pct"/>
            <w:vMerge w:val="continue"/>
            <w:tcBorders>
              <w:tl2br w:val="nil"/>
              <w:tr2bl w:val="nil"/>
            </w:tcBorders>
            <w:noWrap w:val="0"/>
            <w:vAlign w:val="center"/>
          </w:tcPr>
          <w:p w14:paraId="0EBB1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3" w:type="pct"/>
            <w:tcBorders>
              <w:tl2br w:val="nil"/>
              <w:tr2bl w:val="nil"/>
            </w:tcBorders>
            <w:noWrap w:val="0"/>
            <w:vAlign w:val="center"/>
          </w:tcPr>
          <w:p w14:paraId="20646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废砖坯</w:t>
            </w:r>
          </w:p>
        </w:tc>
        <w:tc>
          <w:tcPr>
            <w:tcW w:w="1746" w:type="pct"/>
            <w:vMerge w:val="continue"/>
            <w:tcBorders>
              <w:tl2br w:val="nil"/>
              <w:tr2bl w:val="nil"/>
            </w:tcBorders>
            <w:noWrap w:val="0"/>
            <w:vAlign w:val="center"/>
          </w:tcPr>
          <w:p w14:paraId="41874E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4" w:type="pct"/>
            <w:tcBorders>
              <w:tl2br w:val="nil"/>
              <w:tr2bl w:val="nil"/>
            </w:tcBorders>
            <w:noWrap w:val="0"/>
            <w:vAlign w:val="center"/>
          </w:tcPr>
          <w:p w14:paraId="11C7A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2B960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45DEC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FCC0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6C7813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70" w:type="pct"/>
            <w:vMerge w:val="continue"/>
            <w:tcBorders>
              <w:tl2br w:val="nil"/>
              <w:tr2bl w:val="nil"/>
            </w:tcBorders>
            <w:noWrap w:val="0"/>
            <w:vAlign w:val="center"/>
          </w:tcPr>
          <w:p w14:paraId="73E0B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3" w:type="pct"/>
            <w:tcBorders>
              <w:tl2br w:val="nil"/>
              <w:tr2bl w:val="nil"/>
            </w:tcBorders>
            <w:noWrap w:val="0"/>
            <w:vAlign w:val="center"/>
          </w:tcPr>
          <w:p w14:paraId="10EA7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不合格品</w:t>
            </w:r>
          </w:p>
        </w:tc>
        <w:tc>
          <w:tcPr>
            <w:tcW w:w="1746" w:type="pct"/>
            <w:vMerge w:val="continue"/>
            <w:tcBorders>
              <w:tl2br w:val="nil"/>
              <w:tr2bl w:val="nil"/>
            </w:tcBorders>
            <w:noWrap w:val="0"/>
            <w:vAlign w:val="center"/>
          </w:tcPr>
          <w:p w14:paraId="4F41D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4" w:type="pct"/>
            <w:tcBorders>
              <w:tl2br w:val="nil"/>
              <w:tr2bl w:val="nil"/>
            </w:tcBorders>
            <w:noWrap w:val="0"/>
            <w:vAlign w:val="center"/>
          </w:tcPr>
          <w:p w14:paraId="2FD57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7C6C4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19988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84B7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3BAB5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70" w:type="pct"/>
            <w:vMerge w:val="continue"/>
            <w:tcBorders>
              <w:tl2br w:val="nil"/>
              <w:tr2bl w:val="nil"/>
            </w:tcBorders>
            <w:noWrap w:val="0"/>
            <w:vAlign w:val="center"/>
          </w:tcPr>
          <w:p w14:paraId="1EC91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3" w:type="pct"/>
            <w:tcBorders>
              <w:tl2br w:val="nil"/>
              <w:tr2bl w:val="nil"/>
            </w:tcBorders>
            <w:noWrap w:val="0"/>
            <w:vAlign w:val="center"/>
          </w:tcPr>
          <w:p w14:paraId="7637AF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脱硫废渣</w:t>
            </w:r>
          </w:p>
        </w:tc>
        <w:tc>
          <w:tcPr>
            <w:tcW w:w="1746" w:type="pct"/>
            <w:tcBorders>
              <w:tl2br w:val="nil"/>
              <w:tr2bl w:val="nil"/>
            </w:tcBorders>
            <w:noWrap w:val="0"/>
            <w:vAlign w:val="center"/>
          </w:tcPr>
          <w:p w14:paraId="1B473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作为建材原料外售综合利用</w:t>
            </w:r>
          </w:p>
        </w:tc>
        <w:tc>
          <w:tcPr>
            <w:tcW w:w="1754" w:type="pct"/>
            <w:tcBorders>
              <w:tl2br w:val="nil"/>
              <w:tr2bl w:val="nil"/>
            </w:tcBorders>
            <w:noWrap w:val="0"/>
            <w:vAlign w:val="center"/>
          </w:tcPr>
          <w:p w14:paraId="32CCF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63694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345FE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CB38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6" w:type="pct"/>
            <w:vMerge w:val="continue"/>
            <w:tcBorders>
              <w:tl2br w:val="nil"/>
              <w:tr2bl w:val="nil"/>
            </w:tcBorders>
            <w:noWrap w:val="0"/>
            <w:vAlign w:val="center"/>
          </w:tcPr>
          <w:p w14:paraId="1BC6A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3" w:type="pct"/>
            <w:gridSpan w:val="2"/>
            <w:tcBorders>
              <w:tl2br w:val="nil"/>
              <w:tr2bl w:val="nil"/>
            </w:tcBorders>
            <w:noWrap w:val="0"/>
            <w:vAlign w:val="center"/>
          </w:tcPr>
          <w:p w14:paraId="15E6D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1746" w:type="pct"/>
            <w:tcBorders>
              <w:tl2br w:val="nil"/>
              <w:tr2bl w:val="nil"/>
            </w:tcBorders>
            <w:noWrap w:val="0"/>
            <w:vAlign w:val="center"/>
          </w:tcPr>
          <w:p w14:paraId="424488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废矿物油、废油桶暂存于危废贮存</w:t>
            </w:r>
            <w:r>
              <w:rPr>
                <w:rFonts w:hint="eastAsia" w:cs="Times New Roman"/>
                <w:color w:val="auto"/>
                <w:sz w:val="21"/>
                <w:szCs w:val="21"/>
                <w:highlight w:val="none"/>
                <w:lang w:val="en-US" w:eastAsia="zh-CN"/>
              </w:rPr>
              <w:t>点</w:t>
            </w:r>
            <w:r>
              <w:rPr>
                <w:rFonts w:hint="default" w:ascii="Times New Roman" w:hAnsi="Times New Roman" w:eastAsia="宋体" w:cs="Times New Roman"/>
                <w:color w:val="auto"/>
                <w:sz w:val="21"/>
                <w:szCs w:val="21"/>
                <w:highlight w:val="none"/>
                <w:lang w:val="en-US" w:eastAsia="zh-CN"/>
              </w:rPr>
              <w:t>，定期交有资质单位处理</w:t>
            </w:r>
          </w:p>
        </w:tc>
        <w:tc>
          <w:tcPr>
            <w:tcW w:w="1754" w:type="pct"/>
            <w:tcBorders>
              <w:tl2br w:val="nil"/>
              <w:tr2bl w:val="nil"/>
            </w:tcBorders>
            <w:noWrap w:val="0"/>
            <w:vAlign w:val="center"/>
          </w:tcPr>
          <w:p w14:paraId="51DA1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19" w:type="pct"/>
            <w:tcBorders>
              <w:tl2br w:val="nil"/>
              <w:tr2bl w:val="nil"/>
            </w:tcBorders>
            <w:noWrap w:val="0"/>
            <w:vAlign w:val="center"/>
          </w:tcPr>
          <w:p w14:paraId="452DB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14:paraId="0A6E5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restart"/>
            <w:tcBorders>
              <w:tl2br w:val="nil"/>
              <w:tr2bl w:val="nil"/>
            </w:tcBorders>
            <w:noWrap w:val="0"/>
            <w:vAlign w:val="center"/>
          </w:tcPr>
          <w:p w14:paraId="73239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依托工程</w:t>
            </w:r>
          </w:p>
        </w:tc>
        <w:tc>
          <w:tcPr>
            <w:tcW w:w="779" w:type="pct"/>
            <w:gridSpan w:val="3"/>
            <w:tcBorders>
              <w:tl2br w:val="nil"/>
              <w:tr2bl w:val="nil"/>
            </w:tcBorders>
            <w:noWrap w:val="0"/>
            <w:vAlign w:val="center"/>
          </w:tcPr>
          <w:p w14:paraId="48A2A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原料库</w:t>
            </w:r>
          </w:p>
        </w:tc>
        <w:tc>
          <w:tcPr>
            <w:tcW w:w="3501" w:type="pct"/>
            <w:gridSpan w:val="2"/>
            <w:tcBorders>
              <w:tl2br w:val="nil"/>
              <w:tr2bl w:val="nil"/>
            </w:tcBorders>
            <w:noWrap w:val="0"/>
            <w:vAlign w:val="center"/>
          </w:tcPr>
          <w:p w14:paraId="1681B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r>
              <w:rPr>
                <w:rFonts w:hint="eastAsia" w:ascii="Times New Roman" w:hAnsi="Times New Roman" w:eastAsia="宋体" w:cs="Times New Roman"/>
                <w:color w:val="auto"/>
                <w:sz w:val="21"/>
                <w:szCs w:val="21"/>
                <w:highlight w:val="none"/>
                <w:lang w:val="en-US" w:eastAsia="zh-CN"/>
              </w:rPr>
              <w:t>原料库。原料库占地面积约1700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，煤矸石有效储存面积</w:t>
            </w:r>
            <w:r>
              <w:rPr>
                <w:rFonts w:hint="eastAsia" w:ascii="Times New Roman" w:hAnsi="Times New Roman" w:eastAsia="宋体" w:cs="Times New Roman"/>
                <w:color w:val="auto"/>
                <w:sz w:val="21"/>
                <w:szCs w:val="21"/>
                <w:highlight w:val="none"/>
                <w:lang w:val="en-US" w:eastAsia="zh-CN"/>
              </w:rPr>
              <w:t>以85%计，则</w:t>
            </w:r>
            <w:r>
              <w:rPr>
                <w:rFonts w:hint="default" w:ascii="Times New Roman" w:hAnsi="Times New Roman" w:eastAsia="宋体" w:cs="Times New Roman"/>
                <w:color w:val="auto"/>
                <w:sz w:val="21"/>
                <w:szCs w:val="21"/>
                <w:highlight w:val="none"/>
                <w:lang w:val="en-US" w:eastAsia="zh-CN"/>
              </w:rPr>
              <w:t>煤矸石有效储存面积为</w:t>
            </w:r>
            <w:r>
              <w:rPr>
                <w:rFonts w:hint="eastAsia" w:ascii="Times New Roman" w:hAnsi="Times New Roman" w:eastAsia="宋体" w:cs="Times New Roman"/>
                <w:color w:val="auto"/>
                <w:sz w:val="21"/>
                <w:szCs w:val="21"/>
                <w:highlight w:val="none"/>
                <w:lang w:val="en-US" w:eastAsia="zh-CN"/>
              </w:rPr>
              <w:t>1445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，储存高度约</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m，则有效容积约</w:t>
            </w:r>
            <w:r>
              <w:rPr>
                <w:rFonts w:hint="eastAsia" w:ascii="Times New Roman" w:hAnsi="Times New Roman" w:eastAsia="宋体" w:cs="Times New Roman"/>
                <w:color w:val="auto"/>
                <w:sz w:val="21"/>
                <w:szCs w:val="21"/>
                <w:highlight w:val="none"/>
                <w:lang w:val="en-US" w:eastAsia="zh-CN"/>
              </w:rPr>
              <w:t>8670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。煤矸石体积密度取值为1.5t/m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，则煤矸石的</w:t>
            </w:r>
            <w:r>
              <w:rPr>
                <w:rFonts w:hint="eastAsia" w:ascii="Times New Roman" w:hAnsi="Times New Roman" w:eastAsia="宋体" w:cs="Times New Roman"/>
                <w:color w:val="auto"/>
                <w:sz w:val="21"/>
                <w:szCs w:val="21"/>
                <w:highlight w:val="none"/>
                <w:lang w:val="en-US" w:eastAsia="zh-CN"/>
              </w:rPr>
              <w:t>实际</w:t>
            </w:r>
            <w:r>
              <w:rPr>
                <w:rFonts w:hint="default" w:ascii="Times New Roman" w:hAnsi="Times New Roman" w:eastAsia="宋体" w:cs="Times New Roman"/>
                <w:color w:val="auto"/>
                <w:sz w:val="21"/>
                <w:szCs w:val="21"/>
                <w:highlight w:val="none"/>
                <w:lang w:val="en-US" w:eastAsia="zh-CN"/>
              </w:rPr>
              <w:t>有效存储量约为</w:t>
            </w:r>
            <w:r>
              <w:rPr>
                <w:rFonts w:hint="eastAsia" w:ascii="Times New Roman" w:hAnsi="Times New Roman" w:eastAsia="宋体" w:cs="Times New Roman"/>
                <w:color w:val="auto"/>
                <w:sz w:val="21"/>
                <w:szCs w:val="21"/>
                <w:highlight w:val="none"/>
                <w:lang w:val="en-US" w:eastAsia="zh-CN"/>
              </w:rPr>
              <w:t>13000</w:t>
            </w:r>
            <w:r>
              <w:rPr>
                <w:rFonts w:hint="default" w:ascii="Times New Roman" w:hAnsi="Times New Roman" w:eastAsia="宋体" w:cs="Times New Roman"/>
                <w:color w:val="auto"/>
                <w:sz w:val="21"/>
                <w:szCs w:val="21"/>
                <w:highlight w:val="none"/>
                <w:lang w:val="en-US" w:eastAsia="zh-CN"/>
              </w:rPr>
              <w:t>吨。本项目设计</w:t>
            </w:r>
            <w:r>
              <w:rPr>
                <w:rFonts w:hint="eastAsia" w:ascii="Times New Roman" w:hAnsi="Times New Roman" w:eastAsia="宋体" w:cs="Times New Roman"/>
                <w:color w:val="auto"/>
                <w:sz w:val="21"/>
                <w:szCs w:val="21"/>
                <w:highlight w:val="none"/>
                <w:lang w:val="en-US" w:eastAsia="zh-CN"/>
              </w:rPr>
              <w:t>年累计</w:t>
            </w:r>
            <w:r>
              <w:rPr>
                <w:rFonts w:hint="default" w:ascii="Times New Roman" w:hAnsi="Times New Roman" w:eastAsia="宋体" w:cs="Times New Roman"/>
                <w:color w:val="auto"/>
                <w:sz w:val="21"/>
                <w:szCs w:val="21"/>
                <w:highlight w:val="none"/>
                <w:lang w:val="en-US" w:eastAsia="zh-CN"/>
              </w:rPr>
              <w:t>储</w:t>
            </w:r>
            <w:r>
              <w:rPr>
                <w:rFonts w:hint="eastAsia" w:ascii="Times New Roman" w:hAnsi="Times New Roman" w:eastAsia="宋体" w:cs="Times New Roman"/>
                <w:color w:val="auto"/>
                <w:sz w:val="21"/>
                <w:szCs w:val="21"/>
                <w:highlight w:val="none"/>
                <w:lang w:val="en-US" w:eastAsia="zh-CN"/>
              </w:rPr>
              <w:t>存</w:t>
            </w:r>
            <w:r>
              <w:rPr>
                <w:rFonts w:hint="default" w:ascii="Times New Roman" w:hAnsi="Times New Roman" w:eastAsia="宋体" w:cs="Times New Roman"/>
                <w:color w:val="auto"/>
                <w:sz w:val="21"/>
                <w:szCs w:val="21"/>
                <w:highlight w:val="none"/>
                <w:lang w:val="en-US" w:eastAsia="zh-CN"/>
              </w:rPr>
              <w:t>煤矸石</w:t>
            </w:r>
            <w:r>
              <w:rPr>
                <w:rFonts w:hint="eastAsia" w:ascii="Times New Roman" w:hAnsi="Times New Roman" w:eastAsia="宋体" w:cs="Times New Roman"/>
                <w:color w:val="auto"/>
                <w:sz w:val="21"/>
                <w:szCs w:val="21"/>
                <w:highlight w:val="none"/>
                <w:lang w:val="en-US" w:eastAsia="zh-CN"/>
              </w:rPr>
              <w:t>346500</w:t>
            </w:r>
            <w:r>
              <w:rPr>
                <w:rFonts w:hint="default" w:ascii="Times New Roman" w:hAnsi="Times New Roman" w:eastAsia="宋体" w:cs="Times New Roman"/>
                <w:color w:val="auto"/>
                <w:sz w:val="21"/>
                <w:szCs w:val="21"/>
                <w:highlight w:val="none"/>
                <w:lang w:val="en-US" w:eastAsia="zh-CN"/>
              </w:rPr>
              <w:t>吨，可储存</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天的原料，满足《烧结砖瓦工厂设计规范（GB50701-2011）》中煤矸石原料棚储存周期应为10-30d要求。</w:t>
            </w:r>
          </w:p>
        </w:tc>
        <w:tc>
          <w:tcPr>
            <w:tcW w:w="519" w:type="pct"/>
            <w:tcBorders>
              <w:tl2br w:val="nil"/>
              <w:tr2bl w:val="nil"/>
            </w:tcBorders>
            <w:noWrap w:val="0"/>
            <w:vAlign w:val="center"/>
          </w:tcPr>
          <w:p w14:paraId="585ED6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53DE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285818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0B8A3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生产车间</w:t>
            </w:r>
          </w:p>
        </w:tc>
        <w:tc>
          <w:tcPr>
            <w:tcW w:w="3501" w:type="pct"/>
            <w:gridSpan w:val="2"/>
            <w:tcBorders>
              <w:tl2br w:val="nil"/>
              <w:tr2bl w:val="nil"/>
            </w:tcBorders>
            <w:noWrap w:val="0"/>
            <w:vAlign w:val="center"/>
          </w:tcPr>
          <w:p w14:paraId="12362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依托现有生产车间，并淘汰设备</w:t>
            </w:r>
          </w:p>
        </w:tc>
        <w:tc>
          <w:tcPr>
            <w:tcW w:w="519" w:type="pct"/>
            <w:tcBorders>
              <w:tl2br w:val="nil"/>
              <w:tr2bl w:val="nil"/>
            </w:tcBorders>
            <w:noWrap w:val="0"/>
            <w:vAlign w:val="center"/>
          </w:tcPr>
          <w:p w14:paraId="6EC302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4C6A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6BC9D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69292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制砖车间</w:t>
            </w:r>
          </w:p>
        </w:tc>
        <w:tc>
          <w:tcPr>
            <w:tcW w:w="3501" w:type="pct"/>
            <w:gridSpan w:val="2"/>
            <w:tcBorders>
              <w:tl2br w:val="nil"/>
              <w:tr2bl w:val="nil"/>
            </w:tcBorders>
            <w:noWrap w:val="0"/>
            <w:vAlign w:val="center"/>
          </w:tcPr>
          <w:p w14:paraId="1E4694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依托现有制砖车间，并更换生产设备</w:t>
            </w:r>
          </w:p>
        </w:tc>
        <w:tc>
          <w:tcPr>
            <w:tcW w:w="519" w:type="pct"/>
            <w:tcBorders>
              <w:tl2br w:val="nil"/>
              <w:tr2bl w:val="nil"/>
            </w:tcBorders>
            <w:noWrap w:val="0"/>
            <w:vAlign w:val="center"/>
          </w:tcPr>
          <w:p w14:paraId="0F16F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6C5F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21CA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52A29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供水</w:t>
            </w:r>
          </w:p>
        </w:tc>
        <w:tc>
          <w:tcPr>
            <w:tcW w:w="3501" w:type="pct"/>
            <w:gridSpan w:val="2"/>
            <w:tcBorders>
              <w:tl2br w:val="nil"/>
              <w:tr2bl w:val="nil"/>
            </w:tcBorders>
            <w:noWrap w:val="0"/>
            <w:vAlign w:val="center"/>
          </w:tcPr>
          <w:p w14:paraId="68598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w:t>
            </w:r>
            <w:r>
              <w:rPr>
                <w:rFonts w:hint="default" w:ascii="Times New Roman" w:hAnsi="Times New Roman" w:eastAsia="宋体" w:cs="Times New Roman"/>
                <w:color w:val="auto"/>
                <w:sz w:val="21"/>
                <w:szCs w:val="21"/>
                <w:highlight w:val="none"/>
              </w:rPr>
              <w:t>厂区自备水井</w:t>
            </w:r>
          </w:p>
        </w:tc>
        <w:tc>
          <w:tcPr>
            <w:tcW w:w="519" w:type="pct"/>
            <w:tcBorders>
              <w:tl2br w:val="nil"/>
              <w:tr2bl w:val="nil"/>
            </w:tcBorders>
            <w:noWrap w:val="0"/>
            <w:vAlign w:val="center"/>
          </w:tcPr>
          <w:p w14:paraId="12CA71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0633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4CEAF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03FF3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供电</w:t>
            </w:r>
          </w:p>
        </w:tc>
        <w:tc>
          <w:tcPr>
            <w:tcW w:w="3501" w:type="pct"/>
            <w:gridSpan w:val="2"/>
            <w:tcBorders>
              <w:tl2br w:val="nil"/>
              <w:tr2bl w:val="nil"/>
            </w:tcBorders>
            <w:noWrap w:val="0"/>
            <w:vAlign w:val="center"/>
          </w:tcPr>
          <w:p w14:paraId="04864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依托现有供电设施</w:t>
            </w:r>
          </w:p>
        </w:tc>
        <w:tc>
          <w:tcPr>
            <w:tcW w:w="519" w:type="pct"/>
            <w:tcBorders>
              <w:tl2br w:val="nil"/>
              <w:tr2bl w:val="nil"/>
            </w:tcBorders>
            <w:noWrap w:val="0"/>
            <w:vAlign w:val="center"/>
          </w:tcPr>
          <w:p w14:paraId="095F8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D07F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5601F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4B060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供热</w:t>
            </w:r>
          </w:p>
        </w:tc>
        <w:tc>
          <w:tcPr>
            <w:tcW w:w="3501" w:type="pct"/>
            <w:gridSpan w:val="2"/>
            <w:tcBorders>
              <w:tl2br w:val="nil"/>
              <w:tr2bl w:val="nil"/>
            </w:tcBorders>
            <w:noWrap w:val="0"/>
            <w:vAlign w:val="center"/>
          </w:tcPr>
          <w:p w14:paraId="52053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依托现有供热设施</w:t>
            </w:r>
          </w:p>
        </w:tc>
        <w:tc>
          <w:tcPr>
            <w:tcW w:w="519" w:type="pct"/>
            <w:tcBorders>
              <w:tl2br w:val="nil"/>
              <w:tr2bl w:val="nil"/>
            </w:tcBorders>
            <w:noWrap w:val="0"/>
            <w:vAlign w:val="center"/>
          </w:tcPr>
          <w:p w14:paraId="551FA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5912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78C84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01F10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w:t>
            </w:r>
            <w:r>
              <w:rPr>
                <w:rFonts w:hint="default" w:ascii="Times New Roman" w:hAnsi="Times New Roman" w:eastAsia="宋体" w:cs="Times New Roman"/>
                <w:color w:val="auto"/>
                <w:sz w:val="21"/>
                <w:szCs w:val="21"/>
                <w:highlight w:val="none"/>
                <w:lang w:val="en-US" w:eastAsia="zh-CN"/>
              </w:rPr>
              <w:t>治理设施</w:t>
            </w:r>
          </w:p>
        </w:tc>
        <w:tc>
          <w:tcPr>
            <w:tcW w:w="3501" w:type="pct"/>
            <w:gridSpan w:val="2"/>
            <w:tcBorders>
              <w:tl2br w:val="nil"/>
              <w:tr2bl w:val="nil"/>
            </w:tcBorders>
            <w:noWrap w:val="0"/>
            <w:vAlign w:val="center"/>
          </w:tcPr>
          <w:p w14:paraId="2EFDA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依托现有</w:t>
            </w:r>
            <w:r>
              <w:rPr>
                <w:rFonts w:hint="default" w:ascii="Times New Roman" w:hAnsi="Times New Roman" w:eastAsia="宋体" w:cs="Times New Roman"/>
                <w:color w:val="auto"/>
                <w:sz w:val="21"/>
                <w:szCs w:val="21"/>
                <w:highlight w:val="none"/>
                <w:lang w:eastAsia="zh-CN"/>
              </w:rPr>
              <w:t>脱硫</w:t>
            </w:r>
            <w:r>
              <w:rPr>
                <w:rFonts w:hint="default" w:ascii="Times New Roman" w:hAnsi="Times New Roman" w:eastAsia="宋体" w:cs="Times New Roman"/>
                <w:color w:val="auto"/>
                <w:sz w:val="21"/>
                <w:szCs w:val="21"/>
                <w:highlight w:val="none"/>
                <w:lang w:val="en-US" w:eastAsia="zh-CN"/>
              </w:rPr>
              <w:t>废水循环水池、洗车废水沉淀池</w:t>
            </w:r>
          </w:p>
        </w:tc>
        <w:tc>
          <w:tcPr>
            <w:tcW w:w="519" w:type="pct"/>
            <w:tcBorders>
              <w:tl2br w:val="nil"/>
              <w:tr2bl w:val="nil"/>
            </w:tcBorders>
            <w:noWrap w:val="0"/>
            <w:vAlign w:val="center"/>
          </w:tcPr>
          <w:p w14:paraId="1249C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72A2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 w:type="pct"/>
            <w:vMerge w:val="continue"/>
            <w:tcBorders>
              <w:tl2br w:val="nil"/>
              <w:tr2bl w:val="nil"/>
            </w:tcBorders>
            <w:noWrap w:val="0"/>
            <w:vAlign w:val="center"/>
          </w:tcPr>
          <w:p w14:paraId="06F55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9" w:type="pct"/>
            <w:gridSpan w:val="3"/>
            <w:tcBorders>
              <w:tl2br w:val="nil"/>
              <w:tr2bl w:val="nil"/>
            </w:tcBorders>
            <w:noWrap w:val="0"/>
            <w:vAlign w:val="center"/>
          </w:tcPr>
          <w:p w14:paraId="0F19D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危废贮存</w:t>
            </w:r>
            <w:r>
              <w:rPr>
                <w:rFonts w:hint="eastAsia" w:cs="Times New Roman"/>
                <w:color w:val="auto"/>
                <w:sz w:val="21"/>
                <w:szCs w:val="21"/>
                <w:highlight w:val="none"/>
                <w:lang w:val="en-US" w:eastAsia="zh-CN"/>
              </w:rPr>
              <w:t>点</w:t>
            </w:r>
          </w:p>
        </w:tc>
        <w:tc>
          <w:tcPr>
            <w:tcW w:w="3501" w:type="pct"/>
            <w:gridSpan w:val="2"/>
            <w:tcBorders>
              <w:tl2br w:val="nil"/>
              <w:tr2bl w:val="nil"/>
            </w:tcBorders>
            <w:noWrap w:val="0"/>
            <w:vAlign w:val="center"/>
          </w:tcPr>
          <w:p w14:paraId="6D183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一间</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eastAsia" w:cs="Times New Roman"/>
                <w:color w:val="auto"/>
                <w:sz w:val="21"/>
                <w:szCs w:val="21"/>
                <w:highlight w:val="none"/>
                <w:lang w:val="en-US" w:eastAsia="zh-CN"/>
              </w:rPr>
              <w:t>危废贮存点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位于厂区</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侧。现有废矿物油、废油桶存放面积占约</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改</w:t>
            </w:r>
            <w:r>
              <w:rPr>
                <w:rFonts w:hint="default" w:ascii="Times New Roman" w:hAnsi="Times New Roman" w:eastAsia="宋体" w:cs="Times New Roman"/>
                <w:color w:val="auto"/>
                <w:sz w:val="21"/>
                <w:szCs w:val="21"/>
                <w:highlight w:val="none"/>
                <w:lang w:val="en-US" w:eastAsia="zh-CN"/>
              </w:rPr>
              <w:t>建项目废矿物油、废油桶占地面积占约</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，可满足本项目的危废储存量。</w:t>
            </w:r>
          </w:p>
        </w:tc>
        <w:tc>
          <w:tcPr>
            <w:tcW w:w="519" w:type="pct"/>
            <w:tcBorders>
              <w:tl2br w:val="nil"/>
              <w:tr2bl w:val="nil"/>
            </w:tcBorders>
            <w:noWrap w:val="0"/>
            <w:vAlign w:val="center"/>
          </w:tcPr>
          <w:p w14:paraId="151DF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72125D2A">
      <w:pPr>
        <w:pStyle w:val="20"/>
        <w:jc w:val="center"/>
        <w:rPr>
          <w:rFonts w:ascii="Times New Roman" w:hAnsi="Times New Roman" w:eastAsia="黑体"/>
          <w:snapToGrid w:val="0"/>
          <w:sz w:val="36"/>
          <w:szCs w:val="36"/>
        </w:rPr>
        <w:sectPr>
          <w:pgSz w:w="16838" w:h="11906" w:orient="landscape"/>
          <w:pgMar w:top="1134" w:right="1474" w:bottom="1134" w:left="1474" w:header="851" w:footer="851" w:gutter="0"/>
          <w:pgBorders>
            <w:top w:val="none" w:sz="0" w:space="0"/>
            <w:left w:val="none" w:sz="0" w:space="0"/>
            <w:bottom w:val="none" w:sz="0" w:space="0"/>
            <w:right w:val="none" w:sz="0" w:space="0"/>
          </w:pgBorders>
          <w:cols w:space="720" w:num="1"/>
          <w:docGrid w:linePitch="312" w:charSpace="0"/>
        </w:sectPr>
      </w:pP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14:paraId="5FE74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251" w:type="pct"/>
            <w:tcBorders>
              <w:tl2br w:val="nil"/>
              <w:tr2bl w:val="nil"/>
            </w:tcBorders>
            <w:vAlign w:val="center"/>
          </w:tcPr>
          <w:p w14:paraId="084579A2">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bCs/>
                <w:color w:val="auto"/>
                <w:sz w:val="24"/>
                <w:szCs w:val="24"/>
              </w:rPr>
              <w:t>建设内容</w:t>
            </w:r>
          </w:p>
        </w:tc>
        <w:tc>
          <w:tcPr>
            <w:tcW w:w="4748" w:type="pct"/>
            <w:tcBorders>
              <w:tl2br w:val="nil"/>
              <w:tr2bl w:val="nil"/>
            </w:tcBorders>
          </w:tcPr>
          <w:p w14:paraId="21BCC87C">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eastAsia"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2.2产品方案</w:t>
            </w:r>
          </w:p>
          <w:p w14:paraId="349EE9CD">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0"/>
                <w:highlight w:val="none"/>
              </w:rPr>
              <w:t>项目</w:t>
            </w:r>
            <w:r>
              <w:rPr>
                <w:rFonts w:hint="default" w:ascii="Times New Roman" w:hAnsi="Times New Roman" w:eastAsia="宋体" w:cs="Times New Roman"/>
                <w:color w:val="auto"/>
                <w:sz w:val="24"/>
                <w:szCs w:val="20"/>
                <w:highlight w:val="none"/>
                <w:lang w:eastAsia="zh-CN"/>
              </w:rPr>
              <w:t>产品方案</w:t>
            </w:r>
            <w:r>
              <w:rPr>
                <w:rFonts w:hint="default" w:ascii="Times New Roman" w:hAnsi="Times New Roman" w:eastAsia="宋体" w:cs="Times New Roman"/>
                <w:color w:val="auto"/>
                <w:sz w:val="24"/>
                <w:szCs w:val="20"/>
                <w:highlight w:val="none"/>
                <w:lang w:val="en-US" w:eastAsia="zh-CN"/>
              </w:rPr>
              <w:t>一览表</w:t>
            </w:r>
            <w:r>
              <w:rPr>
                <w:rFonts w:ascii="Times New Roman" w:hAnsi="Times New Roman" w:eastAsia="宋体" w:cs="Times New Roman"/>
                <w:color w:val="auto"/>
                <w:sz w:val="24"/>
                <w:szCs w:val="20"/>
                <w:highlight w:val="none"/>
              </w:rPr>
              <w:t>见</w:t>
            </w:r>
            <w:r>
              <w:rPr>
                <w:rFonts w:ascii="Times New Roman" w:hAnsi="Times New Roman" w:eastAsia="宋体" w:cs="Times New Roman"/>
                <w:color w:val="auto"/>
                <w:sz w:val="24"/>
                <w:szCs w:val="24"/>
                <w:highlight w:val="none"/>
              </w:rPr>
              <w:t>表</w:t>
            </w:r>
            <w:r>
              <w:rPr>
                <w:rFonts w:hint="eastAsia" w:ascii="Times New Roman" w:hAnsi="Times New Roman" w:eastAsia="宋体"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w:t>
            </w:r>
          </w:p>
          <w:p w14:paraId="59D3CF6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w:t>
            </w:r>
            <w:r>
              <w:rPr>
                <w:rFonts w:hint="eastAsia" w:ascii="Times New Roman" w:hAnsi="Times New Roman" w:eastAsia="黑体" w:cs="Times New Roman"/>
                <w:b w:val="0"/>
                <w:bCs/>
                <w:color w:val="auto"/>
                <w:spacing w:val="0"/>
                <w:kern w:val="2"/>
                <w:sz w:val="24"/>
                <w:szCs w:val="24"/>
                <w:highlight w:val="none"/>
                <w:lang w:val="en-US" w:eastAsia="zh-CN" w:bidi="ar-SA"/>
              </w:rPr>
              <w:t>2-2</w:t>
            </w:r>
            <w:r>
              <w:rPr>
                <w:rFonts w:hint="default" w:ascii="Times New Roman" w:hAnsi="Times New Roman" w:eastAsia="黑体" w:cs="Times New Roman"/>
                <w:b w:val="0"/>
                <w:bCs/>
                <w:color w:val="auto"/>
                <w:spacing w:val="0"/>
                <w:kern w:val="2"/>
                <w:sz w:val="24"/>
                <w:szCs w:val="24"/>
                <w:highlight w:val="none"/>
                <w:lang w:val="en-US" w:eastAsia="zh-CN" w:bidi="ar-SA"/>
              </w:rPr>
              <w:t xml:space="preserve">  项目产品方案一览表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2"/>
              <w:gridCol w:w="1252"/>
              <w:gridCol w:w="1389"/>
              <w:gridCol w:w="1356"/>
              <w:gridCol w:w="1364"/>
              <w:gridCol w:w="847"/>
              <w:gridCol w:w="1854"/>
            </w:tblGrid>
            <w:tr w14:paraId="765DC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2" w:type="pct"/>
                  <w:vMerge w:val="restart"/>
                  <w:tcBorders>
                    <w:tl2br w:val="nil"/>
                    <w:tr2bl w:val="nil"/>
                  </w:tcBorders>
                  <w:noWrap w:val="0"/>
                  <w:vAlign w:val="center"/>
                </w:tcPr>
                <w:p w14:paraId="6E2E6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序号</w:t>
                  </w:r>
                </w:p>
              </w:tc>
              <w:tc>
                <w:tcPr>
                  <w:tcW w:w="746" w:type="pct"/>
                  <w:vMerge w:val="restart"/>
                  <w:tcBorders>
                    <w:tl2br w:val="nil"/>
                    <w:tr2bl w:val="nil"/>
                  </w:tcBorders>
                  <w:noWrap w:val="0"/>
                  <w:vAlign w:val="center"/>
                </w:tcPr>
                <w:p w14:paraId="32117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1636" w:type="pct"/>
                  <w:gridSpan w:val="2"/>
                  <w:tcBorders>
                    <w:tl2br w:val="nil"/>
                    <w:tr2bl w:val="nil"/>
                  </w:tcBorders>
                  <w:noWrap w:val="0"/>
                  <w:vAlign w:val="center"/>
                </w:tcPr>
                <w:p w14:paraId="2112A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年产量/块（折标）</w:t>
                  </w:r>
                </w:p>
              </w:tc>
              <w:tc>
                <w:tcPr>
                  <w:tcW w:w="813" w:type="pct"/>
                  <w:vMerge w:val="restart"/>
                  <w:tcBorders>
                    <w:tl2br w:val="nil"/>
                    <w:tr2bl w:val="nil"/>
                  </w:tcBorders>
                  <w:noWrap w:val="0"/>
                  <w:vAlign w:val="center"/>
                </w:tcPr>
                <w:p w14:paraId="5BC1F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产品规格尺寸/mm</w:t>
                  </w:r>
                </w:p>
              </w:tc>
              <w:tc>
                <w:tcPr>
                  <w:tcW w:w="505" w:type="pct"/>
                  <w:vMerge w:val="restart"/>
                  <w:tcBorders>
                    <w:tl2br w:val="nil"/>
                    <w:tr2bl w:val="nil"/>
                  </w:tcBorders>
                  <w:noWrap w:val="0"/>
                  <w:vAlign w:val="center"/>
                </w:tcPr>
                <w:p w14:paraId="207939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en-US"/>
                    </w:rPr>
                  </w:pPr>
                  <w:r>
                    <w:rPr>
                      <w:rFonts w:hint="default" w:ascii="Times New Roman" w:hAnsi="Times New Roman" w:eastAsia="宋体" w:cs="Times New Roman"/>
                      <w:b/>
                      <w:bCs/>
                      <w:color w:val="auto"/>
                      <w:sz w:val="21"/>
                      <w:szCs w:val="21"/>
                      <w:highlight w:val="none"/>
                      <w:lang w:val="en-US" w:eastAsia="en-US"/>
                    </w:rPr>
                    <w:t>孔隙率</w:t>
                  </w:r>
                </w:p>
              </w:tc>
              <w:tc>
                <w:tcPr>
                  <w:tcW w:w="1105" w:type="pct"/>
                  <w:vMerge w:val="restart"/>
                  <w:tcBorders>
                    <w:tl2br w:val="nil"/>
                    <w:tr2bl w:val="nil"/>
                  </w:tcBorders>
                  <w:noWrap w:val="0"/>
                  <w:vAlign w:val="center"/>
                </w:tcPr>
                <w:p w14:paraId="0DF7EE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产品标准</w:t>
                  </w:r>
                </w:p>
              </w:tc>
            </w:tr>
            <w:tr w14:paraId="1890A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2" w:type="pct"/>
                  <w:vMerge w:val="continue"/>
                  <w:tcBorders>
                    <w:tl2br w:val="nil"/>
                    <w:tr2bl w:val="nil"/>
                  </w:tcBorders>
                  <w:noWrap w:val="0"/>
                  <w:vAlign w:val="center"/>
                </w:tcPr>
                <w:p w14:paraId="38CE5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46" w:type="pct"/>
                  <w:vMerge w:val="continue"/>
                  <w:tcBorders>
                    <w:tl2br w:val="nil"/>
                    <w:tr2bl w:val="nil"/>
                  </w:tcBorders>
                  <w:noWrap w:val="0"/>
                  <w:vAlign w:val="center"/>
                </w:tcPr>
                <w:p w14:paraId="60BED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828" w:type="pct"/>
                  <w:tcBorders>
                    <w:tl2br w:val="nil"/>
                    <w:tr2bl w:val="nil"/>
                  </w:tcBorders>
                  <w:noWrap w:val="0"/>
                  <w:vAlign w:val="center"/>
                </w:tcPr>
                <w:p w14:paraId="6F892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Hans"/>
                    </w:rPr>
                  </w:pPr>
                  <w:r>
                    <w:rPr>
                      <w:rFonts w:hint="eastAsia" w:cs="Times New Roman"/>
                      <w:b/>
                      <w:bCs/>
                      <w:color w:val="auto"/>
                      <w:sz w:val="21"/>
                      <w:szCs w:val="21"/>
                      <w:highlight w:val="none"/>
                      <w:lang w:val="en-US" w:eastAsia="zh-CN"/>
                    </w:rPr>
                    <w:t>改</w:t>
                  </w:r>
                  <w:r>
                    <w:rPr>
                      <w:rFonts w:hint="default" w:ascii="Times New Roman" w:hAnsi="Times New Roman" w:eastAsia="宋体" w:cs="Times New Roman"/>
                      <w:b/>
                      <w:bCs/>
                      <w:color w:val="auto"/>
                      <w:sz w:val="21"/>
                      <w:szCs w:val="21"/>
                      <w:highlight w:val="none"/>
                      <w:lang w:eastAsia="zh-Hans"/>
                    </w:rPr>
                    <w:t>建</w:t>
                  </w:r>
                  <w:r>
                    <w:rPr>
                      <w:rFonts w:hint="default" w:ascii="Times New Roman" w:hAnsi="Times New Roman" w:eastAsia="宋体" w:cs="Times New Roman"/>
                      <w:b/>
                      <w:bCs/>
                      <w:color w:val="auto"/>
                      <w:sz w:val="21"/>
                      <w:szCs w:val="21"/>
                      <w:highlight w:val="none"/>
                    </w:rPr>
                    <w:t>前</w:t>
                  </w:r>
                </w:p>
              </w:tc>
              <w:tc>
                <w:tcPr>
                  <w:tcW w:w="808" w:type="pct"/>
                  <w:tcBorders>
                    <w:tl2br w:val="nil"/>
                    <w:tr2bl w:val="nil"/>
                  </w:tcBorders>
                  <w:noWrap w:val="0"/>
                  <w:vAlign w:val="center"/>
                </w:tcPr>
                <w:p w14:paraId="3AE4C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Hans"/>
                    </w:rPr>
                  </w:pPr>
                  <w:r>
                    <w:rPr>
                      <w:rFonts w:hint="eastAsia" w:cs="Times New Roman"/>
                      <w:b/>
                      <w:bCs/>
                      <w:color w:val="auto"/>
                      <w:sz w:val="21"/>
                      <w:szCs w:val="21"/>
                      <w:highlight w:val="none"/>
                      <w:lang w:val="en-US" w:eastAsia="zh-CN"/>
                    </w:rPr>
                    <w:t>改</w:t>
                  </w:r>
                  <w:r>
                    <w:rPr>
                      <w:rFonts w:hint="default" w:ascii="Times New Roman" w:hAnsi="Times New Roman" w:eastAsia="宋体" w:cs="Times New Roman"/>
                      <w:b/>
                      <w:bCs/>
                      <w:color w:val="auto"/>
                      <w:sz w:val="21"/>
                      <w:szCs w:val="21"/>
                      <w:highlight w:val="none"/>
                      <w:lang w:eastAsia="zh-Hans"/>
                    </w:rPr>
                    <w:t>建</w:t>
                  </w:r>
                  <w:r>
                    <w:rPr>
                      <w:rFonts w:hint="default" w:ascii="Times New Roman" w:hAnsi="Times New Roman" w:eastAsia="宋体" w:cs="Times New Roman"/>
                      <w:b/>
                      <w:bCs/>
                      <w:color w:val="auto"/>
                      <w:sz w:val="21"/>
                      <w:szCs w:val="21"/>
                      <w:highlight w:val="none"/>
                    </w:rPr>
                    <w:t>后</w:t>
                  </w:r>
                </w:p>
              </w:tc>
              <w:tc>
                <w:tcPr>
                  <w:tcW w:w="813" w:type="pct"/>
                  <w:vMerge w:val="continue"/>
                  <w:tcBorders>
                    <w:tl2br w:val="nil"/>
                    <w:tr2bl w:val="nil"/>
                  </w:tcBorders>
                  <w:noWrap w:val="0"/>
                  <w:vAlign w:val="center"/>
                </w:tcPr>
                <w:p w14:paraId="6B5A7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05" w:type="pct"/>
                  <w:vMerge w:val="continue"/>
                  <w:tcBorders>
                    <w:tl2br w:val="nil"/>
                    <w:tr2bl w:val="nil"/>
                  </w:tcBorders>
                  <w:noWrap w:val="0"/>
                  <w:vAlign w:val="center"/>
                </w:tcPr>
                <w:p w14:paraId="35C27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105" w:type="pct"/>
                  <w:vMerge w:val="continue"/>
                  <w:tcBorders>
                    <w:tl2br w:val="nil"/>
                    <w:tr2bl w:val="nil"/>
                  </w:tcBorders>
                  <w:noWrap w:val="0"/>
                  <w:vAlign w:val="center"/>
                </w:tcPr>
                <w:p w14:paraId="6112F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14:paraId="5E87B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2" w:type="pct"/>
                  <w:tcBorders>
                    <w:tl2br w:val="nil"/>
                    <w:tr2bl w:val="nil"/>
                  </w:tcBorders>
                  <w:noWrap w:val="0"/>
                  <w:vAlign w:val="center"/>
                </w:tcPr>
                <w:p w14:paraId="1E994A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46" w:type="pct"/>
                  <w:tcBorders>
                    <w:tl2br w:val="nil"/>
                    <w:tr2bl w:val="nil"/>
                  </w:tcBorders>
                  <w:noWrap w:val="0"/>
                  <w:vAlign w:val="center"/>
                </w:tcPr>
                <w:p w14:paraId="7CA6D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煤矸石烧结实心砖</w:t>
                  </w:r>
                </w:p>
              </w:tc>
              <w:tc>
                <w:tcPr>
                  <w:tcW w:w="828" w:type="pct"/>
                  <w:tcBorders>
                    <w:tl2br w:val="nil"/>
                    <w:tr2bl w:val="nil"/>
                  </w:tcBorders>
                  <w:noWrap w:val="0"/>
                  <w:vAlign w:val="center"/>
                </w:tcPr>
                <w:p w14:paraId="7B81CD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6000</w:t>
                  </w:r>
                </w:p>
              </w:tc>
              <w:tc>
                <w:tcPr>
                  <w:tcW w:w="808" w:type="pct"/>
                  <w:tcBorders>
                    <w:tl2br w:val="nil"/>
                    <w:tr2bl w:val="nil"/>
                  </w:tcBorders>
                  <w:noWrap w:val="0"/>
                  <w:vAlign w:val="center"/>
                </w:tcPr>
                <w:p w14:paraId="2FCBE6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w:t>
                  </w:r>
                </w:p>
              </w:tc>
              <w:tc>
                <w:tcPr>
                  <w:tcW w:w="813" w:type="pct"/>
                  <w:tcBorders>
                    <w:tl2br w:val="nil"/>
                    <w:tr2bl w:val="nil"/>
                  </w:tcBorders>
                  <w:noWrap w:val="0"/>
                  <w:vAlign w:val="center"/>
                </w:tcPr>
                <w:p w14:paraId="7BDD9C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240×115×53</w:t>
                  </w:r>
                </w:p>
              </w:tc>
              <w:tc>
                <w:tcPr>
                  <w:tcW w:w="505" w:type="pct"/>
                  <w:tcBorders>
                    <w:tl2br w:val="nil"/>
                    <w:tr2bl w:val="nil"/>
                  </w:tcBorders>
                  <w:noWrap w:val="0"/>
                  <w:vAlign w:val="center"/>
                </w:tcPr>
                <w:p w14:paraId="6DD3E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05" w:type="pct"/>
                  <w:tcBorders>
                    <w:tl2br w:val="nil"/>
                    <w:tr2bl w:val="nil"/>
                  </w:tcBorders>
                  <w:noWrap w:val="0"/>
                  <w:vAlign w:val="center"/>
                </w:tcPr>
                <w:p w14:paraId="54D0C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GB5101-2017《烧结普通砖》</w:t>
                  </w:r>
                </w:p>
              </w:tc>
            </w:tr>
          </w:tbl>
          <w:p w14:paraId="09036EB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根据《烧结普通砖》（GB5101-2017），</w:t>
            </w:r>
            <w:r>
              <w:rPr>
                <w:rFonts w:hint="default" w:ascii="Times New Roman" w:hAnsi="Times New Roman" w:eastAsia="宋体" w:cs="Times New Roman"/>
                <w:color w:val="auto"/>
                <w:sz w:val="24"/>
                <w:szCs w:val="24"/>
                <w:highlight w:val="none"/>
                <w:lang w:val="en-US" w:eastAsia="zh-CN"/>
              </w:rPr>
              <w:t>砖的外观质量应符合表</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的规定。</w:t>
            </w:r>
          </w:p>
          <w:p w14:paraId="7A66DD1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w:t>
            </w:r>
            <w:r>
              <w:rPr>
                <w:rFonts w:hint="eastAsia" w:ascii="Times New Roman" w:hAnsi="Times New Roman" w:eastAsia="黑体" w:cs="Times New Roman"/>
                <w:b w:val="0"/>
                <w:bCs/>
                <w:color w:val="auto"/>
                <w:spacing w:val="0"/>
                <w:kern w:val="2"/>
                <w:sz w:val="24"/>
                <w:szCs w:val="24"/>
                <w:highlight w:val="none"/>
                <w:lang w:val="en-US" w:eastAsia="zh-CN" w:bidi="ar-SA"/>
              </w:rPr>
              <w:t>2-3</w:t>
            </w:r>
            <w:r>
              <w:rPr>
                <w:rFonts w:hint="default" w:ascii="Times New Roman" w:hAnsi="Times New Roman" w:eastAsia="黑体" w:cs="Times New Roman"/>
                <w:b w:val="0"/>
                <w:bCs/>
                <w:color w:val="auto"/>
                <w:spacing w:val="0"/>
                <w:kern w:val="2"/>
                <w:sz w:val="24"/>
                <w:szCs w:val="24"/>
                <w:highlight w:val="none"/>
                <w:lang w:val="en-US" w:eastAsia="zh-CN" w:bidi="ar-SA"/>
              </w:rPr>
              <w:t xml:space="preserve">  项目产品</w:t>
            </w:r>
            <w:r>
              <w:rPr>
                <w:rFonts w:hint="eastAsia" w:ascii="Times New Roman" w:hAnsi="Times New Roman" w:eastAsia="黑体" w:cs="Times New Roman"/>
                <w:b w:val="0"/>
                <w:bCs/>
                <w:color w:val="auto"/>
                <w:spacing w:val="0"/>
                <w:kern w:val="2"/>
                <w:sz w:val="24"/>
                <w:szCs w:val="24"/>
                <w:highlight w:val="none"/>
                <w:lang w:val="en-US" w:eastAsia="zh-CN" w:bidi="ar-SA"/>
              </w:rPr>
              <w:t>外观质量</w:t>
            </w:r>
            <w:r>
              <w:rPr>
                <w:rFonts w:hint="default" w:ascii="Times New Roman" w:hAnsi="Times New Roman" w:eastAsia="黑体" w:cs="Times New Roman"/>
                <w:b w:val="0"/>
                <w:bCs/>
                <w:color w:val="auto"/>
                <w:spacing w:val="0"/>
                <w:kern w:val="2"/>
                <w:sz w:val="24"/>
                <w:szCs w:val="24"/>
                <w:highlight w:val="none"/>
                <w:lang w:val="en-US" w:eastAsia="zh-CN" w:bidi="ar-SA"/>
              </w:rPr>
              <w:t>表</w:t>
            </w:r>
          </w:p>
          <w:tbl>
            <w:tblPr>
              <w:tblStyle w:val="24"/>
              <w:tblW w:w="4998"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8"/>
              <w:gridCol w:w="1549"/>
              <w:gridCol w:w="2257"/>
            </w:tblGrid>
            <w:tr w14:paraId="617DA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654" w:type="pct"/>
                  <w:gridSpan w:val="2"/>
                  <w:tcBorders>
                    <w:tl2br w:val="nil"/>
                    <w:tr2bl w:val="nil"/>
                  </w:tcBorders>
                  <w:noWrap w:val="0"/>
                  <w:vAlign w:val="center"/>
                </w:tcPr>
                <w:p w14:paraId="6C6B8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1345" w:type="pct"/>
                  <w:tcBorders>
                    <w:tl2br w:val="nil"/>
                    <w:tr2bl w:val="nil"/>
                  </w:tcBorders>
                  <w:noWrap w:val="0"/>
                  <w:vAlign w:val="center"/>
                </w:tcPr>
                <w:p w14:paraId="12840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指标（单位：mm）</w:t>
                  </w:r>
                </w:p>
              </w:tc>
            </w:tr>
            <w:tr w14:paraId="78A2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1EEF4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两条面高度差</w:t>
                  </w:r>
                </w:p>
              </w:tc>
              <w:tc>
                <w:tcPr>
                  <w:tcW w:w="923" w:type="pct"/>
                  <w:tcBorders>
                    <w:tl2br w:val="nil"/>
                    <w:tr2bl w:val="nil"/>
                  </w:tcBorders>
                  <w:noWrap w:val="0"/>
                  <w:vAlign w:val="center"/>
                </w:tcPr>
                <w:p w14:paraId="622C2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45" w:type="pct"/>
                  <w:tcBorders>
                    <w:tl2br w:val="nil"/>
                    <w:tr2bl w:val="nil"/>
                  </w:tcBorders>
                  <w:noWrap w:val="0"/>
                  <w:vAlign w:val="center"/>
                </w:tcPr>
                <w:p w14:paraId="25EF6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1B88F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18955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弯曲</w:t>
                  </w:r>
                </w:p>
              </w:tc>
              <w:tc>
                <w:tcPr>
                  <w:tcW w:w="923" w:type="pct"/>
                  <w:tcBorders>
                    <w:tl2br w:val="nil"/>
                    <w:tr2bl w:val="nil"/>
                  </w:tcBorders>
                  <w:noWrap w:val="0"/>
                  <w:vAlign w:val="center"/>
                </w:tcPr>
                <w:p w14:paraId="65450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45" w:type="pct"/>
                  <w:tcBorders>
                    <w:tl2br w:val="nil"/>
                    <w:tr2bl w:val="nil"/>
                  </w:tcBorders>
                  <w:noWrap w:val="0"/>
                  <w:vAlign w:val="center"/>
                </w:tcPr>
                <w:p w14:paraId="10C99E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5050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03B4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杂质凸出高度</w:t>
                  </w:r>
                </w:p>
              </w:tc>
              <w:tc>
                <w:tcPr>
                  <w:tcW w:w="923" w:type="pct"/>
                  <w:tcBorders>
                    <w:tl2br w:val="nil"/>
                    <w:tr2bl w:val="nil"/>
                  </w:tcBorders>
                  <w:noWrap w:val="0"/>
                  <w:vAlign w:val="center"/>
                </w:tcPr>
                <w:p w14:paraId="5307B7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45" w:type="pct"/>
                  <w:tcBorders>
                    <w:tl2br w:val="nil"/>
                    <w:tr2bl w:val="nil"/>
                  </w:tcBorders>
                  <w:noWrap w:val="0"/>
                  <w:vAlign w:val="center"/>
                </w:tcPr>
                <w:p w14:paraId="6932D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77935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38A374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缺棱掉角的三个破坏尺寸</w:t>
                  </w:r>
                </w:p>
              </w:tc>
              <w:tc>
                <w:tcPr>
                  <w:tcW w:w="923" w:type="pct"/>
                  <w:tcBorders>
                    <w:tl2br w:val="nil"/>
                    <w:tr2bl w:val="nil"/>
                  </w:tcBorders>
                  <w:noWrap w:val="0"/>
                  <w:vAlign w:val="center"/>
                </w:tcPr>
                <w:p w14:paraId="5B7416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不得同时大于</w:t>
                  </w:r>
                </w:p>
              </w:tc>
              <w:tc>
                <w:tcPr>
                  <w:tcW w:w="1345" w:type="pct"/>
                  <w:tcBorders>
                    <w:tl2br w:val="nil"/>
                    <w:tr2bl w:val="nil"/>
                  </w:tcBorders>
                  <w:noWrap w:val="0"/>
                  <w:vAlign w:val="center"/>
                </w:tcPr>
                <w:p w14:paraId="1BF7E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14:paraId="684D5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3EE6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裂纹长度</w:t>
                  </w:r>
                </w:p>
              </w:tc>
              <w:tc>
                <w:tcPr>
                  <w:tcW w:w="923" w:type="pct"/>
                  <w:tcBorders>
                    <w:tl2br w:val="nil"/>
                    <w:tr2bl w:val="nil"/>
                  </w:tcBorders>
                  <w:noWrap w:val="0"/>
                  <w:vAlign w:val="center"/>
                </w:tcPr>
                <w:p w14:paraId="389BDC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45" w:type="pct"/>
                  <w:tcBorders>
                    <w:tl2br w:val="nil"/>
                    <w:tr2bl w:val="nil"/>
                  </w:tcBorders>
                  <w:noWrap w:val="0"/>
                  <w:vAlign w:val="center"/>
                </w:tcPr>
                <w:p w14:paraId="2994A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F821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73A25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a.大面上宽度方向及其延伸至条面的长度</w:t>
                  </w:r>
                </w:p>
              </w:tc>
              <w:tc>
                <w:tcPr>
                  <w:tcW w:w="923" w:type="pct"/>
                  <w:tcBorders>
                    <w:tl2br w:val="nil"/>
                    <w:tr2bl w:val="nil"/>
                  </w:tcBorders>
                  <w:noWrap w:val="0"/>
                  <w:vAlign w:val="center"/>
                </w:tcPr>
                <w:p w14:paraId="16DDC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45" w:type="pct"/>
                  <w:tcBorders>
                    <w:tl2br w:val="nil"/>
                    <w:tr2bl w:val="nil"/>
                  </w:tcBorders>
                  <w:noWrap w:val="0"/>
                  <w:vAlign w:val="center"/>
                </w:tcPr>
                <w:p w14:paraId="634EE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14:paraId="5546A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tcBorders>
                    <w:tl2br w:val="nil"/>
                    <w:tr2bl w:val="nil"/>
                  </w:tcBorders>
                  <w:noWrap w:val="0"/>
                  <w:vAlign w:val="center"/>
                </w:tcPr>
                <w:p w14:paraId="57096A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b.大面上长度方向及其延伸至顶面的长度或条顶面上水平裂纹的长度完整面</w:t>
                  </w:r>
                  <w:r>
                    <w:rPr>
                      <w:rFonts w:hint="default" w:ascii="Times New Roman" w:hAnsi="Times New Roman" w:eastAsia="宋体" w:cs="Times New Roman"/>
                      <w:color w:val="auto"/>
                      <w:sz w:val="21"/>
                      <w:szCs w:val="21"/>
                      <w:highlight w:val="none"/>
                      <w:vertAlign w:val="superscript"/>
                      <w:lang w:val="en-US" w:eastAsia="zh-CN"/>
                    </w:rPr>
                    <w:t>a</w:t>
                  </w:r>
                </w:p>
              </w:tc>
              <w:tc>
                <w:tcPr>
                  <w:tcW w:w="923" w:type="pct"/>
                  <w:tcBorders>
                    <w:tl2br w:val="nil"/>
                    <w:tr2bl w:val="nil"/>
                  </w:tcBorders>
                  <w:noWrap w:val="0"/>
                  <w:vAlign w:val="center"/>
                </w:tcPr>
                <w:p w14:paraId="4CC65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不得少于</w:t>
                  </w:r>
                </w:p>
              </w:tc>
              <w:tc>
                <w:tcPr>
                  <w:tcW w:w="1345" w:type="pct"/>
                  <w:tcBorders>
                    <w:tl2br w:val="nil"/>
                    <w:tr2bl w:val="nil"/>
                  </w:tcBorders>
                  <w:noWrap w:val="0"/>
                  <w:vAlign w:val="center"/>
                </w:tcPr>
                <w:p w14:paraId="0C47A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一条面和一顶面</w:t>
                  </w:r>
                </w:p>
              </w:tc>
            </w:tr>
            <w:tr w14:paraId="15436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14:paraId="195E6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注：为砌筑挂浆而施加的凹凸纹、槽、压花等不算作缺陷。</w:t>
                  </w:r>
                </w:p>
              </w:tc>
            </w:tr>
            <w:tr w14:paraId="047CB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top"/>
                </w:tcPr>
                <w:p w14:paraId="00146B4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superscript"/>
                      <w:lang w:val="en-US" w:eastAsia="zh-CN"/>
                    </w:rPr>
                    <w:t>a</w:t>
                  </w:r>
                  <w:r>
                    <w:rPr>
                      <w:rFonts w:hint="default" w:ascii="Times New Roman" w:hAnsi="Times New Roman" w:eastAsia="宋体" w:cs="Times New Roman"/>
                      <w:color w:val="auto"/>
                      <w:sz w:val="21"/>
                      <w:szCs w:val="21"/>
                      <w:highlight w:val="none"/>
                      <w:lang w:val="en-US" w:eastAsia="zh-CN"/>
                    </w:rPr>
                    <w:t>凡有下列缺陷之一者</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不得称为完整面：</w:t>
                  </w:r>
                </w:p>
                <w:p w14:paraId="339DF6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——缺损在条面或顶面上造成的破坏面尺寸同时大于10mm×10mm。</w:t>
                  </w:r>
                </w:p>
                <w:p w14:paraId="2FA40FE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——条面或顶面上裂纹宽度大于1mm，其长度超过30mm。</w:t>
                  </w:r>
                </w:p>
                <w:p w14:paraId="1918DC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——压陷、粘底、焦花在条面或顶面上的凹陷或凸出超过2mm，区域尺寸同时大于10mm×10mm。</w:t>
                  </w:r>
                </w:p>
              </w:tc>
            </w:tr>
          </w:tbl>
          <w:p w14:paraId="42D0C0A7">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2.3主要生产设施及参数</w:t>
            </w:r>
          </w:p>
          <w:p w14:paraId="564B53A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ascii="Times New Roman" w:hAnsi="Times New Roman"/>
                <w:color w:val="auto"/>
                <w:sz w:val="24"/>
                <w:szCs w:val="24"/>
                <w:highlight w:val="none"/>
              </w:rPr>
            </w:pPr>
            <w:r>
              <w:rPr>
                <w:rFonts w:ascii="Times New Roman" w:hAnsi="Times New Roman"/>
                <w:color w:val="auto"/>
                <w:sz w:val="24"/>
                <w:szCs w:val="24"/>
                <w:highlight w:val="none"/>
              </w:rPr>
              <w:t>项目</w:t>
            </w:r>
            <w:r>
              <w:rPr>
                <w:rFonts w:hint="default" w:ascii="Times New Roman" w:hAnsi="Times New Roman"/>
                <w:color w:val="auto"/>
                <w:sz w:val="24"/>
                <w:szCs w:val="24"/>
                <w:highlight w:val="none"/>
              </w:rPr>
              <w:t>主要生产设施表</w:t>
            </w:r>
            <w:r>
              <w:rPr>
                <w:rFonts w:ascii="Times New Roman" w:hAnsi="Times New Roman"/>
                <w:color w:val="auto"/>
                <w:sz w:val="24"/>
                <w:szCs w:val="24"/>
                <w:highlight w:val="none"/>
              </w:rPr>
              <w:t>见表</w:t>
            </w:r>
            <w:r>
              <w:rPr>
                <w:rFonts w:hint="eastAsia" w:ascii="Times New Roman" w:hAnsi="Times New Roman"/>
                <w:color w:val="auto"/>
                <w:sz w:val="24"/>
                <w:szCs w:val="24"/>
                <w:highlight w:val="none"/>
                <w:lang w:val="en-US" w:eastAsia="zh-CN"/>
              </w:rPr>
              <w:t>2-4</w:t>
            </w:r>
            <w:r>
              <w:rPr>
                <w:rFonts w:ascii="Times New Roman" w:hAnsi="Times New Roman"/>
                <w:color w:val="auto"/>
                <w:sz w:val="24"/>
                <w:szCs w:val="24"/>
                <w:highlight w:val="none"/>
              </w:rPr>
              <w:t>。</w:t>
            </w:r>
          </w:p>
          <w:p w14:paraId="0BF2AD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w:t>
            </w:r>
            <w:r>
              <w:rPr>
                <w:rFonts w:hint="eastAsia" w:ascii="Times New Roman" w:hAnsi="Times New Roman" w:eastAsia="黑体" w:cs="Times New Roman"/>
                <w:b w:val="0"/>
                <w:bCs/>
                <w:color w:val="auto"/>
                <w:spacing w:val="0"/>
                <w:kern w:val="2"/>
                <w:sz w:val="24"/>
                <w:szCs w:val="24"/>
                <w:highlight w:val="none"/>
                <w:lang w:val="en-US" w:eastAsia="zh-CN" w:bidi="ar-SA"/>
              </w:rPr>
              <w:t>2-4</w:t>
            </w:r>
            <w:r>
              <w:rPr>
                <w:rFonts w:hint="default" w:ascii="Times New Roman" w:hAnsi="Times New Roman" w:eastAsia="黑体" w:cs="Times New Roman"/>
                <w:b w:val="0"/>
                <w:bCs/>
                <w:color w:val="auto"/>
                <w:spacing w:val="0"/>
                <w:kern w:val="2"/>
                <w:sz w:val="24"/>
                <w:szCs w:val="24"/>
                <w:highlight w:val="none"/>
                <w:lang w:val="en-US" w:eastAsia="zh-CN" w:bidi="ar-SA"/>
              </w:rPr>
              <w:t xml:space="preserve">  主要生产设施表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2"/>
              <w:gridCol w:w="1667"/>
              <w:gridCol w:w="2342"/>
              <w:gridCol w:w="985"/>
              <w:gridCol w:w="904"/>
              <w:gridCol w:w="995"/>
              <w:gridCol w:w="899"/>
            </w:tblGrid>
            <w:tr w14:paraId="5639B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restart"/>
                  <w:tcBorders>
                    <w:tl2br w:val="nil"/>
                    <w:tr2bl w:val="nil"/>
                  </w:tcBorders>
                  <w:noWrap w:val="0"/>
                  <w:tcMar>
                    <w:top w:w="15" w:type="dxa"/>
                    <w:left w:w="15" w:type="dxa"/>
                    <w:right w:w="15" w:type="dxa"/>
                  </w:tcMar>
                  <w:vAlign w:val="center"/>
                </w:tcPr>
                <w:p w14:paraId="60DBD5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项目</w:t>
                  </w:r>
                </w:p>
              </w:tc>
              <w:tc>
                <w:tcPr>
                  <w:tcW w:w="994" w:type="pct"/>
                  <w:vMerge w:val="restart"/>
                  <w:tcBorders>
                    <w:tl2br w:val="nil"/>
                    <w:tr2bl w:val="nil"/>
                  </w:tcBorders>
                  <w:noWrap w:val="0"/>
                  <w:tcMar>
                    <w:top w:w="15" w:type="dxa"/>
                    <w:left w:w="15" w:type="dxa"/>
                    <w:right w:w="15" w:type="dxa"/>
                  </w:tcMar>
                  <w:vAlign w:val="center"/>
                </w:tcPr>
                <w:p w14:paraId="2DE810A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1396" w:type="pct"/>
                  <w:vMerge w:val="restart"/>
                  <w:tcBorders>
                    <w:tl2br w:val="nil"/>
                    <w:tr2bl w:val="nil"/>
                  </w:tcBorders>
                  <w:noWrap w:val="0"/>
                  <w:tcMar>
                    <w:top w:w="15" w:type="dxa"/>
                    <w:left w:w="15" w:type="dxa"/>
                    <w:right w:w="15" w:type="dxa"/>
                  </w:tcMar>
                  <w:vAlign w:val="center"/>
                </w:tcPr>
                <w:p w14:paraId="16FF044D">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2"/>
                      <w:sz w:val="21"/>
                      <w:szCs w:val="21"/>
                      <w:highlight w:val="none"/>
                    </w:rPr>
                    <w:t>规格、型号</w:t>
                  </w:r>
                </w:p>
              </w:tc>
              <w:tc>
                <w:tcPr>
                  <w:tcW w:w="1719" w:type="pct"/>
                  <w:gridSpan w:val="3"/>
                  <w:tcBorders>
                    <w:tl2br w:val="nil"/>
                    <w:tr2bl w:val="nil"/>
                  </w:tcBorders>
                  <w:noWrap w:val="0"/>
                  <w:tcMar>
                    <w:top w:w="15" w:type="dxa"/>
                    <w:left w:w="15" w:type="dxa"/>
                    <w:right w:w="15" w:type="dxa"/>
                  </w:tcMar>
                  <w:vAlign w:val="center"/>
                </w:tcPr>
                <w:p w14:paraId="3254C3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数量（台）</w:t>
                  </w:r>
                </w:p>
              </w:tc>
              <w:tc>
                <w:tcPr>
                  <w:tcW w:w="536" w:type="pct"/>
                  <w:vMerge w:val="restart"/>
                  <w:tcBorders>
                    <w:tl2br w:val="nil"/>
                    <w:tr2bl w:val="nil"/>
                  </w:tcBorders>
                  <w:noWrap w:val="0"/>
                  <w:tcMar>
                    <w:top w:w="15" w:type="dxa"/>
                    <w:left w:w="15" w:type="dxa"/>
                    <w:right w:w="15" w:type="dxa"/>
                  </w:tcMar>
                  <w:vAlign w:val="center"/>
                </w:tcPr>
                <w:p w14:paraId="3761DEC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备注</w:t>
                  </w:r>
                </w:p>
              </w:tc>
            </w:tr>
            <w:tr w14:paraId="67AB2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7FAD987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default" w:ascii="Times New Roman" w:hAnsi="Times New Roman" w:cs="Times New Roman"/>
                      <w:b/>
                      <w:bCs/>
                      <w:color w:val="auto"/>
                      <w:sz w:val="21"/>
                      <w:szCs w:val="21"/>
                      <w:highlight w:val="none"/>
                    </w:rPr>
                  </w:pPr>
                </w:p>
              </w:tc>
              <w:tc>
                <w:tcPr>
                  <w:tcW w:w="994" w:type="pct"/>
                  <w:vMerge w:val="continue"/>
                  <w:tcBorders>
                    <w:tl2br w:val="nil"/>
                    <w:tr2bl w:val="nil"/>
                  </w:tcBorders>
                  <w:noWrap w:val="0"/>
                  <w:tcMar>
                    <w:top w:w="15" w:type="dxa"/>
                    <w:left w:w="15" w:type="dxa"/>
                    <w:right w:w="15" w:type="dxa"/>
                  </w:tcMar>
                  <w:vAlign w:val="center"/>
                </w:tcPr>
                <w:p w14:paraId="70A3C9A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default" w:ascii="Times New Roman" w:hAnsi="Times New Roman" w:cs="Times New Roman"/>
                      <w:b/>
                      <w:bCs/>
                      <w:color w:val="auto"/>
                      <w:sz w:val="21"/>
                      <w:szCs w:val="21"/>
                      <w:highlight w:val="none"/>
                    </w:rPr>
                  </w:pPr>
                </w:p>
              </w:tc>
              <w:tc>
                <w:tcPr>
                  <w:tcW w:w="1396" w:type="pct"/>
                  <w:vMerge w:val="continue"/>
                  <w:tcBorders>
                    <w:tl2br w:val="nil"/>
                    <w:tr2bl w:val="nil"/>
                  </w:tcBorders>
                  <w:noWrap w:val="0"/>
                  <w:tcMar>
                    <w:top w:w="15" w:type="dxa"/>
                    <w:left w:w="15" w:type="dxa"/>
                    <w:right w:w="15" w:type="dxa"/>
                  </w:tcMar>
                  <w:vAlign w:val="center"/>
                </w:tcPr>
                <w:p w14:paraId="7D25F66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default" w:ascii="Times New Roman" w:hAnsi="Times New Roman" w:cs="Times New Roman"/>
                      <w:b/>
                      <w:bCs/>
                      <w:color w:val="auto"/>
                      <w:sz w:val="21"/>
                      <w:szCs w:val="21"/>
                      <w:highlight w:val="none"/>
                    </w:rPr>
                  </w:pPr>
                </w:p>
              </w:tc>
              <w:tc>
                <w:tcPr>
                  <w:tcW w:w="587" w:type="pct"/>
                  <w:tcBorders>
                    <w:tl2br w:val="nil"/>
                    <w:tr2bl w:val="nil"/>
                  </w:tcBorders>
                  <w:noWrap w:val="0"/>
                  <w:tcMar>
                    <w:top w:w="15" w:type="dxa"/>
                    <w:left w:w="15" w:type="dxa"/>
                    <w:right w:w="15" w:type="dxa"/>
                  </w:tcMar>
                  <w:vAlign w:val="center"/>
                </w:tcPr>
                <w:p w14:paraId="609CC1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b/>
                      <w:bCs/>
                      <w:color w:val="auto"/>
                      <w:sz w:val="21"/>
                      <w:szCs w:val="21"/>
                      <w:highlight w:val="none"/>
                    </w:rPr>
                  </w:pPr>
                  <w:r>
                    <w:rPr>
                      <w:rFonts w:hint="eastAsia" w:cs="Times New Roman"/>
                      <w:b/>
                      <w:bCs/>
                      <w:color w:val="auto"/>
                      <w:kern w:val="0"/>
                      <w:sz w:val="21"/>
                      <w:szCs w:val="21"/>
                      <w:highlight w:val="none"/>
                      <w:lang w:val="en-US" w:eastAsia="zh-CN" w:bidi="ar"/>
                    </w:rPr>
                    <w:t>改</w:t>
                  </w:r>
                  <w:r>
                    <w:rPr>
                      <w:rFonts w:hint="default" w:ascii="Times New Roman" w:hAnsi="Times New Roman" w:cs="Times New Roman"/>
                      <w:b/>
                      <w:bCs/>
                      <w:color w:val="auto"/>
                      <w:kern w:val="0"/>
                      <w:sz w:val="21"/>
                      <w:szCs w:val="21"/>
                      <w:highlight w:val="none"/>
                      <w:lang w:eastAsia="zh-Hans" w:bidi="ar"/>
                    </w:rPr>
                    <w:t>建</w:t>
                  </w:r>
                  <w:r>
                    <w:rPr>
                      <w:rFonts w:hint="default" w:ascii="Times New Roman" w:hAnsi="Times New Roman" w:cs="Times New Roman"/>
                      <w:b/>
                      <w:bCs/>
                      <w:color w:val="auto"/>
                      <w:kern w:val="0"/>
                      <w:sz w:val="21"/>
                      <w:szCs w:val="21"/>
                      <w:highlight w:val="none"/>
                      <w:lang w:bidi="ar"/>
                    </w:rPr>
                    <w:t>前</w:t>
                  </w:r>
                </w:p>
              </w:tc>
              <w:tc>
                <w:tcPr>
                  <w:tcW w:w="539" w:type="pct"/>
                  <w:tcBorders>
                    <w:tl2br w:val="nil"/>
                    <w:tr2bl w:val="nil"/>
                  </w:tcBorders>
                  <w:noWrap w:val="0"/>
                  <w:tcMar>
                    <w:top w:w="15" w:type="dxa"/>
                    <w:left w:w="15" w:type="dxa"/>
                    <w:right w:w="15" w:type="dxa"/>
                  </w:tcMar>
                  <w:vAlign w:val="center"/>
                </w:tcPr>
                <w:p w14:paraId="220649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b/>
                      <w:bCs/>
                      <w:color w:val="auto"/>
                      <w:sz w:val="21"/>
                      <w:szCs w:val="21"/>
                      <w:highlight w:val="none"/>
                    </w:rPr>
                  </w:pPr>
                  <w:r>
                    <w:rPr>
                      <w:rFonts w:hint="eastAsia" w:cs="Times New Roman"/>
                      <w:b/>
                      <w:bCs/>
                      <w:color w:val="auto"/>
                      <w:kern w:val="0"/>
                      <w:sz w:val="21"/>
                      <w:szCs w:val="21"/>
                      <w:highlight w:val="none"/>
                      <w:lang w:val="en-US" w:eastAsia="zh-CN" w:bidi="ar"/>
                    </w:rPr>
                    <w:t>改</w:t>
                  </w:r>
                  <w:r>
                    <w:rPr>
                      <w:rFonts w:hint="default" w:ascii="Times New Roman" w:hAnsi="Times New Roman" w:cs="Times New Roman"/>
                      <w:b/>
                      <w:bCs/>
                      <w:color w:val="auto"/>
                      <w:kern w:val="0"/>
                      <w:sz w:val="21"/>
                      <w:szCs w:val="21"/>
                      <w:highlight w:val="none"/>
                      <w:lang w:eastAsia="zh-Hans" w:bidi="ar"/>
                    </w:rPr>
                    <w:t>建</w:t>
                  </w:r>
                  <w:r>
                    <w:rPr>
                      <w:rFonts w:hint="default" w:ascii="Times New Roman" w:hAnsi="Times New Roman" w:cs="Times New Roman"/>
                      <w:b/>
                      <w:bCs/>
                      <w:color w:val="auto"/>
                      <w:kern w:val="0"/>
                      <w:sz w:val="21"/>
                      <w:szCs w:val="21"/>
                      <w:highlight w:val="none"/>
                      <w:lang w:bidi="ar"/>
                    </w:rPr>
                    <w:t>后</w:t>
                  </w:r>
                </w:p>
              </w:tc>
              <w:tc>
                <w:tcPr>
                  <w:tcW w:w="593" w:type="pct"/>
                  <w:tcBorders>
                    <w:tl2br w:val="nil"/>
                    <w:tr2bl w:val="nil"/>
                  </w:tcBorders>
                  <w:noWrap w:val="0"/>
                  <w:tcMar>
                    <w:top w:w="15" w:type="dxa"/>
                    <w:left w:w="15" w:type="dxa"/>
                    <w:right w:w="15" w:type="dxa"/>
                  </w:tcMar>
                  <w:vAlign w:val="center"/>
                </w:tcPr>
                <w:p w14:paraId="5A099EC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bidi="ar"/>
                    </w:rPr>
                    <w:t>变化情况</w:t>
                  </w:r>
                </w:p>
              </w:tc>
              <w:tc>
                <w:tcPr>
                  <w:tcW w:w="536" w:type="pct"/>
                  <w:vMerge w:val="continue"/>
                  <w:tcBorders>
                    <w:tl2br w:val="nil"/>
                    <w:tr2bl w:val="nil"/>
                  </w:tcBorders>
                  <w:noWrap w:val="0"/>
                  <w:tcMar>
                    <w:top w:w="15" w:type="dxa"/>
                    <w:left w:w="15" w:type="dxa"/>
                    <w:right w:w="15" w:type="dxa"/>
                  </w:tcMar>
                  <w:vAlign w:val="center"/>
                </w:tcPr>
                <w:p w14:paraId="17304ED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b/>
                      <w:bCs/>
                      <w:color w:val="auto"/>
                      <w:kern w:val="0"/>
                      <w:sz w:val="21"/>
                      <w:szCs w:val="21"/>
                      <w:highlight w:val="none"/>
                      <w:lang w:bidi="ar"/>
                    </w:rPr>
                  </w:pPr>
                </w:p>
              </w:tc>
            </w:tr>
            <w:tr w14:paraId="19068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restart"/>
                  <w:tcBorders>
                    <w:tl2br w:val="nil"/>
                    <w:tr2bl w:val="nil"/>
                  </w:tcBorders>
                  <w:noWrap w:val="0"/>
                  <w:tcMar>
                    <w:top w:w="15" w:type="dxa"/>
                    <w:left w:w="15" w:type="dxa"/>
                    <w:right w:w="15" w:type="dxa"/>
                  </w:tcMar>
                  <w:vAlign w:val="center"/>
                </w:tcPr>
                <w:p w14:paraId="102F85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破碎筛分区</w:t>
                  </w:r>
                </w:p>
              </w:tc>
              <w:tc>
                <w:tcPr>
                  <w:tcW w:w="994" w:type="pct"/>
                  <w:tcBorders>
                    <w:tl2br w:val="nil"/>
                    <w:tr2bl w:val="nil"/>
                  </w:tcBorders>
                  <w:noWrap w:val="0"/>
                  <w:tcMar>
                    <w:top w:w="15" w:type="dxa"/>
                    <w:left w:w="15" w:type="dxa"/>
                    <w:right w:w="15" w:type="dxa"/>
                  </w:tcMar>
                  <w:vAlign w:val="center"/>
                </w:tcPr>
                <w:p w14:paraId="66E5C1D9">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default" w:ascii="Times New Roman" w:hAnsi="Times New Roman" w:eastAsia="宋体" w:cs="Times New Roman"/>
                      <w:i w:val="0"/>
                      <w:iCs w:val="0"/>
                      <w:caps w:val="0"/>
                      <w:color w:val="auto"/>
                      <w:spacing w:val="0"/>
                      <w:kern w:val="2"/>
                      <w:sz w:val="21"/>
                      <w:szCs w:val="21"/>
                      <w:highlight w:val="none"/>
                      <w:shd w:val="clear" w:color="auto" w:fill="FFFFFF"/>
                      <w:lang w:val="en-US" w:eastAsia="zh-CN" w:bidi="ar-SA"/>
                    </w:rPr>
                  </w:pPr>
                  <w:r>
                    <w:rPr>
                      <w:rFonts w:hint="default" w:ascii="Times New Roman" w:hAnsi="Times New Roman" w:cs="Times New Roman"/>
                      <w:color w:val="auto"/>
                      <w:sz w:val="21"/>
                      <w:szCs w:val="21"/>
                      <w:highlight w:val="none"/>
                      <w:lang w:val="en-US" w:eastAsia="zh-CN"/>
                    </w:rPr>
                    <w:t>破碎机</w:t>
                  </w:r>
                </w:p>
              </w:tc>
              <w:tc>
                <w:tcPr>
                  <w:tcW w:w="1396" w:type="pct"/>
                  <w:tcBorders>
                    <w:tl2br w:val="nil"/>
                    <w:tr2bl w:val="nil"/>
                  </w:tcBorders>
                  <w:noWrap w:val="0"/>
                  <w:tcMar>
                    <w:top w:w="15" w:type="dxa"/>
                    <w:left w:w="15" w:type="dxa"/>
                    <w:right w:w="15" w:type="dxa"/>
                  </w:tcMar>
                  <w:vAlign w:val="center"/>
                </w:tcPr>
                <w:p w14:paraId="41D96043">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NLFL1616FL，≥</w:t>
                  </w:r>
                  <w:r>
                    <w:rPr>
                      <w:rFonts w:hint="default" w:ascii="Times New Roman" w:hAnsi="Times New Roman" w:cs="Times New Roman"/>
                      <w:snapToGrid w:val="0"/>
                      <w:color w:val="auto"/>
                      <w:kern w:val="0"/>
                      <w:sz w:val="21"/>
                      <w:szCs w:val="21"/>
                      <w:highlight w:val="none"/>
                      <w:lang w:val="en-US" w:eastAsia="zh-CN" w:bidi="ar"/>
                    </w:rPr>
                    <w:t>9</w:t>
                  </w:r>
                  <w:r>
                    <w:rPr>
                      <w:rFonts w:hint="default" w:ascii="Times New Roman" w:hAnsi="Times New Roman" w:eastAsia="宋体" w:cs="Times New Roman"/>
                      <w:snapToGrid w:val="0"/>
                      <w:color w:val="auto"/>
                      <w:kern w:val="0"/>
                      <w:sz w:val="21"/>
                      <w:szCs w:val="21"/>
                      <w:highlight w:val="none"/>
                      <w:lang w:val="en-US" w:eastAsia="zh-CN" w:bidi="ar"/>
                    </w:rPr>
                    <w:t>0t/h</w:t>
                  </w:r>
                </w:p>
              </w:tc>
              <w:tc>
                <w:tcPr>
                  <w:tcW w:w="587" w:type="pct"/>
                  <w:tcBorders>
                    <w:tl2br w:val="nil"/>
                    <w:tr2bl w:val="nil"/>
                  </w:tcBorders>
                  <w:noWrap w:val="0"/>
                  <w:tcMar>
                    <w:top w:w="15" w:type="dxa"/>
                    <w:left w:w="15" w:type="dxa"/>
                    <w:right w:w="15" w:type="dxa"/>
                  </w:tcMar>
                  <w:vAlign w:val="center"/>
                </w:tcPr>
                <w:p w14:paraId="619DBC1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9" w:type="pct"/>
                  <w:tcBorders>
                    <w:tl2br w:val="nil"/>
                    <w:tr2bl w:val="nil"/>
                  </w:tcBorders>
                  <w:noWrap w:val="0"/>
                  <w:tcMar>
                    <w:top w:w="15" w:type="dxa"/>
                    <w:left w:w="15" w:type="dxa"/>
                    <w:right w:w="15" w:type="dxa"/>
                  </w:tcMar>
                  <w:vAlign w:val="center"/>
                </w:tcPr>
                <w:p w14:paraId="2E7A69D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46D935C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7E21B7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新增</w:t>
                  </w:r>
                </w:p>
              </w:tc>
            </w:tr>
            <w:tr w14:paraId="1BE31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14E2B6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6EA3DA7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破碎机</w:t>
                  </w:r>
                </w:p>
              </w:tc>
              <w:tc>
                <w:tcPr>
                  <w:tcW w:w="1396" w:type="pct"/>
                  <w:tcBorders>
                    <w:tl2br w:val="nil"/>
                    <w:tr2bl w:val="nil"/>
                  </w:tcBorders>
                  <w:noWrap w:val="0"/>
                  <w:tcMar>
                    <w:top w:w="15" w:type="dxa"/>
                    <w:left w:w="15" w:type="dxa"/>
                    <w:right w:w="15" w:type="dxa"/>
                  </w:tcMar>
                  <w:vAlign w:val="center"/>
                </w:tcPr>
                <w:p w14:paraId="0C7297B6">
                  <w:pPr>
                    <w:keepNext w:val="0"/>
                    <w:keepLines w:val="0"/>
                    <w:pageBreakBefore w:val="0"/>
                    <w:widowControl/>
                    <w:suppressLineNumbers w:val="0"/>
                    <w:wordWrap/>
                    <w:overflowPunct/>
                    <w:topLinePunct w:val="0"/>
                    <w:bidi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snapToGrid w:val="0"/>
                      <w:color w:val="auto"/>
                      <w:kern w:val="0"/>
                      <w:sz w:val="21"/>
                      <w:szCs w:val="21"/>
                      <w:highlight w:val="none"/>
                      <w:lang w:val="en-US" w:eastAsia="zh-CN" w:bidi="ar"/>
                    </w:rPr>
                    <w:t>70</w:t>
                  </w:r>
                  <w:r>
                    <w:rPr>
                      <w:rFonts w:hint="default" w:ascii="Times New Roman" w:hAnsi="Times New Roman" w:eastAsia="宋体" w:cs="Times New Roman"/>
                      <w:snapToGrid w:val="0"/>
                      <w:color w:val="auto"/>
                      <w:kern w:val="0"/>
                      <w:sz w:val="21"/>
                      <w:szCs w:val="21"/>
                      <w:highlight w:val="none"/>
                      <w:lang w:val="en-US" w:eastAsia="zh-CN" w:bidi="ar"/>
                    </w:rPr>
                    <w:t>t/h</w:t>
                  </w:r>
                </w:p>
              </w:tc>
              <w:tc>
                <w:tcPr>
                  <w:tcW w:w="587" w:type="pct"/>
                  <w:tcBorders>
                    <w:tl2br w:val="nil"/>
                    <w:tr2bl w:val="nil"/>
                  </w:tcBorders>
                  <w:noWrap w:val="0"/>
                  <w:tcMar>
                    <w:top w:w="15" w:type="dxa"/>
                    <w:left w:w="15" w:type="dxa"/>
                    <w:right w:w="15" w:type="dxa"/>
                  </w:tcMar>
                  <w:vAlign w:val="center"/>
                </w:tcPr>
                <w:p w14:paraId="0C695D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4344D5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3" w:type="pct"/>
                  <w:tcBorders>
                    <w:tl2br w:val="nil"/>
                    <w:tr2bl w:val="nil"/>
                  </w:tcBorders>
                  <w:noWrap w:val="0"/>
                  <w:tcMar>
                    <w:top w:w="15" w:type="dxa"/>
                    <w:left w:w="15" w:type="dxa"/>
                    <w:right w:w="15" w:type="dxa"/>
                  </w:tcMar>
                  <w:vAlign w:val="center"/>
                </w:tcPr>
                <w:p w14:paraId="20153F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19ACC35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拆除</w:t>
                  </w:r>
                </w:p>
              </w:tc>
            </w:tr>
            <w:tr w14:paraId="12F9D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44FBFB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5BB0BD61">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color w:val="auto"/>
                      <w:sz w:val="21"/>
                      <w:szCs w:val="21"/>
                      <w:highlight w:val="none"/>
                      <w:lang w:val="en-US" w:eastAsia="zh-CN"/>
                    </w:rPr>
                    <w:t>筛分机</w:t>
                  </w:r>
                </w:p>
              </w:tc>
              <w:tc>
                <w:tcPr>
                  <w:tcW w:w="1396" w:type="pct"/>
                  <w:tcBorders>
                    <w:tl2br w:val="nil"/>
                    <w:tr2bl w:val="nil"/>
                  </w:tcBorders>
                  <w:noWrap w:val="0"/>
                  <w:tcMar>
                    <w:top w:w="15" w:type="dxa"/>
                    <w:left w:w="15" w:type="dxa"/>
                    <w:right w:w="15" w:type="dxa"/>
                  </w:tcMar>
                  <w:vAlign w:val="center"/>
                </w:tcPr>
                <w:p w14:paraId="141639AF">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36E44F0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9" w:type="pct"/>
                  <w:tcBorders>
                    <w:tl2br w:val="nil"/>
                    <w:tr2bl w:val="nil"/>
                  </w:tcBorders>
                  <w:noWrap w:val="0"/>
                  <w:tcMar>
                    <w:top w:w="15" w:type="dxa"/>
                    <w:left w:w="15" w:type="dxa"/>
                    <w:right w:w="15" w:type="dxa"/>
                  </w:tcMar>
                  <w:vAlign w:val="center"/>
                </w:tcPr>
                <w:p w14:paraId="69D7FA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1B87ABF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33C2DC3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新增</w:t>
                  </w:r>
                </w:p>
              </w:tc>
            </w:tr>
            <w:tr w14:paraId="0FF3D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56EC3A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1CDCCCDD">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eastAsia"/>
                      <w:color w:val="auto"/>
                      <w:sz w:val="21"/>
                      <w:szCs w:val="21"/>
                      <w:highlight w:val="none"/>
                      <w:lang w:val="en-US" w:eastAsia="zh-CN"/>
                    </w:rPr>
                  </w:pPr>
                  <w:r>
                    <w:rPr>
                      <w:rFonts w:hint="eastAsia"/>
                      <w:color w:val="auto"/>
                      <w:sz w:val="21"/>
                      <w:szCs w:val="21"/>
                      <w:highlight w:val="none"/>
                      <w:lang w:val="en-US" w:eastAsia="zh-CN"/>
                    </w:rPr>
                    <w:t>筛分机</w:t>
                  </w:r>
                </w:p>
              </w:tc>
              <w:tc>
                <w:tcPr>
                  <w:tcW w:w="1396" w:type="pct"/>
                  <w:tcBorders>
                    <w:tl2br w:val="nil"/>
                    <w:tr2bl w:val="nil"/>
                  </w:tcBorders>
                  <w:noWrap w:val="0"/>
                  <w:tcMar>
                    <w:top w:w="15" w:type="dxa"/>
                    <w:left w:w="15" w:type="dxa"/>
                    <w:right w:w="15" w:type="dxa"/>
                  </w:tcMar>
                  <w:vAlign w:val="center"/>
                </w:tcPr>
                <w:p w14:paraId="3FCBD4A0">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084642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398CD8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3" w:type="pct"/>
                  <w:tcBorders>
                    <w:tl2br w:val="nil"/>
                    <w:tr2bl w:val="nil"/>
                  </w:tcBorders>
                  <w:noWrap w:val="0"/>
                  <w:tcMar>
                    <w:top w:w="15" w:type="dxa"/>
                    <w:left w:w="15" w:type="dxa"/>
                    <w:right w:w="15" w:type="dxa"/>
                  </w:tcMar>
                  <w:vAlign w:val="center"/>
                </w:tcPr>
                <w:p w14:paraId="52EE66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2CCB3A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拆除</w:t>
                  </w:r>
                </w:p>
              </w:tc>
            </w:tr>
            <w:tr w14:paraId="7C042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restart"/>
                  <w:tcBorders>
                    <w:tl2br w:val="nil"/>
                    <w:tr2bl w:val="nil"/>
                  </w:tcBorders>
                  <w:noWrap w:val="0"/>
                  <w:tcMar>
                    <w:top w:w="15" w:type="dxa"/>
                    <w:left w:w="15" w:type="dxa"/>
                    <w:right w:w="15" w:type="dxa"/>
                  </w:tcMar>
                  <w:vAlign w:val="center"/>
                </w:tcPr>
                <w:p w14:paraId="24F174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制砖车间</w:t>
                  </w:r>
                </w:p>
              </w:tc>
              <w:tc>
                <w:tcPr>
                  <w:tcW w:w="994" w:type="pct"/>
                  <w:tcBorders>
                    <w:tl2br w:val="nil"/>
                    <w:tr2bl w:val="nil"/>
                  </w:tcBorders>
                  <w:noWrap w:val="0"/>
                  <w:tcMar>
                    <w:top w:w="15" w:type="dxa"/>
                    <w:left w:w="15" w:type="dxa"/>
                    <w:right w:w="15" w:type="dxa"/>
                  </w:tcMar>
                  <w:vAlign w:val="center"/>
                </w:tcPr>
                <w:p w14:paraId="54744AD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双轴搅拌机</w:t>
                  </w:r>
                </w:p>
              </w:tc>
              <w:tc>
                <w:tcPr>
                  <w:tcW w:w="1396" w:type="pct"/>
                  <w:tcBorders>
                    <w:tl2br w:val="nil"/>
                    <w:tr2bl w:val="nil"/>
                  </w:tcBorders>
                  <w:noWrap w:val="0"/>
                  <w:tcMar>
                    <w:top w:w="15" w:type="dxa"/>
                    <w:left w:w="15" w:type="dxa"/>
                    <w:right w:w="15" w:type="dxa"/>
                  </w:tcMar>
                  <w:vAlign w:val="center"/>
                </w:tcPr>
                <w:p w14:paraId="1D22AB59">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SJJ2400</w:t>
                  </w:r>
                </w:p>
              </w:tc>
              <w:tc>
                <w:tcPr>
                  <w:tcW w:w="587" w:type="pct"/>
                  <w:tcBorders>
                    <w:tl2br w:val="nil"/>
                    <w:tr2bl w:val="nil"/>
                  </w:tcBorders>
                  <w:noWrap w:val="0"/>
                  <w:tcMar>
                    <w:top w:w="15" w:type="dxa"/>
                    <w:left w:w="15" w:type="dxa"/>
                    <w:right w:w="15" w:type="dxa"/>
                  </w:tcMar>
                  <w:vAlign w:val="center"/>
                </w:tcPr>
                <w:p w14:paraId="6D8C37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539" w:type="pct"/>
                  <w:tcBorders>
                    <w:tl2br w:val="nil"/>
                    <w:tr2bl w:val="nil"/>
                  </w:tcBorders>
                  <w:noWrap w:val="0"/>
                  <w:tcMar>
                    <w:top w:w="15" w:type="dxa"/>
                    <w:left w:w="15" w:type="dxa"/>
                    <w:right w:w="15" w:type="dxa"/>
                  </w:tcMar>
                  <w:vAlign w:val="center"/>
                </w:tcPr>
                <w:p w14:paraId="67442B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593" w:type="pct"/>
                  <w:tcBorders>
                    <w:tl2br w:val="nil"/>
                    <w:tr2bl w:val="nil"/>
                  </w:tcBorders>
                  <w:noWrap w:val="0"/>
                  <w:tcMar>
                    <w:top w:w="15" w:type="dxa"/>
                    <w:left w:w="15" w:type="dxa"/>
                    <w:right w:w="15" w:type="dxa"/>
                  </w:tcMar>
                  <w:vAlign w:val="center"/>
                </w:tcPr>
                <w:p w14:paraId="45DCEA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0B455A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470D7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53D245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0C779CB3">
                  <w:pPr>
                    <w:keepNext w:val="0"/>
                    <w:keepLines w:val="0"/>
                    <w:pageBreakBefore w:val="0"/>
                    <w:widowControl/>
                    <w:wordWrap/>
                    <w:overflowPunct/>
                    <w:topLinePunct w:val="0"/>
                    <w:bidi w:val="0"/>
                    <w:snapToGrid w:val="0"/>
                    <w:spacing w:line="240" w:lineRule="auto"/>
                    <w:jc w:val="center"/>
                    <w:textAlignment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color w:val="auto"/>
                      <w:sz w:val="21"/>
                      <w:szCs w:val="21"/>
                      <w:highlight w:val="none"/>
                      <w:lang w:val="en-US" w:eastAsia="zh-CN"/>
                    </w:rPr>
                    <w:t>搅拌挤出机</w:t>
                  </w:r>
                </w:p>
              </w:tc>
              <w:tc>
                <w:tcPr>
                  <w:tcW w:w="1396" w:type="pct"/>
                  <w:tcBorders>
                    <w:tl2br w:val="nil"/>
                    <w:tr2bl w:val="nil"/>
                  </w:tcBorders>
                  <w:noWrap w:val="0"/>
                  <w:tcMar>
                    <w:top w:w="15" w:type="dxa"/>
                    <w:left w:w="15" w:type="dxa"/>
                    <w:right w:w="15" w:type="dxa"/>
                  </w:tcMar>
                  <w:vAlign w:val="center"/>
                </w:tcPr>
                <w:p w14:paraId="5B1C10B8">
                  <w:pPr>
                    <w:keepNext w:val="0"/>
                    <w:keepLines w:val="0"/>
                    <w:pageBreakBefore w:val="0"/>
                    <w:widowControl/>
                    <w:wordWrap/>
                    <w:overflowPunct/>
                    <w:topLinePunct w:val="0"/>
                    <w:bidi w:val="0"/>
                    <w:snapToGrid w:val="0"/>
                    <w:spacing w:line="240" w:lineRule="auto"/>
                    <w:jc w:val="center"/>
                    <w:textAlignment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YJ2400</w:t>
                  </w:r>
                </w:p>
              </w:tc>
              <w:tc>
                <w:tcPr>
                  <w:tcW w:w="587" w:type="pct"/>
                  <w:tcBorders>
                    <w:tl2br w:val="nil"/>
                    <w:tr2bl w:val="nil"/>
                  </w:tcBorders>
                  <w:noWrap w:val="0"/>
                  <w:tcMar>
                    <w:top w:w="15" w:type="dxa"/>
                    <w:left w:w="15" w:type="dxa"/>
                    <w:right w:w="15" w:type="dxa"/>
                  </w:tcMar>
                  <w:vAlign w:val="center"/>
                </w:tcPr>
                <w:p w14:paraId="6BF812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7FCE23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Arial"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593" w:type="pct"/>
                  <w:tcBorders>
                    <w:tl2br w:val="nil"/>
                    <w:tr2bl w:val="nil"/>
                  </w:tcBorders>
                  <w:noWrap w:val="0"/>
                  <w:tcMar>
                    <w:top w:w="15" w:type="dxa"/>
                    <w:left w:w="15" w:type="dxa"/>
                    <w:right w:w="15" w:type="dxa"/>
                  </w:tcMar>
                  <w:vAlign w:val="center"/>
                </w:tcPr>
                <w:p w14:paraId="3437C1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Arial"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3E576A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6C4E5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55D3E8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53C61988">
                  <w:pPr>
                    <w:keepNext w:val="0"/>
                    <w:keepLines w:val="0"/>
                    <w:pageBreakBefore w:val="0"/>
                    <w:widowControl/>
                    <w:wordWrap/>
                    <w:overflowPunct/>
                    <w:topLinePunct w:val="0"/>
                    <w:bidi w:val="0"/>
                    <w:snapToGrid w:val="0"/>
                    <w:spacing w:line="240" w:lineRule="auto"/>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双级真空硬塑挤出机</w:t>
                  </w:r>
                </w:p>
              </w:tc>
              <w:tc>
                <w:tcPr>
                  <w:tcW w:w="1396" w:type="pct"/>
                  <w:tcBorders>
                    <w:tl2br w:val="nil"/>
                    <w:tr2bl w:val="nil"/>
                  </w:tcBorders>
                  <w:noWrap w:val="0"/>
                  <w:tcMar>
                    <w:top w:w="15" w:type="dxa"/>
                    <w:left w:w="15" w:type="dxa"/>
                    <w:right w:w="15" w:type="dxa"/>
                  </w:tcMar>
                  <w:vAlign w:val="center"/>
                </w:tcPr>
                <w:p w14:paraId="45C33206">
                  <w:pPr>
                    <w:keepNext w:val="0"/>
                    <w:keepLines w:val="0"/>
                    <w:pageBreakBefore w:val="0"/>
                    <w:widowControl/>
                    <w:wordWrap/>
                    <w:overflowPunct/>
                    <w:topLinePunct w:val="0"/>
                    <w:bidi w:val="0"/>
                    <w:snapToGrid w:val="0"/>
                    <w:spacing w:line="240" w:lineRule="auto"/>
                    <w:jc w:val="center"/>
                    <w:textAlignment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color w:val="auto"/>
                      <w:sz w:val="21"/>
                      <w:szCs w:val="21"/>
                      <w:highlight w:val="none"/>
                      <w:lang w:val="en-US" w:eastAsia="zh-CN"/>
                    </w:rPr>
                    <w:t>JZK90Y-4.0型</w:t>
                  </w:r>
                </w:p>
              </w:tc>
              <w:tc>
                <w:tcPr>
                  <w:tcW w:w="587" w:type="pct"/>
                  <w:tcBorders>
                    <w:tl2br w:val="nil"/>
                    <w:tr2bl w:val="nil"/>
                  </w:tcBorders>
                  <w:noWrap w:val="0"/>
                  <w:tcMar>
                    <w:top w:w="15" w:type="dxa"/>
                    <w:left w:w="15" w:type="dxa"/>
                    <w:right w:w="15" w:type="dxa"/>
                  </w:tcMar>
                  <w:vAlign w:val="center"/>
                </w:tcPr>
                <w:p w14:paraId="65A426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9" w:type="pct"/>
                  <w:tcBorders>
                    <w:tl2br w:val="nil"/>
                    <w:tr2bl w:val="nil"/>
                  </w:tcBorders>
                  <w:noWrap w:val="0"/>
                  <w:tcMar>
                    <w:top w:w="15" w:type="dxa"/>
                    <w:left w:w="15" w:type="dxa"/>
                    <w:right w:w="15" w:type="dxa"/>
                  </w:tcMar>
                  <w:vAlign w:val="center"/>
                </w:tcPr>
                <w:p w14:paraId="0DB52D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2BF80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36" w:type="pct"/>
                  <w:tcBorders>
                    <w:tl2br w:val="nil"/>
                    <w:tr2bl w:val="nil"/>
                  </w:tcBorders>
                  <w:noWrap w:val="0"/>
                  <w:tcMar>
                    <w:top w:w="15" w:type="dxa"/>
                    <w:left w:w="15" w:type="dxa"/>
                    <w:right w:w="15" w:type="dxa"/>
                  </w:tcMar>
                  <w:vAlign w:val="center"/>
                </w:tcPr>
                <w:p w14:paraId="39DF00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新增</w:t>
                  </w:r>
                </w:p>
              </w:tc>
            </w:tr>
            <w:tr w14:paraId="5AA58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4BAFAA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35B479DB">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切坯机</w:t>
                  </w:r>
                </w:p>
              </w:tc>
              <w:tc>
                <w:tcPr>
                  <w:tcW w:w="1396" w:type="pct"/>
                  <w:tcBorders>
                    <w:tl2br w:val="nil"/>
                    <w:tr2bl w:val="nil"/>
                  </w:tcBorders>
                  <w:noWrap w:val="0"/>
                  <w:tcMar>
                    <w:top w:w="15" w:type="dxa"/>
                    <w:left w:w="15" w:type="dxa"/>
                    <w:right w:w="15" w:type="dxa"/>
                  </w:tcMar>
                  <w:vAlign w:val="center"/>
                </w:tcPr>
                <w:p w14:paraId="3914AD28">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ZP12</w:t>
                  </w:r>
                </w:p>
              </w:tc>
              <w:tc>
                <w:tcPr>
                  <w:tcW w:w="587" w:type="pct"/>
                  <w:tcBorders>
                    <w:tl2br w:val="nil"/>
                    <w:tr2bl w:val="nil"/>
                  </w:tcBorders>
                  <w:noWrap w:val="0"/>
                  <w:tcMar>
                    <w:top w:w="15" w:type="dxa"/>
                    <w:left w:w="15" w:type="dxa"/>
                    <w:right w:w="15" w:type="dxa"/>
                  </w:tcMar>
                  <w:vAlign w:val="center"/>
                </w:tcPr>
                <w:p w14:paraId="5C5836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47FEEF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4FC798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228C0A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73F31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2094E1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2B2BD94D">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切条机</w:t>
                  </w:r>
                </w:p>
              </w:tc>
              <w:tc>
                <w:tcPr>
                  <w:tcW w:w="1396" w:type="pct"/>
                  <w:tcBorders>
                    <w:tl2br w:val="nil"/>
                    <w:tr2bl w:val="nil"/>
                  </w:tcBorders>
                  <w:noWrap w:val="0"/>
                  <w:tcMar>
                    <w:top w:w="15" w:type="dxa"/>
                    <w:left w:w="15" w:type="dxa"/>
                    <w:right w:w="15" w:type="dxa"/>
                  </w:tcMar>
                  <w:vAlign w:val="center"/>
                </w:tcPr>
                <w:p w14:paraId="500B6FA7">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18B70D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077315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51719B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178873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158DE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614752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6000826C">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码坯机</w:t>
                  </w:r>
                </w:p>
              </w:tc>
              <w:tc>
                <w:tcPr>
                  <w:tcW w:w="1396" w:type="pct"/>
                  <w:tcBorders>
                    <w:tl2br w:val="nil"/>
                    <w:tr2bl w:val="nil"/>
                  </w:tcBorders>
                  <w:noWrap w:val="0"/>
                  <w:tcMar>
                    <w:top w:w="15" w:type="dxa"/>
                    <w:left w:w="15" w:type="dxa"/>
                    <w:right w:w="15" w:type="dxa"/>
                  </w:tcMar>
                  <w:vAlign w:val="center"/>
                </w:tcPr>
                <w:p w14:paraId="3A24A718">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vertAlign w:val="baseline"/>
                      <w:lang w:val="en-US" w:eastAsia="zh-CN"/>
                    </w:rPr>
                    <w:t>/</w:t>
                  </w:r>
                </w:p>
              </w:tc>
              <w:tc>
                <w:tcPr>
                  <w:tcW w:w="587" w:type="pct"/>
                  <w:tcBorders>
                    <w:tl2br w:val="nil"/>
                    <w:tr2bl w:val="nil"/>
                  </w:tcBorders>
                  <w:noWrap w:val="0"/>
                  <w:tcMar>
                    <w:top w:w="15" w:type="dxa"/>
                    <w:left w:w="15" w:type="dxa"/>
                    <w:right w:w="15" w:type="dxa"/>
                  </w:tcMar>
                  <w:vAlign w:val="center"/>
                </w:tcPr>
                <w:p w14:paraId="4013A6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67F452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3A79AF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2C071E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16E48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15" w:type="dxa"/>
                    <w:left w:w="15" w:type="dxa"/>
                    <w:right w:w="15" w:type="dxa"/>
                  </w:tcMar>
                  <w:vAlign w:val="center"/>
                </w:tcPr>
                <w:p w14:paraId="6BB85C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94" w:type="pct"/>
                  <w:tcBorders>
                    <w:tl2br w:val="nil"/>
                    <w:tr2bl w:val="nil"/>
                  </w:tcBorders>
                  <w:noWrap w:val="0"/>
                  <w:tcMar>
                    <w:top w:w="15" w:type="dxa"/>
                    <w:left w:w="15" w:type="dxa"/>
                    <w:right w:w="15" w:type="dxa"/>
                  </w:tcMar>
                  <w:vAlign w:val="center"/>
                </w:tcPr>
                <w:p w14:paraId="3369C144">
                  <w:pPr>
                    <w:widowControl/>
                    <w:spacing w:beforeLines="0" w:afterLines="0" w:line="320" w:lineRule="exact"/>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eastAsia="宋体"/>
                      <w:color w:val="auto"/>
                      <w:sz w:val="21"/>
                      <w:szCs w:val="21"/>
                      <w:highlight w:val="none"/>
                    </w:rPr>
                    <w:t>废砖回收皮带</w:t>
                  </w:r>
                </w:p>
              </w:tc>
              <w:tc>
                <w:tcPr>
                  <w:tcW w:w="1396" w:type="pct"/>
                  <w:tcBorders>
                    <w:tl2br w:val="nil"/>
                    <w:tr2bl w:val="nil"/>
                  </w:tcBorders>
                  <w:noWrap w:val="0"/>
                  <w:tcMar>
                    <w:top w:w="15" w:type="dxa"/>
                    <w:left w:w="15" w:type="dxa"/>
                    <w:right w:w="15" w:type="dxa"/>
                  </w:tcMar>
                  <w:vAlign w:val="center"/>
                </w:tcPr>
                <w:p w14:paraId="2D7E95A3">
                  <w:pPr>
                    <w:widowControl/>
                    <w:spacing w:beforeLines="0" w:afterLines="0" w:line="320" w:lineRule="exact"/>
                    <w:jc w:val="center"/>
                    <w:rPr>
                      <w:rFonts w:hint="eastAsia" w:cs="Times New Roman"/>
                      <w:color w:val="auto"/>
                      <w:kern w:val="0"/>
                      <w:sz w:val="21"/>
                      <w:szCs w:val="21"/>
                      <w:highlight w:val="none"/>
                      <w:vertAlign w:val="baseline"/>
                      <w:lang w:val="en-US" w:eastAsia="zh-CN"/>
                    </w:rPr>
                  </w:pPr>
                  <w:r>
                    <w:rPr>
                      <w:rFonts w:hint="eastAsia" w:eastAsia="宋体"/>
                      <w:snapToGrid w:val="0"/>
                      <w:color w:val="auto"/>
                      <w:kern w:val="0"/>
                      <w:sz w:val="21"/>
                      <w:szCs w:val="21"/>
                      <w:highlight w:val="none"/>
                      <w:lang w:bidi="ar"/>
                    </w:rPr>
                    <w:t>水平长20m，宽0.4m，头轮电机功率3KW</w:t>
                  </w:r>
                </w:p>
              </w:tc>
              <w:tc>
                <w:tcPr>
                  <w:tcW w:w="587" w:type="pct"/>
                  <w:tcBorders>
                    <w:tl2br w:val="nil"/>
                    <w:tr2bl w:val="nil"/>
                  </w:tcBorders>
                  <w:noWrap w:val="0"/>
                  <w:tcMar>
                    <w:top w:w="15" w:type="dxa"/>
                    <w:left w:w="15" w:type="dxa"/>
                    <w:right w:w="15" w:type="dxa"/>
                  </w:tcMar>
                  <w:vAlign w:val="center"/>
                </w:tcPr>
                <w:p w14:paraId="7E0F1C1F">
                  <w:pPr>
                    <w:widowControl/>
                    <w:kinsoku w:val="0"/>
                    <w:autoSpaceDE w:val="0"/>
                    <w:autoSpaceDN w:val="0"/>
                    <w:adjustRightInd w:val="0"/>
                    <w:snapToGrid w:val="0"/>
                    <w:spacing w:beforeLines="0" w:afterLines="0" w:line="320" w:lineRule="exact"/>
                    <w:jc w:val="center"/>
                    <w:textAlignment w:val="center"/>
                    <w:rPr>
                      <w:rFonts w:hint="eastAsia" w:cs="Times New Roman"/>
                      <w:color w:val="auto"/>
                      <w:sz w:val="21"/>
                      <w:szCs w:val="21"/>
                      <w:highlight w:val="none"/>
                      <w:lang w:val="en-US" w:eastAsia="zh-CN"/>
                    </w:rPr>
                  </w:pPr>
                  <w:r>
                    <w:rPr>
                      <w:rFonts w:hint="eastAsia" w:eastAsia="宋体"/>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0E972BBA">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782DD4F3">
                  <w:pPr>
                    <w:widowControl/>
                    <w:kinsoku w:val="0"/>
                    <w:autoSpaceDE w:val="0"/>
                    <w:autoSpaceDN w:val="0"/>
                    <w:adjustRightInd w:val="0"/>
                    <w:snapToGrid w:val="0"/>
                    <w:spacing w:beforeLines="0" w:afterLines="0" w:line="320" w:lineRule="exact"/>
                    <w:jc w:val="center"/>
                    <w:textAlignment w:val="center"/>
                    <w:rPr>
                      <w:rFonts w:hint="eastAsia"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5DDC6657">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利旧</w:t>
                  </w:r>
                </w:p>
              </w:tc>
            </w:tr>
            <w:tr w14:paraId="32086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224A75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994" w:type="pct"/>
                  <w:tcBorders>
                    <w:tl2br w:val="nil"/>
                    <w:tr2bl w:val="nil"/>
                  </w:tcBorders>
                  <w:noWrap w:val="0"/>
                  <w:tcMar>
                    <w:top w:w="15" w:type="dxa"/>
                    <w:left w:w="15" w:type="dxa"/>
                    <w:right w:w="15" w:type="dxa"/>
                  </w:tcMar>
                  <w:vAlign w:val="center"/>
                </w:tcPr>
                <w:p w14:paraId="21F03C68">
                  <w:pPr>
                    <w:keepNext w:val="0"/>
                    <w:keepLines w:val="0"/>
                    <w:pageBreakBefore w:val="0"/>
                    <w:widowControl/>
                    <w:wordWrap/>
                    <w:overflowPunct/>
                    <w:topLinePunct w:val="0"/>
                    <w:bidi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液压顶车机</w:t>
                  </w:r>
                </w:p>
              </w:tc>
              <w:tc>
                <w:tcPr>
                  <w:tcW w:w="1396" w:type="pct"/>
                  <w:tcBorders>
                    <w:tl2br w:val="nil"/>
                    <w:tr2bl w:val="nil"/>
                  </w:tcBorders>
                  <w:noWrap w:val="0"/>
                  <w:tcMar>
                    <w:top w:w="15" w:type="dxa"/>
                    <w:left w:w="15" w:type="dxa"/>
                    <w:right w:w="15" w:type="dxa"/>
                  </w:tcMar>
                  <w:vAlign w:val="center"/>
                </w:tcPr>
                <w:p w14:paraId="4D9E8D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eastAsia"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0569AA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2FC1F5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555215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536" w:type="pct"/>
                  <w:tcBorders>
                    <w:tl2br w:val="nil"/>
                    <w:tr2bl w:val="nil"/>
                  </w:tcBorders>
                  <w:noWrap w:val="0"/>
                  <w:tcMar>
                    <w:top w:w="15" w:type="dxa"/>
                    <w:left w:w="15" w:type="dxa"/>
                    <w:right w:w="15" w:type="dxa"/>
                  </w:tcMar>
                  <w:vAlign w:val="center"/>
                </w:tcPr>
                <w:p w14:paraId="0697254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center"/>
                    <w:rPr>
                      <w:rFonts w:hint="default" w:ascii="Times New Roman" w:hAnsi="Times New Roman" w:cs="Times New Roman"/>
                      <w:color w:val="auto"/>
                      <w:spacing w:val="-2"/>
                      <w:sz w:val="21"/>
                      <w:szCs w:val="21"/>
                      <w:highlight w:val="none"/>
                    </w:rPr>
                  </w:pPr>
                  <w:r>
                    <w:rPr>
                      <w:rFonts w:hint="eastAsia" w:ascii="Times New Roman" w:hAnsi="Times New Roman" w:eastAsia="宋体" w:cs="Times New Roman"/>
                      <w:color w:val="auto"/>
                      <w:sz w:val="21"/>
                      <w:szCs w:val="21"/>
                      <w:highlight w:val="none"/>
                      <w:lang w:val="en-US" w:eastAsia="zh-CN"/>
                    </w:rPr>
                    <w:t>利旧</w:t>
                  </w:r>
                </w:p>
              </w:tc>
            </w:tr>
            <w:tr w14:paraId="4A308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3C133429">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eastAsia="宋体"/>
                      <w:color w:val="auto"/>
                      <w:kern w:val="0"/>
                      <w:sz w:val="21"/>
                      <w:szCs w:val="21"/>
                      <w:highlight w:val="none"/>
                      <w:lang w:bidi="ar"/>
                    </w:rPr>
                    <w:t>/</w:t>
                  </w:r>
                </w:p>
              </w:tc>
              <w:tc>
                <w:tcPr>
                  <w:tcW w:w="994" w:type="pct"/>
                  <w:tcBorders>
                    <w:tl2br w:val="nil"/>
                    <w:tr2bl w:val="nil"/>
                  </w:tcBorders>
                  <w:noWrap w:val="0"/>
                  <w:tcMar>
                    <w:top w:w="15" w:type="dxa"/>
                    <w:left w:w="15" w:type="dxa"/>
                    <w:right w:w="15" w:type="dxa"/>
                  </w:tcMar>
                  <w:vAlign w:val="top"/>
                </w:tcPr>
                <w:p w14:paraId="4BB751AF">
                  <w:pPr>
                    <w:pStyle w:val="95"/>
                    <w:spacing w:before="57" w:line="240" w:lineRule="exact"/>
                    <w:ind w:left="142" w:leftChars="0"/>
                    <w:jc w:val="center"/>
                    <w:rPr>
                      <w:rFonts w:hint="eastAsia"/>
                      <w:color w:val="auto"/>
                      <w:sz w:val="21"/>
                      <w:szCs w:val="21"/>
                      <w:highlight w:val="none"/>
                      <w:lang w:val="en-US" w:eastAsia="zh-CN"/>
                    </w:rPr>
                  </w:pPr>
                  <w:r>
                    <w:rPr>
                      <w:rFonts w:hint="eastAsia"/>
                      <w:color w:val="auto"/>
                      <w:spacing w:val="-2"/>
                      <w:sz w:val="21"/>
                      <w:szCs w:val="21"/>
                      <w:highlight w:val="none"/>
                    </w:rPr>
                    <w:t>地轨车卷扬机</w:t>
                  </w:r>
                </w:p>
              </w:tc>
              <w:tc>
                <w:tcPr>
                  <w:tcW w:w="1396" w:type="pct"/>
                  <w:tcBorders>
                    <w:tl2br w:val="nil"/>
                    <w:tr2bl w:val="nil"/>
                  </w:tcBorders>
                  <w:noWrap w:val="0"/>
                  <w:tcMar>
                    <w:top w:w="15" w:type="dxa"/>
                    <w:left w:w="15" w:type="dxa"/>
                    <w:right w:w="15" w:type="dxa"/>
                  </w:tcMar>
                  <w:vAlign w:val="center"/>
                </w:tcPr>
                <w:p w14:paraId="07B836E7">
                  <w:pPr>
                    <w:widowControl/>
                    <w:kinsoku w:val="0"/>
                    <w:autoSpaceDE w:val="0"/>
                    <w:autoSpaceDN w:val="0"/>
                    <w:adjustRightInd w:val="0"/>
                    <w:snapToGrid w:val="0"/>
                    <w:spacing w:beforeLines="0" w:afterLines="0" w:line="320" w:lineRule="exact"/>
                    <w:jc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eastAsia="宋体"/>
                      <w:snapToGrid w:val="0"/>
                      <w:color w:val="auto"/>
                      <w:kern w:val="0"/>
                      <w:sz w:val="21"/>
                      <w:szCs w:val="21"/>
                      <w:highlight w:val="none"/>
                      <w:lang w:bidi="ar"/>
                    </w:rPr>
                    <w:t>/</w:t>
                  </w:r>
                </w:p>
              </w:tc>
              <w:tc>
                <w:tcPr>
                  <w:tcW w:w="587" w:type="pct"/>
                  <w:tcBorders>
                    <w:tl2br w:val="nil"/>
                    <w:tr2bl w:val="nil"/>
                  </w:tcBorders>
                  <w:noWrap w:val="0"/>
                  <w:tcMar>
                    <w:top w:w="15" w:type="dxa"/>
                    <w:left w:w="15" w:type="dxa"/>
                    <w:right w:w="15" w:type="dxa"/>
                  </w:tcMar>
                  <w:vAlign w:val="center"/>
                </w:tcPr>
                <w:p w14:paraId="35E4B90E">
                  <w:pPr>
                    <w:widowControl/>
                    <w:kinsoku w:val="0"/>
                    <w:autoSpaceDE w:val="0"/>
                    <w:autoSpaceDN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1</w:t>
                  </w:r>
                </w:p>
              </w:tc>
              <w:tc>
                <w:tcPr>
                  <w:tcW w:w="539" w:type="pct"/>
                  <w:tcBorders>
                    <w:tl2br w:val="nil"/>
                    <w:tr2bl w:val="nil"/>
                  </w:tcBorders>
                  <w:noWrap w:val="0"/>
                  <w:tcMar>
                    <w:top w:w="15" w:type="dxa"/>
                    <w:left w:w="15" w:type="dxa"/>
                    <w:right w:w="15" w:type="dxa"/>
                  </w:tcMar>
                  <w:vAlign w:val="center"/>
                </w:tcPr>
                <w:p w14:paraId="01583878">
                  <w:pPr>
                    <w:widowControl/>
                    <w:kinsoku w:val="0"/>
                    <w:autoSpaceDE w:val="0"/>
                    <w:autoSpaceDN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1</w:t>
                  </w:r>
                </w:p>
              </w:tc>
              <w:tc>
                <w:tcPr>
                  <w:tcW w:w="593" w:type="pct"/>
                  <w:tcBorders>
                    <w:tl2br w:val="nil"/>
                    <w:tr2bl w:val="nil"/>
                  </w:tcBorders>
                  <w:noWrap w:val="0"/>
                  <w:tcMar>
                    <w:top w:w="15" w:type="dxa"/>
                    <w:left w:w="15" w:type="dxa"/>
                    <w:right w:w="15" w:type="dxa"/>
                  </w:tcMar>
                  <w:vAlign w:val="center"/>
                </w:tcPr>
                <w:p w14:paraId="122473CC">
                  <w:pPr>
                    <w:widowControl/>
                    <w:kinsoku w:val="0"/>
                    <w:autoSpaceDE w:val="0"/>
                    <w:autoSpaceDN w:val="0"/>
                    <w:adjustRightInd w:val="0"/>
                    <w:snapToGrid w:val="0"/>
                    <w:spacing w:beforeLines="0" w:afterLines="0" w:line="320" w:lineRule="exact"/>
                    <w:jc w:val="center"/>
                    <w:textAlignment w:val="center"/>
                    <w:rPr>
                      <w:rFonts w:hint="default" w:ascii="Times New Roman" w:hAnsi="Times New Roman" w:cs="Times New Roman"/>
                      <w:color w:val="auto"/>
                      <w:sz w:val="21"/>
                      <w:szCs w:val="21"/>
                      <w:highlight w:val="none"/>
                    </w:rPr>
                  </w:pPr>
                  <w:r>
                    <w:rPr>
                      <w:rFonts w:hint="eastAsia"/>
                      <w:color w:val="auto"/>
                      <w:sz w:val="21"/>
                      <w:szCs w:val="21"/>
                      <w:highlight w:val="none"/>
                    </w:rPr>
                    <w:t>0</w:t>
                  </w:r>
                </w:p>
              </w:tc>
              <w:tc>
                <w:tcPr>
                  <w:tcW w:w="536" w:type="pct"/>
                  <w:tcBorders>
                    <w:tl2br w:val="nil"/>
                    <w:tr2bl w:val="nil"/>
                  </w:tcBorders>
                  <w:noWrap w:val="0"/>
                  <w:tcMar>
                    <w:top w:w="15" w:type="dxa"/>
                    <w:left w:w="15" w:type="dxa"/>
                    <w:right w:w="15" w:type="dxa"/>
                  </w:tcMar>
                  <w:vAlign w:val="center"/>
                </w:tcPr>
                <w:p w14:paraId="774DA232">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利旧</w:t>
                  </w:r>
                </w:p>
              </w:tc>
            </w:tr>
            <w:tr w14:paraId="667F2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3AEA3C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994" w:type="pct"/>
                  <w:tcBorders>
                    <w:tl2br w:val="nil"/>
                    <w:tr2bl w:val="nil"/>
                  </w:tcBorders>
                  <w:noWrap w:val="0"/>
                  <w:tcMar>
                    <w:top w:w="15" w:type="dxa"/>
                    <w:left w:w="15" w:type="dxa"/>
                    <w:right w:w="15" w:type="dxa"/>
                  </w:tcMar>
                  <w:vAlign w:val="center"/>
                </w:tcPr>
                <w:p w14:paraId="462CEE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Arial" w:cs="Times New Roman"/>
                      <w:snapToGrid w:val="0"/>
                      <w:color w:val="auto"/>
                      <w:kern w:val="0"/>
                      <w:sz w:val="21"/>
                      <w:szCs w:val="21"/>
                      <w:highlight w:val="none"/>
                      <w:lang w:val="en-US" w:eastAsia="zh-CN" w:bidi="ar-SA"/>
                    </w:rPr>
                  </w:pPr>
                  <w:r>
                    <w:rPr>
                      <w:rFonts w:hint="eastAsia"/>
                      <w:color w:val="auto"/>
                      <w:sz w:val="21"/>
                      <w:szCs w:val="21"/>
                      <w:highlight w:val="none"/>
                      <w:lang w:val="en-US" w:eastAsia="zh-CN"/>
                    </w:rPr>
                    <w:t>隧道窑</w:t>
                  </w:r>
                </w:p>
              </w:tc>
              <w:tc>
                <w:tcPr>
                  <w:tcW w:w="1396" w:type="pct"/>
                  <w:tcBorders>
                    <w:tl2br w:val="nil"/>
                    <w:tr2bl w:val="nil"/>
                  </w:tcBorders>
                  <w:noWrap w:val="0"/>
                  <w:tcMar>
                    <w:top w:w="15" w:type="dxa"/>
                    <w:left w:w="15" w:type="dxa"/>
                    <w:right w:w="15" w:type="dxa"/>
                  </w:tcMar>
                  <w:vAlign w:val="center"/>
                </w:tcPr>
                <w:p w14:paraId="05739CB9">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155</w:t>
                  </w:r>
                  <w:r>
                    <w:rPr>
                      <w:rFonts w:hint="eastAsia" w:ascii="Times New Roman" w:hAnsi="Times New Roman" w:eastAsia="宋体" w:cs="Times New Roman"/>
                      <w:snapToGrid w:val="0"/>
                      <w:color w:val="auto"/>
                      <w:kern w:val="0"/>
                      <w:sz w:val="21"/>
                      <w:szCs w:val="21"/>
                      <w:highlight w:val="none"/>
                      <w:lang w:val="en-US" w:eastAsia="zh-CN" w:bidi="ar"/>
                    </w:rPr>
                    <w:t>m×</w:t>
                  </w:r>
                  <w:r>
                    <w:rPr>
                      <w:rFonts w:hint="eastAsia" w:cs="Times New Roman"/>
                      <w:snapToGrid w:val="0"/>
                      <w:color w:val="auto"/>
                      <w:kern w:val="0"/>
                      <w:sz w:val="21"/>
                      <w:szCs w:val="21"/>
                      <w:highlight w:val="none"/>
                      <w:lang w:val="en-US" w:eastAsia="zh-CN" w:bidi="ar"/>
                    </w:rPr>
                    <w:t>3.7</w:t>
                  </w:r>
                  <w:r>
                    <w:rPr>
                      <w:rFonts w:hint="eastAsia" w:ascii="Times New Roman" w:hAnsi="Times New Roman" w:eastAsia="宋体" w:cs="Times New Roman"/>
                      <w:snapToGrid w:val="0"/>
                      <w:color w:val="auto"/>
                      <w:kern w:val="0"/>
                      <w:sz w:val="21"/>
                      <w:szCs w:val="21"/>
                      <w:highlight w:val="none"/>
                      <w:lang w:val="en-US" w:eastAsia="zh-CN" w:bidi="ar"/>
                    </w:rPr>
                    <w:t>m×</w:t>
                  </w:r>
                  <w:r>
                    <w:rPr>
                      <w:rFonts w:hint="eastAsia" w:cs="Times New Roman"/>
                      <w:snapToGrid w:val="0"/>
                      <w:color w:val="auto"/>
                      <w:kern w:val="0"/>
                      <w:sz w:val="21"/>
                      <w:szCs w:val="21"/>
                      <w:highlight w:val="none"/>
                      <w:lang w:val="en-US" w:eastAsia="zh-CN" w:bidi="ar"/>
                    </w:rPr>
                    <w:t>2.9</w:t>
                  </w:r>
                  <w:r>
                    <w:rPr>
                      <w:rFonts w:hint="eastAsia" w:ascii="Times New Roman" w:hAnsi="Times New Roman" w:eastAsia="宋体" w:cs="Times New Roman"/>
                      <w:snapToGrid w:val="0"/>
                      <w:color w:val="auto"/>
                      <w:kern w:val="0"/>
                      <w:sz w:val="21"/>
                      <w:szCs w:val="21"/>
                      <w:highlight w:val="none"/>
                      <w:lang w:val="en-US" w:eastAsia="zh-CN" w:bidi="ar"/>
                    </w:rPr>
                    <w:t>m</w:t>
                  </w:r>
                </w:p>
              </w:tc>
              <w:tc>
                <w:tcPr>
                  <w:tcW w:w="587" w:type="pct"/>
                  <w:tcBorders>
                    <w:tl2br w:val="nil"/>
                    <w:tr2bl w:val="nil"/>
                  </w:tcBorders>
                  <w:noWrap w:val="0"/>
                  <w:tcMar>
                    <w:top w:w="15" w:type="dxa"/>
                    <w:left w:w="15" w:type="dxa"/>
                    <w:right w:w="15" w:type="dxa"/>
                  </w:tcMar>
                  <w:vAlign w:val="center"/>
                </w:tcPr>
                <w:p w14:paraId="384DA2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39" w:type="pct"/>
                  <w:tcBorders>
                    <w:tl2br w:val="nil"/>
                    <w:tr2bl w:val="nil"/>
                  </w:tcBorders>
                  <w:noWrap w:val="0"/>
                  <w:tcMar>
                    <w:top w:w="15" w:type="dxa"/>
                    <w:left w:w="15" w:type="dxa"/>
                    <w:right w:w="15" w:type="dxa"/>
                  </w:tcMar>
                  <w:vAlign w:val="center"/>
                </w:tcPr>
                <w:p w14:paraId="191444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93" w:type="pct"/>
                  <w:tcBorders>
                    <w:tl2br w:val="nil"/>
                    <w:tr2bl w:val="nil"/>
                  </w:tcBorders>
                  <w:noWrap w:val="0"/>
                  <w:tcMar>
                    <w:top w:w="15" w:type="dxa"/>
                    <w:left w:w="15" w:type="dxa"/>
                    <w:right w:w="15" w:type="dxa"/>
                  </w:tcMar>
                  <w:vAlign w:val="center"/>
                </w:tcPr>
                <w:p w14:paraId="4CCEE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Arial" w:cs="Times New Roman"/>
                      <w:snapToGrid w:val="0"/>
                      <w:color w:val="auto"/>
                      <w:kern w:val="0"/>
                      <w:sz w:val="21"/>
                      <w:szCs w:val="21"/>
                      <w:highlight w:val="none"/>
                      <w:lang w:val="en-US" w:eastAsia="en-US" w:bidi="ar-SA"/>
                    </w:rPr>
                  </w:pPr>
                  <w:r>
                    <w:rPr>
                      <w:rFonts w:hint="default" w:ascii="Times New Roman" w:hAnsi="Times New Roman" w:cs="Times New Roman"/>
                      <w:color w:val="auto"/>
                      <w:sz w:val="21"/>
                      <w:szCs w:val="21"/>
                      <w:highlight w:val="none"/>
                    </w:rPr>
                    <w:t>0</w:t>
                  </w:r>
                </w:p>
              </w:tc>
              <w:tc>
                <w:tcPr>
                  <w:tcW w:w="536" w:type="pct"/>
                  <w:tcBorders>
                    <w:tl2br w:val="nil"/>
                    <w:tr2bl w:val="nil"/>
                  </w:tcBorders>
                  <w:noWrap w:val="0"/>
                  <w:tcMar>
                    <w:top w:w="15" w:type="dxa"/>
                    <w:left w:w="15" w:type="dxa"/>
                    <w:right w:w="15" w:type="dxa"/>
                  </w:tcMar>
                  <w:vAlign w:val="center"/>
                </w:tcPr>
                <w:p w14:paraId="199A42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改造</w:t>
                  </w:r>
                </w:p>
              </w:tc>
            </w:tr>
            <w:tr w14:paraId="07D2C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2018F3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994" w:type="pct"/>
                  <w:tcBorders>
                    <w:tl2br w:val="nil"/>
                    <w:tr2bl w:val="nil"/>
                  </w:tcBorders>
                  <w:noWrap w:val="0"/>
                  <w:tcMar>
                    <w:top w:w="15" w:type="dxa"/>
                    <w:left w:w="15" w:type="dxa"/>
                    <w:right w:w="15" w:type="dxa"/>
                  </w:tcMar>
                  <w:vAlign w:val="center"/>
                </w:tcPr>
                <w:p w14:paraId="2CA6CB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装载机</w:t>
                  </w:r>
                </w:p>
              </w:tc>
              <w:tc>
                <w:tcPr>
                  <w:tcW w:w="1396" w:type="pct"/>
                  <w:tcBorders>
                    <w:tl2br w:val="nil"/>
                    <w:tr2bl w:val="nil"/>
                  </w:tcBorders>
                  <w:noWrap w:val="0"/>
                  <w:tcMar>
                    <w:top w:w="15" w:type="dxa"/>
                    <w:left w:w="15" w:type="dxa"/>
                    <w:right w:w="15" w:type="dxa"/>
                  </w:tcMar>
                  <w:vAlign w:val="center"/>
                </w:tcPr>
                <w:p w14:paraId="0955E0B2">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084740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39" w:type="pct"/>
                  <w:tcBorders>
                    <w:tl2br w:val="nil"/>
                    <w:tr2bl w:val="nil"/>
                  </w:tcBorders>
                  <w:noWrap w:val="0"/>
                  <w:tcMar>
                    <w:top w:w="15" w:type="dxa"/>
                    <w:left w:w="15" w:type="dxa"/>
                    <w:right w:w="15" w:type="dxa"/>
                  </w:tcMar>
                  <w:vAlign w:val="center"/>
                </w:tcPr>
                <w:p w14:paraId="6803F6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93" w:type="pct"/>
                  <w:tcBorders>
                    <w:tl2br w:val="nil"/>
                    <w:tr2bl w:val="nil"/>
                  </w:tcBorders>
                  <w:noWrap w:val="0"/>
                  <w:tcMar>
                    <w:top w:w="15" w:type="dxa"/>
                    <w:left w:w="15" w:type="dxa"/>
                    <w:right w:w="15" w:type="dxa"/>
                  </w:tcMar>
                  <w:vAlign w:val="center"/>
                </w:tcPr>
                <w:p w14:paraId="425180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543974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利旧</w:t>
                  </w:r>
                </w:p>
              </w:tc>
            </w:tr>
            <w:tr w14:paraId="78688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43A13E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994" w:type="pct"/>
                  <w:tcBorders>
                    <w:tl2br w:val="nil"/>
                    <w:tr2bl w:val="nil"/>
                  </w:tcBorders>
                  <w:noWrap w:val="0"/>
                  <w:tcMar>
                    <w:top w:w="15" w:type="dxa"/>
                    <w:left w:w="15" w:type="dxa"/>
                    <w:right w:w="15" w:type="dxa"/>
                  </w:tcMar>
                  <w:vAlign w:val="center"/>
                </w:tcPr>
                <w:p w14:paraId="468FE0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叉车</w:t>
                  </w:r>
                </w:p>
              </w:tc>
              <w:tc>
                <w:tcPr>
                  <w:tcW w:w="1396" w:type="pct"/>
                  <w:tcBorders>
                    <w:tl2br w:val="nil"/>
                    <w:tr2bl w:val="nil"/>
                  </w:tcBorders>
                  <w:noWrap w:val="0"/>
                  <w:tcMar>
                    <w:top w:w="15" w:type="dxa"/>
                    <w:left w:w="15" w:type="dxa"/>
                    <w:right w:w="15" w:type="dxa"/>
                  </w:tcMar>
                  <w:vAlign w:val="center"/>
                </w:tcPr>
                <w:p w14:paraId="762FA36D">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587" w:type="pct"/>
                  <w:tcBorders>
                    <w:tl2br w:val="nil"/>
                    <w:tr2bl w:val="nil"/>
                  </w:tcBorders>
                  <w:noWrap w:val="0"/>
                  <w:tcMar>
                    <w:top w:w="15" w:type="dxa"/>
                    <w:left w:w="15" w:type="dxa"/>
                    <w:right w:w="15" w:type="dxa"/>
                  </w:tcMar>
                  <w:vAlign w:val="center"/>
                </w:tcPr>
                <w:p w14:paraId="6A6EBC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539" w:type="pct"/>
                  <w:tcBorders>
                    <w:tl2br w:val="nil"/>
                    <w:tr2bl w:val="nil"/>
                  </w:tcBorders>
                  <w:noWrap w:val="0"/>
                  <w:tcMar>
                    <w:top w:w="15" w:type="dxa"/>
                    <w:left w:w="15" w:type="dxa"/>
                    <w:right w:w="15" w:type="dxa"/>
                  </w:tcMar>
                  <w:vAlign w:val="center"/>
                </w:tcPr>
                <w:p w14:paraId="731744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593" w:type="pct"/>
                  <w:tcBorders>
                    <w:tl2br w:val="nil"/>
                    <w:tr2bl w:val="nil"/>
                  </w:tcBorders>
                  <w:noWrap w:val="0"/>
                  <w:tcMar>
                    <w:top w:w="15" w:type="dxa"/>
                    <w:left w:w="15" w:type="dxa"/>
                    <w:right w:w="15" w:type="dxa"/>
                  </w:tcMar>
                  <w:vAlign w:val="center"/>
                </w:tcPr>
                <w:p w14:paraId="7CF5C4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110359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利旧</w:t>
                  </w:r>
                </w:p>
              </w:tc>
            </w:tr>
            <w:tr w14:paraId="2AEC0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15" w:type="dxa"/>
                    <w:left w:w="15" w:type="dxa"/>
                    <w:right w:w="15" w:type="dxa"/>
                  </w:tcMar>
                  <w:vAlign w:val="center"/>
                </w:tcPr>
                <w:p w14:paraId="270D48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94" w:type="pct"/>
                  <w:tcBorders>
                    <w:tl2br w:val="nil"/>
                    <w:tr2bl w:val="nil"/>
                  </w:tcBorders>
                  <w:noWrap w:val="0"/>
                  <w:tcMar>
                    <w:top w:w="15" w:type="dxa"/>
                    <w:left w:w="15" w:type="dxa"/>
                    <w:right w:w="15" w:type="dxa"/>
                  </w:tcMar>
                  <w:vAlign w:val="center"/>
                </w:tcPr>
                <w:p w14:paraId="02ED4FFD">
                  <w:pPr>
                    <w:widowControl/>
                    <w:kinsoku w:val="0"/>
                    <w:autoSpaceDE w:val="0"/>
                    <w:autoSpaceDN w:val="0"/>
                    <w:adjustRightInd w:val="0"/>
                    <w:snapToGrid w:val="0"/>
                    <w:spacing w:beforeLines="0" w:afterLines="0" w:line="320" w:lineRule="exact"/>
                    <w:jc w:val="center"/>
                    <w:textAlignment w:val="center"/>
                    <w:rPr>
                      <w:rFonts w:hint="eastAsia"/>
                      <w:color w:val="auto"/>
                      <w:sz w:val="21"/>
                      <w:szCs w:val="21"/>
                      <w:highlight w:val="none"/>
                      <w:lang w:val="en-US" w:eastAsia="zh-CN"/>
                    </w:rPr>
                  </w:pPr>
                  <w:r>
                    <w:rPr>
                      <w:rFonts w:hint="eastAsia" w:eastAsia="宋体"/>
                      <w:color w:val="auto"/>
                      <w:sz w:val="21"/>
                      <w:szCs w:val="21"/>
                      <w:highlight w:val="none"/>
                    </w:rPr>
                    <w:t>打包机</w:t>
                  </w:r>
                </w:p>
              </w:tc>
              <w:tc>
                <w:tcPr>
                  <w:tcW w:w="1396" w:type="pct"/>
                  <w:tcBorders>
                    <w:tl2br w:val="nil"/>
                    <w:tr2bl w:val="nil"/>
                  </w:tcBorders>
                  <w:noWrap w:val="0"/>
                  <w:tcMar>
                    <w:top w:w="15" w:type="dxa"/>
                    <w:left w:w="15" w:type="dxa"/>
                    <w:right w:w="15" w:type="dxa"/>
                  </w:tcMar>
                  <w:vAlign w:val="center"/>
                </w:tcPr>
                <w:p w14:paraId="1F310E80">
                  <w:pPr>
                    <w:widowControl/>
                    <w:spacing w:beforeLines="0" w:afterLines="0" w:line="320" w:lineRule="exact"/>
                    <w:jc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eastAsia="宋体"/>
                      <w:snapToGrid w:val="0"/>
                      <w:color w:val="auto"/>
                      <w:kern w:val="0"/>
                      <w:sz w:val="21"/>
                      <w:szCs w:val="21"/>
                      <w:highlight w:val="none"/>
                      <w:lang w:bidi="ar"/>
                    </w:rPr>
                    <w:t>/</w:t>
                  </w:r>
                </w:p>
              </w:tc>
              <w:tc>
                <w:tcPr>
                  <w:tcW w:w="587" w:type="pct"/>
                  <w:tcBorders>
                    <w:tl2br w:val="nil"/>
                    <w:tr2bl w:val="nil"/>
                  </w:tcBorders>
                  <w:noWrap w:val="0"/>
                  <w:tcMar>
                    <w:top w:w="15" w:type="dxa"/>
                    <w:left w:w="15" w:type="dxa"/>
                    <w:right w:w="15" w:type="dxa"/>
                  </w:tcMar>
                  <w:vAlign w:val="center"/>
                </w:tcPr>
                <w:p w14:paraId="08902919">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3</w:t>
                  </w:r>
                </w:p>
              </w:tc>
              <w:tc>
                <w:tcPr>
                  <w:tcW w:w="539" w:type="pct"/>
                  <w:tcBorders>
                    <w:tl2br w:val="nil"/>
                    <w:tr2bl w:val="nil"/>
                  </w:tcBorders>
                  <w:noWrap w:val="0"/>
                  <w:tcMar>
                    <w:top w:w="15" w:type="dxa"/>
                    <w:left w:w="15" w:type="dxa"/>
                    <w:right w:w="15" w:type="dxa"/>
                  </w:tcMar>
                  <w:vAlign w:val="center"/>
                </w:tcPr>
                <w:p w14:paraId="062DD298">
                  <w:pPr>
                    <w:widowControl/>
                    <w:kinsoku w:val="0"/>
                    <w:autoSpaceDE w:val="0"/>
                    <w:autoSpaceDN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3</w:t>
                  </w:r>
                </w:p>
              </w:tc>
              <w:tc>
                <w:tcPr>
                  <w:tcW w:w="593" w:type="pct"/>
                  <w:tcBorders>
                    <w:tl2br w:val="nil"/>
                    <w:tr2bl w:val="nil"/>
                  </w:tcBorders>
                  <w:noWrap w:val="0"/>
                  <w:tcMar>
                    <w:top w:w="15" w:type="dxa"/>
                    <w:left w:w="15" w:type="dxa"/>
                    <w:right w:w="15" w:type="dxa"/>
                  </w:tcMar>
                  <w:vAlign w:val="center"/>
                </w:tcPr>
                <w:p w14:paraId="2519A376">
                  <w:pPr>
                    <w:widowControl/>
                    <w:kinsoku w:val="0"/>
                    <w:autoSpaceDE w:val="0"/>
                    <w:autoSpaceDN w:val="0"/>
                    <w:adjustRightInd w:val="0"/>
                    <w:snapToGrid w:val="0"/>
                    <w:spacing w:beforeLines="0" w:afterLines="0" w:line="320" w:lineRule="exact"/>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6" w:type="pct"/>
                  <w:tcBorders>
                    <w:tl2br w:val="nil"/>
                    <w:tr2bl w:val="nil"/>
                  </w:tcBorders>
                  <w:noWrap w:val="0"/>
                  <w:tcMar>
                    <w:top w:w="15" w:type="dxa"/>
                    <w:left w:w="15" w:type="dxa"/>
                    <w:right w:w="15" w:type="dxa"/>
                  </w:tcMar>
                  <w:vAlign w:val="center"/>
                </w:tcPr>
                <w:p w14:paraId="4EECC7E7">
                  <w:pPr>
                    <w:widowControl/>
                    <w:kinsoku w:val="0"/>
                    <w:autoSpaceDE w:val="0"/>
                    <w:autoSpaceDN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bl>
          <w:p w14:paraId="4331191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改建</w:t>
            </w:r>
            <w:r>
              <w:rPr>
                <w:rFonts w:hint="eastAsia" w:ascii="Times New Roman" w:hAnsi="Times New Roman" w:eastAsia="宋体" w:cs="Times New Roman"/>
                <w:color w:val="auto"/>
                <w:sz w:val="24"/>
                <w:szCs w:val="24"/>
                <w:highlight w:val="none"/>
              </w:rPr>
              <w:t>后年产煤矸石砖1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000万块，产能主要由破碎机、筛分机、搅拌机、制砖机、隧道窑的生产能力决定，产能分析见下表。</w:t>
            </w:r>
          </w:p>
          <w:p w14:paraId="66707F1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表2-5  隧道窑产能核算一览表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028"/>
              <w:gridCol w:w="2378"/>
              <w:gridCol w:w="3753"/>
            </w:tblGrid>
            <w:tr w14:paraId="20A2A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731" w:type="pct"/>
                  <w:tcBorders>
                    <w:tl2br w:val="nil"/>
                    <w:tr2bl w:val="nil"/>
                  </w:tcBorders>
                  <w:noWrap w:val="0"/>
                  <w:vAlign w:val="center"/>
                </w:tcPr>
                <w:p w14:paraId="218DC481">
                  <w:pPr>
                    <w:pStyle w:val="106"/>
                    <w:spacing w:line="240" w:lineRule="auto"/>
                    <w:ind w:firstLine="0" w:firstLineChars="0"/>
                    <w:jc w:val="center"/>
                    <w:rPr>
                      <w:rFonts w:hint="eastAsia"/>
                      <w:b/>
                      <w:color w:val="auto"/>
                      <w:sz w:val="21"/>
                      <w:szCs w:val="21"/>
                      <w:highlight w:val="none"/>
                    </w:rPr>
                  </w:pPr>
                  <w:r>
                    <w:rPr>
                      <w:rFonts w:hint="eastAsia" w:eastAsia="宋体"/>
                      <w:b/>
                      <w:color w:val="auto"/>
                      <w:sz w:val="21"/>
                      <w:szCs w:val="21"/>
                      <w:highlight w:val="none"/>
                    </w:rPr>
                    <w:t>生产设备</w:t>
                  </w:r>
                </w:p>
              </w:tc>
              <w:tc>
                <w:tcPr>
                  <w:tcW w:w="2031" w:type="pct"/>
                  <w:gridSpan w:val="2"/>
                  <w:tcBorders>
                    <w:tl2br w:val="nil"/>
                    <w:tr2bl w:val="nil"/>
                  </w:tcBorders>
                  <w:noWrap w:val="0"/>
                  <w:vAlign w:val="center"/>
                </w:tcPr>
                <w:p w14:paraId="0501F9EB">
                  <w:pPr>
                    <w:pStyle w:val="106"/>
                    <w:spacing w:line="240" w:lineRule="auto"/>
                    <w:ind w:firstLine="0" w:firstLineChars="0"/>
                    <w:jc w:val="center"/>
                    <w:rPr>
                      <w:rFonts w:hint="eastAsia"/>
                      <w:b/>
                      <w:color w:val="auto"/>
                      <w:sz w:val="21"/>
                      <w:szCs w:val="21"/>
                      <w:highlight w:val="none"/>
                    </w:rPr>
                  </w:pPr>
                  <w:r>
                    <w:rPr>
                      <w:rFonts w:hint="eastAsia" w:eastAsia="宋体"/>
                      <w:b/>
                      <w:color w:val="auto"/>
                      <w:sz w:val="21"/>
                      <w:szCs w:val="21"/>
                      <w:highlight w:val="none"/>
                    </w:rPr>
                    <w:t>规格参数</w:t>
                  </w:r>
                </w:p>
              </w:tc>
              <w:tc>
                <w:tcPr>
                  <w:tcW w:w="2236" w:type="pct"/>
                  <w:tcBorders>
                    <w:tl2br w:val="nil"/>
                    <w:tr2bl w:val="nil"/>
                  </w:tcBorders>
                  <w:noWrap w:val="0"/>
                  <w:vAlign w:val="center"/>
                </w:tcPr>
                <w:p w14:paraId="2221DAB7">
                  <w:pPr>
                    <w:pStyle w:val="106"/>
                    <w:spacing w:line="240" w:lineRule="auto"/>
                    <w:ind w:firstLine="0" w:firstLineChars="0"/>
                    <w:jc w:val="center"/>
                    <w:rPr>
                      <w:rFonts w:hint="eastAsia"/>
                      <w:b/>
                      <w:color w:val="auto"/>
                      <w:sz w:val="21"/>
                      <w:szCs w:val="21"/>
                      <w:highlight w:val="none"/>
                    </w:rPr>
                  </w:pPr>
                  <w:r>
                    <w:rPr>
                      <w:rFonts w:hint="eastAsia" w:eastAsia="宋体"/>
                      <w:b/>
                      <w:color w:val="auto"/>
                      <w:sz w:val="21"/>
                      <w:szCs w:val="21"/>
                      <w:highlight w:val="none"/>
                    </w:rPr>
                    <w:t>备注</w:t>
                  </w:r>
                </w:p>
              </w:tc>
            </w:tr>
            <w:tr w14:paraId="06CE3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19B4802D">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rPr>
                    <w:t>隧道窑</w:t>
                  </w:r>
                </w:p>
              </w:tc>
            </w:tr>
            <w:tr w14:paraId="76637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restart"/>
                  <w:tcBorders>
                    <w:tl2br w:val="nil"/>
                    <w:tr2bl w:val="nil"/>
                  </w:tcBorders>
                  <w:noWrap w:val="0"/>
                  <w:vAlign w:val="center"/>
                </w:tcPr>
                <w:p w14:paraId="093595D4">
                  <w:pPr>
                    <w:pStyle w:val="95"/>
                    <w:jc w:val="center"/>
                    <w:rPr>
                      <w:rFonts w:hint="eastAsia" w:ascii="Times New Roman" w:hAnsi="Times New Roman" w:eastAsia="Times New Roman" w:cs="Times New Roman"/>
                      <w:color w:val="auto"/>
                      <w:sz w:val="21"/>
                      <w:szCs w:val="21"/>
                      <w:highlight w:val="none"/>
                      <w:lang w:eastAsia="zh-CN"/>
                    </w:rPr>
                  </w:pPr>
                  <w:r>
                    <w:rPr>
                      <w:rStyle w:val="26"/>
                      <w:rFonts w:hint="default" w:ascii="Segoe UI" w:hAnsi="Times New Roman" w:eastAsia="Segoe UI" w:cs="Times New Roman"/>
                      <w:b w:val="0"/>
                      <w:color w:val="auto"/>
                      <w:sz w:val="21"/>
                      <w:szCs w:val="21"/>
                      <w:highlight w:val="none"/>
                      <w:shd w:val="clear" w:color="auto" w:fill="FFFFFF"/>
                    </w:rPr>
                    <w:t>窑体尺寸</w:t>
                  </w:r>
                </w:p>
              </w:tc>
              <w:tc>
                <w:tcPr>
                  <w:tcW w:w="613" w:type="pct"/>
                  <w:tcBorders>
                    <w:tl2br w:val="nil"/>
                    <w:tr2bl w:val="nil"/>
                  </w:tcBorders>
                  <w:noWrap w:val="0"/>
                  <w:vAlign w:val="center"/>
                </w:tcPr>
                <w:p w14:paraId="7FE8968A">
                  <w:pPr>
                    <w:jc w:val="center"/>
                    <w:rPr>
                      <w:rFonts w:hint="eastAsia"/>
                      <w:color w:val="auto"/>
                      <w:sz w:val="21"/>
                      <w:szCs w:val="21"/>
                      <w:highlight w:val="none"/>
                    </w:rPr>
                  </w:pPr>
                  <w:r>
                    <w:rPr>
                      <w:rFonts w:hint="eastAsia" w:eastAsia="宋体"/>
                      <w:color w:val="auto"/>
                      <w:sz w:val="21"/>
                      <w:szCs w:val="21"/>
                      <w:highlight w:val="none"/>
                    </w:rPr>
                    <w:t>干燥段</w:t>
                  </w:r>
                </w:p>
              </w:tc>
              <w:tc>
                <w:tcPr>
                  <w:tcW w:w="1418" w:type="pct"/>
                  <w:tcBorders>
                    <w:tl2br w:val="nil"/>
                    <w:tr2bl w:val="nil"/>
                  </w:tcBorders>
                  <w:noWrap w:val="0"/>
                  <w:vAlign w:val="center"/>
                </w:tcPr>
                <w:p w14:paraId="3A684D66">
                  <w:pPr>
                    <w:pStyle w:val="95"/>
                    <w:jc w:val="center"/>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eastAsia="zh-CN"/>
                    </w:rPr>
                    <w:t>长</w:t>
                  </w:r>
                  <w:r>
                    <w:rPr>
                      <w:rFonts w:hint="eastAsia" w:ascii="Times New Roman" w:hAnsi="Times New Roman" w:cs="Times New Roman"/>
                      <w:color w:val="auto"/>
                      <w:spacing w:val="0"/>
                      <w:sz w:val="21"/>
                      <w:szCs w:val="21"/>
                      <w:highlight w:val="none"/>
                      <w:lang w:val="en-US" w:eastAsia="zh-CN"/>
                    </w:rPr>
                    <w:t>88</w:t>
                  </w:r>
                  <w:r>
                    <w:rPr>
                      <w:rFonts w:hint="eastAsia" w:ascii="Times New Roman" w:hAnsi="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rPr>
                    <w:t>窑面内宽</w:t>
                  </w:r>
                  <w:r>
                    <w:rPr>
                      <w:rFonts w:hint="eastAsia" w:ascii="Times New Roman" w:hAnsi="Times New Roman" w:eastAsia="Times New Roman" w:cs="Times New Roman"/>
                      <w:color w:val="auto"/>
                      <w:spacing w:val="0"/>
                      <w:sz w:val="21"/>
                      <w:szCs w:val="21"/>
                      <w:highlight w:val="none"/>
                      <w:lang w:val="en-US" w:eastAsia="zh-CN"/>
                    </w:rPr>
                    <w:t>3.7</w:t>
                  </w:r>
                  <w:r>
                    <w:rPr>
                      <w:rFonts w:hint="eastAsia" w:ascii="Times New Roman" w:hAnsi="Times New Roman" w:eastAsia="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rPr>
                    <w:t>内</w:t>
                  </w:r>
                  <w:r>
                    <w:rPr>
                      <w:rFonts w:hint="eastAsia" w:ascii="Times New Roman" w:hAnsi="Times New Roman" w:cs="Times New Roman"/>
                      <w:color w:val="auto"/>
                      <w:spacing w:val="0"/>
                      <w:sz w:val="21"/>
                      <w:szCs w:val="21"/>
                      <w:highlight w:val="none"/>
                      <w:lang w:eastAsia="zh-CN"/>
                    </w:rPr>
                    <w:t>高</w:t>
                  </w:r>
                  <w:r>
                    <w:rPr>
                      <w:rFonts w:hint="eastAsia" w:ascii="Times New Roman" w:hAnsi="Times New Roman" w:cs="Times New Roman"/>
                      <w:color w:val="auto"/>
                      <w:spacing w:val="0"/>
                      <w:sz w:val="21"/>
                      <w:szCs w:val="21"/>
                      <w:highlight w:val="none"/>
                      <w:lang w:val="en-US" w:eastAsia="zh-CN"/>
                    </w:rPr>
                    <w:t>2.9</w:t>
                  </w:r>
                  <w:r>
                    <w:rPr>
                      <w:rFonts w:hint="eastAsia" w:ascii="Times New Roman" w:hAnsi="Times New Roman" w:cs="Times New Roman"/>
                      <w:color w:val="auto"/>
                      <w:spacing w:val="0"/>
                      <w:sz w:val="21"/>
                      <w:szCs w:val="21"/>
                      <w:highlight w:val="none"/>
                      <w:lang w:eastAsia="zh-CN"/>
                    </w:rPr>
                    <w:t>m</w:t>
                  </w:r>
                </w:p>
              </w:tc>
              <w:tc>
                <w:tcPr>
                  <w:tcW w:w="2236" w:type="pct"/>
                  <w:vMerge w:val="restart"/>
                  <w:tcBorders>
                    <w:tl2br w:val="nil"/>
                    <w:tr2bl w:val="nil"/>
                  </w:tcBorders>
                  <w:noWrap w:val="0"/>
                  <w:vAlign w:val="center"/>
                </w:tcPr>
                <w:p w14:paraId="6F59DAAE">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rPr>
                    <w:t>本项目焙烧窑尺寸</w:t>
                  </w:r>
                  <w:r>
                    <w:rPr>
                      <w:rFonts w:hint="eastAsia" w:eastAsia="宋体"/>
                      <w:color w:val="auto"/>
                      <w:kern w:val="0"/>
                      <w:sz w:val="21"/>
                      <w:szCs w:val="21"/>
                      <w:highlight w:val="none"/>
                    </w:rPr>
                    <w:t>长</w:t>
                  </w:r>
                  <w:r>
                    <w:rPr>
                      <w:rFonts w:hint="eastAsia"/>
                      <w:color w:val="auto"/>
                      <w:kern w:val="0"/>
                      <w:sz w:val="21"/>
                      <w:szCs w:val="21"/>
                      <w:highlight w:val="none"/>
                      <w:lang w:val="en-US" w:eastAsia="zh-CN"/>
                    </w:rPr>
                    <w:t>155</w:t>
                  </w:r>
                  <w:r>
                    <w:rPr>
                      <w:rFonts w:hint="eastAsia" w:eastAsia="宋体"/>
                      <w:color w:val="auto"/>
                      <w:kern w:val="0"/>
                      <w:sz w:val="21"/>
                      <w:szCs w:val="21"/>
                      <w:highlight w:val="none"/>
                    </w:rPr>
                    <w:t>m，</w:t>
                  </w:r>
                  <w:r>
                    <w:rPr>
                      <w:rFonts w:hint="eastAsia" w:eastAsia="宋体"/>
                      <w:color w:val="auto"/>
                      <w:spacing w:val="-2"/>
                      <w:sz w:val="21"/>
                      <w:szCs w:val="21"/>
                      <w:highlight w:val="none"/>
                    </w:rPr>
                    <w:t>窑面内宽</w:t>
                  </w:r>
                  <w:r>
                    <w:rPr>
                      <w:rFonts w:hint="eastAsia"/>
                      <w:color w:val="auto"/>
                      <w:kern w:val="0"/>
                      <w:sz w:val="21"/>
                      <w:szCs w:val="21"/>
                      <w:highlight w:val="none"/>
                      <w:lang w:val="en-US" w:eastAsia="zh-CN"/>
                    </w:rPr>
                    <w:t>3.7</w:t>
                  </w:r>
                  <w:r>
                    <w:rPr>
                      <w:rFonts w:hint="eastAsia"/>
                      <w:color w:val="auto"/>
                      <w:kern w:val="0"/>
                      <w:sz w:val="21"/>
                      <w:szCs w:val="21"/>
                      <w:highlight w:val="none"/>
                    </w:rPr>
                    <w:t>m</w:t>
                  </w:r>
                  <w:r>
                    <w:rPr>
                      <w:rFonts w:hint="eastAsia" w:eastAsia="宋体"/>
                      <w:color w:val="auto"/>
                      <w:kern w:val="0"/>
                      <w:sz w:val="21"/>
                      <w:szCs w:val="21"/>
                      <w:highlight w:val="none"/>
                    </w:rPr>
                    <w:t>，内高</w:t>
                  </w:r>
                  <w:r>
                    <w:rPr>
                      <w:rFonts w:hint="eastAsia"/>
                      <w:color w:val="auto"/>
                      <w:kern w:val="0"/>
                      <w:sz w:val="21"/>
                      <w:szCs w:val="21"/>
                      <w:highlight w:val="none"/>
                      <w:lang w:val="en-US" w:eastAsia="zh-CN"/>
                    </w:rPr>
                    <w:t>2.9</w:t>
                  </w:r>
                  <w:r>
                    <w:rPr>
                      <w:rFonts w:hint="eastAsia" w:eastAsia="宋体"/>
                      <w:color w:val="auto"/>
                      <w:kern w:val="0"/>
                      <w:sz w:val="21"/>
                      <w:szCs w:val="21"/>
                      <w:highlight w:val="none"/>
                    </w:rPr>
                    <w:t>m，</w:t>
                  </w:r>
                  <w:r>
                    <w:rPr>
                      <w:rFonts w:hint="eastAsia" w:eastAsia="宋体"/>
                      <w:color w:val="auto"/>
                      <w:sz w:val="21"/>
                      <w:szCs w:val="21"/>
                      <w:highlight w:val="none"/>
                    </w:rPr>
                    <w:t>分为</w:t>
                  </w:r>
                  <w:r>
                    <w:rPr>
                      <w:rFonts w:hint="eastAsia" w:eastAsia="宋体"/>
                      <w:color w:val="auto"/>
                      <w:kern w:val="0"/>
                      <w:sz w:val="21"/>
                      <w:szCs w:val="21"/>
                      <w:highlight w:val="none"/>
                      <w:lang w:bidi="ar"/>
                    </w:rPr>
                    <w:t>干燥段、</w:t>
                  </w:r>
                  <w:r>
                    <w:rPr>
                      <w:rFonts w:hint="eastAsia" w:eastAsia="宋体"/>
                      <w:color w:val="auto"/>
                      <w:spacing w:val="-2"/>
                      <w:sz w:val="21"/>
                      <w:szCs w:val="21"/>
                      <w:highlight w:val="none"/>
                    </w:rPr>
                    <w:t>焙烧</w:t>
                  </w:r>
                  <w:r>
                    <w:rPr>
                      <w:rFonts w:hint="eastAsia" w:eastAsia="宋体"/>
                      <w:color w:val="auto"/>
                      <w:kern w:val="0"/>
                      <w:sz w:val="21"/>
                      <w:szCs w:val="21"/>
                      <w:highlight w:val="none"/>
                      <w:lang w:bidi="ar"/>
                    </w:rPr>
                    <w:t>段和</w:t>
                  </w:r>
                  <w:r>
                    <w:rPr>
                      <w:rFonts w:hint="eastAsia" w:eastAsia="宋体"/>
                      <w:color w:val="auto"/>
                      <w:spacing w:val="-2"/>
                      <w:sz w:val="21"/>
                      <w:szCs w:val="21"/>
                      <w:highlight w:val="none"/>
                    </w:rPr>
                    <w:t>冷却</w:t>
                  </w:r>
                  <w:r>
                    <w:rPr>
                      <w:rFonts w:hint="eastAsia" w:eastAsia="宋体"/>
                      <w:color w:val="auto"/>
                      <w:kern w:val="0"/>
                      <w:sz w:val="21"/>
                      <w:szCs w:val="21"/>
                      <w:highlight w:val="none"/>
                      <w:lang w:bidi="ar"/>
                    </w:rPr>
                    <w:t>段。</w:t>
                  </w:r>
                </w:p>
              </w:tc>
            </w:tr>
            <w:tr w14:paraId="40D76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noWrap w:val="0"/>
                  <w:vAlign w:val="center"/>
                </w:tcPr>
                <w:p w14:paraId="31A12744">
                  <w:pPr>
                    <w:pStyle w:val="106"/>
                    <w:spacing w:line="240" w:lineRule="auto"/>
                    <w:ind w:firstLine="0" w:firstLineChars="0"/>
                    <w:jc w:val="center"/>
                    <w:rPr>
                      <w:rFonts w:hint="eastAsia"/>
                      <w:color w:val="auto"/>
                      <w:sz w:val="21"/>
                      <w:szCs w:val="21"/>
                      <w:highlight w:val="none"/>
                    </w:rPr>
                  </w:pPr>
                </w:p>
              </w:tc>
              <w:tc>
                <w:tcPr>
                  <w:tcW w:w="613" w:type="pct"/>
                  <w:tcBorders>
                    <w:tl2br w:val="nil"/>
                    <w:tr2bl w:val="nil"/>
                  </w:tcBorders>
                  <w:noWrap w:val="0"/>
                  <w:vAlign w:val="center"/>
                </w:tcPr>
                <w:p w14:paraId="14E8ABF0">
                  <w:pPr>
                    <w:jc w:val="center"/>
                    <w:rPr>
                      <w:rFonts w:hint="eastAsia"/>
                      <w:color w:val="auto"/>
                      <w:sz w:val="21"/>
                      <w:szCs w:val="21"/>
                      <w:highlight w:val="none"/>
                      <w:shd w:val="clear" w:color="auto" w:fill="FFFFFF"/>
                    </w:rPr>
                  </w:pPr>
                  <w:r>
                    <w:rPr>
                      <w:rFonts w:hint="eastAsia" w:eastAsia="宋体"/>
                      <w:color w:val="auto"/>
                      <w:spacing w:val="-2"/>
                      <w:sz w:val="21"/>
                      <w:szCs w:val="21"/>
                      <w:highlight w:val="none"/>
                    </w:rPr>
                    <w:t>焙烧</w:t>
                  </w:r>
                  <w:r>
                    <w:rPr>
                      <w:rFonts w:hint="eastAsia" w:eastAsia="宋体"/>
                      <w:color w:val="auto"/>
                      <w:sz w:val="21"/>
                      <w:szCs w:val="21"/>
                      <w:highlight w:val="none"/>
                      <w:lang w:bidi="ar"/>
                    </w:rPr>
                    <w:t>段</w:t>
                  </w:r>
                </w:p>
              </w:tc>
              <w:tc>
                <w:tcPr>
                  <w:tcW w:w="1418" w:type="pct"/>
                  <w:tcBorders>
                    <w:tl2br w:val="nil"/>
                    <w:tr2bl w:val="nil"/>
                  </w:tcBorders>
                  <w:noWrap w:val="0"/>
                  <w:vAlign w:val="center"/>
                </w:tcPr>
                <w:p w14:paraId="4CC48BB8">
                  <w:pPr>
                    <w:pStyle w:val="95"/>
                    <w:jc w:val="center"/>
                    <w:rPr>
                      <w:rFonts w:hint="eastAsia" w:ascii="Times New Roman" w:hAnsi="Times New Roman" w:eastAsia="Times New Roman" w:cs="Times New Roman"/>
                      <w:color w:val="auto"/>
                      <w:spacing w:val="0"/>
                      <w:sz w:val="21"/>
                      <w:szCs w:val="21"/>
                      <w:highlight w:val="none"/>
                      <w:shd w:val="clear" w:color="auto" w:fill="FFFFFF"/>
                    </w:rPr>
                  </w:pPr>
                  <w:r>
                    <w:rPr>
                      <w:rFonts w:hint="eastAsia" w:ascii="Times New Roman" w:hAnsi="Times New Roman" w:cs="Times New Roman"/>
                      <w:color w:val="auto"/>
                      <w:spacing w:val="0"/>
                      <w:sz w:val="21"/>
                      <w:szCs w:val="21"/>
                      <w:highlight w:val="none"/>
                      <w:lang w:eastAsia="zh-CN"/>
                    </w:rPr>
                    <w:t>长</w:t>
                  </w:r>
                  <w:r>
                    <w:rPr>
                      <w:rFonts w:hint="eastAsia" w:ascii="Times New Roman" w:hAnsi="Times New Roman" w:cs="Times New Roman"/>
                      <w:color w:val="auto"/>
                      <w:spacing w:val="0"/>
                      <w:sz w:val="21"/>
                      <w:szCs w:val="21"/>
                      <w:highlight w:val="none"/>
                      <w:lang w:val="en-US" w:eastAsia="zh-CN"/>
                    </w:rPr>
                    <w:t>43</w:t>
                  </w:r>
                  <w:r>
                    <w:rPr>
                      <w:rFonts w:hint="eastAsia" w:ascii="Times New Roman" w:hAnsi="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rPr>
                    <w:t>窑面内宽</w:t>
                  </w:r>
                  <w:r>
                    <w:rPr>
                      <w:rFonts w:hint="eastAsia" w:ascii="Times New Roman" w:hAnsi="Times New Roman" w:eastAsia="Times New Roman" w:cs="Times New Roman"/>
                      <w:color w:val="auto"/>
                      <w:spacing w:val="0"/>
                      <w:sz w:val="21"/>
                      <w:szCs w:val="21"/>
                      <w:highlight w:val="none"/>
                      <w:lang w:val="en-US" w:eastAsia="zh-CN"/>
                    </w:rPr>
                    <w:t>3.7</w:t>
                  </w:r>
                  <w:r>
                    <w:rPr>
                      <w:rFonts w:hint="eastAsia" w:ascii="Times New Roman" w:hAnsi="Times New Roman" w:eastAsia="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rPr>
                    <w:t>内</w:t>
                  </w:r>
                  <w:r>
                    <w:rPr>
                      <w:rFonts w:hint="eastAsia" w:ascii="Times New Roman" w:hAnsi="Times New Roman" w:cs="Times New Roman"/>
                      <w:color w:val="auto"/>
                      <w:spacing w:val="0"/>
                      <w:sz w:val="21"/>
                      <w:szCs w:val="21"/>
                      <w:highlight w:val="none"/>
                      <w:lang w:eastAsia="zh-CN"/>
                    </w:rPr>
                    <w:t>高</w:t>
                  </w:r>
                  <w:r>
                    <w:rPr>
                      <w:rFonts w:hint="eastAsia" w:ascii="Times New Roman" w:hAnsi="Times New Roman" w:cs="Times New Roman"/>
                      <w:color w:val="auto"/>
                      <w:spacing w:val="0"/>
                      <w:sz w:val="21"/>
                      <w:szCs w:val="21"/>
                      <w:highlight w:val="none"/>
                      <w:lang w:val="en-US" w:eastAsia="zh-CN"/>
                    </w:rPr>
                    <w:t>2.9</w:t>
                  </w:r>
                  <w:r>
                    <w:rPr>
                      <w:rFonts w:hint="eastAsia" w:ascii="Times New Roman" w:hAnsi="Times New Roman" w:cs="Times New Roman"/>
                      <w:color w:val="auto"/>
                      <w:spacing w:val="0"/>
                      <w:sz w:val="21"/>
                      <w:szCs w:val="21"/>
                      <w:highlight w:val="none"/>
                      <w:lang w:eastAsia="zh-CN"/>
                    </w:rPr>
                    <w:t>m</w:t>
                  </w:r>
                </w:p>
              </w:tc>
              <w:tc>
                <w:tcPr>
                  <w:tcW w:w="2236" w:type="pct"/>
                  <w:vMerge w:val="continue"/>
                  <w:tcBorders>
                    <w:tl2br w:val="nil"/>
                    <w:tr2bl w:val="nil"/>
                  </w:tcBorders>
                  <w:noWrap w:val="0"/>
                  <w:vAlign w:val="center"/>
                </w:tcPr>
                <w:p w14:paraId="40C1B4A1">
                  <w:pPr>
                    <w:pStyle w:val="106"/>
                    <w:spacing w:line="240" w:lineRule="auto"/>
                    <w:ind w:firstLine="0" w:firstLineChars="0"/>
                    <w:jc w:val="center"/>
                    <w:rPr>
                      <w:rFonts w:hint="eastAsia"/>
                      <w:color w:val="auto"/>
                      <w:sz w:val="21"/>
                      <w:szCs w:val="21"/>
                      <w:highlight w:val="none"/>
                      <w:shd w:val="clear" w:color="auto" w:fill="FFFFFF"/>
                    </w:rPr>
                  </w:pPr>
                </w:p>
              </w:tc>
            </w:tr>
            <w:tr w14:paraId="382C8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noWrap w:val="0"/>
                  <w:vAlign w:val="center"/>
                </w:tcPr>
                <w:p w14:paraId="374C3CE0">
                  <w:pPr>
                    <w:pStyle w:val="106"/>
                    <w:spacing w:line="240" w:lineRule="auto"/>
                    <w:ind w:firstLine="0" w:firstLineChars="0"/>
                    <w:jc w:val="center"/>
                    <w:rPr>
                      <w:rFonts w:hint="eastAsia"/>
                      <w:color w:val="auto"/>
                      <w:sz w:val="21"/>
                      <w:szCs w:val="21"/>
                      <w:highlight w:val="none"/>
                      <w:shd w:val="clear" w:color="auto" w:fill="FFFFFF"/>
                    </w:rPr>
                  </w:pPr>
                </w:p>
              </w:tc>
              <w:tc>
                <w:tcPr>
                  <w:tcW w:w="613" w:type="pct"/>
                  <w:tcBorders>
                    <w:tl2br w:val="nil"/>
                    <w:tr2bl w:val="nil"/>
                  </w:tcBorders>
                  <w:noWrap w:val="0"/>
                  <w:vAlign w:val="center"/>
                </w:tcPr>
                <w:p w14:paraId="648386AE">
                  <w:pPr>
                    <w:jc w:val="center"/>
                    <w:textAlignment w:val="center"/>
                    <w:rPr>
                      <w:rFonts w:hint="eastAsia"/>
                      <w:color w:val="auto"/>
                      <w:sz w:val="21"/>
                      <w:szCs w:val="21"/>
                      <w:highlight w:val="none"/>
                      <w:shd w:val="clear" w:color="auto" w:fill="FFFFFF"/>
                    </w:rPr>
                  </w:pPr>
                  <w:r>
                    <w:rPr>
                      <w:rFonts w:hint="eastAsia" w:eastAsia="宋体"/>
                      <w:color w:val="auto"/>
                      <w:spacing w:val="-2"/>
                      <w:sz w:val="21"/>
                      <w:szCs w:val="21"/>
                      <w:highlight w:val="none"/>
                    </w:rPr>
                    <w:t>冷却</w:t>
                  </w:r>
                  <w:r>
                    <w:rPr>
                      <w:rFonts w:hint="eastAsia" w:eastAsia="宋体"/>
                      <w:color w:val="auto"/>
                      <w:sz w:val="21"/>
                      <w:szCs w:val="21"/>
                      <w:highlight w:val="none"/>
                      <w:lang w:bidi="ar"/>
                    </w:rPr>
                    <w:t>段</w:t>
                  </w:r>
                </w:p>
              </w:tc>
              <w:tc>
                <w:tcPr>
                  <w:tcW w:w="1418" w:type="pct"/>
                  <w:tcBorders>
                    <w:tl2br w:val="nil"/>
                    <w:tr2bl w:val="nil"/>
                  </w:tcBorders>
                  <w:noWrap w:val="0"/>
                  <w:vAlign w:val="center"/>
                </w:tcPr>
                <w:p w14:paraId="5EF6CC9F">
                  <w:pPr>
                    <w:pStyle w:val="95"/>
                    <w:jc w:val="center"/>
                    <w:rPr>
                      <w:rFonts w:hint="eastAsia" w:ascii="Times New Roman" w:hAnsi="Times New Roman" w:eastAsia="Times New Roman" w:cs="Times New Roman"/>
                      <w:color w:val="auto"/>
                      <w:spacing w:val="0"/>
                      <w:sz w:val="21"/>
                      <w:szCs w:val="21"/>
                      <w:highlight w:val="none"/>
                      <w:shd w:val="clear" w:color="auto" w:fill="FFFFFF"/>
                    </w:rPr>
                  </w:pPr>
                  <w:r>
                    <w:rPr>
                      <w:rFonts w:hint="eastAsia" w:ascii="Times New Roman" w:hAnsi="Times New Roman" w:cs="Times New Roman"/>
                      <w:color w:val="auto"/>
                      <w:spacing w:val="0"/>
                      <w:sz w:val="21"/>
                      <w:szCs w:val="21"/>
                      <w:highlight w:val="none"/>
                      <w:lang w:eastAsia="zh-CN"/>
                    </w:rPr>
                    <w:t>长</w:t>
                  </w:r>
                  <w:r>
                    <w:rPr>
                      <w:rFonts w:hint="eastAsia" w:ascii="Times New Roman" w:hAnsi="Times New Roman" w:cs="Times New Roman"/>
                      <w:color w:val="auto"/>
                      <w:spacing w:val="0"/>
                      <w:sz w:val="21"/>
                      <w:szCs w:val="21"/>
                      <w:highlight w:val="none"/>
                      <w:lang w:val="en-US" w:eastAsia="zh-CN"/>
                    </w:rPr>
                    <w:t>24</w:t>
                  </w:r>
                  <w:r>
                    <w:rPr>
                      <w:rFonts w:hint="eastAsia" w:ascii="Times New Roman" w:hAnsi="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rPr>
                    <w:t>窑面内宽</w:t>
                  </w:r>
                  <w:r>
                    <w:rPr>
                      <w:rFonts w:hint="eastAsia" w:ascii="Times New Roman" w:hAnsi="Times New Roman" w:eastAsia="Times New Roman" w:cs="Times New Roman"/>
                      <w:color w:val="auto"/>
                      <w:spacing w:val="0"/>
                      <w:sz w:val="21"/>
                      <w:szCs w:val="21"/>
                      <w:highlight w:val="none"/>
                      <w:lang w:val="en-US" w:eastAsia="zh-CN"/>
                    </w:rPr>
                    <w:t>3.7</w:t>
                  </w:r>
                  <w:r>
                    <w:rPr>
                      <w:rFonts w:hint="eastAsia" w:ascii="Times New Roman" w:hAnsi="Times New Roman" w:eastAsia="Times New Roman" w:cs="Times New Roman"/>
                      <w:color w:val="auto"/>
                      <w:spacing w:val="0"/>
                      <w:sz w:val="21"/>
                      <w:szCs w:val="21"/>
                      <w:highlight w:val="none"/>
                      <w:lang w:eastAsia="zh-CN"/>
                    </w:rPr>
                    <w:t>m</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rPr>
                    <w:t>内高</w:t>
                  </w:r>
                  <w:r>
                    <w:rPr>
                      <w:rFonts w:hint="eastAsia" w:ascii="Times New Roman" w:hAnsi="Times New Roman" w:cs="Times New Roman"/>
                      <w:color w:val="auto"/>
                      <w:spacing w:val="0"/>
                      <w:sz w:val="21"/>
                      <w:szCs w:val="21"/>
                      <w:highlight w:val="none"/>
                      <w:lang w:val="en-US" w:eastAsia="zh-CN"/>
                    </w:rPr>
                    <w:t>2.9</w:t>
                  </w:r>
                  <w:r>
                    <w:rPr>
                      <w:rFonts w:hint="eastAsia" w:ascii="Times New Roman" w:hAnsi="Times New Roman" w:eastAsia="Times New Roman" w:cs="Times New Roman"/>
                      <w:color w:val="auto"/>
                      <w:spacing w:val="0"/>
                      <w:sz w:val="21"/>
                      <w:szCs w:val="21"/>
                      <w:highlight w:val="none"/>
                      <w:lang w:eastAsia="zh-CN"/>
                    </w:rPr>
                    <w:t>m</w:t>
                  </w:r>
                </w:p>
              </w:tc>
              <w:tc>
                <w:tcPr>
                  <w:tcW w:w="2236" w:type="pct"/>
                  <w:vMerge w:val="continue"/>
                  <w:tcBorders>
                    <w:tl2br w:val="nil"/>
                    <w:tr2bl w:val="nil"/>
                  </w:tcBorders>
                  <w:noWrap w:val="0"/>
                  <w:vAlign w:val="center"/>
                </w:tcPr>
                <w:p w14:paraId="24B89AEB">
                  <w:pPr>
                    <w:pStyle w:val="106"/>
                    <w:spacing w:line="240" w:lineRule="auto"/>
                    <w:ind w:firstLine="0" w:firstLineChars="0"/>
                    <w:jc w:val="center"/>
                    <w:rPr>
                      <w:rFonts w:hint="eastAsia"/>
                      <w:color w:val="auto"/>
                      <w:sz w:val="21"/>
                      <w:szCs w:val="21"/>
                      <w:highlight w:val="none"/>
                      <w:shd w:val="clear" w:color="auto" w:fill="FFFFFF"/>
                    </w:rPr>
                  </w:pPr>
                </w:p>
              </w:tc>
            </w:tr>
            <w:tr w14:paraId="3BD1C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tcBorders>
                    <w:tl2br w:val="nil"/>
                    <w:tr2bl w:val="nil"/>
                  </w:tcBorders>
                  <w:noWrap w:val="0"/>
                  <w:vAlign w:val="center"/>
                </w:tcPr>
                <w:p w14:paraId="1071AAC1">
                  <w:pPr>
                    <w:pStyle w:val="95"/>
                    <w:jc w:val="center"/>
                    <w:rPr>
                      <w:rFonts w:hint="eastAsia" w:ascii="Times New Roman" w:hAnsi="Times New Roman" w:eastAsia="Times New Roman" w:cs="Times New Roman"/>
                      <w:color w:val="auto"/>
                      <w:sz w:val="21"/>
                      <w:szCs w:val="21"/>
                      <w:highlight w:val="none"/>
                      <w:lang w:eastAsia="zh-CN"/>
                    </w:rPr>
                  </w:pPr>
                  <w:r>
                    <w:rPr>
                      <w:rStyle w:val="26"/>
                      <w:rFonts w:hint="default" w:ascii="Segoe UI" w:hAnsi="Times New Roman" w:eastAsia="Segoe UI" w:cs="Times New Roman"/>
                      <w:b w:val="0"/>
                      <w:color w:val="auto"/>
                      <w:sz w:val="21"/>
                      <w:szCs w:val="21"/>
                      <w:highlight w:val="none"/>
                      <w:shd w:val="clear" w:color="auto" w:fill="FFFFFF"/>
                    </w:rPr>
                    <w:t>窑车参数</w:t>
                  </w:r>
                </w:p>
              </w:tc>
              <w:tc>
                <w:tcPr>
                  <w:tcW w:w="2031" w:type="pct"/>
                  <w:gridSpan w:val="2"/>
                  <w:tcBorders>
                    <w:tl2br w:val="nil"/>
                    <w:tr2bl w:val="nil"/>
                  </w:tcBorders>
                  <w:noWrap w:val="0"/>
                  <w:vAlign w:val="center"/>
                </w:tcPr>
                <w:p w14:paraId="3FD5C8B0">
                  <w:pPr>
                    <w:pStyle w:val="106"/>
                    <w:spacing w:line="240" w:lineRule="auto"/>
                    <w:ind w:firstLine="0" w:firstLineChars="0"/>
                    <w:jc w:val="center"/>
                    <w:rPr>
                      <w:rFonts w:hint="eastAsia"/>
                      <w:color w:val="auto"/>
                      <w:sz w:val="21"/>
                      <w:szCs w:val="21"/>
                      <w:highlight w:val="none"/>
                    </w:rPr>
                  </w:pPr>
                  <w:r>
                    <w:rPr>
                      <w:rFonts w:hint="default" w:ascii="Segoe UI" w:eastAsia="Segoe UI"/>
                      <w:color w:val="auto"/>
                      <w:sz w:val="21"/>
                      <w:szCs w:val="21"/>
                      <w:highlight w:val="none"/>
                      <w:shd w:val="clear" w:color="auto" w:fill="FFFFFF"/>
                    </w:rPr>
                    <w:t>单辆窑车长度</w:t>
                  </w:r>
                  <w:r>
                    <w:rPr>
                      <w:rFonts w:hint="eastAsia"/>
                      <w:color w:val="auto"/>
                      <w:sz w:val="21"/>
                      <w:szCs w:val="21"/>
                      <w:highlight w:val="none"/>
                      <w:shd w:val="clear" w:color="auto" w:fill="FFFFFF"/>
                      <w:lang w:val="en-US" w:eastAsia="zh-CN"/>
                    </w:rPr>
                    <w:t>3.7</w:t>
                  </w:r>
                  <w:r>
                    <w:rPr>
                      <w:rFonts w:hint="default" w:ascii="Segoe UI" w:eastAsia="Segoe UI"/>
                      <w:color w:val="auto"/>
                      <w:sz w:val="21"/>
                      <w:szCs w:val="21"/>
                      <w:highlight w:val="none"/>
                      <w:shd w:val="clear" w:color="auto" w:fill="FFFFFF"/>
                    </w:rPr>
                    <w:t>米</w:t>
                  </w:r>
                  <w:r>
                    <w:rPr>
                      <w:rFonts w:hint="eastAsia" w:eastAsia="宋体"/>
                      <w:color w:val="auto"/>
                      <w:sz w:val="21"/>
                      <w:szCs w:val="21"/>
                      <w:highlight w:val="none"/>
                      <w:shd w:val="clear" w:color="auto" w:fill="FFFFFF"/>
                    </w:rPr>
                    <w:t>，</w:t>
                  </w:r>
                  <w:r>
                    <w:rPr>
                      <w:rFonts w:hint="default" w:ascii="Segoe UI" w:eastAsia="Segoe UI"/>
                      <w:color w:val="auto"/>
                      <w:sz w:val="21"/>
                      <w:szCs w:val="21"/>
                      <w:highlight w:val="none"/>
                      <w:shd w:val="clear" w:color="auto" w:fill="FFFFFF"/>
                    </w:rPr>
                    <w:t>窑车台面宽度</w:t>
                  </w:r>
                  <w:r>
                    <w:rPr>
                      <w:rFonts w:hint="eastAsia"/>
                      <w:color w:val="auto"/>
                      <w:sz w:val="21"/>
                      <w:szCs w:val="21"/>
                      <w:highlight w:val="none"/>
                      <w:shd w:val="clear" w:color="auto" w:fill="FFFFFF"/>
                      <w:lang w:val="en-US" w:eastAsia="zh-CN"/>
                    </w:rPr>
                    <w:t>3.7</w:t>
                  </w:r>
                  <w:r>
                    <w:rPr>
                      <w:rFonts w:hint="default" w:ascii="Segoe UI" w:eastAsia="Segoe UI"/>
                      <w:color w:val="auto"/>
                      <w:sz w:val="21"/>
                      <w:szCs w:val="21"/>
                      <w:highlight w:val="none"/>
                      <w:shd w:val="clear" w:color="auto" w:fill="FFFFFF"/>
                    </w:rPr>
                    <w:t>米</w:t>
                  </w:r>
                </w:p>
              </w:tc>
              <w:tc>
                <w:tcPr>
                  <w:tcW w:w="2236" w:type="pct"/>
                  <w:tcBorders>
                    <w:tl2br w:val="nil"/>
                    <w:tr2bl w:val="nil"/>
                  </w:tcBorders>
                  <w:noWrap w:val="0"/>
                  <w:vAlign w:val="center"/>
                </w:tcPr>
                <w:p w14:paraId="1B72FE98">
                  <w:pPr>
                    <w:pStyle w:val="106"/>
                    <w:spacing w:line="240" w:lineRule="auto"/>
                    <w:ind w:firstLine="0" w:firstLineChars="0"/>
                    <w:jc w:val="center"/>
                    <w:rPr>
                      <w:rFonts w:hint="default" w:eastAsia="宋体"/>
                      <w:color w:val="auto"/>
                      <w:sz w:val="21"/>
                      <w:szCs w:val="21"/>
                      <w:highlight w:val="none"/>
                      <w:lang w:val="en-US" w:eastAsia="zh-CN"/>
                    </w:rPr>
                  </w:pPr>
                  <w:r>
                    <w:rPr>
                      <w:rFonts w:hint="default" w:ascii="Segoe UI" w:eastAsia="Segoe UI"/>
                      <w:color w:val="auto"/>
                      <w:sz w:val="21"/>
                      <w:szCs w:val="21"/>
                      <w:highlight w:val="none"/>
                      <w:shd w:val="clear" w:color="auto" w:fill="FFFFFF"/>
                    </w:rPr>
                    <w:t>本项目</w:t>
                  </w:r>
                  <w:r>
                    <w:rPr>
                      <w:rStyle w:val="26"/>
                      <w:rFonts w:hint="default" w:ascii="Segoe UI" w:eastAsia="Segoe UI"/>
                      <w:b w:val="0"/>
                      <w:color w:val="auto"/>
                      <w:sz w:val="21"/>
                      <w:szCs w:val="21"/>
                      <w:highlight w:val="none"/>
                      <w:shd w:val="clear" w:color="auto" w:fill="FFFFFF"/>
                    </w:rPr>
                    <w:t>窑车</w:t>
                  </w:r>
                  <w:r>
                    <w:rPr>
                      <w:rFonts w:hint="default" w:ascii="Segoe UI" w:eastAsia="Segoe UI"/>
                      <w:color w:val="auto"/>
                      <w:sz w:val="21"/>
                      <w:szCs w:val="21"/>
                      <w:highlight w:val="none"/>
                      <w:shd w:val="clear" w:color="auto" w:fill="FFFFFF"/>
                    </w:rPr>
                    <w:t>台面面积</w:t>
                  </w:r>
                  <w:r>
                    <w:rPr>
                      <w:rFonts w:hint="eastAsia"/>
                      <w:color w:val="auto"/>
                      <w:sz w:val="21"/>
                      <w:szCs w:val="21"/>
                      <w:highlight w:val="none"/>
                      <w:shd w:val="clear" w:color="auto" w:fill="FFFFFF"/>
                      <w:lang w:val="en-US" w:eastAsia="zh-CN"/>
                    </w:rPr>
                    <w:t>13.69</w:t>
                  </w:r>
                  <w:r>
                    <w:rPr>
                      <w:rFonts w:hint="eastAsia"/>
                      <w:color w:val="auto"/>
                      <w:sz w:val="21"/>
                      <w:szCs w:val="21"/>
                      <w:highlight w:val="none"/>
                      <w:shd w:val="clear" w:color="auto" w:fill="FFFFFF"/>
                    </w:rPr>
                    <w:t>m</w:t>
                  </w:r>
                  <w:r>
                    <w:rPr>
                      <w:rFonts w:hint="eastAsia"/>
                      <w:color w:val="auto"/>
                      <w:sz w:val="21"/>
                      <w:szCs w:val="21"/>
                      <w:highlight w:val="none"/>
                      <w:shd w:val="clear" w:color="auto" w:fill="FFFFFF"/>
                      <w:vertAlign w:val="superscript"/>
                    </w:rPr>
                    <w:t>2</w:t>
                  </w:r>
                  <w:r>
                    <w:rPr>
                      <w:rFonts w:hint="default" w:ascii="Segoe UI" w:eastAsia="Segoe UI"/>
                      <w:color w:val="auto"/>
                      <w:sz w:val="21"/>
                      <w:szCs w:val="21"/>
                      <w:highlight w:val="none"/>
                      <w:shd w:val="clear" w:color="auto" w:fill="FFFFFF"/>
                    </w:rPr>
                    <w:t>，可装标砖数量</w:t>
                  </w:r>
                  <w:r>
                    <w:rPr>
                      <w:rFonts w:hint="eastAsia"/>
                      <w:color w:val="auto"/>
                      <w:sz w:val="21"/>
                      <w:szCs w:val="21"/>
                      <w:highlight w:val="none"/>
                      <w:shd w:val="clear" w:color="auto" w:fill="FFFFFF"/>
                      <w:lang w:val="en-US" w:eastAsia="zh-CN"/>
                    </w:rPr>
                    <w:t>432</w:t>
                  </w:r>
                  <w:r>
                    <w:rPr>
                      <w:rFonts w:hint="default" w:ascii="Segoe UI" w:eastAsia="Segoe UI"/>
                      <w:color w:val="auto"/>
                      <w:sz w:val="21"/>
                      <w:szCs w:val="21"/>
                      <w:highlight w:val="none"/>
                      <w:shd w:val="clear" w:color="auto" w:fill="FFFFFF"/>
                    </w:rPr>
                    <w:t>块</w:t>
                  </w:r>
                  <w:r>
                    <w:rPr>
                      <w:rFonts w:hint="eastAsia" w:eastAsia="宋体"/>
                      <w:color w:val="auto"/>
                      <w:sz w:val="21"/>
                      <w:szCs w:val="21"/>
                      <w:highlight w:val="none"/>
                      <w:shd w:val="clear" w:color="auto" w:fill="FFFFFF"/>
                    </w:rPr>
                    <w:t>（</w:t>
                  </w:r>
                  <w:r>
                    <w:rPr>
                      <w:rFonts w:hint="default" w:ascii="Segoe UI" w:eastAsia="Segoe UI"/>
                      <w:color w:val="auto"/>
                      <w:sz w:val="21"/>
                      <w:szCs w:val="21"/>
                      <w:highlight w:val="none"/>
                      <w:shd w:val="clear" w:color="auto" w:fill="FFFFFF"/>
                    </w:rPr>
                    <w:t>标砖尺寸：</w:t>
                  </w:r>
                  <w:r>
                    <w:rPr>
                      <w:rFonts w:hint="eastAsia" w:eastAsia="宋体"/>
                      <w:color w:val="auto"/>
                      <w:sz w:val="21"/>
                      <w:szCs w:val="21"/>
                      <w:highlight w:val="none"/>
                      <w:shd w:val="clear" w:color="auto" w:fill="FFFFFF"/>
                    </w:rPr>
                    <w:t>长</w:t>
                  </w:r>
                  <w:r>
                    <w:rPr>
                      <w:rFonts w:hint="eastAsia"/>
                      <w:color w:val="auto"/>
                      <w:sz w:val="21"/>
                      <w:szCs w:val="21"/>
                      <w:highlight w:val="none"/>
                      <w:shd w:val="clear" w:color="auto" w:fill="FFFFFF"/>
                    </w:rPr>
                    <w:t>×</w:t>
                  </w:r>
                  <w:r>
                    <w:rPr>
                      <w:rFonts w:hint="default" w:ascii="Segoe UI" w:eastAsia="Segoe UI"/>
                      <w:color w:val="auto"/>
                      <w:sz w:val="21"/>
                      <w:szCs w:val="21"/>
                      <w:highlight w:val="none"/>
                      <w:shd w:val="clear" w:color="auto" w:fill="FFFFFF"/>
                    </w:rPr>
                    <w:t>宽×高</w:t>
                  </w:r>
                  <w:r>
                    <w:rPr>
                      <w:rFonts w:hint="eastAsia"/>
                      <w:color w:val="auto"/>
                      <w:sz w:val="21"/>
                      <w:szCs w:val="21"/>
                      <w:highlight w:val="none"/>
                      <w:shd w:val="clear" w:color="auto" w:fill="FFFFFF"/>
                    </w:rPr>
                    <w:t>=240mm×115mm×53mm</w:t>
                  </w:r>
                  <w:r>
                    <w:rPr>
                      <w:rFonts w:hint="eastAsia" w:eastAsia="宋体"/>
                      <w:color w:val="auto"/>
                      <w:sz w:val="21"/>
                      <w:szCs w:val="21"/>
                      <w:highlight w:val="none"/>
                      <w:shd w:val="clear" w:color="auto" w:fill="FFFFFF"/>
                    </w:rPr>
                    <w:t>）</w:t>
                  </w:r>
                  <w:r>
                    <w:rPr>
                      <w:rFonts w:hint="default" w:ascii="Segoe UI" w:eastAsia="Segoe UI"/>
                      <w:color w:val="auto"/>
                      <w:sz w:val="21"/>
                      <w:szCs w:val="21"/>
                      <w:highlight w:val="none"/>
                      <w:shd w:val="clear" w:color="auto" w:fill="FFFFFF"/>
                    </w:rPr>
                    <w:t>，装砖高度</w:t>
                  </w:r>
                  <w:r>
                    <w:rPr>
                      <w:rFonts w:hint="eastAsia"/>
                      <w:color w:val="auto"/>
                      <w:sz w:val="21"/>
                      <w:szCs w:val="21"/>
                      <w:highlight w:val="none"/>
                      <w:shd w:val="clear" w:color="auto" w:fill="FFFFFF"/>
                      <w:lang w:val="en-US" w:eastAsia="zh-CN"/>
                    </w:rPr>
                    <w:t>16</w:t>
                  </w:r>
                  <w:r>
                    <w:rPr>
                      <w:rFonts w:hint="default" w:ascii="Segoe UI" w:eastAsia="Segoe UI"/>
                      <w:color w:val="auto"/>
                      <w:sz w:val="21"/>
                      <w:szCs w:val="21"/>
                      <w:highlight w:val="none"/>
                      <w:shd w:val="clear" w:color="auto" w:fill="FFFFFF"/>
                    </w:rPr>
                    <w:t>层。则</w:t>
                  </w:r>
                  <w:r>
                    <w:rPr>
                      <w:rFonts w:hint="eastAsia" w:eastAsia="宋体"/>
                      <w:color w:val="auto"/>
                      <w:sz w:val="21"/>
                      <w:szCs w:val="21"/>
                      <w:highlight w:val="none"/>
                      <w:shd w:val="clear" w:color="auto" w:fill="FFFFFF"/>
                    </w:rPr>
                    <w:t>每车装标砖</w:t>
                  </w:r>
                  <w:r>
                    <w:rPr>
                      <w:rFonts w:hint="eastAsia"/>
                      <w:color w:val="auto"/>
                      <w:sz w:val="21"/>
                      <w:szCs w:val="21"/>
                      <w:highlight w:val="none"/>
                      <w:shd w:val="clear" w:color="auto" w:fill="FFFFFF"/>
                    </w:rPr>
                    <w:t>=</w:t>
                  </w:r>
                  <w:r>
                    <w:rPr>
                      <w:rFonts w:hint="eastAsia"/>
                      <w:color w:val="auto"/>
                      <w:sz w:val="21"/>
                      <w:szCs w:val="21"/>
                      <w:highlight w:val="none"/>
                      <w:shd w:val="clear" w:color="auto" w:fill="FFFFFF"/>
                      <w:lang w:val="en-US" w:eastAsia="zh-CN"/>
                    </w:rPr>
                    <w:t>432</w:t>
                  </w:r>
                  <w:r>
                    <w:rPr>
                      <w:rFonts w:hint="eastAsia"/>
                      <w:color w:val="auto"/>
                      <w:sz w:val="21"/>
                      <w:szCs w:val="21"/>
                      <w:highlight w:val="none"/>
                      <w:shd w:val="clear" w:color="auto" w:fill="FFFFFF"/>
                    </w:rPr>
                    <w:t>×</w:t>
                  </w:r>
                  <w:r>
                    <w:rPr>
                      <w:rFonts w:hint="eastAsia"/>
                      <w:color w:val="auto"/>
                      <w:sz w:val="21"/>
                      <w:szCs w:val="21"/>
                      <w:highlight w:val="none"/>
                      <w:shd w:val="clear" w:color="auto" w:fill="FFFFFF"/>
                      <w:lang w:val="en-US" w:eastAsia="zh-CN"/>
                    </w:rPr>
                    <w:t>16</w:t>
                  </w:r>
                  <w:r>
                    <w:rPr>
                      <w:rFonts w:hint="eastAsia"/>
                      <w:color w:val="auto"/>
                      <w:sz w:val="21"/>
                      <w:szCs w:val="21"/>
                      <w:highlight w:val="none"/>
                      <w:shd w:val="clear" w:color="auto" w:fill="FFFFFF"/>
                    </w:rPr>
                    <w:t>=</w:t>
                  </w:r>
                  <w:r>
                    <w:rPr>
                      <w:rFonts w:hint="eastAsia"/>
                      <w:color w:val="auto"/>
                      <w:sz w:val="21"/>
                      <w:szCs w:val="21"/>
                      <w:highlight w:val="none"/>
                      <w:shd w:val="clear" w:color="auto" w:fill="FFFFFF"/>
                      <w:lang w:val="en-US" w:eastAsia="zh-CN"/>
                    </w:rPr>
                    <w:t>6912</w:t>
                  </w:r>
                  <w:r>
                    <w:rPr>
                      <w:rFonts w:hint="default" w:ascii="Segoe UI" w:eastAsia="Segoe UI"/>
                      <w:color w:val="auto"/>
                      <w:sz w:val="21"/>
                      <w:szCs w:val="21"/>
                      <w:highlight w:val="none"/>
                      <w:shd w:val="clear" w:color="auto" w:fill="FFFFFF"/>
                    </w:rPr>
                    <w:t>块/车</w:t>
                  </w:r>
                  <w:r>
                    <w:rPr>
                      <w:rFonts w:hint="eastAsia" w:eastAsia="宋体"/>
                      <w:color w:val="auto"/>
                      <w:sz w:val="21"/>
                      <w:szCs w:val="21"/>
                      <w:highlight w:val="none"/>
                      <w:shd w:val="clear" w:color="auto" w:fill="FFFFFF"/>
                    </w:rPr>
                    <w:t>。</w:t>
                  </w:r>
                </w:p>
              </w:tc>
            </w:tr>
            <w:tr w14:paraId="219B7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tcBorders>
                    <w:tl2br w:val="nil"/>
                    <w:tr2bl w:val="nil"/>
                  </w:tcBorders>
                  <w:noWrap w:val="0"/>
                  <w:vAlign w:val="center"/>
                </w:tcPr>
                <w:p w14:paraId="3030D05B">
                  <w:pPr>
                    <w:pStyle w:val="106"/>
                    <w:spacing w:line="240" w:lineRule="auto"/>
                    <w:ind w:firstLine="0" w:firstLineChars="0"/>
                    <w:jc w:val="center"/>
                    <w:rPr>
                      <w:rFonts w:hint="eastAsia"/>
                      <w:color w:val="auto"/>
                      <w:sz w:val="21"/>
                      <w:szCs w:val="21"/>
                      <w:highlight w:val="none"/>
                    </w:rPr>
                  </w:pPr>
                  <w:r>
                    <w:rPr>
                      <w:rStyle w:val="26"/>
                      <w:rFonts w:hint="default" w:ascii="Segoe UI" w:eastAsia="Segoe UI"/>
                      <w:b w:val="0"/>
                      <w:color w:val="auto"/>
                      <w:sz w:val="21"/>
                      <w:szCs w:val="21"/>
                      <w:highlight w:val="none"/>
                      <w:shd w:val="clear" w:color="auto" w:fill="FFFFFF"/>
                    </w:rPr>
                    <w:t>装窑密度</w:t>
                  </w:r>
                </w:p>
              </w:tc>
              <w:tc>
                <w:tcPr>
                  <w:tcW w:w="2031" w:type="pct"/>
                  <w:gridSpan w:val="2"/>
                  <w:tcBorders>
                    <w:tl2br w:val="nil"/>
                    <w:tr2bl w:val="nil"/>
                  </w:tcBorders>
                  <w:noWrap w:val="0"/>
                  <w:vAlign w:val="center"/>
                </w:tcPr>
                <w:p w14:paraId="4326E76D">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shd w:val="clear" w:color="auto" w:fill="FFFFFF"/>
                    </w:rPr>
                    <w:t>4</w:t>
                  </w:r>
                  <w:r>
                    <w:rPr>
                      <w:rFonts w:hint="eastAsia" w:eastAsia="宋体"/>
                      <w:color w:val="auto"/>
                      <w:sz w:val="21"/>
                      <w:szCs w:val="21"/>
                      <w:highlight w:val="none"/>
                      <w:shd w:val="clear" w:color="auto" w:fill="FFFFFF"/>
                      <w:lang w:val="en-US" w:eastAsia="zh-CN"/>
                    </w:rPr>
                    <w:t>1</w:t>
                  </w:r>
                  <w:r>
                    <w:rPr>
                      <w:rFonts w:hint="eastAsia" w:eastAsia="宋体"/>
                      <w:color w:val="auto"/>
                      <w:sz w:val="21"/>
                      <w:szCs w:val="21"/>
                      <w:highlight w:val="none"/>
                      <w:shd w:val="clear" w:color="auto" w:fill="FFFFFF"/>
                    </w:rPr>
                    <w:t>车，</w:t>
                  </w:r>
                  <w:r>
                    <w:rPr>
                      <w:rFonts w:hint="default" w:ascii="Segoe UI" w:eastAsia="Segoe UI"/>
                      <w:color w:val="auto"/>
                      <w:sz w:val="21"/>
                      <w:szCs w:val="21"/>
                      <w:highlight w:val="none"/>
                      <w:shd w:val="clear" w:color="auto" w:fill="FFFFFF"/>
                    </w:rPr>
                    <w:t>（</w:t>
                  </w:r>
                  <w:r>
                    <w:rPr>
                      <w:rFonts w:hint="eastAsia"/>
                      <w:color w:val="auto"/>
                      <w:sz w:val="21"/>
                      <w:szCs w:val="21"/>
                      <w:highlight w:val="none"/>
                      <w:shd w:val="clear" w:color="auto" w:fill="FFFFFF"/>
                      <w:lang w:val="en-US" w:eastAsia="zh-CN"/>
                    </w:rPr>
                    <w:t>6912</w:t>
                  </w:r>
                  <w:r>
                    <w:rPr>
                      <w:rFonts w:hint="default" w:ascii="Segoe UI" w:eastAsia="Segoe UI"/>
                      <w:color w:val="auto"/>
                      <w:sz w:val="21"/>
                      <w:szCs w:val="21"/>
                      <w:highlight w:val="none"/>
                      <w:shd w:val="clear" w:color="auto" w:fill="FFFFFF"/>
                    </w:rPr>
                    <w:t>块/车，标砖）</w:t>
                  </w:r>
                </w:p>
              </w:tc>
              <w:tc>
                <w:tcPr>
                  <w:tcW w:w="2236" w:type="pct"/>
                  <w:tcBorders>
                    <w:tl2br w:val="nil"/>
                    <w:tr2bl w:val="nil"/>
                  </w:tcBorders>
                  <w:noWrap w:val="0"/>
                  <w:vAlign w:val="center"/>
                </w:tcPr>
                <w:p w14:paraId="12571F7E">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lang w:val="en-US" w:eastAsia="zh-CN"/>
                    </w:rPr>
                    <w:t>隧道窑</w:t>
                  </w:r>
                  <w:r>
                    <w:rPr>
                      <w:rFonts w:hint="eastAsia" w:eastAsia="宋体"/>
                      <w:color w:val="auto"/>
                      <w:kern w:val="0"/>
                      <w:sz w:val="21"/>
                      <w:szCs w:val="21"/>
                      <w:highlight w:val="none"/>
                    </w:rPr>
                    <w:t>长</w:t>
                  </w:r>
                  <w:r>
                    <w:rPr>
                      <w:rFonts w:hint="eastAsia"/>
                      <w:color w:val="auto"/>
                      <w:sz w:val="21"/>
                      <w:szCs w:val="21"/>
                      <w:highlight w:val="none"/>
                      <w:lang w:val="en-US" w:eastAsia="zh-CN"/>
                    </w:rPr>
                    <w:t>155</w:t>
                  </w:r>
                  <w:r>
                    <w:rPr>
                      <w:rFonts w:hint="eastAsia" w:eastAsia="宋体"/>
                      <w:color w:val="auto"/>
                      <w:sz w:val="21"/>
                      <w:szCs w:val="21"/>
                      <w:highlight w:val="none"/>
                    </w:rPr>
                    <w:t>m，窑车</w:t>
                  </w:r>
                  <w:r>
                    <w:rPr>
                      <w:rFonts w:hint="eastAsia"/>
                      <w:color w:val="auto"/>
                      <w:sz w:val="21"/>
                      <w:szCs w:val="21"/>
                      <w:highlight w:val="none"/>
                      <w:lang w:val="en-US" w:eastAsia="zh-CN"/>
                    </w:rPr>
                    <w:t>长3.7m，</w:t>
                  </w:r>
                  <w:r>
                    <w:rPr>
                      <w:rFonts w:hint="eastAsia"/>
                      <w:color w:val="auto"/>
                      <w:kern w:val="0"/>
                      <w:sz w:val="21"/>
                      <w:szCs w:val="21"/>
                      <w:highlight w:val="none"/>
                      <w:lang w:val="en-US" w:eastAsia="zh-CN"/>
                    </w:rPr>
                    <w:t>宽3.7</w:t>
                  </w:r>
                  <w:r>
                    <w:rPr>
                      <w:rFonts w:hint="eastAsia" w:eastAsia="宋体"/>
                      <w:color w:val="auto"/>
                      <w:kern w:val="0"/>
                      <w:sz w:val="21"/>
                      <w:szCs w:val="21"/>
                      <w:highlight w:val="none"/>
                    </w:rPr>
                    <w:t>m</w:t>
                  </w:r>
                </w:p>
              </w:tc>
            </w:tr>
            <w:tr w14:paraId="62F1D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tcBorders>
                    <w:tl2br w:val="nil"/>
                    <w:tr2bl w:val="nil"/>
                  </w:tcBorders>
                  <w:noWrap w:val="0"/>
                  <w:vAlign w:val="center"/>
                </w:tcPr>
                <w:p w14:paraId="38CF55F8">
                  <w:pPr>
                    <w:jc w:val="center"/>
                    <w:rPr>
                      <w:rFonts w:hint="eastAsia"/>
                      <w:color w:val="auto"/>
                      <w:sz w:val="21"/>
                      <w:szCs w:val="21"/>
                      <w:highlight w:val="none"/>
                    </w:rPr>
                  </w:pPr>
                  <w:r>
                    <w:rPr>
                      <w:rStyle w:val="26"/>
                      <w:rFonts w:hint="default" w:ascii="Segoe UI" w:eastAsia="Segoe UI"/>
                      <w:b w:val="0"/>
                      <w:color w:val="auto"/>
                      <w:sz w:val="21"/>
                      <w:szCs w:val="21"/>
                      <w:highlight w:val="none"/>
                      <w:shd w:val="clear" w:color="auto" w:fill="FFFFFF"/>
                    </w:rPr>
                    <w:t>烧成周期</w:t>
                  </w:r>
                </w:p>
              </w:tc>
              <w:tc>
                <w:tcPr>
                  <w:tcW w:w="2031" w:type="pct"/>
                  <w:gridSpan w:val="2"/>
                  <w:tcBorders>
                    <w:tl2br w:val="nil"/>
                    <w:tr2bl w:val="nil"/>
                  </w:tcBorders>
                  <w:noWrap w:val="0"/>
                  <w:vAlign w:val="center"/>
                </w:tcPr>
                <w:p w14:paraId="1E6FB09E">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lang w:val="en-US" w:eastAsia="zh-CN"/>
                    </w:rPr>
                    <w:t>17</w:t>
                  </w:r>
                  <w:r>
                    <w:rPr>
                      <w:rFonts w:hint="eastAsia" w:eastAsia="宋体"/>
                      <w:color w:val="auto"/>
                      <w:sz w:val="21"/>
                      <w:szCs w:val="21"/>
                      <w:highlight w:val="none"/>
                    </w:rPr>
                    <w:t>-</w:t>
                  </w:r>
                  <w:r>
                    <w:rPr>
                      <w:rFonts w:hint="eastAsia" w:eastAsia="宋体"/>
                      <w:color w:val="auto"/>
                      <w:sz w:val="21"/>
                      <w:szCs w:val="21"/>
                      <w:highlight w:val="none"/>
                      <w:lang w:val="en-US" w:eastAsia="zh-CN"/>
                    </w:rPr>
                    <w:t>20</w:t>
                  </w:r>
                  <w:r>
                    <w:rPr>
                      <w:rFonts w:hint="eastAsia" w:eastAsia="宋体"/>
                      <w:color w:val="auto"/>
                      <w:sz w:val="21"/>
                      <w:szCs w:val="21"/>
                      <w:highlight w:val="none"/>
                    </w:rPr>
                    <w:t>h</w:t>
                  </w:r>
                </w:p>
              </w:tc>
              <w:tc>
                <w:tcPr>
                  <w:tcW w:w="2236" w:type="pct"/>
                  <w:tcBorders>
                    <w:tl2br w:val="nil"/>
                    <w:tr2bl w:val="nil"/>
                  </w:tcBorders>
                  <w:noWrap w:val="0"/>
                  <w:vAlign w:val="center"/>
                </w:tcPr>
                <w:p w14:paraId="31F04B51">
                  <w:pPr>
                    <w:pStyle w:val="106"/>
                    <w:spacing w:line="240" w:lineRule="auto"/>
                    <w:ind w:firstLine="0" w:firstLineChars="0"/>
                    <w:jc w:val="center"/>
                    <w:rPr>
                      <w:rFonts w:hint="eastAsia"/>
                      <w:color w:val="auto"/>
                      <w:sz w:val="21"/>
                      <w:szCs w:val="21"/>
                      <w:highlight w:val="none"/>
                      <w:shd w:val="clear" w:color="auto" w:fill="FFFFFF"/>
                    </w:rPr>
                  </w:pPr>
                  <w:r>
                    <w:rPr>
                      <w:rStyle w:val="26"/>
                      <w:rFonts w:hint="default" w:ascii="Times New Roman" w:hAnsi="Times New Roman" w:eastAsia="宋体" w:cs="Times New Roman"/>
                      <w:b w:val="0"/>
                      <w:color w:val="auto"/>
                      <w:kern w:val="0"/>
                      <w:sz w:val="21"/>
                      <w:szCs w:val="21"/>
                      <w:highlight w:val="none"/>
                      <w:shd w:val="clear" w:color="auto" w:fill="FFFFFF"/>
                    </w:rPr>
                    <w:t>根据企业提供资料，</w:t>
                  </w:r>
                  <w:r>
                    <w:rPr>
                      <w:rStyle w:val="26"/>
                      <w:rFonts w:hint="eastAsia" w:ascii="Times New Roman" w:hAnsi="Times New Roman" w:eastAsia="宋体" w:cs="Times New Roman"/>
                      <w:b w:val="0"/>
                      <w:color w:val="auto"/>
                      <w:kern w:val="0"/>
                      <w:sz w:val="21"/>
                      <w:szCs w:val="21"/>
                      <w:highlight w:val="none"/>
                      <w:shd w:val="clear" w:color="auto" w:fill="FFFFFF"/>
                      <w:lang w:val="en-US" w:eastAsia="zh-CN"/>
                    </w:rPr>
                    <w:t>窑车循环出窑时间约为25-30分钟/车</w:t>
                  </w:r>
                  <w:r>
                    <w:rPr>
                      <w:rStyle w:val="26"/>
                      <w:rFonts w:hint="default" w:ascii="Times New Roman" w:hAnsi="Times New Roman" w:eastAsia="宋体" w:cs="Times New Roman"/>
                      <w:b w:val="0"/>
                      <w:color w:val="auto"/>
                      <w:kern w:val="0"/>
                      <w:sz w:val="21"/>
                      <w:szCs w:val="21"/>
                      <w:highlight w:val="none"/>
                      <w:shd w:val="clear" w:color="auto" w:fill="FFFFFF"/>
                      <w:lang w:val="en-US" w:eastAsia="zh-CN"/>
                    </w:rPr>
                    <w:t>，</w:t>
                  </w:r>
                  <w:r>
                    <w:rPr>
                      <w:rStyle w:val="26"/>
                      <w:rFonts w:hint="default" w:ascii="Times New Roman" w:hAnsi="Times New Roman" w:eastAsia="Segoe UI" w:cs="Times New Roman"/>
                      <w:b w:val="0"/>
                      <w:color w:val="auto"/>
                      <w:kern w:val="0"/>
                      <w:sz w:val="21"/>
                      <w:szCs w:val="21"/>
                      <w:highlight w:val="none"/>
                      <w:shd w:val="clear" w:color="auto" w:fill="FFFFFF"/>
                    </w:rPr>
                    <w:t>每天（24小时）可出窑</w:t>
                  </w:r>
                  <w:r>
                    <w:rPr>
                      <w:rStyle w:val="26"/>
                      <w:rFonts w:hint="eastAsia" w:ascii="Times New Roman" w:hAnsi="Times New Roman" w:cs="Times New Roman"/>
                      <w:b w:val="0"/>
                      <w:color w:val="auto"/>
                      <w:kern w:val="0"/>
                      <w:sz w:val="21"/>
                      <w:szCs w:val="21"/>
                      <w:highlight w:val="none"/>
                      <w:shd w:val="clear" w:color="auto" w:fill="FFFFFF"/>
                      <w:lang w:val="en-US" w:eastAsia="zh-CN"/>
                    </w:rPr>
                    <w:t>50</w:t>
                  </w:r>
                  <w:r>
                    <w:rPr>
                      <w:rStyle w:val="26"/>
                      <w:rFonts w:hint="default" w:ascii="Times New Roman" w:hAnsi="Times New Roman" w:eastAsia="宋体" w:cs="Times New Roman"/>
                      <w:b w:val="0"/>
                      <w:color w:val="auto"/>
                      <w:kern w:val="0"/>
                      <w:sz w:val="21"/>
                      <w:szCs w:val="21"/>
                      <w:highlight w:val="none"/>
                      <w:shd w:val="clear" w:color="auto" w:fill="FFFFFF"/>
                    </w:rPr>
                    <w:t>个窑车。</w:t>
                  </w:r>
                </w:p>
              </w:tc>
            </w:tr>
            <w:tr w14:paraId="143B8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tcBorders>
                    <w:tl2br w:val="nil"/>
                    <w:tr2bl w:val="nil"/>
                  </w:tcBorders>
                  <w:noWrap w:val="0"/>
                  <w:vAlign w:val="center"/>
                </w:tcPr>
                <w:p w14:paraId="599E5A09">
                  <w:pPr>
                    <w:jc w:val="center"/>
                    <w:rPr>
                      <w:rFonts w:hint="eastAsia"/>
                      <w:color w:val="auto"/>
                      <w:sz w:val="21"/>
                      <w:szCs w:val="21"/>
                      <w:highlight w:val="none"/>
                    </w:rPr>
                  </w:pPr>
                  <w:r>
                    <w:rPr>
                      <w:rFonts w:hint="eastAsia" w:eastAsia="宋体"/>
                      <w:color w:val="auto"/>
                      <w:sz w:val="21"/>
                      <w:szCs w:val="21"/>
                      <w:highlight w:val="none"/>
                    </w:rPr>
                    <w:t>合格率</w:t>
                  </w:r>
                </w:p>
              </w:tc>
              <w:tc>
                <w:tcPr>
                  <w:tcW w:w="2031" w:type="pct"/>
                  <w:gridSpan w:val="2"/>
                  <w:tcBorders>
                    <w:tl2br w:val="nil"/>
                    <w:tr2bl w:val="nil"/>
                  </w:tcBorders>
                  <w:noWrap w:val="0"/>
                  <w:vAlign w:val="center"/>
                </w:tcPr>
                <w:p w14:paraId="44A5FDFD">
                  <w:pPr>
                    <w:pStyle w:val="106"/>
                    <w:spacing w:line="240" w:lineRule="auto"/>
                    <w:ind w:firstLine="0" w:firstLineChars="0"/>
                    <w:jc w:val="center"/>
                    <w:rPr>
                      <w:rFonts w:hint="eastAsia"/>
                      <w:color w:val="auto"/>
                      <w:sz w:val="21"/>
                      <w:szCs w:val="21"/>
                      <w:highlight w:val="none"/>
                    </w:rPr>
                  </w:pPr>
                  <w:r>
                    <w:rPr>
                      <w:rFonts w:hint="eastAsia"/>
                      <w:color w:val="auto"/>
                      <w:kern w:val="0"/>
                      <w:sz w:val="21"/>
                      <w:szCs w:val="21"/>
                      <w:highlight w:val="none"/>
                      <w:lang w:val="en-US" w:eastAsia="zh-CN" w:bidi="ar"/>
                    </w:rPr>
                    <w:t>97</w:t>
                  </w:r>
                  <w:r>
                    <w:rPr>
                      <w:rFonts w:hint="eastAsia"/>
                      <w:color w:val="auto"/>
                      <w:kern w:val="0"/>
                      <w:sz w:val="21"/>
                      <w:szCs w:val="21"/>
                      <w:highlight w:val="none"/>
                      <w:lang w:bidi="ar"/>
                    </w:rPr>
                    <w:t>%</w:t>
                  </w:r>
                </w:p>
              </w:tc>
              <w:tc>
                <w:tcPr>
                  <w:tcW w:w="2236" w:type="pct"/>
                  <w:tcBorders>
                    <w:tl2br w:val="nil"/>
                    <w:tr2bl w:val="nil"/>
                  </w:tcBorders>
                  <w:noWrap w:val="0"/>
                  <w:vAlign w:val="center"/>
                </w:tcPr>
                <w:p w14:paraId="197788A7">
                  <w:pPr>
                    <w:pStyle w:val="106"/>
                    <w:spacing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14:paraId="59572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tcBorders>
                    <w:tl2br w:val="nil"/>
                    <w:tr2bl w:val="nil"/>
                  </w:tcBorders>
                  <w:noWrap w:val="0"/>
                  <w:vAlign w:val="center"/>
                </w:tcPr>
                <w:p w14:paraId="2D9BBD22">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rPr>
                    <w:t>工作制度</w:t>
                  </w:r>
                </w:p>
              </w:tc>
              <w:tc>
                <w:tcPr>
                  <w:tcW w:w="2031" w:type="pct"/>
                  <w:gridSpan w:val="2"/>
                  <w:tcBorders>
                    <w:tl2br w:val="nil"/>
                    <w:tr2bl w:val="nil"/>
                  </w:tcBorders>
                  <w:noWrap w:val="0"/>
                  <w:vAlign w:val="center"/>
                </w:tcPr>
                <w:p w14:paraId="3AAE812E">
                  <w:pPr>
                    <w:pStyle w:val="106"/>
                    <w:spacing w:line="240" w:lineRule="auto"/>
                    <w:ind w:firstLine="0" w:firstLineChars="0"/>
                    <w:jc w:val="center"/>
                    <w:rPr>
                      <w:rFonts w:hint="eastAsia"/>
                      <w:color w:val="auto"/>
                      <w:sz w:val="21"/>
                      <w:szCs w:val="21"/>
                      <w:highlight w:val="none"/>
                    </w:rPr>
                  </w:pPr>
                  <w:r>
                    <w:rPr>
                      <w:rFonts w:hint="eastAsia" w:eastAsia="宋体"/>
                      <w:color w:val="auto"/>
                      <w:sz w:val="21"/>
                      <w:szCs w:val="21"/>
                      <w:highlight w:val="none"/>
                      <w:lang w:val="en-US" w:eastAsia="zh-CN"/>
                    </w:rPr>
                    <w:t>3</w:t>
                  </w:r>
                  <w:r>
                    <w:rPr>
                      <w:rFonts w:hint="eastAsia"/>
                      <w:color w:val="auto"/>
                      <w:sz w:val="21"/>
                      <w:szCs w:val="21"/>
                      <w:highlight w:val="none"/>
                      <w:lang w:val="en-US" w:eastAsia="zh-CN"/>
                    </w:rPr>
                    <w:t>3</w:t>
                  </w:r>
                  <w:r>
                    <w:rPr>
                      <w:rFonts w:hint="eastAsia" w:eastAsia="宋体"/>
                      <w:color w:val="auto"/>
                      <w:sz w:val="21"/>
                      <w:szCs w:val="21"/>
                      <w:highlight w:val="none"/>
                      <w:lang w:val="en-US" w:eastAsia="zh-CN"/>
                    </w:rPr>
                    <w:t>0</w:t>
                  </w:r>
                  <w:r>
                    <w:rPr>
                      <w:rFonts w:hint="eastAsia" w:eastAsia="宋体"/>
                      <w:color w:val="auto"/>
                      <w:sz w:val="21"/>
                      <w:szCs w:val="21"/>
                      <w:highlight w:val="none"/>
                    </w:rPr>
                    <w:t>天，24h/d</w:t>
                  </w:r>
                </w:p>
              </w:tc>
              <w:tc>
                <w:tcPr>
                  <w:tcW w:w="2236" w:type="pct"/>
                  <w:tcBorders>
                    <w:tl2br w:val="nil"/>
                    <w:tr2bl w:val="nil"/>
                  </w:tcBorders>
                  <w:noWrap w:val="0"/>
                  <w:vAlign w:val="center"/>
                </w:tcPr>
                <w:p w14:paraId="30BFF757">
                  <w:pPr>
                    <w:pStyle w:val="106"/>
                    <w:spacing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14:paraId="68E5D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6B1B8980">
                  <w:pPr>
                    <w:numPr>
                      <w:ilvl w:val="0"/>
                      <w:numId w:val="0"/>
                    </w:numPr>
                    <w:rPr>
                      <w:rFonts w:hint="eastAsia"/>
                      <w:color w:val="auto"/>
                      <w:sz w:val="21"/>
                      <w:szCs w:val="21"/>
                      <w:highlight w:val="none"/>
                    </w:rPr>
                  </w:pPr>
                  <w:r>
                    <w:rPr>
                      <w:rFonts w:hint="eastAsia" w:eastAsia="宋体"/>
                      <w:color w:val="auto"/>
                      <w:sz w:val="21"/>
                      <w:szCs w:val="21"/>
                      <w:highlight w:val="none"/>
                      <w:shd w:val="clear" w:color="auto" w:fill="FFFFFF"/>
                    </w:rPr>
                    <w:t>本项目每车装标砖</w:t>
                  </w:r>
                  <w:r>
                    <w:rPr>
                      <w:rFonts w:hint="eastAsia"/>
                      <w:color w:val="auto"/>
                      <w:sz w:val="21"/>
                      <w:szCs w:val="21"/>
                      <w:highlight w:val="none"/>
                      <w:shd w:val="clear" w:color="auto" w:fill="FFFFFF"/>
                      <w:lang w:val="en-US" w:eastAsia="zh-CN"/>
                    </w:rPr>
                    <w:t>6912</w:t>
                  </w:r>
                  <w:r>
                    <w:rPr>
                      <w:rFonts w:hint="eastAsia" w:eastAsia="宋体"/>
                      <w:color w:val="auto"/>
                      <w:sz w:val="21"/>
                      <w:szCs w:val="21"/>
                      <w:highlight w:val="none"/>
                      <w:shd w:val="clear" w:color="auto" w:fill="FFFFFF"/>
                    </w:rPr>
                    <w:t>块，</w:t>
                  </w:r>
                  <w:r>
                    <w:rPr>
                      <w:rStyle w:val="26"/>
                      <w:rFonts w:hint="eastAsia" w:ascii="Times New Roman" w:hAnsi="Times New Roman" w:eastAsia="宋体" w:cs="Times New Roman"/>
                      <w:b w:val="0"/>
                      <w:color w:val="auto"/>
                      <w:kern w:val="0"/>
                      <w:sz w:val="21"/>
                      <w:szCs w:val="21"/>
                      <w:highlight w:val="none"/>
                      <w:shd w:val="clear" w:color="auto" w:fill="FFFFFF"/>
                      <w:lang w:val="en-US" w:eastAsia="zh-CN"/>
                    </w:rPr>
                    <w:t>窑车循环出窑时间约为25-30分钟/车</w:t>
                  </w:r>
                  <w:r>
                    <w:rPr>
                      <w:rStyle w:val="26"/>
                      <w:rFonts w:hint="default" w:ascii="Times New Roman" w:hAnsi="Times New Roman" w:eastAsia="宋体" w:cs="Times New Roman"/>
                      <w:b w:val="0"/>
                      <w:color w:val="auto"/>
                      <w:kern w:val="0"/>
                      <w:sz w:val="21"/>
                      <w:szCs w:val="21"/>
                      <w:highlight w:val="none"/>
                      <w:shd w:val="clear" w:color="auto" w:fill="FFFFFF"/>
                      <w:lang w:val="en-US" w:eastAsia="zh-CN"/>
                    </w:rPr>
                    <w:t>，</w:t>
                  </w:r>
                  <w:r>
                    <w:rPr>
                      <w:rStyle w:val="26"/>
                      <w:rFonts w:hint="default" w:ascii="Times New Roman" w:hAnsi="Times New Roman" w:eastAsia="Segoe UI" w:cs="Times New Roman"/>
                      <w:b w:val="0"/>
                      <w:color w:val="auto"/>
                      <w:kern w:val="0"/>
                      <w:sz w:val="21"/>
                      <w:szCs w:val="21"/>
                      <w:highlight w:val="none"/>
                      <w:shd w:val="clear" w:color="auto" w:fill="FFFFFF"/>
                    </w:rPr>
                    <w:t>每天（24小时）可出窑</w:t>
                  </w:r>
                  <w:r>
                    <w:rPr>
                      <w:rStyle w:val="26"/>
                      <w:rFonts w:hint="eastAsia" w:ascii="Times New Roman" w:hAnsi="Times New Roman" w:cs="Times New Roman"/>
                      <w:b w:val="0"/>
                      <w:color w:val="auto"/>
                      <w:kern w:val="0"/>
                      <w:sz w:val="21"/>
                      <w:szCs w:val="21"/>
                      <w:highlight w:val="none"/>
                      <w:shd w:val="clear" w:color="auto" w:fill="FFFFFF"/>
                      <w:lang w:val="en-US" w:eastAsia="zh-CN"/>
                    </w:rPr>
                    <w:t>50</w:t>
                  </w:r>
                  <w:r>
                    <w:rPr>
                      <w:rStyle w:val="26"/>
                      <w:rFonts w:hint="default" w:ascii="Times New Roman" w:hAnsi="Times New Roman" w:eastAsia="宋体" w:cs="Times New Roman"/>
                      <w:b w:val="0"/>
                      <w:color w:val="auto"/>
                      <w:kern w:val="0"/>
                      <w:sz w:val="21"/>
                      <w:szCs w:val="21"/>
                      <w:highlight w:val="none"/>
                      <w:shd w:val="clear" w:color="auto" w:fill="FFFFFF"/>
                    </w:rPr>
                    <w:t>个窑车</w:t>
                  </w:r>
                  <w:r>
                    <w:rPr>
                      <w:rFonts w:hint="eastAsia" w:eastAsia="宋体"/>
                      <w:color w:val="auto"/>
                      <w:sz w:val="21"/>
                      <w:szCs w:val="21"/>
                      <w:highlight w:val="none"/>
                      <w:shd w:val="clear" w:color="auto" w:fill="FFFFFF"/>
                    </w:rPr>
                    <w:t>，合格率9</w:t>
                  </w:r>
                  <w:r>
                    <w:rPr>
                      <w:rFonts w:hint="eastAsia" w:eastAsia="宋体"/>
                      <w:color w:val="auto"/>
                      <w:sz w:val="21"/>
                      <w:szCs w:val="21"/>
                      <w:highlight w:val="none"/>
                      <w:shd w:val="clear" w:color="auto" w:fill="FFFFFF"/>
                      <w:lang w:val="en-US" w:eastAsia="zh-CN"/>
                    </w:rPr>
                    <w:t>7</w:t>
                  </w:r>
                  <w:r>
                    <w:rPr>
                      <w:rFonts w:hint="eastAsia"/>
                      <w:color w:val="auto"/>
                      <w:sz w:val="21"/>
                      <w:szCs w:val="21"/>
                      <w:highlight w:val="none"/>
                      <w:shd w:val="clear" w:color="auto" w:fill="FFFFFF"/>
                    </w:rPr>
                    <w:t>%</w:t>
                  </w:r>
                  <w:r>
                    <w:rPr>
                      <w:rFonts w:hint="eastAsia" w:eastAsia="宋体"/>
                      <w:color w:val="auto"/>
                      <w:sz w:val="21"/>
                      <w:szCs w:val="21"/>
                      <w:highlight w:val="none"/>
                      <w:shd w:val="clear" w:color="auto" w:fill="FFFFFF"/>
                    </w:rPr>
                    <w:t>，年生产3</w:t>
                  </w:r>
                  <w:r>
                    <w:rPr>
                      <w:rFonts w:hint="eastAsia"/>
                      <w:color w:val="auto"/>
                      <w:sz w:val="21"/>
                      <w:szCs w:val="21"/>
                      <w:highlight w:val="none"/>
                      <w:shd w:val="clear" w:color="auto" w:fill="FFFFFF"/>
                      <w:lang w:val="en-US" w:eastAsia="zh-CN"/>
                    </w:rPr>
                    <w:t>3</w:t>
                  </w:r>
                  <w:r>
                    <w:rPr>
                      <w:rFonts w:hint="eastAsia" w:eastAsia="宋体"/>
                      <w:color w:val="auto"/>
                      <w:sz w:val="21"/>
                      <w:szCs w:val="21"/>
                      <w:highlight w:val="none"/>
                      <w:shd w:val="clear" w:color="auto" w:fill="FFFFFF"/>
                    </w:rPr>
                    <w:t>0天，24h/d，则本项目</w:t>
                  </w:r>
                  <w:r>
                    <w:rPr>
                      <w:rFonts w:hint="eastAsia" w:eastAsia="宋体"/>
                      <w:color w:val="auto"/>
                      <w:sz w:val="21"/>
                      <w:szCs w:val="21"/>
                      <w:highlight w:val="none"/>
                    </w:rPr>
                    <w:t>焙烧窑</w:t>
                  </w:r>
                  <w:r>
                    <w:rPr>
                      <w:rFonts w:hint="eastAsia" w:eastAsia="宋体"/>
                      <w:color w:val="auto"/>
                      <w:sz w:val="21"/>
                      <w:szCs w:val="21"/>
                      <w:highlight w:val="none"/>
                      <w:shd w:val="clear" w:color="auto" w:fill="FFFFFF"/>
                    </w:rPr>
                    <w:t>年生产煤矸石砖</w:t>
                  </w:r>
                  <w:r>
                    <w:rPr>
                      <w:rStyle w:val="26"/>
                      <w:rFonts w:hint="eastAsia"/>
                      <w:b w:val="0"/>
                      <w:color w:val="auto"/>
                      <w:sz w:val="21"/>
                      <w:szCs w:val="21"/>
                      <w:highlight w:val="none"/>
                      <w:shd w:val="clear" w:color="auto" w:fill="FFFFFF"/>
                    </w:rPr>
                    <w:t>=</w:t>
                  </w:r>
                  <w:r>
                    <w:rPr>
                      <w:rStyle w:val="26"/>
                      <w:rFonts w:hint="eastAsia"/>
                      <w:b w:val="0"/>
                      <w:color w:val="auto"/>
                      <w:sz w:val="21"/>
                      <w:szCs w:val="21"/>
                      <w:highlight w:val="none"/>
                      <w:shd w:val="clear" w:color="auto" w:fill="FFFFFF"/>
                      <w:lang w:val="en-US" w:eastAsia="zh-CN"/>
                    </w:rPr>
                    <w:t>6912</w:t>
                  </w:r>
                  <w:r>
                    <w:rPr>
                      <w:rStyle w:val="26"/>
                      <w:rFonts w:hint="eastAsia" w:eastAsia="宋体"/>
                      <w:b w:val="0"/>
                      <w:color w:val="auto"/>
                      <w:sz w:val="21"/>
                      <w:szCs w:val="21"/>
                      <w:highlight w:val="none"/>
                      <w:shd w:val="clear" w:color="auto" w:fill="FFFFFF"/>
                    </w:rPr>
                    <w:t>块/车×</w:t>
                  </w:r>
                  <w:r>
                    <w:rPr>
                      <w:rStyle w:val="26"/>
                      <w:rFonts w:hint="eastAsia" w:eastAsia="宋体"/>
                      <w:b w:val="0"/>
                      <w:color w:val="auto"/>
                      <w:sz w:val="21"/>
                      <w:szCs w:val="21"/>
                      <w:highlight w:val="none"/>
                      <w:shd w:val="clear" w:color="auto" w:fill="FFFFFF"/>
                      <w:lang w:val="en-US" w:eastAsia="zh-CN"/>
                    </w:rPr>
                    <w:t>50</w:t>
                  </w:r>
                  <w:r>
                    <w:rPr>
                      <w:rStyle w:val="26"/>
                      <w:rFonts w:hint="eastAsia" w:eastAsia="宋体"/>
                      <w:b w:val="0"/>
                      <w:color w:val="auto"/>
                      <w:sz w:val="21"/>
                      <w:szCs w:val="21"/>
                      <w:highlight w:val="none"/>
                      <w:shd w:val="clear" w:color="auto" w:fill="FFFFFF"/>
                    </w:rPr>
                    <w:t>车</w:t>
                  </w:r>
                  <w:r>
                    <w:rPr>
                      <w:rStyle w:val="26"/>
                      <w:rFonts w:hint="eastAsia"/>
                      <w:b w:val="0"/>
                      <w:color w:val="auto"/>
                      <w:sz w:val="21"/>
                      <w:szCs w:val="21"/>
                      <w:highlight w:val="none"/>
                      <w:shd w:val="clear" w:color="auto" w:fill="FFFFFF"/>
                    </w:rPr>
                    <w:t>×</w:t>
                  </w:r>
                  <w:r>
                    <w:rPr>
                      <w:rFonts w:hint="eastAsia"/>
                      <w:color w:val="auto"/>
                      <w:sz w:val="21"/>
                      <w:szCs w:val="21"/>
                      <w:highlight w:val="none"/>
                      <w:shd w:val="clear" w:color="auto" w:fill="FFFFFF"/>
                    </w:rPr>
                    <w:t>9</w:t>
                  </w:r>
                  <w:r>
                    <w:rPr>
                      <w:rFonts w:hint="eastAsia"/>
                      <w:color w:val="auto"/>
                      <w:sz w:val="21"/>
                      <w:szCs w:val="21"/>
                      <w:highlight w:val="none"/>
                      <w:shd w:val="clear" w:color="auto" w:fill="FFFFFF"/>
                      <w:lang w:val="en-US" w:eastAsia="zh-CN"/>
                    </w:rPr>
                    <w:t>7</w:t>
                  </w:r>
                  <w:r>
                    <w:rPr>
                      <w:rFonts w:hint="eastAsia"/>
                      <w:color w:val="auto"/>
                      <w:sz w:val="21"/>
                      <w:szCs w:val="21"/>
                      <w:highlight w:val="none"/>
                      <w:shd w:val="clear" w:color="auto" w:fill="FFFFFF"/>
                    </w:rPr>
                    <w:t>%</w:t>
                  </w:r>
                  <w:r>
                    <w:rPr>
                      <w:rStyle w:val="26"/>
                      <w:rFonts w:hint="eastAsia"/>
                      <w:b w:val="0"/>
                      <w:color w:val="auto"/>
                      <w:sz w:val="21"/>
                      <w:szCs w:val="21"/>
                      <w:highlight w:val="none"/>
                      <w:shd w:val="clear" w:color="auto" w:fill="FFFFFF"/>
                    </w:rPr>
                    <w:t>×</w:t>
                  </w:r>
                  <w:r>
                    <w:rPr>
                      <w:rFonts w:hint="eastAsia" w:eastAsia="宋体"/>
                      <w:color w:val="auto"/>
                      <w:sz w:val="21"/>
                      <w:szCs w:val="21"/>
                      <w:highlight w:val="none"/>
                      <w:shd w:val="clear" w:color="auto" w:fill="FFFFFF"/>
                    </w:rPr>
                    <w:t>3</w:t>
                  </w:r>
                  <w:r>
                    <w:rPr>
                      <w:rFonts w:hint="eastAsia"/>
                      <w:color w:val="auto"/>
                      <w:sz w:val="21"/>
                      <w:szCs w:val="21"/>
                      <w:highlight w:val="none"/>
                      <w:shd w:val="clear" w:color="auto" w:fill="FFFFFF"/>
                      <w:lang w:val="en-US" w:eastAsia="zh-CN"/>
                    </w:rPr>
                    <w:t>3</w:t>
                  </w:r>
                  <w:r>
                    <w:rPr>
                      <w:rFonts w:hint="eastAsia" w:eastAsia="宋体"/>
                      <w:color w:val="auto"/>
                      <w:sz w:val="21"/>
                      <w:szCs w:val="21"/>
                      <w:highlight w:val="none"/>
                      <w:shd w:val="clear" w:color="auto" w:fill="FFFFFF"/>
                    </w:rPr>
                    <w:t>0天/a</w:t>
                  </w:r>
                  <w:r>
                    <w:rPr>
                      <w:rStyle w:val="26"/>
                      <w:rFonts w:hint="eastAsia"/>
                      <w:b w:val="0"/>
                      <w:color w:val="auto"/>
                      <w:sz w:val="21"/>
                      <w:szCs w:val="21"/>
                      <w:highlight w:val="none"/>
                      <w:shd w:val="clear" w:color="auto" w:fill="FFFFFF"/>
                    </w:rPr>
                    <w:t>=</w:t>
                  </w:r>
                  <w:r>
                    <w:rPr>
                      <w:rStyle w:val="26"/>
                      <w:rFonts w:hint="eastAsia"/>
                      <w:b w:val="0"/>
                      <w:color w:val="auto"/>
                      <w:sz w:val="21"/>
                      <w:szCs w:val="21"/>
                      <w:highlight w:val="none"/>
                      <w:shd w:val="clear" w:color="auto" w:fill="FFFFFF"/>
                      <w:lang w:val="en-US" w:eastAsia="zh-CN"/>
                    </w:rPr>
                    <w:t>11063</w:t>
                  </w:r>
                  <w:r>
                    <w:rPr>
                      <w:rStyle w:val="26"/>
                      <w:rFonts w:hint="eastAsia" w:eastAsia="宋体"/>
                      <w:b w:val="0"/>
                      <w:color w:val="auto"/>
                      <w:sz w:val="21"/>
                      <w:szCs w:val="21"/>
                      <w:highlight w:val="none"/>
                      <w:shd w:val="clear" w:color="auto" w:fill="FFFFFF"/>
                    </w:rPr>
                    <w:t>万块</w:t>
                  </w:r>
                  <w:r>
                    <w:rPr>
                      <w:rFonts w:hint="eastAsia" w:eastAsia="宋体"/>
                      <w:color w:val="auto"/>
                      <w:sz w:val="21"/>
                      <w:szCs w:val="21"/>
                      <w:highlight w:val="none"/>
                      <w:shd w:val="clear" w:color="auto" w:fill="FFFFFF"/>
                    </w:rPr>
                    <w:t>。</w:t>
                  </w:r>
                </w:p>
              </w:tc>
            </w:tr>
          </w:tbl>
          <w:p w14:paraId="67CD753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表2-6  其他设备生产能力一览表</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896"/>
              <w:gridCol w:w="1103"/>
              <w:gridCol w:w="1607"/>
              <w:gridCol w:w="2323"/>
            </w:tblGrid>
            <w:tr w14:paraId="6DFF7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vMerge w:val="restart"/>
                  <w:tcBorders>
                    <w:tl2br w:val="nil"/>
                    <w:tr2bl w:val="nil"/>
                  </w:tcBorders>
                  <w:noWrap w:val="0"/>
                  <w:vAlign w:val="center"/>
                </w:tcPr>
                <w:p w14:paraId="5026A06E">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生产设备</w:t>
                  </w:r>
                </w:p>
              </w:tc>
              <w:tc>
                <w:tcPr>
                  <w:tcW w:w="1131" w:type="pct"/>
                  <w:vMerge w:val="restart"/>
                  <w:tcBorders>
                    <w:tl2br w:val="nil"/>
                    <w:tr2bl w:val="nil"/>
                  </w:tcBorders>
                  <w:noWrap w:val="0"/>
                  <w:vAlign w:val="center"/>
                </w:tcPr>
                <w:p w14:paraId="4862E89D">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生产能力</w:t>
                  </w:r>
                  <w:r>
                    <w:rPr>
                      <w:rFonts w:hint="eastAsia"/>
                      <w:b/>
                      <w:bCs/>
                      <w:color w:val="auto"/>
                      <w:sz w:val="21"/>
                      <w:szCs w:val="21"/>
                      <w:highlight w:val="none"/>
                    </w:rPr>
                    <w:t>/t·h·</w:t>
                  </w:r>
                  <w:r>
                    <w:rPr>
                      <w:rFonts w:hint="eastAsia" w:eastAsia="宋体"/>
                      <w:b/>
                      <w:bCs/>
                      <w:color w:val="auto"/>
                      <w:sz w:val="21"/>
                      <w:szCs w:val="21"/>
                      <w:highlight w:val="none"/>
                    </w:rPr>
                    <w:t>台</w:t>
                  </w:r>
                </w:p>
              </w:tc>
              <w:tc>
                <w:tcPr>
                  <w:tcW w:w="658" w:type="pct"/>
                  <w:vMerge w:val="restart"/>
                  <w:tcBorders>
                    <w:tl2br w:val="nil"/>
                    <w:tr2bl w:val="nil"/>
                  </w:tcBorders>
                  <w:noWrap w:val="0"/>
                  <w:vAlign w:val="center"/>
                </w:tcPr>
                <w:p w14:paraId="1B27E716">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数量（台）</w:t>
                  </w:r>
                </w:p>
              </w:tc>
              <w:tc>
                <w:tcPr>
                  <w:tcW w:w="2341" w:type="pct"/>
                  <w:gridSpan w:val="2"/>
                  <w:tcBorders>
                    <w:tl2br w:val="nil"/>
                    <w:tr2bl w:val="nil"/>
                  </w:tcBorders>
                  <w:noWrap w:val="0"/>
                  <w:vAlign w:val="center"/>
                </w:tcPr>
                <w:p w14:paraId="0916F0B1">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本项目</w:t>
                  </w:r>
                </w:p>
              </w:tc>
            </w:tr>
            <w:tr w14:paraId="5E645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vMerge w:val="continue"/>
                  <w:tcBorders>
                    <w:tl2br w:val="nil"/>
                    <w:tr2bl w:val="nil"/>
                  </w:tcBorders>
                  <w:noWrap w:val="0"/>
                  <w:vAlign w:val="center"/>
                </w:tcPr>
                <w:p w14:paraId="6E64E040">
                  <w:pPr>
                    <w:pStyle w:val="106"/>
                    <w:spacing w:line="240" w:lineRule="auto"/>
                    <w:ind w:firstLine="0" w:firstLineChars="0"/>
                    <w:jc w:val="center"/>
                    <w:rPr>
                      <w:rFonts w:hint="eastAsia"/>
                      <w:b/>
                      <w:bCs/>
                      <w:color w:val="auto"/>
                      <w:sz w:val="21"/>
                      <w:szCs w:val="21"/>
                      <w:highlight w:val="none"/>
                    </w:rPr>
                  </w:pPr>
                </w:p>
              </w:tc>
              <w:tc>
                <w:tcPr>
                  <w:tcW w:w="1131" w:type="pct"/>
                  <w:vMerge w:val="continue"/>
                  <w:tcBorders>
                    <w:tl2br w:val="nil"/>
                    <w:tr2bl w:val="nil"/>
                  </w:tcBorders>
                  <w:noWrap w:val="0"/>
                  <w:vAlign w:val="center"/>
                </w:tcPr>
                <w:p w14:paraId="2F131E8B">
                  <w:pPr>
                    <w:pStyle w:val="106"/>
                    <w:spacing w:line="240" w:lineRule="auto"/>
                    <w:ind w:firstLine="0" w:firstLineChars="0"/>
                    <w:jc w:val="center"/>
                    <w:rPr>
                      <w:rFonts w:hint="eastAsia"/>
                      <w:b/>
                      <w:bCs/>
                      <w:color w:val="auto"/>
                      <w:sz w:val="21"/>
                      <w:szCs w:val="21"/>
                      <w:highlight w:val="none"/>
                    </w:rPr>
                  </w:pPr>
                </w:p>
              </w:tc>
              <w:tc>
                <w:tcPr>
                  <w:tcW w:w="658" w:type="pct"/>
                  <w:vMerge w:val="continue"/>
                  <w:tcBorders>
                    <w:tl2br w:val="nil"/>
                    <w:tr2bl w:val="nil"/>
                  </w:tcBorders>
                  <w:noWrap w:val="0"/>
                  <w:vAlign w:val="center"/>
                </w:tcPr>
                <w:p w14:paraId="1CCA7AB3">
                  <w:pPr>
                    <w:pStyle w:val="106"/>
                    <w:spacing w:line="240" w:lineRule="auto"/>
                    <w:ind w:firstLine="0" w:firstLineChars="0"/>
                    <w:jc w:val="center"/>
                    <w:rPr>
                      <w:rFonts w:hint="eastAsia"/>
                      <w:b/>
                      <w:bCs/>
                      <w:color w:val="auto"/>
                      <w:sz w:val="21"/>
                      <w:szCs w:val="21"/>
                      <w:highlight w:val="none"/>
                    </w:rPr>
                  </w:pPr>
                </w:p>
              </w:tc>
              <w:tc>
                <w:tcPr>
                  <w:tcW w:w="958" w:type="pct"/>
                  <w:tcBorders>
                    <w:tl2br w:val="nil"/>
                    <w:tr2bl w:val="nil"/>
                  </w:tcBorders>
                  <w:noWrap w:val="0"/>
                  <w:vAlign w:val="center"/>
                </w:tcPr>
                <w:p w14:paraId="20BDC4B2">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生产时间</w:t>
                  </w:r>
                  <w:r>
                    <w:rPr>
                      <w:rFonts w:hint="eastAsia"/>
                      <w:b/>
                      <w:bCs/>
                      <w:color w:val="auto"/>
                      <w:sz w:val="21"/>
                      <w:szCs w:val="21"/>
                      <w:highlight w:val="none"/>
                    </w:rPr>
                    <w:t>h</w:t>
                  </w:r>
                </w:p>
              </w:tc>
              <w:tc>
                <w:tcPr>
                  <w:tcW w:w="1382" w:type="pct"/>
                  <w:tcBorders>
                    <w:tl2br w:val="nil"/>
                    <w:tr2bl w:val="nil"/>
                  </w:tcBorders>
                  <w:noWrap w:val="0"/>
                  <w:vAlign w:val="center"/>
                </w:tcPr>
                <w:p w14:paraId="489A3E77">
                  <w:pPr>
                    <w:pStyle w:val="106"/>
                    <w:spacing w:line="240" w:lineRule="auto"/>
                    <w:ind w:firstLine="0" w:firstLineChars="0"/>
                    <w:jc w:val="center"/>
                    <w:rPr>
                      <w:rFonts w:hint="eastAsia"/>
                      <w:b/>
                      <w:bCs/>
                      <w:color w:val="auto"/>
                      <w:sz w:val="21"/>
                      <w:szCs w:val="21"/>
                      <w:highlight w:val="none"/>
                    </w:rPr>
                  </w:pPr>
                  <w:r>
                    <w:rPr>
                      <w:rFonts w:hint="eastAsia" w:eastAsia="宋体"/>
                      <w:b/>
                      <w:bCs/>
                      <w:color w:val="auto"/>
                      <w:sz w:val="21"/>
                      <w:szCs w:val="21"/>
                      <w:highlight w:val="none"/>
                    </w:rPr>
                    <w:t>生产能力t/a</w:t>
                  </w:r>
                </w:p>
              </w:tc>
            </w:tr>
            <w:tr w14:paraId="4A422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tcBorders>
                    <w:tl2br w:val="nil"/>
                    <w:tr2bl w:val="nil"/>
                  </w:tcBorders>
                  <w:noWrap w:val="0"/>
                  <w:vAlign w:val="center"/>
                </w:tcPr>
                <w:p w14:paraId="2E89DB41">
                  <w:pPr>
                    <w:pStyle w:val="95"/>
                    <w:jc w:val="center"/>
                    <w:rPr>
                      <w:rFonts w:hint="eastAsia" w:ascii="Times New Roman" w:hAnsi="Times New Roman" w:eastAsia="Times New Roman" w:cs="Times New Roman"/>
                      <w:color w:val="auto"/>
                      <w:sz w:val="21"/>
                      <w:szCs w:val="21"/>
                      <w:highlight w:val="none"/>
                      <w:lang w:eastAsia="zh-CN"/>
                    </w:rPr>
                  </w:pPr>
                  <w:r>
                    <w:rPr>
                      <w:rFonts w:hint="eastAsia" w:ascii="Times New Roman" w:hAnsi="Times New Roman" w:cs="Times New Roman"/>
                      <w:color w:val="auto"/>
                      <w:sz w:val="21"/>
                      <w:szCs w:val="21"/>
                      <w:highlight w:val="none"/>
                      <w:shd w:val="clear" w:color="auto" w:fill="FFFFFF"/>
                      <w:lang w:eastAsia="zh-CN"/>
                    </w:rPr>
                    <w:t>破碎机</w:t>
                  </w:r>
                </w:p>
              </w:tc>
              <w:tc>
                <w:tcPr>
                  <w:tcW w:w="1131" w:type="pct"/>
                  <w:tcBorders>
                    <w:tl2br w:val="nil"/>
                    <w:tr2bl w:val="nil"/>
                  </w:tcBorders>
                  <w:noWrap w:val="0"/>
                  <w:vAlign w:val="center"/>
                </w:tcPr>
                <w:p w14:paraId="7AFFEAB0">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p>
              </w:tc>
              <w:tc>
                <w:tcPr>
                  <w:tcW w:w="658" w:type="pct"/>
                  <w:tcBorders>
                    <w:tl2br w:val="nil"/>
                    <w:tr2bl w:val="nil"/>
                  </w:tcBorders>
                  <w:noWrap w:val="0"/>
                  <w:vAlign w:val="center"/>
                </w:tcPr>
                <w:p w14:paraId="6CD48E47">
                  <w:pPr>
                    <w:pStyle w:val="106"/>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p>
              </w:tc>
              <w:tc>
                <w:tcPr>
                  <w:tcW w:w="958" w:type="pct"/>
                  <w:tcBorders>
                    <w:tl2br w:val="nil"/>
                    <w:tr2bl w:val="nil"/>
                  </w:tcBorders>
                  <w:noWrap w:val="0"/>
                  <w:vAlign w:val="center"/>
                </w:tcPr>
                <w:p w14:paraId="47B2063C">
                  <w:pPr>
                    <w:pStyle w:val="106"/>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330</w:t>
                  </w:r>
                </w:p>
              </w:tc>
              <w:tc>
                <w:tcPr>
                  <w:tcW w:w="1382" w:type="pct"/>
                  <w:tcBorders>
                    <w:tl2br w:val="nil"/>
                    <w:tr2bl w:val="nil"/>
                  </w:tcBorders>
                  <w:noWrap w:val="0"/>
                  <w:vAlign w:val="center"/>
                </w:tcPr>
                <w:p w14:paraId="27DAEAFF">
                  <w:pPr>
                    <w:pStyle w:val="106"/>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356400</w:t>
                  </w:r>
                </w:p>
              </w:tc>
            </w:tr>
            <w:tr w14:paraId="1CA67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tcBorders>
                    <w:tl2br w:val="nil"/>
                    <w:tr2bl w:val="nil"/>
                  </w:tcBorders>
                  <w:noWrap w:val="0"/>
                  <w:vAlign w:val="center"/>
                </w:tcPr>
                <w:p w14:paraId="513A1F0B">
                  <w:pPr>
                    <w:pStyle w:val="95"/>
                    <w:jc w:val="center"/>
                    <w:rPr>
                      <w:rFonts w:hint="eastAsia" w:ascii="Times New Roman" w:hAnsi="Times New Roman" w:eastAsia="Times New Roman" w:cs="Times New Roman"/>
                      <w:color w:val="auto"/>
                      <w:sz w:val="21"/>
                      <w:szCs w:val="21"/>
                      <w:highlight w:val="none"/>
                      <w:lang w:eastAsia="zh-CN"/>
                    </w:rPr>
                  </w:pPr>
                  <w:r>
                    <w:rPr>
                      <w:rFonts w:hint="eastAsia" w:ascii="Times New Roman" w:hAnsi="Times New Roman" w:cs="Times New Roman"/>
                      <w:color w:val="auto"/>
                      <w:sz w:val="21"/>
                      <w:szCs w:val="21"/>
                      <w:highlight w:val="none"/>
                      <w:shd w:val="clear" w:color="auto" w:fill="FFFFFF"/>
                      <w:lang w:eastAsia="zh-CN"/>
                    </w:rPr>
                    <w:t>筛分机</w:t>
                  </w:r>
                </w:p>
              </w:tc>
              <w:tc>
                <w:tcPr>
                  <w:tcW w:w="1131" w:type="pct"/>
                  <w:tcBorders>
                    <w:tl2br w:val="nil"/>
                    <w:tr2bl w:val="nil"/>
                  </w:tcBorders>
                  <w:noWrap w:val="0"/>
                  <w:vAlign w:val="center"/>
                </w:tcPr>
                <w:p w14:paraId="1FF43142">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p>
              </w:tc>
              <w:tc>
                <w:tcPr>
                  <w:tcW w:w="658" w:type="pct"/>
                  <w:tcBorders>
                    <w:tl2br w:val="nil"/>
                    <w:tr2bl w:val="nil"/>
                  </w:tcBorders>
                  <w:noWrap w:val="0"/>
                  <w:vAlign w:val="center"/>
                </w:tcPr>
                <w:p w14:paraId="146F2B00">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58" w:type="pct"/>
                  <w:tcBorders>
                    <w:tl2br w:val="nil"/>
                    <w:tr2bl w:val="nil"/>
                  </w:tcBorders>
                  <w:noWrap w:val="0"/>
                  <w:vAlign w:val="center"/>
                </w:tcPr>
                <w:p w14:paraId="26FAD89B">
                  <w:pPr>
                    <w:pStyle w:val="106"/>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330</w:t>
                  </w:r>
                </w:p>
              </w:tc>
              <w:tc>
                <w:tcPr>
                  <w:tcW w:w="1382" w:type="pct"/>
                  <w:tcBorders>
                    <w:tl2br w:val="nil"/>
                    <w:tr2bl w:val="nil"/>
                  </w:tcBorders>
                  <w:noWrap w:val="0"/>
                  <w:vAlign w:val="center"/>
                </w:tcPr>
                <w:p w14:paraId="0380045C">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356400</w:t>
                  </w:r>
                </w:p>
              </w:tc>
            </w:tr>
            <w:tr w14:paraId="63A0E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tcBorders>
                    <w:tl2br w:val="nil"/>
                    <w:tr2bl w:val="nil"/>
                  </w:tcBorders>
                  <w:noWrap w:val="0"/>
                  <w:vAlign w:val="center"/>
                </w:tcPr>
                <w:p w14:paraId="25A0F304">
                  <w:pPr>
                    <w:pStyle w:val="106"/>
                    <w:spacing w:line="240" w:lineRule="auto"/>
                    <w:ind w:firstLine="0" w:firstLineChars="0"/>
                    <w:jc w:val="center"/>
                    <w:rPr>
                      <w:rFonts w:hint="eastAsia"/>
                      <w:color w:val="auto"/>
                      <w:sz w:val="21"/>
                      <w:szCs w:val="21"/>
                      <w:highlight w:val="none"/>
                    </w:rPr>
                  </w:pPr>
                  <w:r>
                    <w:rPr>
                      <w:rFonts w:hint="eastAsia" w:eastAsia="宋体"/>
                      <w:color w:val="auto"/>
                      <w:kern w:val="0"/>
                      <w:sz w:val="21"/>
                      <w:szCs w:val="21"/>
                      <w:highlight w:val="none"/>
                      <w:lang w:bidi="ar"/>
                    </w:rPr>
                    <w:t>搅拌机</w:t>
                  </w:r>
                </w:p>
              </w:tc>
              <w:tc>
                <w:tcPr>
                  <w:tcW w:w="1131" w:type="pct"/>
                  <w:tcBorders>
                    <w:tl2br w:val="nil"/>
                    <w:tr2bl w:val="nil"/>
                  </w:tcBorders>
                  <w:noWrap w:val="0"/>
                  <w:vAlign w:val="center"/>
                </w:tcPr>
                <w:p w14:paraId="118688A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658" w:type="pct"/>
                  <w:tcBorders>
                    <w:tl2br w:val="nil"/>
                    <w:tr2bl w:val="nil"/>
                  </w:tcBorders>
                  <w:noWrap w:val="0"/>
                  <w:vAlign w:val="center"/>
                </w:tcPr>
                <w:p w14:paraId="0E04EA7C">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58" w:type="pct"/>
                  <w:tcBorders>
                    <w:tl2br w:val="nil"/>
                    <w:tr2bl w:val="nil"/>
                  </w:tcBorders>
                  <w:noWrap w:val="0"/>
                  <w:vAlign w:val="center"/>
                </w:tcPr>
                <w:p w14:paraId="5AA62CA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330</w:t>
                  </w:r>
                </w:p>
              </w:tc>
              <w:tc>
                <w:tcPr>
                  <w:tcW w:w="1382" w:type="pct"/>
                  <w:tcBorders>
                    <w:tl2br w:val="nil"/>
                    <w:tr2bl w:val="nil"/>
                  </w:tcBorders>
                  <w:noWrap w:val="0"/>
                  <w:vAlign w:val="center"/>
                </w:tcPr>
                <w:p w14:paraId="7F1466E0">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3168</w:t>
                  </w:r>
                  <w:r>
                    <w:rPr>
                      <w:rFonts w:hint="default" w:ascii="Times New Roman" w:hAnsi="Times New Roman" w:eastAsia="宋体" w:cs="Times New Roman"/>
                      <w:color w:val="auto"/>
                      <w:sz w:val="21"/>
                      <w:szCs w:val="21"/>
                      <w:highlight w:val="none"/>
                    </w:rPr>
                    <w:t>00</w:t>
                  </w:r>
                </w:p>
              </w:tc>
            </w:tr>
            <w:tr w14:paraId="15F0A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tcBorders>
                    <w:tl2br w:val="nil"/>
                    <w:tr2bl w:val="nil"/>
                  </w:tcBorders>
                  <w:noWrap w:val="0"/>
                  <w:vAlign w:val="center"/>
                </w:tcPr>
                <w:p w14:paraId="4DF3F78D">
                  <w:pPr>
                    <w:jc w:val="center"/>
                    <w:rPr>
                      <w:rFonts w:hint="eastAsia" w:eastAsia="宋体"/>
                      <w:color w:val="auto"/>
                      <w:sz w:val="21"/>
                      <w:szCs w:val="21"/>
                      <w:highlight w:val="none"/>
                      <w:lang w:val="en-US" w:eastAsia="zh-CN"/>
                    </w:rPr>
                  </w:pPr>
                  <w:r>
                    <w:rPr>
                      <w:rFonts w:hint="eastAsia" w:eastAsia="宋体"/>
                      <w:color w:val="auto"/>
                      <w:sz w:val="21"/>
                      <w:szCs w:val="21"/>
                      <w:highlight w:val="none"/>
                      <w:lang w:bidi="ar"/>
                    </w:rPr>
                    <w:t>制砖</w:t>
                  </w:r>
                  <w:r>
                    <w:rPr>
                      <w:rFonts w:hint="eastAsia"/>
                      <w:color w:val="auto"/>
                      <w:sz w:val="21"/>
                      <w:szCs w:val="21"/>
                      <w:highlight w:val="none"/>
                      <w:lang w:val="en-US" w:eastAsia="zh-CN" w:bidi="ar"/>
                    </w:rPr>
                    <w:t>系统</w:t>
                  </w:r>
                </w:p>
              </w:tc>
              <w:tc>
                <w:tcPr>
                  <w:tcW w:w="1131" w:type="pct"/>
                  <w:tcBorders>
                    <w:tl2br w:val="nil"/>
                    <w:tr2bl w:val="nil"/>
                  </w:tcBorders>
                  <w:noWrap w:val="0"/>
                  <w:vAlign w:val="center"/>
                </w:tcPr>
                <w:p w14:paraId="6D2FEC43">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23</w:t>
                  </w:r>
                  <w:r>
                    <w:rPr>
                      <w:rFonts w:hint="default" w:ascii="Times New Roman" w:hAnsi="Times New Roman" w:cs="Times New Roman"/>
                      <w:color w:val="auto"/>
                      <w:kern w:val="0"/>
                      <w:sz w:val="21"/>
                      <w:szCs w:val="21"/>
                      <w:highlight w:val="none"/>
                      <w:lang w:bidi="ar"/>
                    </w:rPr>
                    <w:t>000-2</w:t>
                  </w:r>
                  <w:r>
                    <w:rPr>
                      <w:rFonts w:hint="default" w:ascii="Times New Roman" w:hAnsi="Times New Roman" w:eastAsia="宋体" w:cs="Times New Roman"/>
                      <w:color w:val="auto"/>
                      <w:kern w:val="0"/>
                      <w:sz w:val="21"/>
                      <w:szCs w:val="21"/>
                      <w:highlight w:val="none"/>
                      <w:lang w:bidi="ar"/>
                    </w:rPr>
                    <w:t>8</w:t>
                  </w:r>
                  <w:r>
                    <w:rPr>
                      <w:rFonts w:hint="default" w:ascii="Times New Roman" w:hAnsi="Times New Roman"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bidi="ar"/>
                    </w:rPr>
                    <w:t>0块</w:t>
                  </w:r>
                </w:p>
              </w:tc>
              <w:tc>
                <w:tcPr>
                  <w:tcW w:w="658" w:type="pct"/>
                  <w:tcBorders>
                    <w:tl2br w:val="nil"/>
                    <w:tr2bl w:val="nil"/>
                  </w:tcBorders>
                  <w:noWrap w:val="0"/>
                  <w:vAlign w:val="center"/>
                </w:tcPr>
                <w:p w14:paraId="363714AA">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58" w:type="pct"/>
                  <w:tcBorders>
                    <w:tl2br w:val="nil"/>
                    <w:tr2bl w:val="nil"/>
                  </w:tcBorders>
                  <w:noWrap w:val="0"/>
                  <w:vAlign w:val="center"/>
                </w:tcPr>
                <w:p w14:paraId="07319C56">
                  <w:pPr>
                    <w:pStyle w:val="106"/>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330</w:t>
                  </w:r>
                </w:p>
              </w:tc>
              <w:tc>
                <w:tcPr>
                  <w:tcW w:w="1382" w:type="pct"/>
                  <w:tcBorders>
                    <w:tl2br w:val="nil"/>
                    <w:tr2bl w:val="nil"/>
                  </w:tcBorders>
                  <w:noWrap w:val="0"/>
                  <w:vAlign w:val="center"/>
                </w:tcPr>
                <w:p w14:paraId="7794CA4E">
                  <w:pPr>
                    <w:pStyle w:val="10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9108</w:t>
                  </w:r>
                  <w:r>
                    <w:rPr>
                      <w:rFonts w:hint="default" w:ascii="Times New Roman" w:hAnsi="Times New Roman" w:eastAsia="宋体" w:cs="Times New Roman"/>
                      <w:color w:val="auto"/>
                      <w:sz w:val="21"/>
                      <w:szCs w:val="21"/>
                      <w:highlight w:val="none"/>
                    </w:rPr>
                    <w:t>万块</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11088</w:t>
                  </w:r>
                  <w:r>
                    <w:rPr>
                      <w:rFonts w:hint="default" w:ascii="Times New Roman" w:hAnsi="Times New Roman" w:eastAsia="宋体" w:cs="Times New Roman"/>
                      <w:color w:val="auto"/>
                      <w:sz w:val="21"/>
                      <w:szCs w:val="21"/>
                      <w:highlight w:val="none"/>
                    </w:rPr>
                    <w:t>万块</w:t>
                  </w:r>
                </w:p>
              </w:tc>
            </w:tr>
            <w:tr w14:paraId="285E0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14:paraId="08C36CDE">
                  <w:pPr>
                    <w:pStyle w:val="106"/>
                    <w:spacing w:line="240" w:lineRule="auto"/>
                    <w:ind w:firstLine="0" w:firstLineChars="0"/>
                    <w:rPr>
                      <w:rFonts w:hint="eastAsia"/>
                      <w:color w:val="auto"/>
                      <w:sz w:val="21"/>
                      <w:szCs w:val="21"/>
                      <w:highlight w:val="none"/>
                    </w:rPr>
                  </w:pPr>
                  <w:r>
                    <w:rPr>
                      <w:rFonts w:hint="eastAsia" w:eastAsia="宋体"/>
                      <w:color w:val="auto"/>
                      <w:sz w:val="21"/>
                      <w:szCs w:val="21"/>
                      <w:highlight w:val="none"/>
                      <w:lang w:bidi="ar"/>
                    </w:rPr>
                    <w:t>备注：参照《烧结砖瓦工厂设计规范（GB50701-2011）》，表6.4.2-3产品体积密度中煤矸石砖体积密度（t/m</w:t>
                  </w:r>
                  <w:r>
                    <w:rPr>
                      <w:rFonts w:hint="eastAsia" w:eastAsia="宋体"/>
                      <w:color w:val="auto"/>
                      <w:sz w:val="21"/>
                      <w:szCs w:val="21"/>
                      <w:highlight w:val="none"/>
                      <w:vertAlign w:val="superscript"/>
                      <w:lang w:bidi="ar"/>
                    </w:rPr>
                    <w:t>3</w:t>
                  </w:r>
                  <w:r>
                    <w:rPr>
                      <w:rFonts w:hint="eastAsia" w:eastAsia="宋体"/>
                      <w:color w:val="auto"/>
                      <w:sz w:val="21"/>
                      <w:szCs w:val="21"/>
                      <w:highlight w:val="none"/>
                      <w:lang w:bidi="ar"/>
                    </w:rPr>
                    <w:t>）为1.7-2.0。本项目年产1</w:t>
                  </w:r>
                  <w:r>
                    <w:rPr>
                      <w:rFonts w:hint="eastAsia"/>
                      <w:color w:val="auto"/>
                      <w:sz w:val="21"/>
                      <w:szCs w:val="21"/>
                      <w:highlight w:val="none"/>
                      <w:lang w:val="en-US" w:eastAsia="zh-CN" w:bidi="ar"/>
                    </w:rPr>
                    <w:t>1</w:t>
                  </w:r>
                  <w:r>
                    <w:rPr>
                      <w:rFonts w:hint="eastAsia" w:eastAsia="宋体"/>
                      <w:color w:val="auto"/>
                      <w:sz w:val="21"/>
                      <w:szCs w:val="21"/>
                      <w:highlight w:val="none"/>
                      <w:lang w:bidi="ar"/>
                    </w:rPr>
                    <w:t>000万块煤矸石砖（尺寸240×115×53mm），煤矸石砖产量为1</w:t>
                  </w:r>
                  <w:r>
                    <w:rPr>
                      <w:rFonts w:hint="eastAsia"/>
                      <w:color w:val="auto"/>
                      <w:sz w:val="21"/>
                      <w:szCs w:val="21"/>
                      <w:highlight w:val="none"/>
                      <w:lang w:val="en-US" w:eastAsia="zh-CN" w:bidi="ar"/>
                    </w:rPr>
                    <w:t>1</w:t>
                  </w:r>
                  <w:r>
                    <w:rPr>
                      <w:rFonts w:hint="eastAsia" w:eastAsia="宋体"/>
                      <w:color w:val="auto"/>
                      <w:sz w:val="21"/>
                      <w:szCs w:val="21"/>
                      <w:highlight w:val="none"/>
                      <w:lang w:bidi="ar"/>
                    </w:rPr>
                    <w:t>000万块×240mm×115mm×53mm×1.85t/m</w:t>
                  </w:r>
                  <w:r>
                    <w:rPr>
                      <w:rFonts w:hint="eastAsia" w:eastAsia="宋体"/>
                      <w:color w:val="auto"/>
                      <w:sz w:val="21"/>
                      <w:szCs w:val="21"/>
                      <w:highlight w:val="none"/>
                      <w:vertAlign w:val="superscript"/>
                      <w:lang w:bidi="ar"/>
                    </w:rPr>
                    <w:t>3</w:t>
                  </w:r>
                  <w:r>
                    <w:rPr>
                      <w:rFonts w:hint="eastAsia" w:eastAsia="宋体"/>
                      <w:color w:val="auto"/>
                      <w:sz w:val="21"/>
                      <w:szCs w:val="21"/>
                      <w:highlight w:val="none"/>
                      <w:lang w:bidi="ar"/>
                    </w:rPr>
                    <w:t>=</w:t>
                  </w:r>
                  <w:r>
                    <w:rPr>
                      <w:rFonts w:hint="eastAsia"/>
                      <w:color w:val="auto"/>
                      <w:sz w:val="21"/>
                      <w:szCs w:val="21"/>
                      <w:highlight w:val="none"/>
                      <w:lang w:val="en-US" w:eastAsia="zh-CN" w:bidi="ar"/>
                    </w:rPr>
                    <w:t>297680</w:t>
                  </w:r>
                  <w:r>
                    <w:rPr>
                      <w:rFonts w:hint="eastAsia" w:eastAsia="宋体"/>
                      <w:color w:val="auto"/>
                      <w:sz w:val="21"/>
                      <w:szCs w:val="21"/>
                      <w:highlight w:val="none"/>
                      <w:lang w:bidi="ar"/>
                    </w:rPr>
                    <w:t>t。</w:t>
                  </w:r>
                </w:p>
              </w:tc>
            </w:tr>
          </w:tbl>
          <w:p w14:paraId="3E46E89F">
            <w:pPr>
              <w:keepNext w:val="0"/>
              <w:keepLines w:val="0"/>
              <w:pageBreakBefore w:val="0"/>
              <w:widowControl w:val="0"/>
              <w:kinsoku/>
              <w:wordWrap/>
              <w:overflowPunct/>
              <w:topLinePunct w:val="0"/>
              <w:autoSpaceDE w:val="0"/>
              <w:autoSpaceDN w:val="0"/>
              <w:bidi w:val="0"/>
              <w:adjustRightInd w:val="0"/>
              <w:snapToGrid w:val="0"/>
              <w:spacing w:line="470" w:lineRule="exact"/>
              <w:ind w:firstLine="480" w:firstLineChars="200"/>
              <w:textAlignment w:val="center"/>
              <w:rPr>
                <w:rFonts w:hint="eastAsia" w:ascii="Times New Roman" w:hAnsi="Times New Roman" w:eastAsia="宋体" w:cs="Times New Roman"/>
                <w:color w:val="auto"/>
                <w:sz w:val="24"/>
                <w:szCs w:val="24"/>
                <w:highlight w:val="none"/>
                <w:lang w:val="en-US" w:eastAsia="zh-CN"/>
              </w:rPr>
            </w:pPr>
            <w:r>
              <w:rPr>
                <w:rFonts w:hint="eastAsia" w:eastAsia="宋体"/>
                <w:color w:val="auto"/>
                <w:sz w:val="24"/>
                <w:szCs w:val="24"/>
                <w:highlight w:val="none"/>
              </w:rPr>
              <w:t>由上表可知，本项目主要生产设备生产能力满足产能要求。</w:t>
            </w:r>
          </w:p>
          <w:p w14:paraId="194CC64C">
            <w:pPr>
              <w:keepNext w:val="0"/>
              <w:keepLines w:val="0"/>
              <w:pageBreakBefore w:val="0"/>
              <w:widowControl w:val="0"/>
              <w:kinsoku/>
              <w:wordWrap/>
              <w:overflowPunct/>
              <w:topLinePunct w:val="0"/>
              <w:autoSpaceDE w:val="0"/>
              <w:autoSpaceDN w:val="0"/>
              <w:bidi w:val="0"/>
              <w:adjustRightInd w:val="0"/>
              <w:snapToGrid w:val="0"/>
              <w:spacing w:line="47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2.4主要原辅材料、燃料</w:t>
            </w:r>
          </w:p>
          <w:p w14:paraId="70B95352">
            <w:pPr>
              <w:keepNext w:val="0"/>
              <w:keepLines w:val="0"/>
              <w:pageBreakBefore w:val="0"/>
              <w:widowControl w:val="0"/>
              <w:kinsoku/>
              <w:wordWrap/>
              <w:overflowPunct/>
              <w:topLinePunct w:val="0"/>
              <w:autoSpaceDE w:val="0"/>
              <w:autoSpaceDN w:val="0"/>
              <w:bidi w:val="0"/>
              <w:adjustRightInd w:val="0"/>
              <w:snapToGrid w:val="0"/>
              <w:spacing w:line="470" w:lineRule="exact"/>
              <w:ind w:firstLine="480" w:firstLineChars="200"/>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所用煤矸石为低硫煤矸石，原料供应主要为周边洗煤厂。根据《长治市工业资源综合利用基地建设方案》（2021年发布），长治市现有煤矿113家，总产能1.7亿吨。2019年生产原煤1.3亿吨，洗选原煤5949万吨，总计产生煤矸石1351万吨。本项目原料煤矸石来源于余吾煤矿，位于项目西北侧约2km处，潞安集团余吾煤业近2年原煤采量为980万吨/a，排矸率约为21%，潞安集团余吾煤业煤矸石产量约为205.8万吨，目前煤矸石均用于填埋造地，存在资料浪费情况。</w:t>
            </w:r>
          </w:p>
          <w:p w14:paraId="22440F98">
            <w:pPr>
              <w:keepNext w:val="0"/>
              <w:keepLines w:val="0"/>
              <w:pageBreakBefore w:val="0"/>
              <w:widowControl w:val="0"/>
              <w:kinsoku/>
              <w:wordWrap/>
              <w:overflowPunct/>
              <w:topLinePunct w:val="0"/>
              <w:autoSpaceDE w:val="0"/>
              <w:autoSpaceDN w:val="0"/>
              <w:bidi w:val="0"/>
              <w:adjustRightInd w:val="0"/>
              <w:snapToGrid w:val="0"/>
              <w:spacing w:line="470" w:lineRule="exact"/>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能满足本项目所需原料的要求。</w:t>
            </w:r>
          </w:p>
          <w:p w14:paraId="1397A872">
            <w:pPr>
              <w:keepNext w:val="0"/>
              <w:keepLines w:val="0"/>
              <w:pageBreakBefore w:val="0"/>
              <w:widowControl w:val="0"/>
              <w:kinsoku/>
              <w:wordWrap/>
              <w:overflowPunct/>
              <w:topLinePunct w:val="0"/>
              <w:autoSpaceDE w:val="0"/>
              <w:autoSpaceDN w:val="0"/>
              <w:bidi w:val="0"/>
              <w:adjustRightInd w:val="0"/>
              <w:snapToGrid w:val="0"/>
              <w:spacing w:line="470" w:lineRule="exact"/>
              <w:ind w:firstLine="480" w:firstLineChars="200"/>
              <w:textAlignment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rPr>
              <w:t>主要原辅材料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燃料</w:t>
            </w:r>
            <w:r>
              <w:rPr>
                <w:rFonts w:hint="eastAsia" w:ascii="Times New Roman" w:hAnsi="Times New Roman" w:eastAsia="宋体" w:cs="Times New Roman"/>
                <w:color w:val="auto"/>
                <w:sz w:val="24"/>
                <w:szCs w:val="24"/>
                <w:highlight w:val="none"/>
                <w:lang w:val="en-US" w:eastAsia="zh-CN"/>
              </w:rPr>
              <w:t>见</w:t>
            </w:r>
            <w:r>
              <w:rPr>
                <w:rFonts w:hint="eastAsia" w:ascii="Times New Roman" w:hAnsi="Times New Roman" w:eastAsia="宋体" w:cs="Times New Roman"/>
                <w:color w:val="auto"/>
                <w:sz w:val="24"/>
                <w:szCs w:val="24"/>
                <w:highlight w:val="none"/>
              </w:rPr>
              <w:t>表</w:t>
            </w:r>
            <w:r>
              <w:rPr>
                <w:rFonts w:hint="eastAsia" w:ascii="Times New Roman" w:hAnsi="Times New Roman" w:eastAsia="宋体" w:cs="Times New Roman"/>
                <w:color w:val="auto"/>
                <w:sz w:val="24"/>
                <w:szCs w:val="24"/>
                <w:highlight w:val="none"/>
                <w:lang w:val="en-US" w:eastAsia="zh-CN"/>
              </w:rPr>
              <w:t>2-7</w:t>
            </w:r>
            <w:r>
              <w:rPr>
                <w:rFonts w:hint="eastAsia" w:ascii="Times New Roman" w:hAnsi="Times New Roman" w:eastAsia="宋体" w:cs="Times New Roman"/>
                <w:color w:val="auto"/>
                <w:sz w:val="24"/>
                <w:szCs w:val="24"/>
                <w:highlight w:val="none"/>
              </w:rPr>
              <w:t>。</w:t>
            </w:r>
          </w:p>
          <w:p w14:paraId="7C545EB5">
            <w:pPr>
              <w:keepNext w:val="0"/>
              <w:keepLines w:val="0"/>
              <w:pageBreakBefore w:val="0"/>
              <w:widowControl/>
              <w:suppressLineNumbers w:val="0"/>
              <w:kinsoku/>
              <w:wordWrap/>
              <w:overflowPunct/>
              <w:topLinePunct w:val="0"/>
              <w:autoSpaceDE/>
              <w:autoSpaceDN/>
              <w:bidi w:val="0"/>
              <w:adjustRightInd/>
              <w:snapToGrid/>
              <w:spacing w:line="47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表2-7  主要原辅材料统计表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3"/>
              <w:gridCol w:w="1167"/>
              <w:gridCol w:w="1014"/>
              <w:gridCol w:w="1185"/>
              <w:gridCol w:w="1108"/>
              <w:gridCol w:w="691"/>
              <w:gridCol w:w="934"/>
              <w:gridCol w:w="827"/>
              <w:gridCol w:w="1025"/>
            </w:tblGrid>
            <w:tr w14:paraId="10B587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vMerge w:val="restart"/>
                  <w:tcBorders>
                    <w:tl2br w:val="nil"/>
                    <w:tr2bl w:val="nil"/>
                  </w:tcBorders>
                  <w:noWrap w:val="0"/>
                  <w:tcMar>
                    <w:top w:w="15" w:type="dxa"/>
                    <w:left w:w="15" w:type="dxa"/>
                    <w:right w:w="15" w:type="dxa"/>
                  </w:tcMar>
                  <w:vAlign w:val="center"/>
                </w:tcPr>
                <w:p w14:paraId="22940B56">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序号</w:t>
                  </w:r>
                </w:p>
              </w:tc>
              <w:tc>
                <w:tcPr>
                  <w:tcW w:w="696" w:type="pct"/>
                  <w:vMerge w:val="restart"/>
                  <w:tcBorders>
                    <w:tl2br w:val="nil"/>
                    <w:tr2bl w:val="nil"/>
                  </w:tcBorders>
                  <w:noWrap w:val="0"/>
                  <w:tcMar>
                    <w:top w:w="15" w:type="dxa"/>
                    <w:left w:w="15" w:type="dxa"/>
                    <w:right w:w="15" w:type="dxa"/>
                  </w:tcMar>
                  <w:vAlign w:val="center"/>
                </w:tcPr>
                <w:p w14:paraId="1D54029F">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名称</w:t>
                  </w:r>
                </w:p>
              </w:tc>
              <w:tc>
                <w:tcPr>
                  <w:tcW w:w="1973" w:type="pct"/>
                  <w:gridSpan w:val="3"/>
                  <w:tcBorders>
                    <w:tl2br w:val="nil"/>
                    <w:tr2bl w:val="nil"/>
                  </w:tcBorders>
                  <w:noWrap w:val="0"/>
                  <w:tcMar>
                    <w:top w:w="15" w:type="dxa"/>
                    <w:left w:w="15" w:type="dxa"/>
                    <w:right w:w="15" w:type="dxa"/>
                  </w:tcMar>
                  <w:vAlign w:val="center"/>
                </w:tcPr>
                <w:p w14:paraId="001F6C1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消耗量t/a</w:t>
                  </w:r>
                </w:p>
              </w:tc>
              <w:tc>
                <w:tcPr>
                  <w:tcW w:w="412" w:type="pct"/>
                  <w:vMerge w:val="restart"/>
                  <w:tcBorders>
                    <w:tl2br w:val="nil"/>
                    <w:tr2bl w:val="nil"/>
                  </w:tcBorders>
                  <w:noWrap w:val="0"/>
                  <w:tcMar>
                    <w:top w:w="15" w:type="dxa"/>
                    <w:left w:w="15" w:type="dxa"/>
                    <w:right w:w="15" w:type="dxa"/>
                  </w:tcMar>
                  <w:vAlign w:val="center"/>
                </w:tcPr>
                <w:p w14:paraId="66A091C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运输方式</w:t>
                  </w:r>
                </w:p>
              </w:tc>
              <w:tc>
                <w:tcPr>
                  <w:tcW w:w="557" w:type="pct"/>
                  <w:vMerge w:val="restart"/>
                  <w:tcBorders>
                    <w:tl2br w:val="nil"/>
                    <w:tr2bl w:val="nil"/>
                  </w:tcBorders>
                  <w:noWrap w:val="0"/>
                  <w:tcMar>
                    <w:top w:w="15" w:type="dxa"/>
                    <w:left w:w="15" w:type="dxa"/>
                    <w:right w:w="15" w:type="dxa"/>
                  </w:tcMar>
                  <w:vAlign w:val="center"/>
                </w:tcPr>
                <w:p w14:paraId="3D0CC94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最大</w:t>
                  </w:r>
                </w:p>
                <w:p w14:paraId="4A0AD02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储存量</w:t>
                  </w:r>
                  <w:r>
                    <w:rPr>
                      <w:rFonts w:hint="eastAsia" w:ascii="Times New Roman" w:eastAsia="Times New Roman" w:cs="Times New Roman"/>
                      <w:b/>
                      <w:bCs/>
                      <w:color w:val="auto"/>
                      <w:sz w:val="21"/>
                      <w:szCs w:val="21"/>
                      <w:highlight w:val="none"/>
                    </w:rPr>
                    <w:t>t</w:t>
                  </w:r>
                </w:p>
              </w:tc>
              <w:tc>
                <w:tcPr>
                  <w:tcW w:w="493" w:type="pct"/>
                  <w:vMerge w:val="restart"/>
                  <w:tcBorders>
                    <w:tl2br w:val="nil"/>
                    <w:tr2bl w:val="nil"/>
                  </w:tcBorders>
                  <w:noWrap w:val="0"/>
                  <w:tcMar>
                    <w:top w:w="15" w:type="dxa"/>
                    <w:left w:w="15" w:type="dxa"/>
                    <w:right w:w="15" w:type="dxa"/>
                  </w:tcMar>
                  <w:vAlign w:val="center"/>
                </w:tcPr>
                <w:p w14:paraId="3A91023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存储方式</w:t>
                  </w:r>
                </w:p>
              </w:tc>
              <w:tc>
                <w:tcPr>
                  <w:tcW w:w="608" w:type="pct"/>
                  <w:vMerge w:val="restart"/>
                  <w:tcBorders>
                    <w:tl2br w:val="nil"/>
                    <w:tr2bl w:val="nil"/>
                  </w:tcBorders>
                  <w:noWrap w:val="0"/>
                  <w:tcMar>
                    <w:top w:w="15" w:type="dxa"/>
                    <w:left w:w="15" w:type="dxa"/>
                    <w:right w:w="15" w:type="dxa"/>
                  </w:tcMar>
                  <w:vAlign w:val="center"/>
                </w:tcPr>
                <w:p w14:paraId="2909CBF8">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备注</w:t>
                  </w:r>
                </w:p>
              </w:tc>
            </w:tr>
            <w:tr w14:paraId="0DCCDB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vMerge w:val="continue"/>
                  <w:tcBorders>
                    <w:tl2br w:val="nil"/>
                    <w:tr2bl w:val="nil"/>
                  </w:tcBorders>
                  <w:noWrap w:val="0"/>
                  <w:tcMar>
                    <w:top w:w="15" w:type="dxa"/>
                    <w:left w:w="15" w:type="dxa"/>
                    <w:right w:w="15" w:type="dxa"/>
                  </w:tcMar>
                  <w:vAlign w:val="center"/>
                </w:tcPr>
                <w:p w14:paraId="2579D4C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p>
              </w:tc>
              <w:tc>
                <w:tcPr>
                  <w:tcW w:w="696" w:type="pct"/>
                  <w:vMerge w:val="continue"/>
                  <w:tcBorders>
                    <w:tl2br w:val="nil"/>
                    <w:tr2bl w:val="nil"/>
                  </w:tcBorders>
                  <w:noWrap w:val="0"/>
                  <w:tcMar>
                    <w:top w:w="15" w:type="dxa"/>
                    <w:left w:w="15" w:type="dxa"/>
                    <w:right w:w="15" w:type="dxa"/>
                  </w:tcMar>
                  <w:vAlign w:val="center"/>
                </w:tcPr>
                <w:p w14:paraId="03CD727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p>
              </w:tc>
              <w:tc>
                <w:tcPr>
                  <w:tcW w:w="605" w:type="pct"/>
                  <w:tcBorders>
                    <w:tl2br w:val="nil"/>
                    <w:tr2bl w:val="nil"/>
                  </w:tcBorders>
                  <w:noWrap w:val="0"/>
                  <w:tcMar>
                    <w:top w:w="15" w:type="dxa"/>
                    <w:left w:w="15" w:type="dxa"/>
                    <w:right w:w="15" w:type="dxa"/>
                  </w:tcMar>
                  <w:vAlign w:val="center"/>
                </w:tcPr>
                <w:p w14:paraId="2052132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lang w:val="en-US" w:eastAsia="zh-CN"/>
                    </w:rPr>
                    <w:t>改</w:t>
                  </w:r>
                  <w:r>
                    <w:rPr>
                      <w:rFonts w:hint="eastAsia" w:ascii="Times New Roman" w:cs="Times New Roman"/>
                      <w:b/>
                      <w:bCs/>
                      <w:color w:val="auto"/>
                      <w:sz w:val="21"/>
                      <w:szCs w:val="21"/>
                      <w:highlight w:val="none"/>
                    </w:rPr>
                    <w:t>建前</w:t>
                  </w:r>
                </w:p>
              </w:tc>
              <w:tc>
                <w:tcPr>
                  <w:tcW w:w="707" w:type="pct"/>
                  <w:tcBorders>
                    <w:tl2br w:val="nil"/>
                    <w:tr2bl w:val="nil"/>
                  </w:tcBorders>
                  <w:noWrap w:val="0"/>
                  <w:tcMar>
                    <w:top w:w="15" w:type="dxa"/>
                    <w:left w:w="15" w:type="dxa"/>
                    <w:right w:w="15" w:type="dxa"/>
                  </w:tcMar>
                  <w:vAlign w:val="center"/>
                </w:tcPr>
                <w:p w14:paraId="1FA53F42">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lang w:val="en-US" w:eastAsia="zh-CN"/>
                    </w:rPr>
                    <w:t>改</w:t>
                  </w:r>
                  <w:r>
                    <w:rPr>
                      <w:rFonts w:hint="eastAsia" w:ascii="Times New Roman" w:cs="Times New Roman"/>
                      <w:b/>
                      <w:bCs/>
                      <w:color w:val="auto"/>
                      <w:sz w:val="21"/>
                      <w:szCs w:val="21"/>
                      <w:highlight w:val="none"/>
                    </w:rPr>
                    <w:t>建后</w:t>
                  </w:r>
                </w:p>
              </w:tc>
              <w:tc>
                <w:tcPr>
                  <w:tcW w:w="661" w:type="pct"/>
                  <w:tcBorders>
                    <w:tl2br w:val="nil"/>
                    <w:tr2bl w:val="nil"/>
                  </w:tcBorders>
                  <w:noWrap w:val="0"/>
                  <w:tcMar>
                    <w:top w:w="15" w:type="dxa"/>
                    <w:left w:w="15" w:type="dxa"/>
                    <w:right w:w="15" w:type="dxa"/>
                  </w:tcMar>
                  <w:vAlign w:val="center"/>
                </w:tcPr>
                <w:p w14:paraId="514F602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b/>
                      <w:bCs/>
                      <w:color w:val="auto"/>
                      <w:sz w:val="21"/>
                      <w:szCs w:val="21"/>
                      <w:highlight w:val="none"/>
                    </w:rPr>
                  </w:pPr>
                  <w:r>
                    <w:rPr>
                      <w:rFonts w:hint="eastAsia" w:ascii="Times New Roman" w:cs="Times New Roman"/>
                      <w:b/>
                      <w:bCs/>
                      <w:color w:val="auto"/>
                      <w:sz w:val="21"/>
                      <w:szCs w:val="21"/>
                      <w:highlight w:val="none"/>
                    </w:rPr>
                    <w:t>增减量</w:t>
                  </w:r>
                </w:p>
              </w:tc>
              <w:tc>
                <w:tcPr>
                  <w:tcW w:w="412" w:type="pct"/>
                  <w:vMerge w:val="continue"/>
                  <w:tcBorders>
                    <w:tl2br w:val="nil"/>
                    <w:tr2bl w:val="nil"/>
                  </w:tcBorders>
                  <w:noWrap w:val="0"/>
                  <w:tcMar>
                    <w:top w:w="15" w:type="dxa"/>
                    <w:left w:w="15" w:type="dxa"/>
                    <w:right w:w="15" w:type="dxa"/>
                  </w:tcMar>
                  <w:vAlign w:val="center"/>
                </w:tcPr>
                <w:p w14:paraId="651787A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p>
              </w:tc>
              <w:tc>
                <w:tcPr>
                  <w:tcW w:w="557" w:type="pct"/>
                  <w:vMerge w:val="continue"/>
                  <w:tcBorders>
                    <w:tl2br w:val="nil"/>
                    <w:tr2bl w:val="nil"/>
                  </w:tcBorders>
                  <w:noWrap w:val="0"/>
                  <w:tcMar>
                    <w:top w:w="15" w:type="dxa"/>
                    <w:left w:w="15" w:type="dxa"/>
                    <w:right w:w="15" w:type="dxa"/>
                  </w:tcMar>
                  <w:vAlign w:val="center"/>
                </w:tcPr>
                <w:p w14:paraId="7D7CFC4A">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p>
              </w:tc>
              <w:tc>
                <w:tcPr>
                  <w:tcW w:w="493" w:type="pct"/>
                  <w:vMerge w:val="continue"/>
                  <w:tcBorders>
                    <w:tl2br w:val="nil"/>
                    <w:tr2bl w:val="nil"/>
                  </w:tcBorders>
                  <w:noWrap w:val="0"/>
                  <w:tcMar>
                    <w:top w:w="15" w:type="dxa"/>
                    <w:left w:w="15" w:type="dxa"/>
                    <w:right w:w="15" w:type="dxa"/>
                  </w:tcMar>
                  <w:vAlign w:val="center"/>
                </w:tcPr>
                <w:p w14:paraId="6B56BA8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p>
              </w:tc>
              <w:tc>
                <w:tcPr>
                  <w:tcW w:w="608" w:type="pct"/>
                  <w:vMerge w:val="continue"/>
                  <w:tcBorders>
                    <w:tl2br w:val="nil"/>
                    <w:tr2bl w:val="nil"/>
                  </w:tcBorders>
                  <w:noWrap w:val="0"/>
                  <w:tcMar>
                    <w:top w:w="15" w:type="dxa"/>
                    <w:left w:w="15" w:type="dxa"/>
                    <w:right w:w="15" w:type="dxa"/>
                  </w:tcMar>
                  <w:vAlign w:val="center"/>
                </w:tcPr>
                <w:p w14:paraId="722CFF9A">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p>
              </w:tc>
            </w:tr>
            <w:tr w14:paraId="06F8EC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4072EB86">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1</w:t>
                  </w:r>
                </w:p>
              </w:tc>
              <w:tc>
                <w:tcPr>
                  <w:tcW w:w="696" w:type="pct"/>
                  <w:tcBorders>
                    <w:tl2br w:val="nil"/>
                    <w:tr2bl w:val="nil"/>
                  </w:tcBorders>
                  <w:noWrap w:val="0"/>
                  <w:tcMar>
                    <w:top w:w="15" w:type="dxa"/>
                    <w:left w:w="15" w:type="dxa"/>
                    <w:right w:w="15" w:type="dxa"/>
                  </w:tcMar>
                  <w:vAlign w:val="center"/>
                </w:tcPr>
                <w:p w14:paraId="158605E7">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煤矸石</w:t>
                  </w:r>
                </w:p>
              </w:tc>
              <w:tc>
                <w:tcPr>
                  <w:tcW w:w="605" w:type="pct"/>
                  <w:tcBorders>
                    <w:tl2br w:val="nil"/>
                    <w:tr2bl w:val="nil"/>
                  </w:tcBorders>
                  <w:noWrap w:val="0"/>
                  <w:tcMar>
                    <w:top w:w="15" w:type="dxa"/>
                    <w:left w:w="15" w:type="dxa"/>
                    <w:right w:w="15" w:type="dxa"/>
                  </w:tcMar>
                  <w:vAlign w:val="center"/>
                </w:tcPr>
                <w:p w14:paraId="26E6D97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Times New Roman" w:cs="Times New Roman"/>
                      <w:color w:val="auto"/>
                      <w:sz w:val="21"/>
                      <w:szCs w:val="21"/>
                      <w:highlight w:val="none"/>
                      <w:lang w:val="en-US"/>
                    </w:rPr>
                  </w:pPr>
                  <w:r>
                    <w:rPr>
                      <w:rFonts w:hint="eastAsia" w:ascii="Times New Roman" w:cs="Times New Roman"/>
                      <w:color w:val="auto"/>
                      <w:sz w:val="21"/>
                      <w:szCs w:val="21"/>
                      <w:highlight w:val="none"/>
                      <w:lang w:val="en-US" w:eastAsia="zh-CN"/>
                    </w:rPr>
                    <w:t>130000</w:t>
                  </w:r>
                </w:p>
              </w:tc>
              <w:tc>
                <w:tcPr>
                  <w:tcW w:w="707" w:type="pct"/>
                  <w:tcBorders>
                    <w:tl2br w:val="nil"/>
                    <w:tr2bl w:val="nil"/>
                  </w:tcBorders>
                  <w:noWrap w:val="0"/>
                  <w:tcMar>
                    <w:top w:w="15" w:type="dxa"/>
                    <w:left w:w="15" w:type="dxa"/>
                    <w:right w:w="15" w:type="dxa"/>
                  </w:tcMar>
                  <w:vAlign w:val="center"/>
                </w:tcPr>
                <w:p w14:paraId="2CDC1D9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346500</w:t>
                  </w:r>
                </w:p>
              </w:tc>
              <w:tc>
                <w:tcPr>
                  <w:tcW w:w="661" w:type="pct"/>
                  <w:tcBorders>
                    <w:tl2br w:val="nil"/>
                    <w:tr2bl w:val="nil"/>
                  </w:tcBorders>
                  <w:noWrap w:val="0"/>
                  <w:tcMar>
                    <w:top w:w="15" w:type="dxa"/>
                    <w:left w:w="15" w:type="dxa"/>
                    <w:right w:w="15" w:type="dxa"/>
                  </w:tcMar>
                  <w:vAlign w:val="center"/>
                </w:tcPr>
                <w:p w14:paraId="4B78D4C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Times New Roman" w:cs="Times New Roman"/>
                      <w:color w:val="auto"/>
                      <w:sz w:val="21"/>
                      <w:szCs w:val="21"/>
                      <w:highlight w:val="none"/>
                    </w:rPr>
                    <w:t>+</w:t>
                  </w:r>
                  <w:r>
                    <w:rPr>
                      <w:rFonts w:hint="eastAsia" w:ascii="Times New Roman" w:cs="Times New Roman"/>
                      <w:color w:val="auto"/>
                      <w:sz w:val="21"/>
                      <w:szCs w:val="21"/>
                      <w:highlight w:val="none"/>
                      <w:lang w:val="en-US" w:eastAsia="zh-CN"/>
                    </w:rPr>
                    <w:t>216500</w:t>
                  </w:r>
                </w:p>
              </w:tc>
              <w:tc>
                <w:tcPr>
                  <w:tcW w:w="412" w:type="pct"/>
                  <w:tcBorders>
                    <w:tl2br w:val="nil"/>
                    <w:tr2bl w:val="nil"/>
                  </w:tcBorders>
                  <w:noWrap w:val="0"/>
                  <w:tcMar>
                    <w:top w:w="15" w:type="dxa"/>
                    <w:left w:w="15" w:type="dxa"/>
                    <w:right w:w="15" w:type="dxa"/>
                  </w:tcMar>
                  <w:vAlign w:val="center"/>
                </w:tcPr>
                <w:p w14:paraId="0222AC86">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固态</w:t>
                  </w:r>
                </w:p>
              </w:tc>
              <w:tc>
                <w:tcPr>
                  <w:tcW w:w="557" w:type="pct"/>
                  <w:tcBorders>
                    <w:tl2br w:val="nil"/>
                    <w:tr2bl w:val="nil"/>
                  </w:tcBorders>
                  <w:noWrap w:val="0"/>
                  <w:tcMar>
                    <w:top w:w="15" w:type="dxa"/>
                    <w:left w:w="15" w:type="dxa"/>
                    <w:right w:w="15" w:type="dxa"/>
                  </w:tcMar>
                  <w:vAlign w:val="center"/>
                </w:tcPr>
                <w:p w14:paraId="63D93EE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130</w:t>
                  </w:r>
                  <w:r>
                    <w:rPr>
                      <w:rFonts w:hint="eastAsia" w:ascii="Times New Roman" w:eastAsia="宋体" w:cs="Times New Roman"/>
                      <w:color w:val="auto"/>
                      <w:sz w:val="21"/>
                      <w:szCs w:val="21"/>
                      <w:highlight w:val="none"/>
                      <w:lang w:val="en-US" w:eastAsia="zh-CN"/>
                    </w:rPr>
                    <w:t>00</w:t>
                  </w:r>
                </w:p>
              </w:tc>
              <w:tc>
                <w:tcPr>
                  <w:tcW w:w="493" w:type="pct"/>
                  <w:tcBorders>
                    <w:tl2br w:val="nil"/>
                    <w:tr2bl w:val="nil"/>
                  </w:tcBorders>
                  <w:noWrap w:val="0"/>
                  <w:tcMar>
                    <w:top w:w="15" w:type="dxa"/>
                    <w:left w:w="15" w:type="dxa"/>
                    <w:right w:w="15" w:type="dxa"/>
                  </w:tcMar>
                  <w:vAlign w:val="center"/>
                </w:tcPr>
                <w:p w14:paraId="03F4BEF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堆存</w:t>
                  </w:r>
                </w:p>
              </w:tc>
              <w:tc>
                <w:tcPr>
                  <w:tcW w:w="608" w:type="pct"/>
                  <w:tcBorders>
                    <w:tl2br w:val="nil"/>
                    <w:tr2bl w:val="nil"/>
                  </w:tcBorders>
                  <w:noWrap w:val="0"/>
                  <w:tcMar>
                    <w:top w:w="15" w:type="dxa"/>
                    <w:left w:w="15" w:type="dxa"/>
                    <w:right w:w="15" w:type="dxa"/>
                  </w:tcMar>
                  <w:vAlign w:val="center"/>
                </w:tcPr>
                <w:p w14:paraId="5B512C8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r>
            <w:tr w14:paraId="39200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7EC1750A">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c>
                <w:tcPr>
                  <w:tcW w:w="696" w:type="pct"/>
                  <w:tcBorders>
                    <w:tl2br w:val="nil"/>
                    <w:tr2bl w:val="nil"/>
                  </w:tcBorders>
                  <w:noWrap w:val="0"/>
                  <w:tcMar>
                    <w:top w:w="15" w:type="dxa"/>
                    <w:left w:w="15" w:type="dxa"/>
                    <w:right w:w="15" w:type="dxa"/>
                  </w:tcMar>
                  <w:vAlign w:val="center"/>
                </w:tcPr>
                <w:p w14:paraId="3D90189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页岩</w:t>
                  </w:r>
                </w:p>
              </w:tc>
              <w:tc>
                <w:tcPr>
                  <w:tcW w:w="605" w:type="pct"/>
                  <w:tcBorders>
                    <w:tl2br w:val="nil"/>
                    <w:tr2bl w:val="nil"/>
                  </w:tcBorders>
                  <w:noWrap w:val="0"/>
                  <w:tcMar>
                    <w:top w:w="15" w:type="dxa"/>
                    <w:left w:w="15" w:type="dxa"/>
                    <w:right w:w="15" w:type="dxa"/>
                  </w:tcMar>
                  <w:vAlign w:val="center"/>
                </w:tcPr>
                <w:p w14:paraId="7E4B8C18">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16400</w:t>
                  </w:r>
                </w:p>
              </w:tc>
              <w:tc>
                <w:tcPr>
                  <w:tcW w:w="707" w:type="pct"/>
                  <w:tcBorders>
                    <w:tl2br w:val="nil"/>
                    <w:tr2bl w:val="nil"/>
                  </w:tcBorders>
                  <w:noWrap w:val="0"/>
                  <w:tcMar>
                    <w:top w:w="15" w:type="dxa"/>
                    <w:left w:w="15" w:type="dxa"/>
                    <w:right w:w="15" w:type="dxa"/>
                  </w:tcMar>
                  <w:vAlign w:val="center"/>
                </w:tcPr>
                <w:p w14:paraId="3CC2030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w:t>
                  </w:r>
                </w:p>
              </w:tc>
              <w:tc>
                <w:tcPr>
                  <w:tcW w:w="661" w:type="pct"/>
                  <w:tcBorders>
                    <w:tl2br w:val="nil"/>
                    <w:tr2bl w:val="nil"/>
                  </w:tcBorders>
                  <w:noWrap w:val="0"/>
                  <w:tcMar>
                    <w:top w:w="15" w:type="dxa"/>
                    <w:left w:w="15" w:type="dxa"/>
                    <w:right w:w="15" w:type="dxa"/>
                  </w:tcMar>
                  <w:vAlign w:val="center"/>
                </w:tcPr>
                <w:p w14:paraId="26FD764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-16400</w:t>
                  </w:r>
                </w:p>
              </w:tc>
              <w:tc>
                <w:tcPr>
                  <w:tcW w:w="412" w:type="pct"/>
                  <w:tcBorders>
                    <w:tl2br w:val="nil"/>
                    <w:tr2bl w:val="nil"/>
                  </w:tcBorders>
                  <w:noWrap w:val="0"/>
                  <w:tcMar>
                    <w:top w:w="15" w:type="dxa"/>
                    <w:left w:w="15" w:type="dxa"/>
                    <w:right w:w="15" w:type="dxa"/>
                  </w:tcMar>
                  <w:vAlign w:val="center"/>
                </w:tcPr>
                <w:p w14:paraId="4030D573">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highlight w:val="none"/>
                    </w:rPr>
                  </w:pPr>
                  <w:r>
                    <w:rPr>
                      <w:rFonts w:hint="eastAsia" w:ascii="Times New Roman" w:cs="Times New Roman"/>
                      <w:color w:val="auto"/>
                      <w:sz w:val="21"/>
                      <w:szCs w:val="21"/>
                      <w:highlight w:val="none"/>
                    </w:rPr>
                    <w:t>固态</w:t>
                  </w:r>
                </w:p>
              </w:tc>
              <w:tc>
                <w:tcPr>
                  <w:tcW w:w="557" w:type="pct"/>
                  <w:tcBorders>
                    <w:tl2br w:val="nil"/>
                    <w:tr2bl w:val="nil"/>
                  </w:tcBorders>
                  <w:noWrap w:val="0"/>
                  <w:tcMar>
                    <w:top w:w="15" w:type="dxa"/>
                    <w:left w:w="15" w:type="dxa"/>
                    <w:right w:w="15" w:type="dxa"/>
                  </w:tcMar>
                  <w:vAlign w:val="center"/>
                </w:tcPr>
                <w:p w14:paraId="31E8A52B">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w:t>
                  </w:r>
                </w:p>
              </w:tc>
              <w:tc>
                <w:tcPr>
                  <w:tcW w:w="493" w:type="pct"/>
                  <w:tcBorders>
                    <w:tl2br w:val="nil"/>
                    <w:tr2bl w:val="nil"/>
                  </w:tcBorders>
                  <w:noWrap w:val="0"/>
                  <w:tcMar>
                    <w:top w:w="15" w:type="dxa"/>
                    <w:left w:w="15" w:type="dxa"/>
                    <w:right w:w="15" w:type="dxa"/>
                  </w:tcMar>
                  <w:vAlign w:val="center"/>
                </w:tcPr>
                <w:p w14:paraId="16D5830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608" w:type="pct"/>
                  <w:tcBorders>
                    <w:tl2br w:val="nil"/>
                    <w:tr2bl w:val="nil"/>
                  </w:tcBorders>
                  <w:noWrap w:val="0"/>
                  <w:tcMar>
                    <w:top w:w="15" w:type="dxa"/>
                    <w:left w:w="15" w:type="dxa"/>
                    <w:right w:w="15" w:type="dxa"/>
                  </w:tcMar>
                  <w:vAlign w:val="center"/>
                </w:tcPr>
                <w:p w14:paraId="409ABC8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tc>
            </w:tr>
            <w:tr w14:paraId="532B7A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1FA1236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w:t>
                  </w:r>
                </w:p>
              </w:tc>
              <w:tc>
                <w:tcPr>
                  <w:tcW w:w="696" w:type="pct"/>
                  <w:tcBorders>
                    <w:tl2br w:val="nil"/>
                    <w:tr2bl w:val="nil"/>
                  </w:tcBorders>
                  <w:noWrap w:val="0"/>
                  <w:tcMar>
                    <w:top w:w="15" w:type="dxa"/>
                    <w:left w:w="15" w:type="dxa"/>
                    <w:right w:w="15" w:type="dxa"/>
                  </w:tcMar>
                  <w:vAlign w:val="center"/>
                </w:tcPr>
                <w:p w14:paraId="6CB75FB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钠碱（氢氧化钠）</w:t>
                  </w:r>
                </w:p>
              </w:tc>
              <w:tc>
                <w:tcPr>
                  <w:tcW w:w="605" w:type="pct"/>
                  <w:tcBorders>
                    <w:tl2br w:val="nil"/>
                    <w:tr2bl w:val="nil"/>
                  </w:tcBorders>
                  <w:noWrap w:val="0"/>
                  <w:tcMar>
                    <w:top w:w="15" w:type="dxa"/>
                    <w:left w:w="15" w:type="dxa"/>
                    <w:right w:w="15" w:type="dxa"/>
                  </w:tcMar>
                  <w:vAlign w:val="center"/>
                </w:tcPr>
                <w:p w14:paraId="761325C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12</w:t>
                  </w:r>
                </w:p>
              </w:tc>
              <w:tc>
                <w:tcPr>
                  <w:tcW w:w="707" w:type="pct"/>
                  <w:tcBorders>
                    <w:tl2br w:val="nil"/>
                    <w:tr2bl w:val="nil"/>
                  </w:tcBorders>
                  <w:noWrap w:val="0"/>
                  <w:tcMar>
                    <w:top w:w="15" w:type="dxa"/>
                    <w:left w:w="15" w:type="dxa"/>
                    <w:right w:w="15" w:type="dxa"/>
                  </w:tcMar>
                  <w:vAlign w:val="center"/>
                </w:tcPr>
                <w:p w14:paraId="2A2606FA">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w:t>
                  </w:r>
                </w:p>
              </w:tc>
              <w:tc>
                <w:tcPr>
                  <w:tcW w:w="661" w:type="pct"/>
                  <w:tcBorders>
                    <w:tl2br w:val="nil"/>
                    <w:tr2bl w:val="nil"/>
                  </w:tcBorders>
                  <w:noWrap w:val="0"/>
                  <w:tcMar>
                    <w:top w:w="15" w:type="dxa"/>
                    <w:left w:w="15" w:type="dxa"/>
                    <w:right w:w="15" w:type="dxa"/>
                  </w:tcMar>
                  <w:vAlign w:val="center"/>
                </w:tcPr>
                <w:p w14:paraId="7BC0CAC7">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+8</w:t>
                  </w:r>
                </w:p>
              </w:tc>
              <w:tc>
                <w:tcPr>
                  <w:tcW w:w="412" w:type="pct"/>
                  <w:tcBorders>
                    <w:tl2br w:val="nil"/>
                    <w:tr2bl w:val="nil"/>
                  </w:tcBorders>
                  <w:noWrap w:val="0"/>
                  <w:tcMar>
                    <w:top w:w="15" w:type="dxa"/>
                    <w:left w:w="15" w:type="dxa"/>
                    <w:right w:w="15" w:type="dxa"/>
                  </w:tcMar>
                  <w:vAlign w:val="center"/>
                </w:tcPr>
                <w:p w14:paraId="79157F0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highlight w:val="none"/>
                    </w:rPr>
                  </w:pPr>
                  <w:r>
                    <w:rPr>
                      <w:rFonts w:hint="eastAsia" w:ascii="Times New Roman" w:cs="Times New Roman"/>
                      <w:color w:val="auto"/>
                      <w:sz w:val="21"/>
                      <w:szCs w:val="21"/>
                      <w:highlight w:val="none"/>
                    </w:rPr>
                    <w:t>固态</w:t>
                  </w:r>
                </w:p>
              </w:tc>
              <w:tc>
                <w:tcPr>
                  <w:tcW w:w="557" w:type="pct"/>
                  <w:tcBorders>
                    <w:tl2br w:val="nil"/>
                    <w:tr2bl w:val="nil"/>
                  </w:tcBorders>
                  <w:noWrap w:val="0"/>
                  <w:tcMar>
                    <w:top w:w="15" w:type="dxa"/>
                    <w:left w:w="15" w:type="dxa"/>
                    <w:right w:w="15" w:type="dxa"/>
                  </w:tcMar>
                  <w:vAlign w:val="center"/>
                </w:tcPr>
                <w:p w14:paraId="6E49EF3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0.5</w:t>
                  </w:r>
                </w:p>
              </w:tc>
              <w:tc>
                <w:tcPr>
                  <w:tcW w:w="493" w:type="pct"/>
                  <w:tcBorders>
                    <w:tl2br w:val="nil"/>
                    <w:tr2bl w:val="nil"/>
                  </w:tcBorders>
                  <w:noWrap w:val="0"/>
                  <w:tcMar>
                    <w:top w:w="15" w:type="dxa"/>
                    <w:left w:w="15" w:type="dxa"/>
                    <w:right w:w="15" w:type="dxa"/>
                  </w:tcMar>
                  <w:vAlign w:val="center"/>
                </w:tcPr>
                <w:p w14:paraId="756778EB">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桶装</w:t>
                  </w:r>
                </w:p>
              </w:tc>
              <w:tc>
                <w:tcPr>
                  <w:tcW w:w="608" w:type="pct"/>
                  <w:tcBorders>
                    <w:tl2br w:val="nil"/>
                    <w:tr2bl w:val="nil"/>
                  </w:tcBorders>
                  <w:noWrap w:val="0"/>
                  <w:tcMar>
                    <w:top w:w="15" w:type="dxa"/>
                    <w:left w:w="15" w:type="dxa"/>
                    <w:right w:w="15" w:type="dxa"/>
                  </w:tcMar>
                  <w:vAlign w:val="center"/>
                </w:tcPr>
                <w:p w14:paraId="3321653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脱硫</w:t>
                  </w:r>
                </w:p>
              </w:tc>
            </w:tr>
            <w:tr w14:paraId="664651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0C42C42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4</w:t>
                  </w:r>
                </w:p>
              </w:tc>
              <w:tc>
                <w:tcPr>
                  <w:tcW w:w="696" w:type="pct"/>
                  <w:tcBorders>
                    <w:tl2br w:val="nil"/>
                    <w:tr2bl w:val="nil"/>
                  </w:tcBorders>
                  <w:noWrap w:val="0"/>
                  <w:tcMar>
                    <w:top w:w="15" w:type="dxa"/>
                    <w:left w:w="15" w:type="dxa"/>
                    <w:right w:w="15" w:type="dxa"/>
                  </w:tcMar>
                  <w:vAlign w:val="center"/>
                </w:tcPr>
                <w:p w14:paraId="681B27C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Times New Roman" w:cs="Times New Roman"/>
                      <w:color w:val="auto"/>
                      <w:sz w:val="21"/>
                      <w:szCs w:val="21"/>
                      <w:highlight w:val="none"/>
                      <w:lang w:val="en-US"/>
                    </w:rPr>
                  </w:pPr>
                  <w:r>
                    <w:rPr>
                      <w:rFonts w:hint="eastAsia" w:ascii="Times New Roman" w:cs="Times New Roman"/>
                      <w:color w:val="auto"/>
                      <w:sz w:val="21"/>
                      <w:szCs w:val="21"/>
                      <w:highlight w:val="none"/>
                      <w:lang w:val="en-US" w:eastAsia="zh-CN"/>
                    </w:rPr>
                    <w:t>钙碱（氧化钙）</w:t>
                  </w:r>
                </w:p>
              </w:tc>
              <w:tc>
                <w:tcPr>
                  <w:tcW w:w="605" w:type="pct"/>
                  <w:tcBorders>
                    <w:tl2br w:val="nil"/>
                    <w:tr2bl w:val="nil"/>
                  </w:tcBorders>
                  <w:noWrap w:val="0"/>
                  <w:tcMar>
                    <w:top w:w="15" w:type="dxa"/>
                    <w:left w:w="15" w:type="dxa"/>
                    <w:right w:w="15" w:type="dxa"/>
                  </w:tcMar>
                  <w:vAlign w:val="center"/>
                </w:tcPr>
                <w:p w14:paraId="6370E6F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300</w:t>
                  </w:r>
                </w:p>
              </w:tc>
              <w:tc>
                <w:tcPr>
                  <w:tcW w:w="707" w:type="pct"/>
                  <w:tcBorders>
                    <w:tl2br w:val="nil"/>
                    <w:tr2bl w:val="nil"/>
                  </w:tcBorders>
                  <w:noWrap w:val="0"/>
                  <w:tcMar>
                    <w:top w:w="15" w:type="dxa"/>
                    <w:left w:w="15" w:type="dxa"/>
                    <w:right w:w="15" w:type="dxa"/>
                  </w:tcMar>
                  <w:vAlign w:val="center"/>
                </w:tcPr>
                <w:p w14:paraId="2D3099D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500</w:t>
                  </w:r>
                </w:p>
              </w:tc>
              <w:tc>
                <w:tcPr>
                  <w:tcW w:w="661" w:type="pct"/>
                  <w:tcBorders>
                    <w:tl2br w:val="nil"/>
                    <w:tr2bl w:val="nil"/>
                  </w:tcBorders>
                  <w:noWrap w:val="0"/>
                  <w:tcMar>
                    <w:top w:w="15" w:type="dxa"/>
                    <w:left w:w="15" w:type="dxa"/>
                    <w:right w:w="15" w:type="dxa"/>
                  </w:tcMar>
                  <w:vAlign w:val="center"/>
                </w:tcPr>
                <w:p w14:paraId="7E82183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w:t>
                  </w:r>
                </w:p>
              </w:tc>
              <w:tc>
                <w:tcPr>
                  <w:tcW w:w="412" w:type="pct"/>
                  <w:tcBorders>
                    <w:tl2br w:val="nil"/>
                    <w:tr2bl w:val="nil"/>
                  </w:tcBorders>
                  <w:noWrap w:val="0"/>
                  <w:tcMar>
                    <w:top w:w="15" w:type="dxa"/>
                    <w:left w:w="15" w:type="dxa"/>
                    <w:right w:w="15" w:type="dxa"/>
                  </w:tcMar>
                  <w:vAlign w:val="center"/>
                </w:tcPr>
                <w:p w14:paraId="1AD584FF">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固态</w:t>
                  </w:r>
                </w:p>
              </w:tc>
              <w:tc>
                <w:tcPr>
                  <w:tcW w:w="557" w:type="pct"/>
                  <w:tcBorders>
                    <w:tl2br w:val="nil"/>
                    <w:tr2bl w:val="nil"/>
                  </w:tcBorders>
                  <w:noWrap w:val="0"/>
                  <w:tcMar>
                    <w:top w:w="15" w:type="dxa"/>
                    <w:left w:w="15" w:type="dxa"/>
                    <w:right w:w="15" w:type="dxa"/>
                  </w:tcMar>
                  <w:vAlign w:val="center"/>
                </w:tcPr>
                <w:p w14:paraId="5493703B">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30</w:t>
                  </w:r>
                </w:p>
              </w:tc>
              <w:tc>
                <w:tcPr>
                  <w:tcW w:w="493" w:type="pct"/>
                  <w:tcBorders>
                    <w:tl2br w:val="nil"/>
                    <w:tr2bl w:val="nil"/>
                  </w:tcBorders>
                  <w:noWrap w:val="0"/>
                  <w:tcMar>
                    <w:top w:w="15" w:type="dxa"/>
                    <w:left w:w="15" w:type="dxa"/>
                    <w:right w:w="15" w:type="dxa"/>
                  </w:tcMar>
                  <w:vAlign w:val="center"/>
                </w:tcPr>
                <w:p w14:paraId="0537752F">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筒仓</w:t>
                  </w:r>
                </w:p>
              </w:tc>
              <w:tc>
                <w:tcPr>
                  <w:tcW w:w="608" w:type="pct"/>
                  <w:tcBorders>
                    <w:tl2br w:val="nil"/>
                    <w:tr2bl w:val="nil"/>
                  </w:tcBorders>
                  <w:noWrap w:val="0"/>
                  <w:tcMar>
                    <w:top w:w="15" w:type="dxa"/>
                    <w:left w:w="15" w:type="dxa"/>
                    <w:right w:w="15" w:type="dxa"/>
                  </w:tcMar>
                  <w:vAlign w:val="center"/>
                </w:tcPr>
                <w:p w14:paraId="70AECC8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石灰，脱硫</w:t>
                  </w:r>
                </w:p>
              </w:tc>
            </w:tr>
            <w:tr w14:paraId="33FF45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4769105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5</w:t>
                  </w:r>
                </w:p>
              </w:tc>
              <w:tc>
                <w:tcPr>
                  <w:tcW w:w="696" w:type="pct"/>
                  <w:tcBorders>
                    <w:tl2br w:val="nil"/>
                    <w:tr2bl w:val="nil"/>
                  </w:tcBorders>
                  <w:noWrap w:val="0"/>
                  <w:tcMar>
                    <w:top w:w="15" w:type="dxa"/>
                    <w:left w:w="15" w:type="dxa"/>
                    <w:right w:w="15" w:type="dxa"/>
                  </w:tcMar>
                  <w:vAlign w:val="center"/>
                </w:tcPr>
                <w:p w14:paraId="2CBE75B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尿素</w:t>
                  </w:r>
                </w:p>
              </w:tc>
              <w:tc>
                <w:tcPr>
                  <w:tcW w:w="605" w:type="pct"/>
                  <w:tcBorders>
                    <w:tl2br w:val="nil"/>
                    <w:tr2bl w:val="nil"/>
                  </w:tcBorders>
                  <w:noWrap w:val="0"/>
                  <w:tcMar>
                    <w:top w:w="15" w:type="dxa"/>
                    <w:left w:w="15" w:type="dxa"/>
                    <w:right w:w="15" w:type="dxa"/>
                  </w:tcMar>
                  <w:vAlign w:val="center"/>
                </w:tcPr>
                <w:p w14:paraId="0BFCD32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5</w:t>
                  </w:r>
                </w:p>
              </w:tc>
              <w:tc>
                <w:tcPr>
                  <w:tcW w:w="707" w:type="pct"/>
                  <w:tcBorders>
                    <w:tl2br w:val="nil"/>
                    <w:tr2bl w:val="nil"/>
                  </w:tcBorders>
                  <w:noWrap w:val="0"/>
                  <w:tcMar>
                    <w:top w:w="15" w:type="dxa"/>
                    <w:left w:w="15" w:type="dxa"/>
                    <w:right w:w="15" w:type="dxa"/>
                  </w:tcMar>
                  <w:vAlign w:val="center"/>
                </w:tcPr>
                <w:p w14:paraId="36B8D12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8</w:t>
                  </w:r>
                </w:p>
              </w:tc>
              <w:tc>
                <w:tcPr>
                  <w:tcW w:w="661" w:type="pct"/>
                  <w:tcBorders>
                    <w:tl2br w:val="nil"/>
                    <w:tr2bl w:val="nil"/>
                  </w:tcBorders>
                  <w:noWrap w:val="0"/>
                  <w:tcMar>
                    <w:top w:w="15" w:type="dxa"/>
                    <w:left w:w="15" w:type="dxa"/>
                    <w:right w:w="15" w:type="dxa"/>
                  </w:tcMar>
                  <w:vAlign w:val="center"/>
                </w:tcPr>
                <w:p w14:paraId="1C6E8DC3">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+3</w:t>
                  </w:r>
                </w:p>
              </w:tc>
              <w:tc>
                <w:tcPr>
                  <w:tcW w:w="412" w:type="pct"/>
                  <w:tcBorders>
                    <w:tl2br w:val="nil"/>
                    <w:tr2bl w:val="nil"/>
                  </w:tcBorders>
                  <w:noWrap w:val="0"/>
                  <w:tcMar>
                    <w:top w:w="15" w:type="dxa"/>
                    <w:left w:w="15" w:type="dxa"/>
                    <w:right w:w="15" w:type="dxa"/>
                  </w:tcMar>
                  <w:vAlign w:val="center"/>
                </w:tcPr>
                <w:p w14:paraId="5D3A05B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固态</w:t>
                  </w:r>
                </w:p>
              </w:tc>
              <w:tc>
                <w:tcPr>
                  <w:tcW w:w="557" w:type="pct"/>
                  <w:tcBorders>
                    <w:tl2br w:val="nil"/>
                    <w:tr2bl w:val="nil"/>
                  </w:tcBorders>
                  <w:noWrap w:val="0"/>
                  <w:tcMar>
                    <w:top w:w="15" w:type="dxa"/>
                    <w:left w:w="15" w:type="dxa"/>
                    <w:right w:w="15" w:type="dxa"/>
                  </w:tcMar>
                  <w:vAlign w:val="center"/>
                </w:tcPr>
                <w:p w14:paraId="7C47C0D7">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0.05</w:t>
                  </w:r>
                </w:p>
              </w:tc>
              <w:tc>
                <w:tcPr>
                  <w:tcW w:w="493" w:type="pct"/>
                  <w:tcBorders>
                    <w:tl2br w:val="nil"/>
                    <w:tr2bl w:val="nil"/>
                  </w:tcBorders>
                  <w:noWrap w:val="0"/>
                  <w:tcMar>
                    <w:top w:w="15" w:type="dxa"/>
                    <w:left w:w="15" w:type="dxa"/>
                    <w:right w:w="15" w:type="dxa"/>
                  </w:tcMar>
                  <w:vAlign w:val="center"/>
                </w:tcPr>
                <w:p w14:paraId="2206ED66">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罐装</w:t>
                  </w:r>
                </w:p>
              </w:tc>
              <w:tc>
                <w:tcPr>
                  <w:tcW w:w="608" w:type="pct"/>
                  <w:tcBorders>
                    <w:tl2br w:val="nil"/>
                    <w:tr2bl w:val="nil"/>
                  </w:tcBorders>
                  <w:noWrap w:val="0"/>
                  <w:tcMar>
                    <w:top w:w="15" w:type="dxa"/>
                    <w:left w:w="15" w:type="dxa"/>
                    <w:right w:w="15" w:type="dxa"/>
                  </w:tcMar>
                  <w:vAlign w:val="center"/>
                </w:tcPr>
                <w:p w14:paraId="7562F982">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脱硝</w:t>
                  </w:r>
                </w:p>
              </w:tc>
            </w:tr>
            <w:tr w14:paraId="626163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tcMar>
                    <w:top w:w="15" w:type="dxa"/>
                    <w:left w:w="15" w:type="dxa"/>
                    <w:right w:w="15" w:type="dxa"/>
                  </w:tcMar>
                  <w:vAlign w:val="center"/>
                </w:tcPr>
                <w:p w14:paraId="43023FE8">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6</w:t>
                  </w:r>
                </w:p>
              </w:tc>
              <w:tc>
                <w:tcPr>
                  <w:tcW w:w="696" w:type="pct"/>
                  <w:tcBorders>
                    <w:tl2br w:val="nil"/>
                    <w:tr2bl w:val="nil"/>
                  </w:tcBorders>
                  <w:noWrap w:val="0"/>
                  <w:tcMar>
                    <w:top w:w="15" w:type="dxa"/>
                    <w:left w:w="15" w:type="dxa"/>
                    <w:right w:w="15" w:type="dxa"/>
                  </w:tcMar>
                  <w:vAlign w:val="center"/>
                </w:tcPr>
                <w:p w14:paraId="224C488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矿物油</w:t>
                  </w:r>
                </w:p>
              </w:tc>
              <w:tc>
                <w:tcPr>
                  <w:tcW w:w="605" w:type="pct"/>
                  <w:tcBorders>
                    <w:tl2br w:val="nil"/>
                    <w:tr2bl w:val="nil"/>
                  </w:tcBorders>
                  <w:noWrap w:val="0"/>
                  <w:tcMar>
                    <w:top w:w="15" w:type="dxa"/>
                    <w:left w:w="15" w:type="dxa"/>
                    <w:right w:w="15" w:type="dxa"/>
                  </w:tcMar>
                  <w:vAlign w:val="center"/>
                </w:tcPr>
                <w:p w14:paraId="67A5264C">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1</w:t>
                  </w:r>
                </w:p>
              </w:tc>
              <w:tc>
                <w:tcPr>
                  <w:tcW w:w="707" w:type="pct"/>
                  <w:tcBorders>
                    <w:tl2br w:val="nil"/>
                    <w:tr2bl w:val="nil"/>
                  </w:tcBorders>
                  <w:noWrap w:val="0"/>
                  <w:tcMar>
                    <w:top w:w="15" w:type="dxa"/>
                    <w:left w:w="15" w:type="dxa"/>
                    <w:right w:w="15" w:type="dxa"/>
                  </w:tcMar>
                  <w:vAlign w:val="center"/>
                </w:tcPr>
                <w:p w14:paraId="2901D94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1.2</w:t>
                  </w:r>
                </w:p>
              </w:tc>
              <w:tc>
                <w:tcPr>
                  <w:tcW w:w="661" w:type="pct"/>
                  <w:tcBorders>
                    <w:tl2br w:val="nil"/>
                    <w:tr2bl w:val="nil"/>
                  </w:tcBorders>
                  <w:noWrap w:val="0"/>
                  <w:tcMar>
                    <w:top w:w="15" w:type="dxa"/>
                    <w:left w:w="15" w:type="dxa"/>
                    <w:right w:w="15" w:type="dxa"/>
                  </w:tcMar>
                  <w:vAlign w:val="center"/>
                </w:tcPr>
                <w:p w14:paraId="53F7D6C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Times New Roman" w:cs="Times New Roman"/>
                      <w:color w:val="auto"/>
                      <w:sz w:val="21"/>
                      <w:szCs w:val="21"/>
                      <w:highlight w:val="none"/>
                      <w:lang w:val="en-US"/>
                    </w:rPr>
                  </w:pPr>
                  <w:r>
                    <w:rPr>
                      <w:rFonts w:hint="eastAsia" w:ascii="Times New Roman" w:eastAsia="Times New Roman" w:cs="Times New Roman"/>
                      <w:color w:val="auto"/>
                      <w:sz w:val="21"/>
                      <w:szCs w:val="21"/>
                      <w:highlight w:val="none"/>
                      <w:lang w:val="en-US" w:eastAsia="zh-CN"/>
                    </w:rPr>
                    <w:t>+0.2</w:t>
                  </w:r>
                </w:p>
              </w:tc>
              <w:tc>
                <w:tcPr>
                  <w:tcW w:w="412" w:type="pct"/>
                  <w:tcBorders>
                    <w:tl2br w:val="nil"/>
                    <w:tr2bl w:val="nil"/>
                  </w:tcBorders>
                  <w:noWrap w:val="0"/>
                  <w:tcMar>
                    <w:top w:w="15" w:type="dxa"/>
                    <w:left w:w="15" w:type="dxa"/>
                    <w:right w:w="15" w:type="dxa"/>
                  </w:tcMar>
                  <w:vAlign w:val="center"/>
                </w:tcPr>
                <w:p w14:paraId="4890BE8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液态</w:t>
                  </w:r>
                </w:p>
              </w:tc>
              <w:tc>
                <w:tcPr>
                  <w:tcW w:w="557" w:type="pct"/>
                  <w:tcBorders>
                    <w:tl2br w:val="nil"/>
                    <w:tr2bl w:val="nil"/>
                  </w:tcBorders>
                  <w:noWrap w:val="0"/>
                  <w:tcMar>
                    <w:top w:w="15" w:type="dxa"/>
                    <w:left w:w="15" w:type="dxa"/>
                    <w:right w:w="15" w:type="dxa"/>
                  </w:tcMar>
                  <w:vAlign w:val="center"/>
                </w:tcPr>
                <w:p w14:paraId="1A7EAF2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rPr>
                    <w:t>0.</w:t>
                  </w:r>
                  <w:r>
                    <w:rPr>
                      <w:rFonts w:hint="eastAsia" w:ascii="Times New Roman" w:cs="Times New Roman"/>
                      <w:color w:val="auto"/>
                      <w:sz w:val="21"/>
                      <w:szCs w:val="21"/>
                      <w:highlight w:val="none"/>
                      <w:lang w:val="en-US" w:eastAsia="zh-CN"/>
                    </w:rPr>
                    <w:t>5</w:t>
                  </w:r>
                </w:p>
              </w:tc>
              <w:tc>
                <w:tcPr>
                  <w:tcW w:w="493" w:type="pct"/>
                  <w:tcBorders>
                    <w:tl2br w:val="nil"/>
                    <w:tr2bl w:val="nil"/>
                  </w:tcBorders>
                  <w:noWrap w:val="0"/>
                  <w:tcMar>
                    <w:top w:w="15" w:type="dxa"/>
                    <w:left w:w="15" w:type="dxa"/>
                    <w:right w:w="15" w:type="dxa"/>
                  </w:tcMar>
                  <w:vAlign w:val="center"/>
                </w:tcPr>
                <w:p w14:paraId="195EB102">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桶装</w:t>
                  </w:r>
                </w:p>
              </w:tc>
              <w:tc>
                <w:tcPr>
                  <w:tcW w:w="608" w:type="pct"/>
                  <w:tcBorders>
                    <w:tl2br w:val="nil"/>
                    <w:tr2bl w:val="nil"/>
                  </w:tcBorders>
                  <w:noWrap w:val="0"/>
                  <w:tcMar>
                    <w:top w:w="15" w:type="dxa"/>
                    <w:left w:w="15" w:type="dxa"/>
                    <w:right w:w="15" w:type="dxa"/>
                  </w:tcMar>
                  <w:vAlign w:val="center"/>
                </w:tcPr>
                <w:p w14:paraId="67C2AF4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设备维护</w:t>
                  </w:r>
                </w:p>
              </w:tc>
            </w:tr>
            <w:tr w14:paraId="3C5CD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vAlign w:val="center"/>
                </w:tcPr>
                <w:p w14:paraId="2CAD2AC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7</w:t>
                  </w:r>
                </w:p>
              </w:tc>
              <w:tc>
                <w:tcPr>
                  <w:tcW w:w="696" w:type="pct"/>
                  <w:tcBorders>
                    <w:tl2br w:val="nil"/>
                    <w:tr2bl w:val="nil"/>
                  </w:tcBorders>
                  <w:noWrap w:val="0"/>
                  <w:vAlign w:val="center"/>
                </w:tcPr>
                <w:p w14:paraId="41801A25">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水</w:t>
                  </w:r>
                </w:p>
              </w:tc>
              <w:tc>
                <w:tcPr>
                  <w:tcW w:w="605" w:type="pct"/>
                  <w:tcBorders>
                    <w:tl2br w:val="nil"/>
                    <w:tr2bl w:val="nil"/>
                  </w:tcBorders>
                  <w:noWrap w:val="0"/>
                  <w:vAlign w:val="center"/>
                </w:tcPr>
                <w:p w14:paraId="56343B0A">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25555</w:t>
                  </w:r>
                </w:p>
              </w:tc>
              <w:tc>
                <w:tcPr>
                  <w:tcW w:w="707" w:type="pct"/>
                  <w:tcBorders>
                    <w:tl2br w:val="nil"/>
                    <w:tr2bl w:val="nil"/>
                  </w:tcBorders>
                  <w:noWrap w:val="0"/>
                  <w:vAlign w:val="center"/>
                </w:tcPr>
                <w:p w14:paraId="4DD0553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lang w:val="en-US" w:eastAsia="zh-CN"/>
                    </w:rPr>
                    <w:t>27555</w:t>
                  </w:r>
                </w:p>
              </w:tc>
              <w:tc>
                <w:tcPr>
                  <w:tcW w:w="661" w:type="pct"/>
                  <w:tcBorders>
                    <w:tl2br w:val="nil"/>
                    <w:tr2bl w:val="nil"/>
                  </w:tcBorders>
                  <w:noWrap w:val="0"/>
                  <w:vAlign w:val="center"/>
                </w:tcPr>
                <w:p w14:paraId="630D8148">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w:t>
                  </w:r>
                </w:p>
              </w:tc>
              <w:tc>
                <w:tcPr>
                  <w:tcW w:w="412" w:type="pct"/>
                  <w:tcBorders>
                    <w:tl2br w:val="nil"/>
                    <w:tr2bl w:val="nil"/>
                  </w:tcBorders>
                  <w:noWrap w:val="0"/>
                  <w:vAlign w:val="center"/>
                </w:tcPr>
                <w:p w14:paraId="253771E0">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液态</w:t>
                  </w:r>
                </w:p>
              </w:tc>
              <w:tc>
                <w:tcPr>
                  <w:tcW w:w="557" w:type="pct"/>
                  <w:tcBorders>
                    <w:tl2br w:val="nil"/>
                    <w:tr2bl w:val="nil"/>
                  </w:tcBorders>
                  <w:noWrap w:val="0"/>
                  <w:vAlign w:val="center"/>
                </w:tcPr>
                <w:p w14:paraId="3B553A3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c>
                <w:tcPr>
                  <w:tcW w:w="493" w:type="pct"/>
                  <w:tcBorders>
                    <w:tl2br w:val="nil"/>
                    <w:tr2bl w:val="nil"/>
                  </w:tcBorders>
                  <w:noWrap w:val="0"/>
                  <w:vAlign w:val="center"/>
                </w:tcPr>
                <w:p w14:paraId="01ECEBC7">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c>
                <w:tcPr>
                  <w:tcW w:w="608" w:type="pct"/>
                  <w:tcBorders>
                    <w:tl2br w:val="nil"/>
                    <w:tr2bl w:val="nil"/>
                  </w:tcBorders>
                  <w:noWrap w:val="0"/>
                  <w:vAlign w:val="center"/>
                </w:tcPr>
                <w:p w14:paraId="093E4D4E">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自备水井</w:t>
                  </w:r>
                </w:p>
              </w:tc>
            </w:tr>
            <w:tr w14:paraId="4F8645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8" w:type="pct"/>
                  <w:tcBorders>
                    <w:tl2br w:val="nil"/>
                    <w:tr2bl w:val="nil"/>
                  </w:tcBorders>
                  <w:noWrap w:val="0"/>
                  <w:vAlign w:val="center"/>
                </w:tcPr>
                <w:p w14:paraId="6C4221B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8</w:t>
                  </w:r>
                </w:p>
              </w:tc>
              <w:tc>
                <w:tcPr>
                  <w:tcW w:w="696" w:type="pct"/>
                  <w:tcBorders>
                    <w:tl2br w:val="nil"/>
                    <w:tr2bl w:val="nil"/>
                  </w:tcBorders>
                  <w:noWrap w:val="0"/>
                  <w:vAlign w:val="center"/>
                </w:tcPr>
                <w:p w14:paraId="66BC306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cs="Times New Roman"/>
                      <w:color w:val="auto"/>
                      <w:sz w:val="21"/>
                      <w:szCs w:val="21"/>
                      <w:highlight w:val="none"/>
                    </w:rPr>
                    <w:t>电</w:t>
                  </w:r>
                </w:p>
              </w:tc>
              <w:tc>
                <w:tcPr>
                  <w:tcW w:w="605" w:type="pct"/>
                  <w:tcBorders>
                    <w:tl2br w:val="nil"/>
                    <w:tr2bl w:val="nil"/>
                  </w:tcBorders>
                  <w:noWrap w:val="0"/>
                  <w:vAlign w:val="center"/>
                </w:tcPr>
                <w:p w14:paraId="1DD2CE79">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216</w:t>
                  </w:r>
                  <w:r>
                    <w:rPr>
                      <w:rFonts w:hint="eastAsia" w:ascii="Times New Roman" w:cs="Times New Roman"/>
                      <w:color w:val="auto"/>
                      <w:sz w:val="21"/>
                      <w:szCs w:val="21"/>
                      <w:highlight w:val="none"/>
                    </w:rPr>
                    <w:t>万</w:t>
                  </w:r>
                  <w:r>
                    <w:rPr>
                      <w:rFonts w:hint="eastAsia" w:ascii="Times New Roman" w:eastAsia="Times New Roman" w:cs="Times New Roman"/>
                      <w:color w:val="auto"/>
                      <w:sz w:val="21"/>
                      <w:szCs w:val="21"/>
                      <w:highlight w:val="none"/>
                    </w:rPr>
                    <w:t>kWh</w:t>
                  </w:r>
                </w:p>
              </w:tc>
              <w:tc>
                <w:tcPr>
                  <w:tcW w:w="707" w:type="pct"/>
                  <w:tcBorders>
                    <w:tl2br w:val="nil"/>
                    <w:tr2bl w:val="nil"/>
                  </w:tcBorders>
                  <w:noWrap w:val="0"/>
                  <w:vAlign w:val="center"/>
                </w:tcPr>
                <w:p w14:paraId="22B2B23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400</w:t>
                  </w:r>
                  <w:r>
                    <w:rPr>
                      <w:rFonts w:hint="eastAsia" w:ascii="Times New Roman" w:cs="Times New Roman"/>
                      <w:color w:val="auto"/>
                      <w:sz w:val="21"/>
                      <w:szCs w:val="21"/>
                      <w:highlight w:val="none"/>
                    </w:rPr>
                    <w:t>万</w:t>
                  </w:r>
                  <w:r>
                    <w:rPr>
                      <w:rFonts w:hint="eastAsia" w:ascii="Times New Roman" w:eastAsia="Times New Roman" w:cs="Times New Roman"/>
                      <w:color w:val="auto"/>
                      <w:sz w:val="21"/>
                      <w:szCs w:val="21"/>
                      <w:highlight w:val="none"/>
                    </w:rPr>
                    <w:t>kWh</w:t>
                  </w:r>
                </w:p>
              </w:tc>
              <w:tc>
                <w:tcPr>
                  <w:tcW w:w="661" w:type="pct"/>
                  <w:tcBorders>
                    <w:tl2br w:val="nil"/>
                    <w:tr2bl w:val="nil"/>
                  </w:tcBorders>
                  <w:noWrap w:val="0"/>
                  <w:vAlign w:val="center"/>
                </w:tcPr>
                <w:p w14:paraId="4C4AAAF7">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+184kWh</w:t>
                  </w:r>
                </w:p>
              </w:tc>
              <w:tc>
                <w:tcPr>
                  <w:tcW w:w="412" w:type="pct"/>
                  <w:tcBorders>
                    <w:tl2br w:val="nil"/>
                    <w:tr2bl w:val="nil"/>
                  </w:tcBorders>
                  <w:noWrap w:val="0"/>
                  <w:vAlign w:val="center"/>
                </w:tcPr>
                <w:p w14:paraId="13DD175D">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c>
                <w:tcPr>
                  <w:tcW w:w="557" w:type="pct"/>
                  <w:tcBorders>
                    <w:tl2br w:val="nil"/>
                    <w:tr2bl w:val="nil"/>
                  </w:tcBorders>
                  <w:noWrap w:val="0"/>
                  <w:vAlign w:val="center"/>
                </w:tcPr>
                <w:p w14:paraId="2C3FEF11">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c>
                <w:tcPr>
                  <w:tcW w:w="493" w:type="pct"/>
                  <w:tcBorders>
                    <w:tl2br w:val="nil"/>
                    <w:tr2bl w:val="nil"/>
                  </w:tcBorders>
                  <w:noWrap w:val="0"/>
                  <w:vAlign w:val="center"/>
                </w:tcPr>
                <w:p w14:paraId="2E154B62">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c>
                <w:tcPr>
                  <w:tcW w:w="608" w:type="pct"/>
                  <w:tcBorders>
                    <w:tl2br w:val="nil"/>
                    <w:tr2bl w:val="nil"/>
                  </w:tcBorders>
                  <w:noWrap w:val="0"/>
                  <w:vAlign w:val="center"/>
                </w:tcPr>
                <w:p w14:paraId="626BE724">
                  <w:pPr>
                    <w:pStyle w:val="31"/>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center"/>
                    <w:textAlignment w:val="auto"/>
                    <w:rPr>
                      <w:rFonts w:hint="eastAsia" w:ascii="Times New Roman" w:eastAsia="Times New Roman" w:cs="Times New Roman"/>
                      <w:color w:val="auto"/>
                      <w:sz w:val="21"/>
                      <w:szCs w:val="21"/>
                      <w:highlight w:val="none"/>
                    </w:rPr>
                  </w:pPr>
                  <w:r>
                    <w:rPr>
                      <w:rFonts w:hint="eastAsia" w:ascii="Times New Roman" w:eastAsia="Times New Roman" w:cs="Times New Roman"/>
                      <w:color w:val="auto"/>
                      <w:sz w:val="21"/>
                      <w:szCs w:val="21"/>
                      <w:highlight w:val="none"/>
                    </w:rPr>
                    <w:t>/</w:t>
                  </w:r>
                </w:p>
              </w:tc>
            </w:tr>
            <w:tr w14:paraId="237301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9"/>
                  <w:tcBorders>
                    <w:tl2br w:val="nil"/>
                    <w:tr2bl w:val="nil"/>
                  </w:tcBorders>
                  <w:noWrap w:val="0"/>
                  <w:vAlign w:val="center"/>
                </w:tcPr>
                <w:p w14:paraId="79A44E8C">
                  <w:pPr>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both"/>
                    <w:textAlignment w:val="auto"/>
                    <w:rPr>
                      <w:rFonts w:hint="eastAsia" w:eastAsia="宋体"/>
                      <w:color w:val="auto"/>
                      <w:sz w:val="21"/>
                      <w:szCs w:val="21"/>
                      <w:highlight w:val="none"/>
                    </w:rPr>
                  </w:pPr>
                  <w:r>
                    <w:rPr>
                      <w:rFonts w:hint="eastAsia" w:eastAsia="宋体"/>
                      <w:color w:val="auto"/>
                      <w:sz w:val="21"/>
                      <w:szCs w:val="21"/>
                      <w:highlight w:val="none"/>
                    </w:rPr>
                    <w:t>注：参照《烧结砖瓦工厂设计规范（GB50701-2011）》中表6.4.2-1原料消耗量基准指标：普通砖240×115×53mm的原料消耗为20~22m</w:t>
                  </w:r>
                  <w:r>
                    <w:rPr>
                      <w:rFonts w:hint="eastAsia" w:eastAsia="宋体"/>
                      <w:color w:val="auto"/>
                      <w:sz w:val="21"/>
                      <w:szCs w:val="21"/>
                      <w:highlight w:val="none"/>
                      <w:vertAlign w:val="superscript"/>
                    </w:rPr>
                    <w:t>3</w:t>
                  </w:r>
                  <w:r>
                    <w:rPr>
                      <w:rFonts w:hint="eastAsia" w:eastAsia="宋体"/>
                      <w:color w:val="auto"/>
                      <w:sz w:val="21"/>
                      <w:szCs w:val="21"/>
                      <w:highlight w:val="none"/>
                    </w:rPr>
                    <w:t>/万块；表6.4.2-2原料体积密度：煤矸石体积密度为1.4~1.6t/m</w:t>
                  </w:r>
                  <w:r>
                    <w:rPr>
                      <w:rFonts w:hint="eastAsia" w:eastAsia="宋体"/>
                      <w:color w:val="auto"/>
                      <w:sz w:val="21"/>
                      <w:szCs w:val="21"/>
                      <w:highlight w:val="none"/>
                      <w:vertAlign w:val="superscript"/>
                    </w:rPr>
                    <w:t>3</w:t>
                  </w:r>
                  <w:r>
                    <w:rPr>
                      <w:rFonts w:hint="eastAsia" w:eastAsia="宋体"/>
                      <w:color w:val="auto"/>
                      <w:sz w:val="21"/>
                      <w:szCs w:val="21"/>
                      <w:highlight w:val="none"/>
                    </w:rPr>
                    <w:t>；表6.4.2-3产品体积密度：煤矸石砖体积密度为1.7~2.0t/m</w:t>
                  </w:r>
                  <w:r>
                    <w:rPr>
                      <w:rFonts w:hint="eastAsia" w:eastAsia="宋体"/>
                      <w:color w:val="auto"/>
                      <w:sz w:val="21"/>
                      <w:szCs w:val="21"/>
                      <w:highlight w:val="none"/>
                      <w:vertAlign w:val="superscript"/>
                    </w:rPr>
                    <w:t>3</w:t>
                  </w:r>
                  <w:r>
                    <w:rPr>
                      <w:rFonts w:hint="eastAsia" w:eastAsia="宋体"/>
                      <w:color w:val="auto"/>
                      <w:sz w:val="21"/>
                      <w:szCs w:val="21"/>
                      <w:highlight w:val="none"/>
                    </w:rPr>
                    <w:t>。</w:t>
                  </w:r>
                </w:p>
                <w:p w14:paraId="5C29A6D9">
                  <w:pPr>
                    <w:keepNext w:val="0"/>
                    <w:keepLines w:val="0"/>
                    <w:pageBreakBefore w:val="0"/>
                    <w:widowControl w:val="0"/>
                    <w:kinsoku/>
                    <w:wordWrap/>
                    <w:overflowPunct/>
                    <w:topLinePunct w:val="0"/>
                    <w:bidi w:val="0"/>
                    <w:adjustRightInd w:val="0"/>
                    <w:snapToGrid w:val="0"/>
                    <w:spacing w:beforeLines="0" w:afterLines="0" w:line="240" w:lineRule="auto"/>
                    <w:ind w:firstLine="0" w:firstLineChars="0"/>
                    <w:jc w:val="both"/>
                    <w:textAlignment w:val="auto"/>
                    <w:rPr>
                      <w:rFonts w:hint="eastAsia" w:ascii="Times New Roman" w:eastAsia="Times New Roman" w:cs="Times New Roman"/>
                      <w:color w:val="auto"/>
                      <w:sz w:val="21"/>
                      <w:szCs w:val="21"/>
                      <w:highlight w:val="none"/>
                    </w:rPr>
                  </w:pPr>
                  <w:r>
                    <w:rPr>
                      <w:rFonts w:hint="eastAsia" w:eastAsia="宋体"/>
                      <w:color w:val="auto"/>
                      <w:sz w:val="21"/>
                      <w:szCs w:val="21"/>
                      <w:highlight w:val="none"/>
                    </w:rPr>
                    <w:t>本项目年产1</w:t>
                  </w:r>
                  <w:r>
                    <w:rPr>
                      <w:rFonts w:hint="eastAsia"/>
                      <w:color w:val="auto"/>
                      <w:sz w:val="21"/>
                      <w:szCs w:val="21"/>
                      <w:highlight w:val="none"/>
                      <w:lang w:val="en-US" w:eastAsia="zh-CN"/>
                    </w:rPr>
                    <w:t>1</w:t>
                  </w:r>
                  <w:r>
                    <w:rPr>
                      <w:rFonts w:hint="eastAsia" w:eastAsia="宋体"/>
                      <w:color w:val="auto"/>
                      <w:sz w:val="21"/>
                      <w:szCs w:val="21"/>
                      <w:highlight w:val="none"/>
                    </w:rPr>
                    <w:t>000万块煤矸石砖（尺寸240×115×53mm），普通砖原料消耗取值为21m</w:t>
                  </w:r>
                  <w:r>
                    <w:rPr>
                      <w:rFonts w:hint="eastAsia" w:eastAsia="宋体"/>
                      <w:color w:val="auto"/>
                      <w:sz w:val="21"/>
                      <w:szCs w:val="21"/>
                      <w:highlight w:val="none"/>
                      <w:vertAlign w:val="superscript"/>
                    </w:rPr>
                    <w:t>3</w:t>
                  </w:r>
                  <w:r>
                    <w:rPr>
                      <w:rFonts w:hint="eastAsia" w:eastAsia="宋体"/>
                      <w:color w:val="auto"/>
                      <w:sz w:val="21"/>
                      <w:szCs w:val="21"/>
                      <w:highlight w:val="none"/>
                    </w:rPr>
                    <w:t>/万块，煤矸石体积密度取值为1.5t/m</w:t>
                  </w:r>
                  <w:r>
                    <w:rPr>
                      <w:rFonts w:hint="eastAsia" w:eastAsia="宋体"/>
                      <w:color w:val="auto"/>
                      <w:sz w:val="21"/>
                      <w:szCs w:val="21"/>
                      <w:highlight w:val="none"/>
                      <w:vertAlign w:val="superscript"/>
                    </w:rPr>
                    <w:t>3</w:t>
                  </w:r>
                  <w:r>
                    <w:rPr>
                      <w:rFonts w:hint="eastAsia" w:eastAsia="宋体"/>
                      <w:color w:val="auto"/>
                      <w:sz w:val="21"/>
                      <w:szCs w:val="21"/>
                      <w:highlight w:val="none"/>
                    </w:rPr>
                    <w:t>，煤矸石砖体积密度取值为1.85t/m</w:t>
                  </w:r>
                  <w:r>
                    <w:rPr>
                      <w:rFonts w:hint="eastAsia" w:eastAsia="宋体"/>
                      <w:color w:val="auto"/>
                      <w:sz w:val="21"/>
                      <w:szCs w:val="21"/>
                      <w:highlight w:val="none"/>
                      <w:vertAlign w:val="superscript"/>
                    </w:rPr>
                    <w:t>3</w:t>
                  </w:r>
                  <w:r>
                    <w:rPr>
                      <w:rFonts w:hint="eastAsia" w:eastAsia="宋体"/>
                      <w:color w:val="auto"/>
                      <w:sz w:val="21"/>
                      <w:szCs w:val="21"/>
                      <w:highlight w:val="none"/>
                    </w:rPr>
                    <w:t>。本项目所用原料仅为煤矸石和水，则煤矸石年用量=21m</w:t>
                  </w:r>
                  <w:r>
                    <w:rPr>
                      <w:rFonts w:hint="eastAsia" w:eastAsia="宋体"/>
                      <w:color w:val="auto"/>
                      <w:sz w:val="21"/>
                      <w:szCs w:val="21"/>
                      <w:highlight w:val="none"/>
                      <w:vertAlign w:val="superscript"/>
                    </w:rPr>
                    <w:t>3</w:t>
                  </w:r>
                  <w:r>
                    <w:rPr>
                      <w:rFonts w:hint="eastAsia" w:eastAsia="宋体"/>
                      <w:color w:val="auto"/>
                      <w:sz w:val="21"/>
                      <w:szCs w:val="21"/>
                      <w:highlight w:val="none"/>
                    </w:rPr>
                    <w:t>/万块×</w:t>
                  </w:r>
                  <w:r>
                    <w:rPr>
                      <w:rFonts w:hint="eastAsia"/>
                      <w:color w:val="auto"/>
                      <w:sz w:val="21"/>
                      <w:szCs w:val="21"/>
                      <w:highlight w:val="none"/>
                      <w:lang w:val="en-US" w:eastAsia="zh-CN"/>
                    </w:rPr>
                    <w:t>11</w:t>
                  </w:r>
                  <w:r>
                    <w:rPr>
                      <w:rFonts w:hint="eastAsia" w:eastAsia="宋体"/>
                      <w:color w:val="auto"/>
                      <w:sz w:val="21"/>
                      <w:szCs w:val="21"/>
                      <w:highlight w:val="none"/>
                    </w:rPr>
                    <w:t>000万块×1.5t/m</w:t>
                  </w:r>
                  <w:r>
                    <w:rPr>
                      <w:rFonts w:hint="eastAsia" w:eastAsia="宋体"/>
                      <w:color w:val="auto"/>
                      <w:sz w:val="21"/>
                      <w:szCs w:val="21"/>
                      <w:highlight w:val="none"/>
                      <w:vertAlign w:val="superscript"/>
                    </w:rPr>
                    <w:t>3</w:t>
                  </w:r>
                  <w:r>
                    <w:rPr>
                      <w:rFonts w:hint="eastAsia" w:eastAsia="宋体"/>
                      <w:color w:val="auto"/>
                      <w:sz w:val="21"/>
                      <w:szCs w:val="21"/>
                      <w:highlight w:val="none"/>
                    </w:rPr>
                    <w:t>=</w:t>
                  </w:r>
                  <w:r>
                    <w:rPr>
                      <w:rFonts w:hint="eastAsia"/>
                      <w:color w:val="auto"/>
                      <w:sz w:val="21"/>
                      <w:szCs w:val="21"/>
                      <w:highlight w:val="none"/>
                      <w:lang w:val="en-US" w:eastAsia="zh-CN"/>
                    </w:rPr>
                    <w:t>346500</w:t>
                  </w:r>
                  <w:r>
                    <w:rPr>
                      <w:rFonts w:hint="eastAsia" w:eastAsia="宋体"/>
                      <w:color w:val="auto"/>
                      <w:sz w:val="21"/>
                      <w:szCs w:val="21"/>
                      <w:highlight w:val="none"/>
                    </w:rPr>
                    <w:t>t/a。煤矸石砖产量=240×115×53mm×1.85t/m</w:t>
                  </w:r>
                  <w:r>
                    <w:rPr>
                      <w:rFonts w:hint="eastAsia" w:eastAsia="宋体"/>
                      <w:color w:val="auto"/>
                      <w:sz w:val="21"/>
                      <w:szCs w:val="21"/>
                      <w:highlight w:val="none"/>
                      <w:vertAlign w:val="superscript"/>
                    </w:rPr>
                    <w:t>3</w:t>
                  </w:r>
                  <w:r>
                    <w:rPr>
                      <w:rFonts w:hint="eastAsia" w:eastAsia="宋体"/>
                      <w:color w:val="auto"/>
                      <w:sz w:val="21"/>
                      <w:szCs w:val="21"/>
                      <w:highlight w:val="none"/>
                    </w:rPr>
                    <w:t>×1</w:t>
                  </w:r>
                  <w:r>
                    <w:rPr>
                      <w:rFonts w:hint="eastAsia"/>
                      <w:color w:val="auto"/>
                      <w:sz w:val="21"/>
                      <w:szCs w:val="21"/>
                      <w:highlight w:val="none"/>
                      <w:lang w:val="en-US" w:eastAsia="zh-CN"/>
                    </w:rPr>
                    <w:t>1</w:t>
                  </w:r>
                  <w:r>
                    <w:rPr>
                      <w:rFonts w:hint="eastAsia" w:eastAsia="宋体"/>
                      <w:color w:val="auto"/>
                      <w:sz w:val="21"/>
                      <w:szCs w:val="21"/>
                      <w:highlight w:val="none"/>
                    </w:rPr>
                    <w:t>000万块=</w:t>
                  </w:r>
                  <w:r>
                    <w:rPr>
                      <w:rFonts w:hint="eastAsia"/>
                      <w:color w:val="auto"/>
                      <w:sz w:val="21"/>
                      <w:szCs w:val="21"/>
                      <w:highlight w:val="none"/>
                      <w:lang w:val="en-US" w:eastAsia="zh-CN"/>
                    </w:rPr>
                    <w:t>297680</w:t>
                  </w:r>
                  <w:r>
                    <w:rPr>
                      <w:rFonts w:hint="eastAsia" w:eastAsia="宋体"/>
                      <w:color w:val="auto"/>
                      <w:sz w:val="21"/>
                      <w:szCs w:val="21"/>
                      <w:highlight w:val="none"/>
                    </w:rPr>
                    <w:t>t。</w:t>
                  </w:r>
                </w:p>
              </w:tc>
            </w:tr>
          </w:tbl>
          <w:p w14:paraId="3102597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项目主要原辅材料理化性质及危险特性见下表。</w:t>
            </w:r>
          </w:p>
          <w:p w14:paraId="27354C1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表2-8  主要原辅材料理化性质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360"/>
              <w:gridCol w:w="4900"/>
              <w:gridCol w:w="1335"/>
            </w:tblGrid>
            <w:tr w14:paraId="6290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14:paraId="42C6AB8F">
                  <w:pPr>
                    <w:keepNext w:val="0"/>
                    <w:keepLines w:val="0"/>
                    <w:pageBreakBefore w:val="0"/>
                    <w:widowControl w:val="0"/>
                    <w:kinsoku/>
                    <w:wordWrap/>
                    <w:overflowPunct/>
                    <w:topLinePunct w:val="0"/>
                    <w:autoSpaceDE/>
                    <w:autoSpaceDN/>
                    <w:bidi w:val="0"/>
                    <w:adjustRightInd w:val="0"/>
                    <w:snapToGrid w:val="0"/>
                    <w:jc w:val="center"/>
                    <w:rPr>
                      <w:rFonts w:hint="eastAsia"/>
                      <w:b/>
                      <w:color w:val="auto"/>
                      <w:sz w:val="21"/>
                      <w:szCs w:val="21"/>
                      <w:highlight w:val="none"/>
                    </w:rPr>
                  </w:pPr>
                  <w:r>
                    <w:rPr>
                      <w:rFonts w:hint="eastAsia" w:eastAsia="宋体"/>
                      <w:b/>
                      <w:color w:val="auto"/>
                      <w:sz w:val="21"/>
                      <w:szCs w:val="21"/>
                      <w:highlight w:val="none"/>
                    </w:rPr>
                    <w:t>序号</w:t>
                  </w:r>
                </w:p>
              </w:tc>
              <w:tc>
                <w:tcPr>
                  <w:tcW w:w="811" w:type="pct"/>
                  <w:tcBorders>
                    <w:tl2br w:val="nil"/>
                    <w:tr2bl w:val="nil"/>
                  </w:tcBorders>
                  <w:noWrap w:val="0"/>
                  <w:vAlign w:val="center"/>
                </w:tcPr>
                <w:p w14:paraId="28824BD3">
                  <w:pPr>
                    <w:keepNext w:val="0"/>
                    <w:keepLines w:val="0"/>
                    <w:pageBreakBefore w:val="0"/>
                    <w:widowControl w:val="0"/>
                    <w:kinsoku/>
                    <w:wordWrap/>
                    <w:overflowPunct/>
                    <w:topLinePunct w:val="0"/>
                    <w:autoSpaceDE/>
                    <w:autoSpaceDN/>
                    <w:bidi w:val="0"/>
                    <w:adjustRightInd w:val="0"/>
                    <w:snapToGrid w:val="0"/>
                    <w:jc w:val="center"/>
                    <w:rPr>
                      <w:rFonts w:hint="eastAsia"/>
                      <w:b/>
                      <w:color w:val="auto"/>
                      <w:sz w:val="21"/>
                      <w:szCs w:val="21"/>
                      <w:highlight w:val="none"/>
                    </w:rPr>
                  </w:pPr>
                  <w:r>
                    <w:rPr>
                      <w:rFonts w:hint="eastAsia" w:eastAsia="宋体"/>
                      <w:b/>
                      <w:color w:val="auto"/>
                      <w:sz w:val="21"/>
                      <w:szCs w:val="21"/>
                      <w:highlight w:val="none"/>
                    </w:rPr>
                    <w:t>名称分子式</w:t>
                  </w:r>
                </w:p>
              </w:tc>
              <w:tc>
                <w:tcPr>
                  <w:tcW w:w="2922" w:type="pct"/>
                  <w:tcBorders>
                    <w:tl2br w:val="nil"/>
                    <w:tr2bl w:val="nil"/>
                  </w:tcBorders>
                  <w:noWrap w:val="0"/>
                  <w:vAlign w:val="center"/>
                </w:tcPr>
                <w:p w14:paraId="7C2CCD72">
                  <w:pPr>
                    <w:keepNext w:val="0"/>
                    <w:keepLines w:val="0"/>
                    <w:pageBreakBefore w:val="0"/>
                    <w:widowControl w:val="0"/>
                    <w:kinsoku/>
                    <w:wordWrap/>
                    <w:overflowPunct/>
                    <w:topLinePunct w:val="0"/>
                    <w:autoSpaceDE/>
                    <w:autoSpaceDN/>
                    <w:bidi w:val="0"/>
                    <w:adjustRightInd w:val="0"/>
                    <w:snapToGrid w:val="0"/>
                    <w:jc w:val="center"/>
                    <w:rPr>
                      <w:rFonts w:hint="eastAsia"/>
                      <w:b/>
                      <w:color w:val="auto"/>
                      <w:sz w:val="21"/>
                      <w:szCs w:val="21"/>
                      <w:highlight w:val="none"/>
                    </w:rPr>
                  </w:pPr>
                  <w:r>
                    <w:rPr>
                      <w:rFonts w:hint="eastAsia" w:eastAsia="宋体"/>
                      <w:b/>
                      <w:color w:val="auto"/>
                      <w:sz w:val="21"/>
                      <w:szCs w:val="21"/>
                      <w:highlight w:val="none"/>
                    </w:rPr>
                    <w:t>理化特性</w:t>
                  </w:r>
                </w:p>
              </w:tc>
              <w:tc>
                <w:tcPr>
                  <w:tcW w:w="796" w:type="pct"/>
                  <w:tcBorders>
                    <w:tl2br w:val="nil"/>
                    <w:tr2bl w:val="nil"/>
                  </w:tcBorders>
                  <w:noWrap w:val="0"/>
                  <w:vAlign w:val="center"/>
                </w:tcPr>
                <w:p w14:paraId="36C87B27">
                  <w:pPr>
                    <w:keepNext w:val="0"/>
                    <w:keepLines w:val="0"/>
                    <w:pageBreakBefore w:val="0"/>
                    <w:widowControl w:val="0"/>
                    <w:kinsoku/>
                    <w:wordWrap/>
                    <w:overflowPunct/>
                    <w:topLinePunct w:val="0"/>
                    <w:autoSpaceDE/>
                    <w:autoSpaceDN/>
                    <w:bidi w:val="0"/>
                    <w:adjustRightInd w:val="0"/>
                    <w:snapToGrid w:val="0"/>
                    <w:jc w:val="center"/>
                    <w:rPr>
                      <w:rFonts w:hint="eastAsia"/>
                      <w:b/>
                      <w:color w:val="auto"/>
                      <w:sz w:val="21"/>
                      <w:szCs w:val="21"/>
                      <w:highlight w:val="none"/>
                    </w:rPr>
                  </w:pPr>
                  <w:r>
                    <w:rPr>
                      <w:rFonts w:hint="eastAsia" w:eastAsia="宋体"/>
                      <w:b/>
                      <w:color w:val="auto"/>
                      <w:sz w:val="21"/>
                      <w:szCs w:val="21"/>
                      <w:highlight w:val="none"/>
                    </w:rPr>
                    <w:t>燃烧爆炸性</w:t>
                  </w:r>
                </w:p>
              </w:tc>
            </w:tr>
            <w:tr w14:paraId="44E08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14:paraId="67628AFD">
                  <w:pPr>
                    <w:keepNext w:val="0"/>
                    <w:keepLines w:val="0"/>
                    <w:pageBreakBefore w:val="0"/>
                    <w:widowControl w:val="0"/>
                    <w:kinsoku/>
                    <w:wordWrap/>
                    <w:overflowPunct/>
                    <w:topLinePunct w:val="0"/>
                    <w:autoSpaceDE/>
                    <w:autoSpaceDN/>
                    <w:bidi w:val="0"/>
                    <w:adjustRightInd w:val="0"/>
                    <w:snapToGrid w:val="0"/>
                    <w:jc w:val="center"/>
                    <w:rPr>
                      <w:rFonts w:hint="eastAsia"/>
                      <w:color w:val="auto"/>
                      <w:sz w:val="21"/>
                      <w:szCs w:val="21"/>
                      <w:highlight w:val="none"/>
                    </w:rPr>
                  </w:pPr>
                  <w:r>
                    <w:rPr>
                      <w:rFonts w:hint="eastAsia"/>
                      <w:color w:val="auto"/>
                      <w:sz w:val="21"/>
                      <w:szCs w:val="21"/>
                      <w:highlight w:val="none"/>
                    </w:rPr>
                    <w:t>1</w:t>
                  </w:r>
                </w:p>
              </w:tc>
              <w:tc>
                <w:tcPr>
                  <w:tcW w:w="811" w:type="pct"/>
                  <w:tcBorders>
                    <w:tl2br w:val="nil"/>
                    <w:tr2bl w:val="nil"/>
                  </w:tcBorders>
                  <w:noWrap w:val="0"/>
                  <w:vAlign w:val="center"/>
                </w:tcPr>
                <w:p w14:paraId="72778164">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煤矸石</w:t>
                  </w:r>
                </w:p>
              </w:tc>
              <w:tc>
                <w:tcPr>
                  <w:tcW w:w="2922" w:type="pct"/>
                  <w:tcBorders>
                    <w:tl2br w:val="nil"/>
                    <w:tr2bl w:val="nil"/>
                  </w:tcBorders>
                  <w:noWrap w:val="0"/>
                  <w:vAlign w:val="center"/>
                </w:tcPr>
                <w:p w14:paraId="022E68C7">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是碳质、泥质和砂质页岩的混合物，具有低发热值。</w:t>
                  </w:r>
                </w:p>
              </w:tc>
              <w:tc>
                <w:tcPr>
                  <w:tcW w:w="796" w:type="pct"/>
                  <w:tcBorders>
                    <w:tl2br w:val="nil"/>
                    <w:tr2bl w:val="nil"/>
                  </w:tcBorders>
                  <w:noWrap w:val="0"/>
                  <w:vAlign w:val="center"/>
                </w:tcPr>
                <w:p w14:paraId="5AC82F50">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r>
            <w:tr w14:paraId="41B36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14:paraId="2D629356">
                  <w:pPr>
                    <w:keepNext w:val="0"/>
                    <w:keepLines w:val="0"/>
                    <w:pageBreakBefore w:val="0"/>
                    <w:widowControl w:val="0"/>
                    <w:kinsoku/>
                    <w:wordWrap/>
                    <w:overflowPunct/>
                    <w:topLinePunct w:val="0"/>
                    <w:autoSpaceDE/>
                    <w:autoSpaceDN/>
                    <w:bidi w:val="0"/>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11" w:type="pct"/>
                  <w:tcBorders>
                    <w:tl2br w:val="nil"/>
                    <w:tr2bl w:val="nil"/>
                  </w:tcBorders>
                  <w:noWrap w:val="0"/>
                  <w:vAlign w:val="center"/>
                </w:tcPr>
                <w:p w14:paraId="02E040A4">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cs="Times New Roman"/>
                      <w:color w:val="auto"/>
                      <w:sz w:val="21"/>
                      <w:szCs w:val="21"/>
                      <w:highlight w:val="none"/>
                      <w:lang w:val="en-US" w:eastAsia="zh-CN"/>
                    </w:rPr>
                    <w:t>氢氧化钠</w:t>
                  </w:r>
                </w:p>
              </w:tc>
              <w:tc>
                <w:tcPr>
                  <w:tcW w:w="2922" w:type="pct"/>
                  <w:tcBorders>
                    <w:tl2br w:val="nil"/>
                    <w:tr2bl w:val="nil"/>
                  </w:tcBorders>
                  <w:noWrap w:val="0"/>
                  <w:vAlign w:val="center"/>
                </w:tcPr>
                <w:p w14:paraId="4264482C">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氢氧化钠（NaOH），俗称烧碱、火碱、苛性钠，是一种具有强腐蚀性的强碱</w:t>
                  </w:r>
                  <w:r>
                    <w:rPr>
                      <w:rFonts w:hint="default" w:ascii="Times New Roman" w:hAnsi="Times New Roman" w:eastAsia="宋体" w:cs="Times New Roman"/>
                      <w:color w:val="auto"/>
                      <w:sz w:val="21"/>
                      <w:szCs w:val="21"/>
                      <w:highlight w:val="none"/>
                      <w:lang w:eastAsia="zh-CN" w:bidi="ar"/>
                    </w:rPr>
                    <w:t>。外观：纯品是无色透明的晶体，而常见的商品氢氧化钠有块状、片状、粒状和棒状等多种形态，多呈现白色。当含有杂质时，可能略带颜色，如略带黄色。气味：氢氧化钠本身无特殊气味。熔点与沸点：熔点为318.4℃，沸点为1390℃。较高的熔沸点使其在常温常压下以固态形式存在。溶解性：极易溶于水，溶解时会放出大量的热。在20℃时，每100克水能溶解109克氢氧化钠，水溶液呈强碱性。它也易溶于乙醇、甘油，但不溶于乙醚、丙酮、液氨。吸湿性：氢氧化钠固体具有强烈的吸湿性，在空气中易潮解，会吸收空气中的水分逐渐溶解，因此需密封保存。腐蚀性：对皮肤、织物、纸张等具有强烈的腐蚀性。它能与蛋白质发生反应，破坏其结构，导致皮肤灼伤。</w:t>
                  </w:r>
                </w:p>
              </w:tc>
              <w:tc>
                <w:tcPr>
                  <w:tcW w:w="796" w:type="pct"/>
                  <w:tcBorders>
                    <w:tl2br w:val="nil"/>
                    <w:tr2bl w:val="nil"/>
                  </w:tcBorders>
                  <w:noWrap w:val="0"/>
                  <w:vAlign w:val="center"/>
                </w:tcPr>
                <w:p w14:paraId="134EC2DD">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r>
            <w:tr w14:paraId="2A129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69" w:type="pct"/>
                  <w:tcBorders>
                    <w:tl2br w:val="nil"/>
                    <w:tr2bl w:val="nil"/>
                  </w:tcBorders>
                  <w:noWrap w:val="0"/>
                  <w:vAlign w:val="center"/>
                </w:tcPr>
                <w:p w14:paraId="55692F8D">
                  <w:pPr>
                    <w:keepNext w:val="0"/>
                    <w:keepLines w:val="0"/>
                    <w:pageBreakBefore w:val="0"/>
                    <w:widowControl w:val="0"/>
                    <w:kinsoku/>
                    <w:wordWrap/>
                    <w:overflowPunct/>
                    <w:topLinePunct w:val="0"/>
                    <w:autoSpaceDE/>
                    <w:autoSpaceDN/>
                    <w:bidi w:val="0"/>
                    <w:adjustRightInd w:val="0"/>
                    <w:snapToGrid w:val="0"/>
                    <w:jc w:val="center"/>
                    <w:rPr>
                      <w:rFonts w:hint="eastAsia" w:eastAsia="宋体"/>
                      <w:color w:val="auto"/>
                      <w:sz w:val="21"/>
                      <w:szCs w:val="21"/>
                      <w:highlight w:val="none"/>
                    </w:rPr>
                  </w:pPr>
                  <w:r>
                    <w:rPr>
                      <w:rFonts w:hint="eastAsia" w:eastAsia="宋体"/>
                      <w:color w:val="auto"/>
                      <w:sz w:val="21"/>
                      <w:szCs w:val="21"/>
                      <w:highlight w:val="none"/>
                    </w:rPr>
                    <w:t>3</w:t>
                  </w:r>
                </w:p>
              </w:tc>
              <w:tc>
                <w:tcPr>
                  <w:tcW w:w="811" w:type="pct"/>
                  <w:tcBorders>
                    <w:tl2br w:val="nil"/>
                    <w:tr2bl w:val="nil"/>
                  </w:tcBorders>
                  <w:noWrap w:val="0"/>
                  <w:vAlign w:val="center"/>
                </w:tcPr>
                <w:p w14:paraId="666586D9">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石灰</w:t>
                  </w:r>
                </w:p>
              </w:tc>
              <w:tc>
                <w:tcPr>
                  <w:tcW w:w="2922" w:type="pct"/>
                  <w:tcBorders>
                    <w:tl2br w:val="nil"/>
                    <w:tr2bl w:val="nil"/>
                  </w:tcBorders>
                  <w:noWrap w:val="0"/>
                  <w:vAlign w:val="center"/>
                </w:tcPr>
                <w:p w14:paraId="4C97BD3D">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CaO</w:t>
                  </w:r>
                  <w:r>
                    <w:rPr>
                      <w:rFonts w:hint="default" w:ascii="Times New Roman" w:hAnsi="Times New Roman" w:eastAsia="宋体" w:cs="Times New Roman"/>
                      <w:color w:val="auto"/>
                      <w:sz w:val="21"/>
                      <w:szCs w:val="21"/>
                      <w:highlight w:val="none"/>
                      <w:lang w:bidi="ar"/>
                    </w:rPr>
                    <w:t>，白色粉末状固体，易从空气中吸收二氧化碳及水分。与水反应生成氢氧化钙（Ca(OH)</w:t>
                  </w:r>
                  <w:r>
                    <w:rPr>
                      <w:rFonts w:hint="default" w:ascii="Times New Roman" w:hAnsi="Times New Roman" w:eastAsia="宋体" w:cs="Times New Roman"/>
                      <w:color w:val="auto"/>
                      <w:sz w:val="21"/>
                      <w:szCs w:val="21"/>
                      <w:highlight w:val="none"/>
                      <w:vertAlign w:val="subscript"/>
                      <w:lang w:bidi="ar"/>
                    </w:rPr>
                    <w:t>2</w:t>
                  </w:r>
                  <w:r>
                    <w:rPr>
                      <w:rFonts w:hint="default" w:ascii="Times New Roman" w:hAnsi="Times New Roman" w:eastAsia="宋体" w:cs="Times New Roman"/>
                      <w:color w:val="auto"/>
                      <w:sz w:val="21"/>
                      <w:szCs w:val="21"/>
                      <w:highlight w:val="none"/>
                      <w:lang w:bidi="ar"/>
                    </w:rPr>
                    <w:t>）。</w:t>
                  </w:r>
                </w:p>
              </w:tc>
              <w:tc>
                <w:tcPr>
                  <w:tcW w:w="796" w:type="pct"/>
                  <w:tcBorders>
                    <w:tl2br w:val="nil"/>
                    <w:tr2bl w:val="nil"/>
                  </w:tcBorders>
                  <w:noWrap w:val="0"/>
                  <w:vAlign w:val="center"/>
                </w:tcPr>
                <w:p w14:paraId="0107B54A">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可燃</w:t>
                  </w:r>
                </w:p>
              </w:tc>
            </w:tr>
            <w:tr w14:paraId="7D33B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14:paraId="33C8A86C">
                  <w:pPr>
                    <w:keepNext w:val="0"/>
                    <w:keepLines w:val="0"/>
                    <w:pageBreakBefore w:val="0"/>
                    <w:widowControl w:val="0"/>
                    <w:kinsoku/>
                    <w:wordWrap/>
                    <w:overflowPunct/>
                    <w:topLinePunct w:val="0"/>
                    <w:autoSpaceDE/>
                    <w:autoSpaceDN/>
                    <w:bidi w:val="0"/>
                    <w:adjustRightInd w:val="0"/>
                    <w:snapToGrid w:val="0"/>
                    <w:jc w:val="center"/>
                    <w:rPr>
                      <w:rFonts w:hint="eastAsia"/>
                      <w:color w:val="auto"/>
                      <w:sz w:val="21"/>
                      <w:szCs w:val="21"/>
                      <w:highlight w:val="none"/>
                    </w:rPr>
                  </w:pPr>
                  <w:r>
                    <w:rPr>
                      <w:rFonts w:hint="eastAsia" w:eastAsia="宋体"/>
                      <w:color w:val="auto"/>
                      <w:sz w:val="21"/>
                      <w:szCs w:val="21"/>
                      <w:highlight w:val="none"/>
                    </w:rPr>
                    <w:t>4</w:t>
                  </w:r>
                </w:p>
              </w:tc>
              <w:tc>
                <w:tcPr>
                  <w:tcW w:w="811" w:type="pct"/>
                  <w:tcBorders>
                    <w:tl2br w:val="nil"/>
                    <w:tr2bl w:val="nil"/>
                  </w:tcBorders>
                  <w:noWrap w:val="0"/>
                  <w:vAlign w:val="center"/>
                </w:tcPr>
                <w:p w14:paraId="39829D6E">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尿素</w:t>
                  </w:r>
                </w:p>
              </w:tc>
              <w:tc>
                <w:tcPr>
                  <w:tcW w:w="2922" w:type="pct"/>
                  <w:tcBorders>
                    <w:tl2br w:val="nil"/>
                    <w:tr2bl w:val="nil"/>
                  </w:tcBorders>
                  <w:noWrap w:val="0"/>
                  <w:vAlign w:val="center"/>
                </w:tcPr>
                <w:p w14:paraId="067FA44E">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CH</w:t>
                  </w:r>
                  <w:r>
                    <w:rPr>
                      <w:rFonts w:hint="default" w:ascii="Times New Roman" w:hAnsi="Times New Roman" w:cs="Times New Roman"/>
                      <w:color w:val="auto"/>
                      <w:sz w:val="21"/>
                      <w:szCs w:val="21"/>
                      <w:highlight w:val="none"/>
                      <w:vertAlign w:val="subscript"/>
                      <w:lang w:bidi="ar"/>
                    </w:rPr>
                    <w:t>4</w:t>
                  </w:r>
                  <w:r>
                    <w:rPr>
                      <w:rFonts w:hint="default" w:ascii="Times New Roman" w:hAnsi="Times New Roman" w:cs="Times New Roman"/>
                      <w:color w:val="auto"/>
                      <w:sz w:val="21"/>
                      <w:szCs w:val="21"/>
                      <w:highlight w:val="none"/>
                      <w:lang w:bidi="ar"/>
                    </w:rPr>
                    <w:t>N</w:t>
                  </w:r>
                  <w:r>
                    <w:rPr>
                      <w:rFonts w:hint="default" w:ascii="Times New Roman" w:hAnsi="Times New Roman" w:cs="Times New Roman"/>
                      <w:color w:val="auto"/>
                      <w:sz w:val="21"/>
                      <w:szCs w:val="21"/>
                      <w:highlight w:val="none"/>
                      <w:vertAlign w:val="subscript"/>
                      <w:lang w:bidi="ar"/>
                    </w:rPr>
                    <w:t>2</w:t>
                  </w:r>
                  <w:r>
                    <w:rPr>
                      <w:rFonts w:hint="default" w:ascii="Times New Roman" w:hAnsi="Times New Roman" w:cs="Times New Roman"/>
                      <w:color w:val="auto"/>
                      <w:sz w:val="21"/>
                      <w:szCs w:val="21"/>
                      <w:highlight w:val="none"/>
                      <w:lang w:bidi="ar"/>
                    </w:rPr>
                    <w:t>O</w:t>
                  </w:r>
                  <w:r>
                    <w:rPr>
                      <w:rFonts w:hint="default" w:ascii="Times New Roman" w:hAnsi="Times New Roman" w:eastAsia="宋体" w:cs="Times New Roman"/>
                      <w:color w:val="auto"/>
                      <w:sz w:val="21"/>
                      <w:szCs w:val="21"/>
                      <w:highlight w:val="none"/>
                      <w:lang w:bidi="ar"/>
                    </w:rPr>
                    <w:t>，一种无色或白色针状或棒状结晶体。溶于水、甲醇、甲醛、乙醇、液氨和醇，微溶于乙醚、氯仿、苯。弱碱性。</w:t>
                  </w:r>
                </w:p>
              </w:tc>
              <w:tc>
                <w:tcPr>
                  <w:tcW w:w="796" w:type="pct"/>
                  <w:tcBorders>
                    <w:tl2br w:val="nil"/>
                    <w:tr2bl w:val="nil"/>
                  </w:tcBorders>
                  <w:noWrap w:val="0"/>
                  <w:vAlign w:val="center"/>
                </w:tcPr>
                <w:p w14:paraId="58C3505D">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可燃</w:t>
                  </w:r>
                </w:p>
              </w:tc>
            </w:tr>
            <w:tr w14:paraId="53302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noWrap w:val="0"/>
                  <w:vAlign w:val="center"/>
                </w:tcPr>
                <w:p w14:paraId="053001D8">
                  <w:pPr>
                    <w:keepNext w:val="0"/>
                    <w:keepLines w:val="0"/>
                    <w:pageBreakBefore w:val="0"/>
                    <w:widowControl w:val="0"/>
                    <w:kinsoku/>
                    <w:wordWrap/>
                    <w:overflowPunct/>
                    <w:topLinePunct w:val="0"/>
                    <w:autoSpaceDE/>
                    <w:autoSpaceDN/>
                    <w:bidi w:val="0"/>
                    <w:adjustRightInd w:val="0"/>
                    <w:snapToGrid w:val="0"/>
                    <w:jc w:val="center"/>
                    <w:rPr>
                      <w:rFonts w:hint="eastAsia"/>
                      <w:color w:val="auto"/>
                      <w:sz w:val="21"/>
                      <w:szCs w:val="21"/>
                      <w:highlight w:val="none"/>
                    </w:rPr>
                  </w:pPr>
                  <w:r>
                    <w:rPr>
                      <w:rFonts w:hint="eastAsia" w:eastAsia="宋体"/>
                      <w:color w:val="auto"/>
                      <w:sz w:val="21"/>
                      <w:szCs w:val="21"/>
                      <w:highlight w:val="none"/>
                    </w:rPr>
                    <w:t>5</w:t>
                  </w:r>
                </w:p>
              </w:tc>
              <w:tc>
                <w:tcPr>
                  <w:tcW w:w="811" w:type="pct"/>
                  <w:tcBorders>
                    <w:tl2br w:val="nil"/>
                    <w:tr2bl w:val="nil"/>
                  </w:tcBorders>
                  <w:noWrap w:val="0"/>
                  <w:vAlign w:val="center"/>
                </w:tcPr>
                <w:p w14:paraId="6AD80155">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矿物油</w:t>
                  </w:r>
                </w:p>
              </w:tc>
              <w:tc>
                <w:tcPr>
                  <w:tcW w:w="2922" w:type="pct"/>
                  <w:tcBorders>
                    <w:tl2br w:val="nil"/>
                    <w:tr2bl w:val="nil"/>
                  </w:tcBorders>
                  <w:noWrap w:val="0"/>
                  <w:vAlign w:val="center"/>
                </w:tcPr>
                <w:p w14:paraId="133CC856">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rPr>
                    <w:t>油状液体，淡黄色至褐色，无气味或略带异味；分子量：230-500；相对密度（水=1）：0.84-0.94；溶解性：不溶于水；闪点：140℃；自然温度：248℃。</w:t>
                  </w:r>
                </w:p>
              </w:tc>
              <w:tc>
                <w:tcPr>
                  <w:tcW w:w="796" w:type="pct"/>
                  <w:tcBorders>
                    <w:tl2br w:val="nil"/>
                    <w:tr2bl w:val="nil"/>
                  </w:tcBorders>
                  <w:noWrap w:val="0"/>
                  <w:vAlign w:val="center"/>
                </w:tcPr>
                <w:p w14:paraId="42456049">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易燃</w:t>
                  </w:r>
                </w:p>
              </w:tc>
            </w:tr>
          </w:tbl>
          <w:p w14:paraId="33E8E2F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煤矸石成分见下表。</w:t>
            </w:r>
            <w:r>
              <w:rPr>
                <w:rFonts w:hint="eastAsia" w:ascii="Times New Roman" w:hAnsi="Times New Roman" w:eastAsia="宋体" w:cs="Times New Roman"/>
                <w:color w:val="auto"/>
                <w:sz w:val="24"/>
                <w:szCs w:val="24"/>
                <w:highlight w:val="none"/>
                <w:lang w:val="en-US" w:eastAsia="zh-CN"/>
              </w:rPr>
              <w:t>检测报告见附件14。</w:t>
            </w:r>
          </w:p>
          <w:p w14:paraId="4775BF6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表2-9  煤矸石检测一览表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082"/>
              <w:gridCol w:w="1107"/>
              <w:gridCol w:w="1132"/>
              <w:gridCol w:w="1132"/>
              <w:gridCol w:w="1132"/>
              <w:gridCol w:w="1135"/>
            </w:tblGrid>
            <w:tr w14:paraId="5532B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1816F4AD">
                  <w:pPr>
                    <w:keepNext w:val="0"/>
                    <w:keepLines w:val="0"/>
                    <w:pageBreakBefore w:val="0"/>
                    <w:widowControl w:val="0"/>
                    <w:kinsoku/>
                    <w:wordWrap/>
                    <w:overflowPunct/>
                    <w:topLinePunct w:val="0"/>
                    <w:autoSpaceDE/>
                    <w:autoSpaceDN/>
                    <w:bidi w:val="0"/>
                    <w:spacing w:line="240" w:lineRule="auto"/>
                    <w:ind w:right="0" w:firstLine="0" w:firstLineChars="0"/>
                    <w:jc w:val="center"/>
                    <w:rPr>
                      <w:rFonts w:ascii="宋体" w:hAnsi="宋体"/>
                      <w:color w:val="auto"/>
                      <w:sz w:val="21"/>
                      <w:szCs w:val="21"/>
                      <w:highlight w:val="none"/>
                    </w:rPr>
                  </w:pPr>
                  <w:r>
                    <w:rPr>
                      <w:rFonts w:ascii="宋体" w:hAnsi="宋体"/>
                      <w:color w:val="auto"/>
                      <w:sz w:val="21"/>
                      <w:szCs w:val="21"/>
                      <w:highlight w:val="none"/>
                    </w:rPr>
                    <w:t>原料名称</w:t>
                  </w:r>
                </w:p>
              </w:tc>
              <w:tc>
                <w:tcPr>
                  <w:tcW w:w="644" w:type="pct"/>
                  <w:tcBorders>
                    <w:tl2br w:val="nil"/>
                    <w:tr2bl w:val="nil"/>
                  </w:tcBorders>
                  <w:noWrap w:val="0"/>
                  <w:vAlign w:val="center"/>
                </w:tcPr>
                <w:p w14:paraId="22BC7C6F">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color w:val="auto"/>
                      <w:spacing w:val="0"/>
                      <w:sz w:val="21"/>
                      <w:szCs w:val="21"/>
                      <w:highlight w:val="none"/>
                    </w:rPr>
                    <w:t>烧失量</w:t>
                  </w:r>
                </w:p>
              </w:tc>
              <w:tc>
                <w:tcPr>
                  <w:tcW w:w="659" w:type="pct"/>
                  <w:tcBorders>
                    <w:tl2br w:val="nil"/>
                    <w:tr2bl w:val="nil"/>
                  </w:tcBorders>
                  <w:noWrap w:val="0"/>
                  <w:vAlign w:val="center"/>
                </w:tcPr>
                <w:p w14:paraId="5478B390">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color w:val="auto"/>
                      <w:spacing w:val="0"/>
                      <w:sz w:val="21"/>
                      <w:szCs w:val="21"/>
                      <w:highlight w:val="none"/>
                    </w:rPr>
                    <w:t>SiO</w:t>
                  </w:r>
                  <w:r>
                    <w:rPr>
                      <w:color w:val="auto"/>
                      <w:spacing w:val="0"/>
                      <w:sz w:val="21"/>
                      <w:szCs w:val="21"/>
                      <w:highlight w:val="none"/>
                      <w:vertAlign w:val="subscript"/>
                    </w:rPr>
                    <w:t>2</w:t>
                  </w:r>
                </w:p>
              </w:tc>
              <w:tc>
                <w:tcPr>
                  <w:tcW w:w="674" w:type="pct"/>
                  <w:tcBorders>
                    <w:tl2br w:val="nil"/>
                    <w:tr2bl w:val="nil"/>
                  </w:tcBorders>
                  <w:noWrap w:val="0"/>
                  <w:vAlign w:val="center"/>
                </w:tcPr>
                <w:p w14:paraId="17354EDF">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rFonts w:hint="eastAsia"/>
                      <w:color w:val="auto"/>
                      <w:spacing w:val="0"/>
                      <w:sz w:val="21"/>
                      <w:szCs w:val="21"/>
                      <w:highlight w:val="none"/>
                      <w:lang w:val="en-US" w:eastAsia="zh-CN"/>
                    </w:rPr>
                    <w:t>Al</w:t>
                  </w:r>
                  <w:r>
                    <w:rPr>
                      <w:color w:val="auto"/>
                      <w:spacing w:val="0"/>
                      <w:sz w:val="21"/>
                      <w:szCs w:val="21"/>
                      <w:highlight w:val="none"/>
                      <w:vertAlign w:val="subscript"/>
                    </w:rPr>
                    <w:t>2</w:t>
                  </w:r>
                  <w:r>
                    <w:rPr>
                      <w:color w:val="auto"/>
                      <w:spacing w:val="0"/>
                      <w:sz w:val="21"/>
                      <w:szCs w:val="21"/>
                      <w:highlight w:val="none"/>
                    </w:rPr>
                    <w:t>O</w:t>
                  </w:r>
                  <w:r>
                    <w:rPr>
                      <w:color w:val="auto"/>
                      <w:spacing w:val="0"/>
                      <w:sz w:val="21"/>
                      <w:szCs w:val="21"/>
                      <w:highlight w:val="none"/>
                      <w:vertAlign w:val="subscript"/>
                    </w:rPr>
                    <w:t>3</w:t>
                  </w:r>
                </w:p>
              </w:tc>
              <w:tc>
                <w:tcPr>
                  <w:tcW w:w="674" w:type="pct"/>
                  <w:tcBorders>
                    <w:tl2br w:val="nil"/>
                    <w:tr2bl w:val="nil"/>
                  </w:tcBorders>
                  <w:noWrap w:val="0"/>
                  <w:vAlign w:val="center"/>
                </w:tcPr>
                <w:p w14:paraId="2FB33BF0">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rFonts w:hint="eastAsia"/>
                      <w:color w:val="auto"/>
                      <w:spacing w:val="0"/>
                      <w:sz w:val="21"/>
                      <w:szCs w:val="21"/>
                      <w:highlight w:val="none"/>
                      <w:lang w:val="en-US" w:eastAsia="zh-CN"/>
                    </w:rPr>
                    <w:t>Fe</w:t>
                  </w:r>
                  <w:r>
                    <w:rPr>
                      <w:color w:val="auto"/>
                      <w:spacing w:val="0"/>
                      <w:sz w:val="21"/>
                      <w:szCs w:val="21"/>
                      <w:highlight w:val="none"/>
                      <w:vertAlign w:val="subscript"/>
                    </w:rPr>
                    <w:t>2</w:t>
                  </w:r>
                  <w:r>
                    <w:rPr>
                      <w:color w:val="auto"/>
                      <w:spacing w:val="0"/>
                      <w:sz w:val="21"/>
                      <w:szCs w:val="21"/>
                      <w:highlight w:val="none"/>
                    </w:rPr>
                    <w:t>O</w:t>
                  </w:r>
                  <w:r>
                    <w:rPr>
                      <w:color w:val="auto"/>
                      <w:spacing w:val="0"/>
                      <w:sz w:val="21"/>
                      <w:szCs w:val="21"/>
                      <w:highlight w:val="none"/>
                      <w:vertAlign w:val="subscript"/>
                    </w:rPr>
                    <w:t>3</w:t>
                  </w:r>
                </w:p>
              </w:tc>
              <w:tc>
                <w:tcPr>
                  <w:tcW w:w="674" w:type="pct"/>
                  <w:tcBorders>
                    <w:tl2br w:val="nil"/>
                    <w:tr2bl w:val="nil"/>
                  </w:tcBorders>
                  <w:noWrap w:val="0"/>
                  <w:vAlign w:val="center"/>
                </w:tcPr>
                <w:p w14:paraId="3605B94E">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rFonts w:hint="eastAsia"/>
                      <w:color w:val="auto"/>
                      <w:spacing w:val="0"/>
                      <w:sz w:val="21"/>
                      <w:szCs w:val="21"/>
                      <w:highlight w:val="none"/>
                      <w:lang w:val="en-US" w:eastAsia="zh-CN"/>
                    </w:rPr>
                    <w:t>Ti</w:t>
                  </w:r>
                  <w:r>
                    <w:rPr>
                      <w:color w:val="auto"/>
                      <w:spacing w:val="0"/>
                      <w:sz w:val="21"/>
                      <w:szCs w:val="21"/>
                      <w:highlight w:val="none"/>
                    </w:rPr>
                    <w:t>O</w:t>
                  </w:r>
                  <w:r>
                    <w:rPr>
                      <w:color w:val="auto"/>
                      <w:spacing w:val="0"/>
                      <w:sz w:val="21"/>
                      <w:szCs w:val="21"/>
                      <w:highlight w:val="none"/>
                      <w:vertAlign w:val="subscript"/>
                    </w:rPr>
                    <w:t>2</w:t>
                  </w:r>
                </w:p>
              </w:tc>
              <w:tc>
                <w:tcPr>
                  <w:tcW w:w="676" w:type="pct"/>
                  <w:tcBorders>
                    <w:tl2br w:val="nil"/>
                    <w:tr2bl w:val="nil"/>
                  </w:tcBorders>
                  <w:noWrap w:val="0"/>
                  <w:vAlign w:val="center"/>
                </w:tcPr>
                <w:p w14:paraId="1CC1DA87">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color w:val="auto"/>
                      <w:spacing w:val="0"/>
                      <w:sz w:val="21"/>
                      <w:szCs w:val="21"/>
                      <w:highlight w:val="none"/>
                    </w:rPr>
                  </w:pPr>
                  <w:r>
                    <w:rPr>
                      <w:color w:val="auto"/>
                      <w:spacing w:val="0"/>
                      <w:sz w:val="21"/>
                      <w:szCs w:val="21"/>
                      <w:highlight w:val="none"/>
                    </w:rPr>
                    <w:t>S</w:t>
                  </w:r>
                </w:p>
              </w:tc>
            </w:tr>
            <w:tr w14:paraId="1888B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42016C24">
                  <w:pPr>
                    <w:keepNext w:val="0"/>
                    <w:keepLines w:val="0"/>
                    <w:pageBreakBefore w:val="0"/>
                    <w:widowControl w:val="0"/>
                    <w:kinsoku/>
                    <w:wordWrap/>
                    <w:overflowPunct/>
                    <w:topLinePunct w:val="0"/>
                    <w:autoSpaceDE/>
                    <w:autoSpaceDN/>
                    <w:bidi w:val="0"/>
                    <w:spacing w:line="240" w:lineRule="auto"/>
                    <w:ind w:right="0" w:firstLine="0" w:firstLineChars="0"/>
                    <w:jc w:val="center"/>
                    <w:rPr>
                      <w:rFonts w:ascii="宋体" w:hAnsi="宋体"/>
                      <w:color w:val="auto"/>
                      <w:sz w:val="21"/>
                      <w:szCs w:val="21"/>
                      <w:highlight w:val="none"/>
                    </w:rPr>
                  </w:pPr>
                  <w:r>
                    <w:rPr>
                      <w:rFonts w:ascii="宋体" w:hAnsi="宋体"/>
                      <w:color w:val="auto"/>
                      <w:sz w:val="21"/>
                      <w:szCs w:val="21"/>
                      <w:highlight w:val="none"/>
                    </w:rPr>
                    <w:t>煤矸石</w:t>
                  </w:r>
                </w:p>
              </w:tc>
              <w:tc>
                <w:tcPr>
                  <w:tcW w:w="644" w:type="pct"/>
                  <w:tcBorders>
                    <w:tl2br w:val="nil"/>
                    <w:tr2bl w:val="nil"/>
                  </w:tcBorders>
                  <w:noWrap w:val="0"/>
                  <w:vAlign w:val="center"/>
                </w:tcPr>
                <w:p w14:paraId="37165104">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1.09</w:t>
                  </w:r>
                </w:p>
              </w:tc>
              <w:tc>
                <w:tcPr>
                  <w:tcW w:w="659" w:type="pct"/>
                  <w:tcBorders>
                    <w:tl2br w:val="nil"/>
                    <w:tr2bl w:val="nil"/>
                  </w:tcBorders>
                  <w:noWrap w:val="0"/>
                  <w:vAlign w:val="center"/>
                </w:tcPr>
                <w:p w14:paraId="587E96BD">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56.86</w:t>
                  </w:r>
                </w:p>
              </w:tc>
              <w:tc>
                <w:tcPr>
                  <w:tcW w:w="674" w:type="pct"/>
                  <w:tcBorders>
                    <w:tl2br w:val="nil"/>
                    <w:tr2bl w:val="nil"/>
                  </w:tcBorders>
                  <w:noWrap w:val="0"/>
                  <w:vAlign w:val="center"/>
                </w:tcPr>
                <w:p w14:paraId="28D80349">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18.48</w:t>
                  </w:r>
                </w:p>
              </w:tc>
              <w:tc>
                <w:tcPr>
                  <w:tcW w:w="674" w:type="pct"/>
                  <w:tcBorders>
                    <w:tl2br w:val="nil"/>
                    <w:tr2bl w:val="nil"/>
                  </w:tcBorders>
                  <w:noWrap w:val="0"/>
                  <w:vAlign w:val="center"/>
                </w:tcPr>
                <w:p w14:paraId="38D3B803">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4.14</w:t>
                  </w:r>
                </w:p>
              </w:tc>
              <w:tc>
                <w:tcPr>
                  <w:tcW w:w="674" w:type="pct"/>
                  <w:tcBorders>
                    <w:tl2br w:val="nil"/>
                    <w:tr2bl w:val="nil"/>
                  </w:tcBorders>
                  <w:noWrap w:val="0"/>
                  <w:vAlign w:val="center"/>
                </w:tcPr>
                <w:p w14:paraId="7E48F918">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0.64</w:t>
                  </w:r>
                </w:p>
              </w:tc>
              <w:tc>
                <w:tcPr>
                  <w:tcW w:w="676" w:type="pct"/>
                  <w:tcBorders>
                    <w:tl2br w:val="nil"/>
                    <w:tr2bl w:val="nil"/>
                  </w:tcBorders>
                  <w:noWrap w:val="0"/>
                  <w:vAlign w:val="center"/>
                </w:tcPr>
                <w:p w14:paraId="0AAECC1F">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0.04</w:t>
                  </w:r>
                </w:p>
              </w:tc>
            </w:tr>
            <w:tr w14:paraId="68596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7941C335">
                  <w:pPr>
                    <w:keepNext w:val="0"/>
                    <w:keepLines w:val="0"/>
                    <w:pageBreakBefore w:val="0"/>
                    <w:widowControl w:val="0"/>
                    <w:kinsoku/>
                    <w:wordWrap/>
                    <w:overflowPunct/>
                    <w:topLinePunct w:val="0"/>
                    <w:autoSpaceDE/>
                    <w:autoSpaceDN/>
                    <w:bidi w:val="0"/>
                    <w:spacing w:line="240" w:lineRule="auto"/>
                    <w:ind w:right="0" w:firstLine="0" w:firstLineChars="0"/>
                    <w:jc w:val="center"/>
                    <w:rPr>
                      <w:rFonts w:ascii="宋体" w:hAnsi="宋体"/>
                      <w:color w:val="auto"/>
                      <w:sz w:val="21"/>
                      <w:szCs w:val="21"/>
                      <w:highlight w:val="none"/>
                    </w:rPr>
                  </w:pPr>
                  <w:r>
                    <w:rPr>
                      <w:rFonts w:ascii="宋体" w:hAnsi="宋体"/>
                      <w:color w:val="auto"/>
                      <w:sz w:val="21"/>
                      <w:szCs w:val="21"/>
                      <w:highlight w:val="none"/>
                    </w:rPr>
                    <w:t>原料名称</w:t>
                  </w:r>
                </w:p>
              </w:tc>
              <w:tc>
                <w:tcPr>
                  <w:tcW w:w="644" w:type="pct"/>
                  <w:tcBorders>
                    <w:tl2br w:val="nil"/>
                    <w:tr2bl w:val="nil"/>
                  </w:tcBorders>
                  <w:noWrap w:val="0"/>
                  <w:vAlign w:val="center"/>
                </w:tcPr>
                <w:p w14:paraId="43C31CE1">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CaO</w:t>
                  </w:r>
                </w:p>
              </w:tc>
              <w:tc>
                <w:tcPr>
                  <w:tcW w:w="659" w:type="pct"/>
                  <w:tcBorders>
                    <w:tl2br w:val="nil"/>
                    <w:tr2bl w:val="nil"/>
                  </w:tcBorders>
                  <w:noWrap w:val="0"/>
                  <w:vAlign w:val="center"/>
                </w:tcPr>
                <w:p w14:paraId="435793BC">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MgO</w:t>
                  </w:r>
                </w:p>
              </w:tc>
              <w:tc>
                <w:tcPr>
                  <w:tcW w:w="674" w:type="pct"/>
                  <w:tcBorders>
                    <w:tl2br w:val="nil"/>
                    <w:tr2bl w:val="nil"/>
                  </w:tcBorders>
                  <w:noWrap w:val="0"/>
                  <w:vAlign w:val="center"/>
                </w:tcPr>
                <w:p w14:paraId="35B23628">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MnO</w:t>
                  </w:r>
                </w:p>
              </w:tc>
              <w:tc>
                <w:tcPr>
                  <w:tcW w:w="674" w:type="pct"/>
                  <w:tcBorders>
                    <w:tl2br w:val="nil"/>
                    <w:tr2bl w:val="nil"/>
                  </w:tcBorders>
                  <w:noWrap w:val="0"/>
                  <w:vAlign w:val="center"/>
                </w:tcPr>
                <w:p w14:paraId="674E7E15">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K</w:t>
                  </w:r>
                  <w:r>
                    <w:rPr>
                      <w:rFonts w:hint="eastAsia"/>
                      <w:color w:val="auto"/>
                      <w:spacing w:val="0"/>
                      <w:sz w:val="21"/>
                      <w:szCs w:val="21"/>
                      <w:highlight w:val="none"/>
                      <w:vertAlign w:val="subscript"/>
                      <w:lang w:val="en-US" w:eastAsia="zh-CN"/>
                    </w:rPr>
                    <w:t>2</w:t>
                  </w:r>
                  <w:r>
                    <w:rPr>
                      <w:rFonts w:hint="eastAsia"/>
                      <w:color w:val="auto"/>
                      <w:spacing w:val="0"/>
                      <w:sz w:val="21"/>
                      <w:szCs w:val="21"/>
                      <w:highlight w:val="none"/>
                      <w:lang w:val="en-US" w:eastAsia="zh-CN"/>
                    </w:rPr>
                    <w:t>O</w:t>
                  </w:r>
                </w:p>
              </w:tc>
              <w:tc>
                <w:tcPr>
                  <w:tcW w:w="674" w:type="pct"/>
                  <w:tcBorders>
                    <w:tl2br w:val="nil"/>
                    <w:tr2bl w:val="nil"/>
                  </w:tcBorders>
                  <w:noWrap w:val="0"/>
                  <w:vAlign w:val="center"/>
                </w:tcPr>
                <w:p w14:paraId="50DE15CD">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Na</w:t>
                  </w:r>
                  <w:r>
                    <w:rPr>
                      <w:rFonts w:hint="eastAsia"/>
                      <w:color w:val="auto"/>
                      <w:spacing w:val="0"/>
                      <w:sz w:val="21"/>
                      <w:szCs w:val="21"/>
                      <w:highlight w:val="none"/>
                      <w:vertAlign w:val="subscript"/>
                      <w:lang w:val="en-US" w:eastAsia="zh-CN"/>
                    </w:rPr>
                    <w:t>2</w:t>
                  </w:r>
                  <w:r>
                    <w:rPr>
                      <w:rFonts w:hint="eastAsia"/>
                      <w:color w:val="auto"/>
                      <w:spacing w:val="0"/>
                      <w:sz w:val="21"/>
                      <w:szCs w:val="21"/>
                      <w:highlight w:val="none"/>
                      <w:lang w:val="en-US" w:eastAsia="zh-CN"/>
                    </w:rPr>
                    <w:t>O</w:t>
                  </w:r>
                </w:p>
              </w:tc>
              <w:tc>
                <w:tcPr>
                  <w:tcW w:w="676" w:type="pct"/>
                  <w:tcBorders>
                    <w:tl2br w:val="nil"/>
                    <w:tr2bl w:val="nil"/>
                  </w:tcBorders>
                  <w:noWrap w:val="0"/>
                  <w:vAlign w:val="center"/>
                </w:tcPr>
                <w:p w14:paraId="14008FC6">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P</w:t>
                  </w:r>
                  <w:r>
                    <w:rPr>
                      <w:rFonts w:hint="eastAsia"/>
                      <w:color w:val="auto"/>
                      <w:spacing w:val="0"/>
                      <w:sz w:val="21"/>
                      <w:szCs w:val="21"/>
                      <w:highlight w:val="none"/>
                      <w:vertAlign w:val="subscript"/>
                      <w:lang w:val="en-US" w:eastAsia="zh-CN"/>
                    </w:rPr>
                    <w:t>2</w:t>
                  </w:r>
                  <w:r>
                    <w:rPr>
                      <w:rFonts w:hint="eastAsia"/>
                      <w:color w:val="auto"/>
                      <w:spacing w:val="0"/>
                      <w:sz w:val="21"/>
                      <w:szCs w:val="21"/>
                      <w:highlight w:val="none"/>
                      <w:lang w:val="en-US" w:eastAsia="zh-CN"/>
                    </w:rPr>
                    <w:t>0</w:t>
                  </w:r>
                  <w:r>
                    <w:rPr>
                      <w:rFonts w:hint="eastAsia"/>
                      <w:color w:val="auto"/>
                      <w:spacing w:val="0"/>
                      <w:sz w:val="21"/>
                      <w:szCs w:val="21"/>
                      <w:highlight w:val="none"/>
                      <w:vertAlign w:val="subscript"/>
                      <w:lang w:val="en-US" w:eastAsia="zh-CN"/>
                    </w:rPr>
                    <w:t>5</w:t>
                  </w:r>
                </w:p>
              </w:tc>
            </w:tr>
            <w:tr w14:paraId="6C4CB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3" w:type="pct"/>
                  <w:tcBorders>
                    <w:tl2br w:val="nil"/>
                    <w:tr2bl w:val="nil"/>
                  </w:tcBorders>
                  <w:noWrap w:val="0"/>
                  <w:vAlign w:val="center"/>
                </w:tcPr>
                <w:p w14:paraId="045F2DFD">
                  <w:pPr>
                    <w:keepNext w:val="0"/>
                    <w:keepLines w:val="0"/>
                    <w:pageBreakBefore w:val="0"/>
                    <w:widowControl w:val="0"/>
                    <w:kinsoku/>
                    <w:wordWrap/>
                    <w:overflowPunct/>
                    <w:topLinePunct w:val="0"/>
                    <w:autoSpaceDE/>
                    <w:autoSpaceDN/>
                    <w:bidi w:val="0"/>
                    <w:spacing w:line="240" w:lineRule="auto"/>
                    <w:ind w:right="0" w:firstLine="0" w:firstLineChars="0"/>
                    <w:jc w:val="center"/>
                    <w:rPr>
                      <w:rFonts w:ascii="宋体" w:hAnsi="宋体"/>
                      <w:color w:val="auto"/>
                      <w:sz w:val="21"/>
                      <w:szCs w:val="21"/>
                      <w:highlight w:val="none"/>
                    </w:rPr>
                  </w:pPr>
                  <w:r>
                    <w:rPr>
                      <w:rFonts w:ascii="宋体" w:hAnsi="宋体"/>
                      <w:color w:val="auto"/>
                      <w:sz w:val="21"/>
                      <w:szCs w:val="21"/>
                      <w:highlight w:val="none"/>
                    </w:rPr>
                    <w:t>煤矸石</w:t>
                  </w:r>
                </w:p>
              </w:tc>
              <w:tc>
                <w:tcPr>
                  <w:tcW w:w="644" w:type="pct"/>
                  <w:tcBorders>
                    <w:tl2br w:val="nil"/>
                    <w:tr2bl w:val="nil"/>
                  </w:tcBorders>
                  <w:noWrap w:val="0"/>
                  <w:vAlign w:val="center"/>
                </w:tcPr>
                <w:p w14:paraId="48B3B427">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0.34</w:t>
                  </w:r>
                </w:p>
              </w:tc>
              <w:tc>
                <w:tcPr>
                  <w:tcW w:w="659" w:type="pct"/>
                  <w:tcBorders>
                    <w:tl2br w:val="nil"/>
                    <w:tr2bl w:val="nil"/>
                  </w:tcBorders>
                  <w:noWrap w:val="0"/>
                  <w:vAlign w:val="center"/>
                </w:tcPr>
                <w:p w14:paraId="7B3EDBE3">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0.80</w:t>
                  </w:r>
                </w:p>
              </w:tc>
              <w:tc>
                <w:tcPr>
                  <w:tcW w:w="674" w:type="pct"/>
                  <w:tcBorders>
                    <w:tl2br w:val="nil"/>
                    <w:tr2bl w:val="nil"/>
                  </w:tcBorders>
                  <w:noWrap w:val="0"/>
                  <w:vAlign w:val="center"/>
                </w:tcPr>
                <w:p w14:paraId="6798C1AF">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0.066</w:t>
                  </w:r>
                </w:p>
              </w:tc>
              <w:tc>
                <w:tcPr>
                  <w:tcW w:w="674" w:type="pct"/>
                  <w:tcBorders>
                    <w:tl2br w:val="nil"/>
                    <w:tr2bl w:val="nil"/>
                  </w:tcBorders>
                  <w:noWrap w:val="0"/>
                  <w:vAlign w:val="center"/>
                </w:tcPr>
                <w:p w14:paraId="1CA4EF54">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4.35</w:t>
                  </w:r>
                </w:p>
              </w:tc>
              <w:tc>
                <w:tcPr>
                  <w:tcW w:w="674" w:type="pct"/>
                  <w:tcBorders>
                    <w:tl2br w:val="nil"/>
                    <w:tr2bl w:val="nil"/>
                  </w:tcBorders>
                  <w:noWrap w:val="0"/>
                  <w:vAlign w:val="center"/>
                </w:tcPr>
                <w:p w14:paraId="08B60812">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1.41</w:t>
                  </w:r>
                </w:p>
              </w:tc>
              <w:tc>
                <w:tcPr>
                  <w:tcW w:w="676" w:type="pct"/>
                  <w:tcBorders>
                    <w:tl2br w:val="nil"/>
                    <w:tr2bl w:val="nil"/>
                  </w:tcBorders>
                  <w:noWrap w:val="0"/>
                  <w:vAlign w:val="center"/>
                </w:tcPr>
                <w:p w14:paraId="4847D6F1">
                  <w:pPr>
                    <w:pStyle w:val="33"/>
                    <w:keepNext w:val="0"/>
                    <w:keepLines w:val="0"/>
                    <w:pageBreakBefore w:val="0"/>
                    <w:widowControl w:val="0"/>
                    <w:kinsoku/>
                    <w:wordWrap/>
                    <w:overflowPunct/>
                    <w:topLinePunct w:val="0"/>
                    <w:autoSpaceDE/>
                    <w:autoSpaceDN/>
                    <w:bidi w:val="0"/>
                    <w:spacing w:before="0" w:beforeLines="0" w:after="0" w:afterLines="0" w:line="240" w:lineRule="auto"/>
                    <w:ind w:right="0" w:firstLine="0" w:firstLineChars="0"/>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0.094</w:t>
                  </w:r>
                </w:p>
              </w:tc>
            </w:tr>
          </w:tbl>
          <w:p w14:paraId="1829C8F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表2-10 煤矸石指标表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2590"/>
              <w:gridCol w:w="2937"/>
              <w:gridCol w:w="1560"/>
            </w:tblGrid>
            <w:tr w14:paraId="6157F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restart"/>
                  <w:tcBorders>
                    <w:tl2br w:val="nil"/>
                    <w:tr2bl w:val="nil"/>
                  </w:tcBorders>
                  <w:noWrap w:val="0"/>
                  <w:vAlign w:val="center"/>
                </w:tcPr>
                <w:p w14:paraId="652F8BB9">
                  <w:pPr>
                    <w:widowControl/>
                    <w:spacing w:beforeLines="0" w:afterLines="0"/>
                    <w:jc w:val="center"/>
                    <w:rPr>
                      <w:rFonts w:hint="eastAsia"/>
                      <w:color w:val="auto"/>
                      <w:sz w:val="21"/>
                      <w:szCs w:val="21"/>
                      <w:highlight w:val="none"/>
                    </w:rPr>
                  </w:pPr>
                  <w:r>
                    <w:rPr>
                      <w:rFonts w:hint="eastAsia" w:eastAsia="宋体"/>
                      <w:color w:val="auto"/>
                      <w:sz w:val="21"/>
                      <w:szCs w:val="21"/>
                      <w:highlight w:val="none"/>
                    </w:rPr>
                    <w:t>品种</w:t>
                  </w:r>
                </w:p>
              </w:tc>
              <w:tc>
                <w:tcPr>
                  <w:tcW w:w="3295" w:type="pct"/>
                  <w:gridSpan w:val="2"/>
                  <w:tcBorders>
                    <w:tl2br w:val="nil"/>
                    <w:tr2bl w:val="nil"/>
                  </w:tcBorders>
                  <w:noWrap w:val="0"/>
                  <w:vAlign w:val="center"/>
                </w:tcPr>
                <w:p w14:paraId="3B942CD7">
                  <w:pPr>
                    <w:widowControl/>
                    <w:spacing w:beforeLines="0" w:afterLines="0"/>
                    <w:jc w:val="center"/>
                    <w:rPr>
                      <w:rFonts w:hint="eastAsia" w:eastAsia="宋体"/>
                      <w:color w:val="auto"/>
                      <w:sz w:val="21"/>
                      <w:szCs w:val="21"/>
                      <w:highlight w:val="none"/>
                    </w:rPr>
                  </w:pPr>
                  <w:r>
                    <w:rPr>
                      <w:rFonts w:hint="eastAsia" w:eastAsia="宋体"/>
                      <w:color w:val="auto"/>
                      <w:sz w:val="21"/>
                      <w:szCs w:val="21"/>
                      <w:highlight w:val="none"/>
                    </w:rPr>
                    <w:t>质量指标</w:t>
                  </w:r>
                </w:p>
              </w:tc>
              <w:tc>
                <w:tcPr>
                  <w:tcW w:w="930" w:type="pct"/>
                  <w:vMerge w:val="restart"/>
                  <w:tcBorders>
                    <w:tl2br w:val="nil"/>
                    <w:tr2bl w:val="nil"/>
                  </w:tcBorders>
                  <w:noWrap w:val="0"/>
                  <w:vAlign w:val="center"/>
                </w:tcPr>
                <w:p w14:paraId="0494E3D7">
                  <w:pPr>
                    <w:widowControl/>
                    <w:jc w:val="center"/>
                    <w:rPr>
                      <w:rFonts w:hint="eastAsia" w:eastAsia="宋体"/>
                      <w:color w:val="auto"/>
                      <w:sz w:val="21"/>
                      <w:szCs w:val="21"/>
                      <w:highlight w:val="none"/>
                    </w:rPr>
                  </w:pPr>
                  <w:r>
                    <w:rPr>
                      <w:rFonts w:hint="default" w:ascii="Times New Roman" w:hAnsi="Times New Roman" w:eastAsia="宋体" w:cs="Times New Roman"/>
                      <w:color w:val="auto"/>
                      <w:sz w:val="21"/>
                      <w:szCs w:val="21"/>
                      <w:highlight w:val="none"/>
                      <w:lang w:eastAsia="zh-CN"/>
                    </w:rPr>
                    <w:t>规格mm</w:t>
                  </w:r>
                </w:p>
              </w:tc>
            </w:tr>
            <w:tr w14:paraId="28F67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tcBorders>
                    <w:tl2br w:val="nil"/>
                    <w:tr2bl w:val="nil"/>
                  </w:tcBorders>
                  <w:noWrap w:val="0"/>
                  <w:vAlign w:val="center"/>
                </w:tcPr>
                <w:p w14:paraId="1FEF8BDC">
                  <w:pPr>
                    <w:widowControl/>
                    <w:spacing w:beforeLines="0" w:afterLines="0"/>
                    <w:jc w:val="center"/>
                    <w:rPr>
                      <w:rFonts w:hint="eastAsia"/>
                      <w:color w:val="auto"/>
                      <w:sz w:val="21"/>
                      <w:szCs w:val="21"/>
                      <w:highlight w:val="none"/>
                    </w:rPr>
                  </w:pPr>
                </w:p>
              </w:tc>
              <w:tc>
                <w:tcPr>
                  <w:tcW w:w="1544" w:type="pct"/>
                  <w:tcBorders>
                    <w:tl2br w:val="nil"/>
                    <w:tr2bl w:val="nil"/>
                  </w:tcBorders>
                  <w:noWrap w:val="0"/>
                  <w:vAlign w:val="center"/>
                </w:tcPr>
                <w:p w14:paraId="680893B9">
                  <w:pPr>
                    <w:widowControl/>
                    <w:spacing w:beforeLines="0" w:afterLines="0"/>
                    <w:jc w:val="center"/>
                    <w:rPr>
                      <w:rFonts w:hint="eastAsia" w:eastAsia="宋体"/>
                      <w:color w:val="auto"/>
                      <w:spacing w:val="0"/>
                      <w:sz w:val="21"/>
                      <w:szCs w:val="21"/>
                      <w:highlight w:val="none"/>
                    </w:rPr>
                  </w:pPr>
                  <w:r>
                    <w:rPr>
                      <w:rFonts w:hint="eastAsia" w:eastAsia="宋体"/>
                      <w:color w:val="auto"/>
                      <w:spacing w:val="0"/>
                      <w:sz w:val="21"/>
                      <w:szCs w:val="21"/>
                      <w:highlight w:val="none"/>
                    </w:rPr>
                    <w:t>干基高位发热量</w:t>
                  </w:r>
                </w:p>
              </w:tc>
              <w:tc>
                <w:tcPr>
                  <w:tcW w:w="1751" w:type="pct"/>
                  <w:tcBorders>
                    <w:tl2br w:val="nil"/>
                    <w:tr2bl w:val="nil"/>
                  </w:tcBorders>
                  <w:noWrap w:val="0"/>
                  <w:vAlign w:val="center"/>
                </w:tcPr>
                <w:p w14:paraId="78D83230">
                  <w:pPr>
                    <w:widowControl/>
                    <w:spacing w:beforeLines="0" w:afterLines="0"/>
                    <w:jc w:val="center"/>
                    <w:rPr>
                      <w:rFonts w:hint="eastAsia" w:eastAsia="宋体"/>
                      <w:color w:val="auto"/>
                      <w:spacing w:val="0"/>
                      <w:sz w:val="21"/>
                      <w:szCs w:val="24"/>
                      <w:highlight w:val="none"/>
                    </w:rPr>
                  </w:pPr>
                  <w:r>
                    <w:rPr>
                      <w:rFonts w:hint="eastAsia" w:eastAsia="宋体"/>
                      <w:color w:val="auto"/>
                      <w:spacing w:val="0"/>
                      <w:sz w:val="21"/>
                      <w:szCs w:val="24"/>
                      <w:highlight w:val="none"/>
                    </w:rPr>
                    <w:t>收到基低位发热量</w:t>
                  </w:r>
                </w:p>
              </w:tc>
              <w:tc>
                <w:tcPr>
                  <w:tcW w:w="930" w:type="pct"/>
                  <w:vMerge w:val="continue"/>
                  <w:tcBorders>
                    <w:tl2br w:val="nil"/>
                    <w:tr2bl w:val="nil"/>
                  </w:tcBorders>
                  <w:noWrap w:val="0"/>
                  <w:vAlign w:val="center"/>
                </w:tcPr>
                <w:p w14:paraId="6435A7D0">
                  <w:pPr>
                    <w:widowControl/>
                    <w:spacing w:beforeLines="0" w:afterLines="0"/>
                    <w:jc w:val="center"/>
                    <w:rPr>
                      <w:rFonts w:hint="eastAsia" w:eastAsia="宋体"/>
                      <w:color w:val="auto"/>
                      <w:spacing w:val="1"/>
                      <w:sz w:val="21"/>
                      <w:szCs w:val="24"/>
                      <w:highlight w:val="none"/>
                    </w:rPr>
                  </w:pPr>
                </w:p>
              </w:tc>
            </w:tr>
            <w:tr w14:paraId="56883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tcBorders>
                    <w:tl2br w:val="nil"/>
                    <w:tr2bl w:val="nil"/>
                  </w:tcBorders>
                  <w:noWrap w:val="0"/>
                  <w:vAlign w:val="center"/>
                </w:tcPr>
                <w:p w14:paraId="101448BD">
                  <w:pPr>
                    <w:widowControl/>
                    <w:spacing w:beforeLines="0" w:afterLines="0"/>
                    <w:jc w:val="center"/>
                    <w:rPr>
                      <w:rFonts w:hint="eastAsia"/>
                      <w:color w:val="auto"/>
                      <w:sz w:val="21"/>
                      <w:szCs w:val="21"/>
                      <w:highlight w:val="none"/>
                    </w:rPr>
                  </w:pPr>
                  <w:r>
                    <w:rPr>
                      <w:rFonts w:hint="eastAsia" w:eastAsia="宋体"/>
                      <w:color w:val="auto"/>
                      <w:sz w:val="21"/>
                      <w:szCs w:val="21"/>
                      <w:highlight w:val="none"/>
                    </w:rPr>
                    <w:t>煤矸石</w:t>
                  </w:r>
                </w:p>
              </w:tc>
              <w:tc>
                <w:tcPr>
                  <w:tcW w:w="1544" w:type="pct"/>
                  <w:tcBorders>
                    <w:tl2br w:val="nil"/>
                    <w:tr2bl w:val="nil"/>
                  </w:tcBorders>
                  <w:noWrap w:val="0"/>
                  <w:vAlign w:val="center"/>
                </w:tcPr>
                <w:p w14:paraId="536364E9">
                  <w:pPr>
                    <w:widowControl/>
                    <w:spacing w:beforeLines="0" w:afterLines="0"/>
                    <w:jc w:val="center"/>
                    <w:rPr>
                      <w:rFonts w:hint="eastAsia"/>
                      <w:color w:val="auto"/>
                      <w:spacing w:val="0"/>
                      <w:sz w:val="21"/>
                      <w:szCs w:val="21"/>
                      <w:highlight w:val="none"/>
                    </w:rPr>
                  </w:pPr>
                  <w:r>
                    <w:rPr>
                      <w:rFonts w:hint="eastAsia"/>
                      <w:color w:val="auto"/>
                      <w:spacing w:val="0"/>
                      <w:sz w:val="21"/>
                      <w:szCs w:val="24"/>
                      <w:highlight w:val="none"/>
                      <w:lang w:val="en-US" w:eastAsia="zh-CN"/>
                    </w:rPr>
                    <w:t>594</w:t>
                  </w:r>
                  <w:r>
                    <w:rPr>
                      <w:rFonts w:hint="eastAsia"/>
                      <w:color w:val="auto"/>
                      <w:spacing w:val="0"/>
                      <w:sz w:val="21"/>
                      <w:szCs w:val="24"/>
                      <w:highlight w:val="none"/>
                    </w:rPr>
                    <w:t>kcal/kg</w:t>
                  </w:r>
                </w:p>
              </w:tc>
              <w:tc>
                <w:tcPr>
                  <w:tcW w:w="1751" w:type="pct"/>
                  <w:tcBorders>
                    <w:tl2br w:val="nil"/>
                    <w:tr2bl w:val="nil"/>
                  </w:tcBorders>
                  <w:noWrap w:val="0"/>
                  <w:vAlign w:val="center"/>
                </w:tcPr>
                <w:p w14:paraId="489D09B5">
                  <w:pPr>
                    <w:widowControl/>
                    <w:spacing w:beforeLines="0" w:afterLines="0"/>
                    <w:jc w:val="center"/>
                    <w:rPr>
                      <w:rFonts w:hint="eastAsia"/>
                      <w:color w:val="auto"/>
                      <w:spacing w:val="0"/>
                      <w:sz w:val="21"/>
                      <w:szCs w:val="21"/>
                      <w:highlight w:val="none"/>
                    </w:rPr>
                  </w:pPr>
                  <w:r>
                    <w:rPr>
                      <w:rFonts w:hint="eastAsia"/>
                      <w:color w:val="auto"/>
                      <w:spacing w:val="0"/>
                      <w:sz w:val="21"/>
                      <w:szCs w:val="24"/>
                      <w:highlight w:val="none"/>
                      <w:lang w:val="en-US" w:eastAsia="zh-CN"/>
                    </w:rPr>
                    <w:t>387</w:t>
                  </w:r>
                  <w:r>
                    <w:rPr>
                      <w:rFonts w:hint="eastAsia"/>
                      <w:color w:val="auto"/>
                      <w:spacing w:val="0"/>
                      <w:sz w:val="21"/>
                      <w:szCs w:val="24"/>
                      <w:highlight w:val="none"/>
                    </w:rPr>
                    <w:t>kcal/kg</w:t>
                  </w:r>
                </w:p>
              </w:tc>
              <w:tc>
                <w:tcPr>
                  <w:tcW w:w="930" w:type="pct"/>
                  <w:tcBorders>
                    <w:tl2br w:val="nil"/>
                    <w:tr2bl w:val="nil"/>
                  </w:tcBorders>
                  <w:noWrap w:val="0"/>
                  <w:vAlign w:val="center"/>
                </w:tcPr>
                <w:p w14:paraId="4592BF38">
                  <w:pPr>
                    <w:widowControl/>
                    <w:jc w:val="center"/>
                    <w:rPr>
                      <w:rFonts w:hint="eastAsia"/>
                      <w:color w:val="auto"/>
                      <w:spacing w:val="-6"/>
                      <w:sz w:val="21"/>
                      <w:szCs w:val="24"/>
                      <w:highlight w:val="none"/>
                      <w:lang w:val="en-US" w:eastAsia="zh-CN"/>
                    </w:rPr>
                  </w:pPr>
                  <w:r>
                    <w:rPr>
                      <w:rFonts w:hint="default" w:ascii="Times New Roman" w:hAnsi="Times New Roman" w:cs="Times New Roman"/>
                      <w:color w:val="auto"/>
                      <w:sz w:val="21"/>
                      <w:szCs w:val="21"/>
                      <w:highlight w:val="none"/>
                      <w:lang w:eastAsia="zh-CN"/>
                    </w:rPr>
                    <w:t>＜1000</w:t>
                  </w:r>
                </w:p>
              </w:tc>
            </w:tr>
          </w:tbl>
          <w:p w14:paraId="18A9EB8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w:t>
            </w:r>
            <w:r>
              <w:rPr>
                <w:rFonts w:hint="eastAsia" w:ascii="Times New Roman" w:hAnsi="Times New Roman" w:eastAsia="宋体" w:cs="Times New Roman"/>
                <w:color w:val="auto"/>
                <w:sz w:val="24"/>
                <w:szCs w:val="24"/>
                <w:highlight w:val="none"/>
                <w:lang w:eastAsia="zh-CN"/>
              </w:rPr>
              <w:t>物料平衡</w:t>
            </w:r>
          </w:p>
          <w:p w14:paraId="492C369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表2-11</w:t>
            </w:r>
            <w:r>
              <w:rPr>
                <w:rFonts w:hint="default" w:ascii="Times New Roman" w:hAnsi="Times New Roman" w:eastAsia="黑体" w:cs="Times New Roman"/>
                <w:b w:val="0"/>
                <w:bCs/>
                <w:color w:val="auto"/>
                <w:spacing w:val="0"/>
                <w:kern w:val="2"/>
                <w:sz w:val="24"/>
                <w:szCs w:val="24"/>
                <w:highlight w:val="none"/>
                <w:lang w:val="en-US" w:eastAsia="zh-CN" w:bidi="ar-SA"/>
              </w:rPr>
              <w:t xml:space="preserve">  </w:t>
            </w:r>
            <w:r>
              <w:rPr>
                <w:rFonts w:hint="eastAsia" w:ascii="Times New Roman" w:hAnsi="Times New Roman" w:eastAsia="黑体" w:cs="Times New Roman"/>
                <w:b w:val="0"/>
                <w:bCs/>
                <w:color w:val="auto"/>
                <w:spacing w:val="0"/>
                <w:kern w:val="2"/>
                <w:sz w:val="24"/>
                <w:szCs w:val="24"/>
                <w:highlight w:val="none"/>
                <w:lang w:val="en-US" w:eastAsia="zh-CN" w:bidi="ar-SA"/>
              </w:rPr>
              <w:t>物料平衡一览表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35"/>
              <w:gridCol w:w="1016"/>
              <w:gridCol w:w="1558"/>
              <w:gridCol w:w="2568"/>
              <w:gridCol w:w="1290"/>
              <w:gridCol w:w="1117"/>
            </w:tblGrid>
            <w:tr w14:paraId="27AFB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vMerge w:val="restart"/>
                  <w:tcBorders>
                    <w:tl2br w:val="nil"/>
                    <w:tr2bl w:val="nil"/>
                  </w:tcBorders>
                  <w:noWrap w:val="0"/>
                  <w:vAlign w:val="center"/>
                </w:tcPr>
                <w:p w14:paraId="4E2670A3">
                  <w:pPr>
                    <w:spacing w:beforeLines="0" w:afterLines="0"/>
                    <w:jc w:val="center"/>
                    <w:textAlignment w:val="top"/>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bidi="ar"/>
                    </w:rPr>
                    <w:t>序号</w:t>
                  </w:r>
                </w:p>
              </w:tc>
              <w:tc>
                <w:tcPr>
                  <w:tcW w:w="1535" w:type="pct"/>
                  <w:gridSpan w:val="2"/>
                  <w:tcBorders>
                    <w:tl2br w:val="nil"/>
                    <w:tr2bl w:val="nil"/>
                  </w:tcBorders>
                  <w:noWrap w:val="0"/>
                  <w:vAlign w:val="center"/>
                </w:tcPr>
                <w:p w14:paraId="455CCF54">
                  <w:pPr>
                    <w:spacing w:beforeLines="0" w:afterLines="0"/>
                    <w:jc w:val="center"/>
                    <w:textAlignment w:val="top"/>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bidi="ar"/>
                    </w:rPr>
                    <w:t>输入（t/a）</w:t>
                  </w:r>
                </w:p>
              </w:tc>
              <w:tc>
                <w:tcPr>
                  <w:tcW w:w="2966" w:type="pct"/>
                  <w:gridSpan w:val="3"/>
                  <w:tcBorders>
                    <w:tl2br w:val="nil"/>
                    <w:tr2bl w:val="nil"/>
                  </w:tcBorders>
                  <w:noWrap w:val="0"/>
                  <w:vAlign w:val="center"/>
                </w:tcPr>
                <w:p w14:paraId="78A0DE04">
                  <w:pPr>
                    <w:spacing w:beforeLines="0" w:afterLines="0"/>
                    <w:jc w:val="center"/>
                    <w:textAlignment w:val="top"/>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bidi="ar"/>
                    </w:rPr>
                    <w:t>输出（t/a）</w:t>
                  </w:r>
                </w:p>
              </w:tc>
            </w:tr>
            <w:tr w14:paraId="4AEAD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vMerge w:val="continue"/>
                  <w:tcBorders>
                    <w:tl2br w:val="nil"/>
                    <w:tr2bl w:val="nil"/>
                  </w:tcBorders>
                  <w:noWrap w:val="0"/>
                  <w:vAlign w:val="center"/>
                </w:tcPr>
                <w:p w14:paraId="71EA28A4">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p>
              </w:tc>
              <w:tc>
                <w:tcPr>
                  <w:tcW w:w="606" w:type="pct"/>
                  <w:tcBorders>
                    <w:tl2br w:val="nil"/>
                    <w:tr2bl w:val="nil"/>
                  </w:tcBorders>
                  <w:noWrap w:val="0"/>
                  <w:vAlign w:val="center"/>
                </w:tcPr>
                <w:p w14:paraId="4BD1C126">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rPr>
                    <w:t>名称</w:t>
                  </w:r>
                </w:p>
              </w:tc>
              <w:tc>
                <w:tcPr>
                  <w:tcW w:w="928" w:type="pct"/>
                  <w:tcBorders>
                    <w:tl2br w:val="nil"/>
                    <w:tr2bl w:val="nil"/>
                  </w:tcBorders>
                  <w:noWrap w:val="0"/>
                  <w:vAlign w:val="center"/>
                </w:tcPr>
                <w:p w14:paraId="1A9B2F73">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rPr>
                    <w:t>用量</w:t>
                  </w:r>
                </w:p>
              </w:tc>
              <w:tc>
                <w:tcPr>
                  <w:tcW w:w="1531" w:type="pct"/>
                  <w:tcBorders>
                    <w:tl2br w:val="nil"/>
                    <w:tr2bl w:val="nil"/>
                  </w:tcBorders>
                  <w:noWrap w:val="0"/>
                  <w:vAlign w:val="center"/>
                </w:tcPr>
                <w:p w14:paraId="45C61079">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rPr>
                    <w:t>名称</w:t>
                  </w:r>
                </w:p>
              </w:tc>
              <w:tc>
                <w:tcPr>
                  <w:tcW w:w="769" w:type="pct"/>
                  <w:tcBorders>
                    <w:tl2br w:val="nil"/>
                    <w:tr2bl w:val="nil"/>
                  </w:tcBorders>
                  <w:noWrap w:val="0"/>
                  <w:vAlign w:val="center"/>
                </w:tcPr>
                <w:p w14:paraId="4111DE75">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rPr>
                    <w:t>用量</w:t>
                  </w:r>
                </w:p>
              </w:tc>
              <w:tc>
                <w:tcPr>
                  <w:tcW w:w="666" w:type="pct"/>
                  <w:tcBorders>
                    <w:tl2br w:val="nil"/>
                    <w:tr2bl w:val="nil"/>
                  </w:tcBorders>
                  <w:noWrap w:val="0"/>
                  <w:vAlign w:val="center"/>
                </w:tcPr>
                <w:p w14:paraId="7086D119">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备注</w:t>
                  </w:r>
                </w:p>
              </w:tc>
            </w:tr>
            <w:tr w14:paraId="24C12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5CBB3DC7">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bidi="ar"/>
                    </w:rPr>
                    <w:t>1</w:t>
                  </w:r>
                </w:p>
              </w:tc>
              <w:tc>
                <w:tcPr>
                  <w:tcW w:w="606" w:type="pct"/>
                  <w:tcBorders>
                    <w:tl2br w:val="nil"/>
                    <w:tr2bl w:val="nil"/>
                  </w:tcBorders>
                  <w:noWrap w:val="0"/>
                  <w:vAlign w:val="center"/>
                </w:tcPr>
                <w:p w14:paraId="18C97CCE">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煤矸石</w:t>
                  </w:r>
                </w:p>
              </w:tc>
              <w:tc>
                <w:tcPr>
                  <w:tcW w:w="928" w:type="pct"/>
                  <w:tcBorders>
                    <w:tl2br w:val="nil"/>
                    <w:tr2bl w:val="nil"/>
                  </w:tcBorders>
                  <w:noWrap w:val="0"/>
                  <w:vAlign w:val="center"/>
                </w:tcPr>
                <w:p w14:paraId="6B7DEEFB">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346500</w:t>
                  </w:r>
                </w:p>
              </w:tc>
              <w:tc>
                <w:tcPr>
                  <w:tcW w:w="1531" w:type="pct"/>
                  <w:tcBorders>
                    <w:tl2br w:val="nil"/>
                    <w:tr2bl w:val="nil"/>
                  </w:tcBorders>
                  <w:noWrap w:val="0"/>
                  <w:vAlign w:val="center"/>
                </w:tcPr>
                <w:p w14:paraId="5EB1AF36">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
                    </w:rPr>
                    <w:t>煤矸石标砖</w:t>
                  </w:r>
                </w:p>
              </w:tc>
              <w:tc>
                <w:tcPr>
                  <w:tcW w:w="769" w:type="pct"/>
                  <w:tcBorders>
                    <w:tl2br w:val="nil"/>
                    <w:tr2bl w:val="nil"/>
                  </w:tcBorders>
                  <w:noWrap w:val="0"/>
                  <w:vAlign w:val="center"/>
                </w:tcPr>
                <w:p w14:paraId="7BA1D5BD">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297680</w:t>
                  </w:r>
                </w:p>
              </w:tc>
              <w:tc>
                <w:tcPr>
                  <w:tcW w:w="666" w:type="pct"/>
                  <w:tcBorders>
                    <w:tl2br w:val="nil"/>
                    <w:tr2bl w:val="nil"/>
                  </w:tcBorders>
                  <w:noWrap w:val="0"/>
                  <w:vAlign w:val="center"/>
                </w:tcPr>
                <w:p w14:paraId="6532F5D3">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产品</w:t>
                  </w:r>
                </w:p>
              </w:tc>
            </w:tr>
            <w:tr w14:paraId="646EA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65330A28">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bidi="ar"/>
                    </w:rPr>
                    <w:t>2</w:t>
                  </w:r>
                </w:p>
              </w:tc>
              <w:tc>
                <w:tcPr>
                  <w:tcW w:w="606" w:type="pct"/>
                  <w:tcBorders>
                    <w:tl2br w:val="nil"/>
                    <w:tr2bl w:val="nil"/>
                  </w:tcBorders>
                  <w:noWrap w:val="0"/>
                  <w:vAlign w:val="center"/>
                </w:tcPr>
                <w:p w14:paraId="28C8F7D0">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水</w:t>
                  </w:r>
                </w:p>
              </w:tc>
              <w:tc>
                <w:tcPr>
                  <w:tcW w:w="928" w:type="pct"/>
                  <w:tcBorders>
                    <w:tl2br w:val="nil"/>
                    <w:tr2bl w:val="nil"/>
                  </w:tcBorders>
                  <w:noWrap w:val="0"/>
                  <w:vAlign w:val="center"/>
                </w:tcPr>
                <w:p w14:paraId="3D42421F">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000</w:t>
                  </w:r>
                </w:p>
              </w:tc>
              <w:tc>
                <w:tcPr>
                  <w:tcW w:w="1531" w:type="pct"/>
                  <w:tcBorders>
                    <w:tl2br w:val="nil"/>
                    <w:tr2bl w:val="nil"/>
                  </w:tcBorders>
                  <w:noWrap w:val="0"/>
                  <w:vAlign w:val="center"/>
                </w:tcPr>
                <w:p w14:paraId="1E202CD3">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排放二氧化硫</w:t>
                  </w:r>
                </w:p>
              </w:tc>
              <w:tc>
                <w:tcPr>
                  <w:tcW w:w="769" w:type="pct"/>
                  <w:tcBorders>
                    <w:tl2br w:val="nil"/>
                    <w:tr2bl w:val="nil"/>
                  </w:tcBorders>
                  <w:noWrap w:val="0"/>
                  <w:vAlign w:val="center"/>
                </w:tcPr>
                <w:p w14:paraId="04255E6C">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13.87</w:t>
                  </w:r>
                </w:p>
              </w:tc>
              <w:tc>
                <w:tcPr>
                  <w:tcW w:w="666" w:type="pct"/>
                  <w:tcBorders>
                    <w:tl2br w:val="nil"/>
                    <w:tr2bl w:val="nil"/>
                  </w:tcBorders>
                  <w:noWrap w:val="0"/>
                  <w:vAlign w:val="center"/>
                </w:tcPr>
                <w:p w14:paraId="174EBD23">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6C6150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1C93672E">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bidi="ar"/>
                    </w:rPr>
                    <w:t>3</w:t>
                  </w:r>
                </w:p>
              </w:tc>
              <w:tc>
                <w:tcPr>
                  <w:tcW w:w="606" w:type="pct"/>
                  <w:tcBorders>
                    <w:tl2br w:val="nil"/>
                    <w:tr2bl w:val="nil"/>
                  </w:tcBorders>
                  <w:noWrap w:val="0"/>
                  <w:vAlign w:val="center"/>
                </w:tcPr>
                <w:p w14:paraId="12D96E66">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p>
              </w:tc>
              <w:tc>
                <w:tcPr>
                  <w:tcW w:w="928" w:type="pct"/>
                  <w:tcBorders>
                    <w:tl2br w:val="nil"/>
                    <w:tr2bl w:val="nil"/>
                  </w:tcBorders>
                  <w:noWrap w:val="0"/>
                  <w:vAlign w:val="center"/>
                </w:tcPr>
                <w:p w14:paraId="71D253B2">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31ED58C5">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排放氮氧化物</w:t>
                  </w:r>
                </w:p>
              </w:tc>
              <w:tc>
                <w:tcPr>
                  <w:tcW w:w="769" w:type="pct"/>
                  <w:tcBorders>
                    <w:tl2br w:val="nil"/>
                    <w:tr2bl w:val="nil"/>
                  </w:tcBorders>
                  <w:noWrap w:val="0"/>
                  <w:vAlign w:val="center"/>
                </w:tcPr>
                <w:p w14:paraId="7216378B">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44.88</w:t>
                  </w:r>
                </w:p>
              </w:tc>
              <w:tc>
                <w:tcPr>
                  <w:tcW w:w="666" w:type="pct"/>
                  <w:tcBorders>
                    <w:tl2br w:val="nil"/>
                    <w:tr2bl w:val="nil"/>
                  </w:tcBorders>
                  <w:noWrap w:val="0"/>
                  <w:vAlign w:val="center"/>
                </w:tcPr>
                <w:p w14:paraId="273BB2B5">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6F3519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3633E076">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w:t>
                  </w:r>
                </w:p>
              </w:tc>
              <w:tc>
                <w:tcPr>
                  <w:tcW w:w="606" w:type="pct"/>
                  <w:tcBorders>
                    <w:tl2br w:val="nil"/>
                    <w:tr2bl w:val="nil"/>
                  </w:tcBorders>
                  <w:noWrap w:val="0"/>
                  <w:vAlign w:val="center"/>
                </w:tcPr>
                <w:p w14:paraId="65A0AF28">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4D6DCAA8">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52EF7A22">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排放颗粒物</w:t>
                  </w:r>
                </w:p>
              </w:tc>
              <w:tc>
                <w:tcPr>
                  <w:tcW w:w="769" w:type="pct"/>
                  <w:tcBorders>
                    <w:tl2br w:val="nil"/>
                    <w:tr2bl w:val="nil"/>
                  </w:tcBorders>
                  <w:noWrap w:val="0"/>
                  <w:vAlign w:val="center"/>
                </w:tcPr>
                <w:p w14:paraId="096BF3D1">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16.7</w:t>
                  </w:r>
                </w:p>
              </w:tc>
              <w:tc>
                <w:tcPr>
                  <w:tcW w:w="666" w:type="pct"/>
                  <w:tcBorders>
                    <w:tl2br w:val="nil"/>
                    <w:tr2bl w:val="nil"/>
                  </w:tcBorders>
                  <w:noWrap w:val="0"/>
                  <w:vAlign w:val="center"/>
                </w:tcPr>
                <w:p w14:paraId="20462EB9">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02DD3F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4558D4F9">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w:t>
                  </w:r>
                </w:p>
              </w:tc>
              <w:tc>
                <w:tcPr>
                  <w:tcW w:w="606" w:type="pct"/>
                  <w:tcBorders>
                    <w:tl2br w:val="nil"/>
                    <w:tr2bl w:val="nil"/>
                  </w:tcBorders>
                  <w:noWrap w:val="0"/>
                  <w:vAlign w:val="center"/>
                </w:tcPr>
                <w:p w14:paraId="457FBD2F">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4F04E479">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1495B92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排放氟化物</w:t>
                  </w:r>
                </w:p>
              </w:tc>
              <w:tc>
                <w:tcPr>
                  <w:tcW w:w="769" w:type="pct"/>
                  <w:tcBorders>
                    <w:tl2br w:val="nil"/>
                    <w:tr2bl w:val="nil"/>
                  </w:tcBorders>
                  <w:noWrap w:val="0"/>
                  <w:vAlign w:val="center"/>
                </w:tcPr>
                <w:p w14:paraId="5BC79C33">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3.01</w:t>
                  </w:r>
                </w:p>
              </w:tc>
              <w:tc>
                <w:tcPr>
                  <w:tcW w:w="666" w:type="pct"/>
                  <w:tcBorders>
                    <w:tl2br w:val="nil"/>
                    <w:tr2bl w:val="nil"/>
                  </w:tcBorders>
                  <w:noWrap w:val="0"/>
                  <w:vAlign w:val="center"/>
                </w:tcPr>
                <w:p w14:paraId="1BE7E11D">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0DEC1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73C55C33">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6</w:t>
                  </w:r>
                </w:p>
              </w:tc>
              <w:tc>
                <w:tcPr>
                  <w:tcW w:w="606" w:type="pct"/>
                  <w:tcBorders>
                    <w:tl2br w:val="nil"/>
                    <w:tr2bl w:val="nil"/>
                  </w:tcBorders>
                  <w:noWrap w:val="0"/>
                  <w:vAlign w:val="center"/>
                </w:tcPr>
                <w:p w14:paraId="1AB6631E">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6B93A1C1">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7D2C8F36">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无组织排放（颗粒物）</w:t>
                  </w:r>
                </w:p>
              </w:tc>
              <w:tc>
                <w:tcPr>
                  <w:tcW w:w="769" w:type="pct"/>
                  <w:tcBorders>
                    <w:tl2br w:val="nil"/>
                    <w:tr2bl w:val="nil"/>
                  </w:tcBorders>
                  <w:noWrap w:val="0"/>
                  <w:vAlign w:val="center"/>
                </w:tcPr>
                <w:p w14:paraId="705C2F1F">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2.46</w:t>
                  </w:r>
                </w:p>
              </w:tc>
              <w:tc>
                <w:tcPr>
                  <w:tcW w:w="666" w:type="pct"/>
                  <w:tcBorders>
                    <w:tl2br w:val="nil"/>
                    <w:tr2bl w:val="nil"/>
                  </w:tcBorders>
                  <w:noWrap w:val="0"/>
                  <w:vAlign w:val="center"/>
                </w:tcPr>
                <w:p w14:paraId="5312E37F">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290753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331615C4">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w:t>
                  </w:r>
                </w:p>
              </w:tc>
              <w:tc>
                <w:tcPr>
                  <w:tcW w:w="606" w:type="pct"/>
                  <w:tcBorders>
                    <w:tl2br w:val="nil"/>
                    <w:tr2bl w:val="nil"/>
                  </w:tcBorders>
                  <w:noWrap w:val="0"/>
                  <w:vAlign w:val="center"/>
                </w:tcPr>
                <w:p w14:paraId="46DFAC50">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14E63217">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4E0375DF">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烧失量</w:t>
                  </w:r>
                </w:p>
              </w:tc>
              <w:tc>
                <w:tcPr>
                  <w:tcW w:w="769" w:type="pct"/>
                  <w:tcBorders>
                    <w:tl2br w:val="nil"/>
                    <w:tr2bl w:val="nil"/>
                  </w:tcBorders>
                  <w:noWrap w:val="0"/>
                  <w:vAlign w:val="center"/>
                </w:tcPr>
                <w:p w14:paraId="21D7BDA7">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3776.85</w:t>
                  </w:r>
                </w:p>
              </w:tc>
              <w:tc>
                <w:tcPr>
                  <w:tcW w:w="666" w:type="pct"/>
                  <w:tcBorders>
                    <w:tl2br w:val="nil"/>
                    <w:tr2bl w:val="nil"/>
                  </w:tcBorders>
                  <w:noWrap w:val="0"/>
                  <w:vAlign w:val="center"/>
                </w:tcPr>
                <w:p w14:paraId="7B7CBCE4">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r w14:paraId="1E8CDC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675CA867">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w:t>
                  </w:r>
                </w:p>
              </w:tc>
              <w:tc>
                <w:tcPr>
                  <w:tcW w:w="606" w:type="pct"/>
                  <w:tcBorders>
                    <w:tl2br w:val="nil"/>
                    <w:tr2bl w:val="nil"/>
                  </w:tcBorders>
                  <w:noWrap w:val="0"/>
                  <w:vAlign w:val="center"/>
                </w:tcPr>
                <w:p w14:paraId="5CB51A2B">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6517E577">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7C4402BB">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val="en-US" w:eastAsia="zh-CN" w:bidi="ar"/>
                    </w:rPr>
                    <w:t>除尘</w:t>
                  </w:r>
                  <w:r>
                    <w:rPr>
                      <w:rFonts w:hint="eastAsia" w:ascii="Times New Roman" w:hAnsi="Times New Roman" w:eastAsia="宋体" w:cs="Times New Roman"/>
                      <w:color w:val="auto"/>
                      <w:sz w:val="21"/>
                      <w:szCs w:val="21"/>
                      <w:highlight w:val="none"/>
                      <w:lang w:eastAsia="zh-CN" w:bidi="ar"/>
                    </w:rPr>
                    <w:t>灰</w:t>
                  </w:r>
                </w:p>
              </w:tc>
              <w:tc>
                <w:tcPr>
                  <w:tcW w:w="769" w:type="pct"/>
                  <w:tcBorders>
                    <w:tl2br w:val="nil"/>
                    <w:tr2bl w:val="nil"/>
                  </w:tcBorders>
                  <w:noWrap w:val="0"/>
                  <w:vAlign w:val="center"/>
                </w:tcPr>
                <w:p w14:paraId="63485B8E">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82</w:t>
                  </w:r>
                </w:p>
              </w:tc>
              <w:tc>
                <w:tcPr>
                  <w:tcW w:w="666" w:type="pct"/>
                  <w:tcBorders>
                    <w:tl2br w:val="nil"/>
                    <w:tr2bl w:val="nil"/>
                  </w:tcBorders>
                  <w:noWrap w:val="0"/>
                  <w:vAlign w:val="center"/>
                </w:tcPr>
                <w:p w14:paraId="06CA2E0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回用</w:t>
                  </w:r>
                </w:p>
              </w:tc>
            </w:tr>
            <w:tr w14:paraId="788BF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34618CF3">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w:t>
                  </w:r>
                </w:p>
              </w:tc>
              <w:tc>
                <w:tcPr>
                  <w:tcW w:w="606" w:type="pct"/>
                  <w:tcBorders>
                    <w:tl2br w:val="nil"/>
                    <w:tr2bl w:val="nil"/>
                  </w:tcBorders>
                  <w:noWrap w:val="0"/>
                  <w:vAlign w:val="center"/>
                </w:tcPr>
                <w:p w14:paraId="14C8921A">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7C2A5B05">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17BFF066">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废砖坯</w:t>
                  </w:r>
                </w:p>
              </w:tc>
              <w:tc>
                <w:tcPr>
                  <w:tcW w:w="769" w:type="pct"/>
                  <w:tcBorders>
                    <w:tl2br w:val="nil"/>
                    <w:tr2bl w:val="nil"/>
                  </w:tcBorders>
                  <w:noWrap w:val="0"/>
                  <w:vAlign w:val="center"/>
                </w:tcPr>
                <w:p w14:paraId="177301C9">
                  <w:pPr>
                    <w:spacing w:beforeLines="0" w:afterLine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297.68</w:t>
                  </w:r>
                </w:p>
              </w:tc>
              <w:tc>
                <w:tcPr>
                  <w:tcW w:w="666" w:type="pct"/>
                  <w:tcBorders>
                    <w:tl2br w:val="nil"/>
                    <w:tr2bl w:val="nil"/>
                  </w:tcBorders>
                  <w:noWrap w:val="0"/>
                  <w:vAlign w:val="center"/>
                </w:tcPr>
                <w:p w14:paraId="34A07FED">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回用</w:t>
                  </w:r>
                </w:p>
              </w:tc>
            </w:tr>
            <w:tr w14:paraId="52F2CF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30CB3AF7">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w:t>
                  </w:r>
                </w:p>
              </w:tc>
              <w:tc>
                <w:tcPr>
                  <w:tcW w:w="606" w:type="pct"/>
                  <w:tcBorders>
                    <w:tl2br w:val="nil"/>
                    <w:tr2bl w:val="nil"/>
                  </w:tcBorders>
                  <w:noWrap w:val="0"/>
                  <w:vAlign w:val="center"/>
                </w:tcPr>
                <w:p w14:paraId="5000E92B">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15DF7041">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49567053">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不合格品</w:t>
                  </w:r>
                </w:p>
              </w:tc>
              <w:tc>
                <w:tcPr>
                  <w:tcW w:w="769" w:type="pct"/>
                  <w:tcBorders>
                    <w:tl2br w:val="nil"/>
                    <w:tr2bl w:val="nil"/>
                  </w:tcBorders>
                  <w:noWrap w:val="0"/>
                  <w:vAlign w:val="center"/>
                </w:tcPr>
                <w:p w14:paraId="7F1AFED9">
                  <w:pPr>
                    <w:spacing w:beforeLines="0" w:afterLine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8930.4</w:t>
                  </w:r>
                </w:p>
              </w:tc>
              <w:tc>
                <w:tcPr>
                  <w:tcW w:w="666" w:type="pct"/>
                  <w:tcBorders>
                    <w:tl2br w:val="nil"/>
                    <w:tr2bl w:val="nil"/>
                  </w:tcBorders>
                  <w:noWrap w:val="0"/>
                  <w:vAlign w:val="center"/>
                </w:tcPr>
                <w:p w14:paraId="0CF9E0A5">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回用</w:t>
                  </w:r>
                </w:p>
              </w:tc>
            </w:tr>
            <w:tr w14:paraId="25990D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5C780419">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w:t>
                  </w:r>
                </w:p>
              </w:tc>
              <w:tc>
                <w:tcPr>
                  <w:tcW w:w="606" w:type="pct"/>
                  <w:tcBorders>
                    <w:tl2br w:val="nil"/>
                    <w:tr2bl w:val="nil"/>
                  </w:tcBorders>
                  <w:noWrap w:val="0"/>
                  <w:vAlign w:val="center"/>
                </w:tcPr>
                <w:p w14:paraId="7A2CEEC1">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67248AD1">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35B36215">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脱硫废渣</w:t>
                  </w:r>
                </w:p>
              </w:tc>
              <w:tc>
                <w:tcPr>
                  <w:tcW w:w="769" w:type="pct"/>
                  <w:tcBorders>
                    <w:tl2br w:val="nil"/>
                    <w:tr2bl w:val="nil"/>
                  </w:tcBorders>
                  <w:noWrap w:val="0"/>
                  <w:vAlign w:val="center"/>
                </w:tcPr>
                <w:p w14:paraId="2C2897A0">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414.24</w:t>
                  </w:r>
                </w:p>
              </w:tc>
              <w:tc>
                <w:tcPr>
                  <w:tcW w:w="666" w:type="pct"/>
                  <w:tcBorders>
                    <w:tl2br w:val="nil"/>
                    <w:tr2bl w:val="nil"/>
                  </w:tcBorders>
                  <w:noWrap w:val="0"/>
                  <w:vAlign w:val="center"/>
                </w:tcPr>
                <w:p w14:paraId="2FA0934A">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综合利用</w:t>
                  </w:r>
                </w:p>
              </w:tc>
            </w:tr>
            <w:tr w14:paraId="2E22FD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6A37EC43">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606" w:type="pct"/>
                  <w:tcBorders>
                    <w:tl2br w:val="nil"/>
                    <w:tr2bl w:val="nil"/>
                  </w:tcBorders>
                  <w:noWrap w:val="0"/>
                  <w:vAlign w:val="center"/>
                </w:tcPr>
                <w:p w14:paraId="5B7516B4">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928" w:type="pct"/>
                  <w:tcBorders>
                    <w:tl2br w:val="nil"/>
                    <w:tr2bl w:val="nil"/>
                  </w:tcBorders>
                  <w:noWrap w:val="0"/>
                  <w:vAlign w:val="center"/>
                </w:tcPr>
                <w:p w14:paraId="4B5640DE">
                  <w:pPr>
                    <w:spacing w:beforeLines="0" w:afterLines="0"/>
                    <w:jc w:val="center"/>
                    <w:textAlignment w:val="top"/>
                    <w:rPr>
                      <w:rFonts w:hint="default" w:ascii="Times New Roman" w:hAnsi="Times New Roman" w:eastAsia="宋体" w:cs="Times New Roman"/>
                      <w:color w:val="auto"/>
                      <w:sz w:val="21"/>
                      <w:szCs w:val="21"/>
                      <w:highlight w:val="none"/>
                      <w:lang w:eastAsia="zh-CN"/>
                    </w:rPr>
                  </w:pPr>
                </w:p>
              </w:tc>
              <w:tc>
                <w:tcPr>
                  <w:tcW w:w="1531" w:type="pct"/>
                  <w:tcBorders>
                    <w:tl2br w:val="nil"/>
                    <w:tr2bl w:val="nil"/>
                  </w:tcBorders>
                  <w:noWrap w:val="0"/>
                  <w:vAlign w:val="center"/>
                </w:tcPr>
                <w:p w14:paraId="7841273E">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水分挥发</w:t>
                  </w:r>
                </w:p>
              </w:tc>
              <w:tc>
                <w:tcPr>
                  <w:tcW w:w="769" w:type="pct"/>
                  <w:tcBorders>
                    <w:tl2br w:val="nil"/>
                    <w:tr2bl w:val="nil"/>
                  </w:tcBorders>
                  <w:shd w:val="clear" w:color="auto" w:fill="auto"/>
                  <w:noWrap w:val="0"/>
                  <w:vAlign w:val="center"/>
                </w:tcPr>
                <w:p w14:paraId="4C5BDBDC">
                  <w:pPr>
                    <w:spacing w:beforeLines="0" w:afterLines="0"/>
                    <w:jc w:val="center"/>
                    <w:textAlignment w:val="top"/>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46237.91</w:t>
                  </w:r>
                </w:p>
              </w:tc>
              <w:tc>
                <w:tcPr>
                  <w:tcW w:w="666" w:type="pct"/>
                  <w:tcBorders>
                    <w:tl2br w:val="nil"/>
                    <w:tr2bl w:val="nil"/>
                  </w:tcBorders>
                  <w:noWrap w:val="0"/>
                  <w:vAlign w:val="center"/>
                </w:tcPr>
                <w:p w14:paraId="0F539AD1">
                  <w:pPr>
                    <w:spacing w:beforeLines="0" w:afterLines="0"/>
                    <w:jc w:val="center"/>
                    <w:textAlignment w:val="top"/>
                    <w:rPr>
                      <w:rFonts w:hint="eastAsia" w:ascii="Times New Roman" w:hAnsi="Times New Roman" w:eastAsia="宋体" w:cs="Times New Roman"/>
                      <w:color w:val="auto"/>
                      <w:sz w:val="21"/>
                      <w:szCs w:val="21"/>
                      <w:highlight w:val="none"/>
                      <w:lang w:val="en-US" w:eastAsia="zh-CN" w:bidi="ar"/>
                    </w:rPr>
                  </w:pPr>
                </w:p>
              </w:tc>
            </w:tr>
            <w:tr w14:paraId="519D6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l2br w:val="nil"/>
                    <w:tr2bl w:val="nil"/>
                  </w:tcBorders>
                  <w:noWrap w:val="0"/>
                  <w:vAlign w:val="center"/>
                </w:tcPr>
                <w:p w14:paraId="117D46F2">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合计</w:t>
                  </w:r>
                </w:p>
              </w:tc>
              <w:tc>
                <w:tcPr>
                  <w:tcW w:w="606" w:type="pct"/>
                  <w:tcBorders>
                    <w:tl2br w:val="nil"/>
                    <w:tr2bl w:val="nil"/>
                  </w:tcBorders>
                  <w:noWrap w:val="0"/>
                  <w:vAlign w:val="center"/>
                </w:tcPr>
                <w:p w14:paraId="5BD88890">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c>
                <w:tcPr>
                  <w:tcW w:w="928" w:type="pct"/>
                  <w:tcBorders>
                    <w:tl2br w:val="nil"/>
                    <w:tr2bl w:val="nil"/>
                  </w:tcBorders>
                  <w:noWrap w:val="0"/>
                  <w:vAlign w:val="center"/>
                </w:tcPr>
                <w:p w14:paraId="0EB01C34">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357500</w:t>
                  </w:r>
                </w:p>
              </w:tc>
              <w:tc>
                <w:tcPr>
                  <w:tcW w:w="1531" w:type="pct"/>
                  <w:tcBorders>
                    <w:tl2br w:val="nil"/>
                    <w:tr2bl w:val="nil"/>
                  </w:tcBorders>
                  <w:noWrap w:val="0"/>
                  <w:vAlign w:val="center"/>
                </w:tcPr>
                <w:p w14:paraId="33D88BB2">
                  <w:pPr>
                    <w:spacing w:beforeLines="0" w:afterLines="0"/>
                    <w:jc w:val="center"/>
                    <w:textAlignment w:val="top"/>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bidi="ar"/>
                    </w:rPr>
                    <w:t>合计</w:t>
                  </w:r>
                </w:p>
              </w:tc>
              <w:tc>
                <w:tcPr>
                  <w:tcW w:w="769" w:type="pct"/>
                  <w:tcBorders>
                    <w:tl2br w:val="nil"/>
                    <w:tr2bl w:val="nil"/>
                  </w:tcBorders>
                  <w:noWrap w:val="0"/>
                  <w:vAlign w:val="center"/>
                </w:tcPr>
                <w:p w14:paraId="2FF23EF4">
                  <w:pPr>
                    <w:spacing w:beforeLines="0" w:afterLines="0"/>
                    <w:jc w:val="center"/>
                    <w:textAlignment w:val="top"/>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357500</w:t>
                  </w:r>
                </w:p>
              </w:tc>
              <w:tc>
                <w:tcPr>
                  <w:tcW w:w="666" w:type="pct"/>
                  <w:tcBorders>
                    <w:tl2br w:val="nil"/>
                    <w:tr2bl w:val="nil"/>
                  </w:tcBorders>
                  <w:noWrap w:val="0"/>
                  <w:vAlign w:val="center"/>
                </w:tcPr>
                <w:p w14:paraId="03316980">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w:t>
                  </w:r>
                </w:p>
              </w:tc>
            </w:tr>
          </w:tbl>
          <w:p w14:paraId="7162ED2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②</w:t>
            </w:r>
            <w:r>
              <w:rPr>
                <w:rFonts w:hint="eastAsia" w:ascii="Times New Roman" w:hAnsi="Times New Roman" w:eastAsia="宋体" w:cs="Times New Roman"/>
                <w:color w:val="auto"/>
                <w:sz w:val="24"/>
                <w:szCs w:val="24"/>
                <w:highlight w:val="none"/>
                <w:lang w:eastAsia="zh-CN"/>
              </w:rPr>
              <w:t>硫平衡</w:t>
            </w:r>
          </w:p>
          <w:p w14:paraId="248F77A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表2-12</w:t>
            </w:r>
            <w:r>
              <w:rPr>
                <w:rFonts w:hint="default" w:ascii="Times New Roman" w:hAnsi="Times New Roman" w:eastAsia="黑体" w:cs="Times New Roman"/>
                <w:b w:val="0"/>
                <w:bCs/>
                <w:color w:val="auto"/>
                <w:spacing w:val="0"/>
                <w:kern w:val="2"/>
                <w:sz w:val="24"/>
                <w:szCs w:val="24"/>
                <w:highlight w:val="none"/>
                <w:lang w:val="en-US" w:eastAsia="zh-CN" w:bidi="ar-SA"/>
              </w:rPr>
              <w:t xml:space="preserve">  </w:t>
            </w:r>
            <w:r>
              <w:rPr>
                <w:rFonts w:hint="eastAsia" w:ascii="Times New Roman" w:hAnsi="Times New Roman" w:eastAsia="黑体" w:cs="Times New Roman"/>
                <w:b w:val="0"/>
                <w:bCs/>
                <w:color w:val="auto"/>
                <w:spacing w:val="0"/>
                <w:kern w:val="2"/>
                <w:sz w:val="24"/>
                <w:szCs w:val="24"/>
                <w:highlight w:val="none"/>
                <w:lang w:val="en-US" w:eastAsia="zh-CN" w:bidi="ar-SA"/>
              </w:rPr>
              <w:t>硫平衡一览表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84"/>
              <w:gridCol w:w="1262"/>
              <w:gridCol w:w="1419"/>
              <w:gridCol w:w="1445"/>
              <w:gridCol w:w="1832"/>
              <w:gridCol w:w="1445"/>
            </w:tblGrid>
            <w:tr w14:paraId="1CC6E8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6" w:type="pct"/>
                  <w:gridSpan w:val="4"/>
                  <w:tcBorders>
                    <w:tl2br w:val="nil"/>
                    <w:tr2bl w:val="nil"/>
                  </w:tcBorders>
                  <w:noWrap w:val="0"/>
                  <w:vAlign w:val="center"/>
                </w:tcPr>
                <w:p w14:paraId="724E7601">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输入</w:t>
                  </w:r>
                </w:p>
              </w:tc>
              <w:tc>
                <w:tcPr>
                  <w:tcW w:w="1953" w:type="pct"/>
                  <w:gridSpan w:val="2"/>
                  <w:tcBorders>
                    <w:tl2br w:val="nil"/>
                    <w:tr2bl w:val="nil"/>
                  </w:tcBorders>
                  <w:noWrap w:val="0"/>
                  <w:vAlign w:val="center"/>
                </w:tcPr>
                <w:p w14:paraId="1F949E6C">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输出</w:t>
                  </w:r>
                </w:p>
              </w:tc>
            </w:tr>
            <w:tr w14:paraId="73E78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7" w:type="pct"/>
                  <w:tcBorders>
                    <w:tl2br w:val="nil"/>
                    <w:tr2bl w:val="nil"/>
                  </w:tcBorders>
                  <w:noWrap w:val="0"/>
                  <w:vAlign w:val="center"/>
                </w:tcPr>
                <w:p w14:paraId="5F391F7F">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原料名称</w:t>
                  </w:r>
                </w:p>
              </w:tc>
              <w:tc>
                <w:tcPr>
                  <w:tcW w:w="752" w:type="pct"/>
                  <w:tcBorders>
                    <w:tl2br w:val="nil"/>
                    <w:tr2bl w:val="nil"/>
                  </w:tcBorders>
                  <w:noWrap w:val="0"/>
                  <w:vAlign w:val="center"/>
                </w:tcPr>
                <w:p w14:paraId="3934C6BC">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用量（t/a）</w:t>
                  </w:r>
                </w:p>
              </w:tc>
              <w:tc>
                <w:tcPr>
                  <w:tcW w:w="846" w:type="pct"/>
                  <w:tcBorders>
                    <w:tl2br w:val="nil"/>
                    <w:tr2bl w:val="nil"/>
                  </w:tcBorders>
                  <w:noWrap w:val="0"/>
                  <w:vAlign w:val="center"/>
                </w:tcPr>
                <w:p w14:paraId="0B950217">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含硫率（%）</w:t>
                  </w:r>
                </w:p>
              </w:tc>
              <w:tc>
                <w:tcPr>
                  <w:tcW w:w="860" w:type="pct"/>
                  <w:tcBorders>
                    <w:tl2br w:val="nil"/>
                    <w:tr2bl w:val="nil"/>
                  </w:tcBorders>
                  <w:noWrap w:val="0"/>
                  <w:vAlign w:val="center"/>
                </w:tcPr>
                <w:p w14:paraId="2A860EAA">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含硫量（t/a）</w:t>
                  </w:r>
                </w:p>
              </w:tc>
              <w:tc>
                <w:tcPr>
                  <w:tcW w:w="1092" w:type="pct"/>
                  <w:tcBorders>
                    <w:tl2br w:val="nil"/>
                    <w:tr2bl w:val="nil"/>
                  </w:tcBorders>
                  <w:noWrap w:val="0"/>
                  <w:vAlign w:val="center"/>
                </w:tcPr>
                <w:p w14:paraId="025C3635">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产物名称</w:t>
                  </w:r>
                </w:p>
              </w:tc>
              <w:tc>
                <w:tcPr>
                  <w:tcW w:w="861" w:type="pct"/>
                  <w:tcBorders>
                    <w:tl2br w:val="nil"/>
                    <w:tr2bl w:val="nil"/>
                  </w:tcBorders>
                  <w:noWrap w:val="0"/>
                  <w:vAlign w:val="center"/>
                </w:tcPr>
                <w:p w14:paraId="67B603A7">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含硫量（t/a）</w:t>
                  </w:r>
                </w:p>
              </w:tc>
            </w:tr>
            <w:tr w14:paraId="69E2F0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7" w:type="pct"/>
                  <w:tcBorders>
                    <w:tl2br w:val="nil"/>
                    <w:tr2bl w:val="nil"/>
                  </w:tcBorders>
                  <w:noWrap w:val="0"/>
                  <w:vAlign w:val="center"/>
                </w:tcPr>
                <w:p w14:paraId="25915D83">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煤矸石</w:t>
                  </w:r>
                </w:p>
              </w:tc>
              <w:tc>
                <w:tcPr>
                  <w:tcW w:w="752" w:type="pct"/>
                  <w:tcBorders>
                    <w:tl2br w:val="nil"/>
                    <w:tr2bl w:val="nil"/>
                  </w:tcBorders>
                  <w:noWrap w:val="0"/>
                  <w:vAlign w:val="center"/>
                </w:tcPr>
                <w:p w14:paraId="0C4FBE05">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346500</w:t>
                  </w:r>
                </w:p>
              </w:tc>
              <w:tc>
                <w:tcPr>
                  <w:tcW w:w="846" w:type="pct"/>
                  <w:tcBorders>
                    <w:tl2br w:val="nil"/>
                    <w:tr2bl w:val="nil"/>
                  </w:tcBorders>
                  <w:noWrap w:val="0"/>
                  <w:vAlign w:val="center"/>
                </w:tcPr>
                <w:p w14:paraId="1010480C">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bidi="ar"/>
                    </w:rPr>
                    <w:t>0.0</w:t>
                  </w:r>
                  <w:r>
                    <w:rPr>
                      <w:rFonts w:hint="eastAsia" w:cs="Times New Roman"/>
                      <w:color w:val="auto"/>
                      <w:sz w:val="21"/>
                      <w:szCs w:val="21"/>
                      <w:highlight w:val="none"/>
                      <w:lang w:val="en-US" w:eastAsia="zh-CN" w:bidi="ar"/>
                    </w:rPr>
                    <w:t>4</w:t>
                  </w:r>
                </w:p>
              </w:tc>
              <w:tc>
                <w:tcPr>
                  <w:tcW w:w="860" w:type="pct"/>
                  <w:tcBorders>
                    <w:tl2br w:val="nil"/>
                    <w:tr2bl w:val="nil"/>
                  </w:tcBorders>
                  <w:noWrap w:val="0"/>
                  <w:vAlign w:val="center"/>
                </w:tcPr>
                <w:p w14:paraId="56D28337">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138.6</w:t>
                  </w:r>
                </w:p>
              </w:tc>
              <w:tc>
                <w:tcPr>
                  <w:tcW w:w="1092" w:type="pct"/>
                  <w:tcBorders>
                    <w:tl2br w:val="nil"/>
                    <w:tr2bl w:val="nil"/>
                  </w:tcBorders>
                  <w:noWrap w:val="0"/>
                  <w:vAlign w:val="center"/>
                </w:tcPr>
                <w:p w14:paraId="3F2E5D7A">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煤矸石砖（</w:t>
                  </w:r>
                  <w:r>
                    <w:rPr>
                      <w:rFonts w:hint="eastAsia" w:ascii="Times New Roman" w:hAnsi="Times New Roman" w:eastAsia="宋体" w:cs="Times New Roman"/>
                      <w:color w:val="auto"/>
                      <w:sz w:val="21"/>
                      <w:szCs w:val="21"/>
                      <w:highlight w:val="none"/>
                      <w:lang w:val="en-US" w:eastAsia="zh-CN" w:bidi="ar"/>
                    </w:rPr>
                    <w:t>含硫</w:t>
                  </w:r>
                  <w:r>
                    <w:rPr>
                      <w:rFonts w:hint="eastAsia" w:ascii="Times New Roman" w:hAnsi="Times New Roman" w:eastAsia="宋体" w:cs="Times New Roman"/>
                      <w:color w:val="auto"/>
                      <w:sz w:val="21"/>
                      <w:szCs w:val="21"/>
                      <w:highlight w:val="none"/>
                      <w:lang w:eastAsia="zh-CN" w:bidi="ar"/>
                    </w:rPr>
                    <w:t>）</w:t>
                  </w:r>
                </w:p>
              </w:tc>
              <w:tc>
                <w:tcPr>
                  <w:tcW w:w="861" w:type="pct"/>
                  <w:tcBorders>
                    <w:tl2br w:val="nil"/>
                    <w:tr2bl w:val="nil"/>
                  </w:tcBorders>
                  <w:noWrap w:val="0"/>
                  <w:vAlign w:val="center"/>
                </w:tcPr>
                <w:p w14:paraId="4CC01B0E">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31.49</w:t>
                  </w:r>
                </w:p>
              </w:tc>
            </w:tr>
            <w:tr w14:paraId="6B5D90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7" w:type="pct"/>
                  <w:tcBorders>
                    <w:tl2br w:val="nil"/>
                    <w:tr2bl w:val="nil"/>
                  </w:tcBorders>
                  <w:noWrap w:val="0"/>
                  <w:vAlign w:val="center"/>
                </w:tcPr>
                <w:p w14:paraId="680705A7">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752" w:type="pct"/>
                  <w:tcBorders>
                    <w:tl2br w:val="nil"/>
                    <w:tr2bl w:val="nil"/>
                  </w:tcBorders>
                  <w:noWrap w:val="0"/>
                  <w:vAlign w:val="center"/>
                </w:tcPr>
                <w:p w14:paraId="1648A790">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46" w:type="pct"/>
                  <w:tcBorders>
                    <w:tl2br w:val="nil"/>
                    <w:tr2bl w:val="nil"/>
                  </w:tcBorders>
                  <w:noWrap w:val="0"/>
                  <w:vAlign w:val="center"/>
                </w:tcPr>
                <w:p w14:paraId="50D5D0CF">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60" w:type="pct"/>
                  <w:tcBorders>
                    <w:tl2br w:val="nil"/>
                    <w:tr2bl w:val="nil"/>
                  </w:tcBorders>
                  <w:noWrap w:val="0"/>
                  <w:vAlign w:val="center"/>
                </w:tcPr>
                <w:p w14:paraId="377F715E">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p>
              </w:tc>
              <w:tc>
                <w:tcPr>
                  <w:tcW w:w="1092" w:type="pct"/>
                  <w:tcBorders>
                    <w:tl2br w:val="nil"/>
                    <w:tr2bl w:val="nil"/>
                  </w:tcBorders>
                  <w:noWrap w:val="0"/>
                  <w:vAlign w:val="center"/>
                </w:tcPr>
                <w:p w14:paraId="33344B92">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val="en-US" w:eastAsia="zh-CN" w:bidi="ar"/>
                    </w:rPr>
                    <w:t>脱</w:t>
                  </w:r>
                  <w:r>
                    <w:rPr>
                      <w:rFonts w:hint="eastAsia" w:ascii="Times New Roman" w:hAnsi="Times New Roman" w:eastAsia="宋体" w:cs="Times New Roman"/>
                      <w:color w:val="auto"/>
                      <w:sz w:val="21"/>
                      <w:szCs w:val="21"/>
                      <w:highlight w:val="none"/>
                      <w:lang w:eastAsia="zh-CN" w:bidi="ar"/>
                    </w:rPr>
                    <w:t>硫</w:t>
                  </w:r>
                  <w:r>
                    <w:rPr>
                      <w:rFonts w:hint="eastAsia" w:ascii="Times New Roman" w:hAnsi="Times New Roman" w:eastAsia="宋体" w:cs="Times New Roman"/>
                      <w:color w:val="auto"/>
                      <w:spacing w:val="8"/>
                      <w:sz w:val="21"/>
                      <w:szCs w:val="21"/>
                      <w:highlight w:val="none"/>
                      <w:lang w:eastAsia="zh-CN"/>
                    </w:rPr>
                    <w:t>废渣（</w:t>
                  </w:r>
                  <w:r>
                    <w:rPr>
                      <w:rFonts w:hint="eastAsia" w:ascii="Times New Roman" w:hAnsi="Times New Roman" w:eastAsia="宋体" w:cs="Times New Roman"/>
                      <w:color w:val="auto"/>
                      <w:spacing w:val="8"/>
                      <w:sz w:val="21"/>
                      <w:szCs w:val="21"/>
                      <w:highlight w:val="none"/>
                      <w:lang w:val="en-US" w:eastAsia="zh-CN"/>
                    </w:rPr>
                    <w:t>含硫</w:t>
                  </w:r>
                  <w:r>
                    <w:rPr>
                      <w:rFonts w:hint="eastAsia" w:ascii="Times New Roman" w:hAnsi="Times New Roman" w:eastAsia="宋体" w:cs="Times New Roman"/>
                      <w:color w:val="auto"/>
                      <w:spacing w:val="8"/>
                      <w:sz w:val="21"/>
                      <w:szCs w:val="21"/>
                      <w:highlight w:val="none"/>
                      <w:lang w:eastAsia="zh-CN"/>
                    </w:rPr>
                    <w:t>）</w:t>
                  </w:r>
                </w:p>
              </w:tc>
              <w:tc>
                <w:tcPr>
                  <w:tcW w:w="861" w:type="pct"/>
                  <w:tcBorders>
                    <w:tl2br w:val="nil"/>
                    <w:tr2bl w:val="nil"/>
                  </w:tcBorders>
                  <w:noWrap w:val="0"/>
                  <w:vAlign w:val="center"/>
                </w:tcPr>
                <w:p w14:paraId="440C2843">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100.17</w:t>
                  </w:r>
                </w:p>
              </w:tc>
            </w:tr>
            <w:tr w14:paraId="7C6F4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7" w:type="pct"/>
                  <w:tcBorders>
                    <w:tl2br w:val="nil"/>
                    <w:tr2bl w:val="nil"/>
                  </w:tcBorders>
                  <w:noWrap w:val="0"/>
                  <w:vAlign w:val="center"/>
                </w:tcPr>
                <w:p w14:paraId="0A676066">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752" w:type="pct"/>
                  <w:tcBorders>
                    <w:tl2br w:val="nil"/>
                    <w:tr2bl w:val="nil"/>
                  </w:tcBorders>
                  <w:noWrap w:val="0"/>
                  <w:vAlign w:val="center"/>
                </w:tcPr>
                <w:p w14:paraId="51CA89ED">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46" w:type="pct"/>
                  <w:tcBorders>
                    <w:tl2br w:val="nil"/>
                    <w:tr2bl w:val="nil"/>
                  </w:tcBorders>
                  <w:noWrap w:val="0"/>
                  <w:vAlign w:val="center"/>
                </w:tcPr>
                <w:p w14:paraId="2AE5E508">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60" w:type="pct"/>
                  <w:tcBorders>
                    <w:tl2br w:val="nil"/>
                    <w:tr2bl w:val="nil"/>
                  </w:tcBorders>
                  <w:noWrap w:val="0"/>
                  <w:vAlign w:val="center"/>
                </w:tcPr>
                <w:p w14:paraId="6E3F02A5">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1092" w:type="pct"/>
                  <w:tcBorders>
                    <w:tl2br w:val="nil"/>
                    <w:tr2bl w:val="nil"/>
                  </w:tcBorders>
                  <w:noWrap w:val="0"/>
                  <w:vAlign w:val="center"/>
                </w:tcPr>
                <w:p w14:paraId="199B25BE">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废气（</w:t>
                  </w:r>
                  <w:r>
                    <w:rPr>
                      <w:rFonts w:hint="eastAsia" w:ascii="Times New Roman" w:hAnsi="Times New Roman" w:eastAsia="宋体" w:cs="Times New Roman"/>
                      <w:color w:val="auto"/>
                      <w:sz w:val="21"/>
                      <w:szCs w:val="21"/>
                      <w:highlight w:val="none"/>
                      <w:lang w:val="en-US" w:eastAsia="zh-CN" w:bidi="ar"/>
                    </w:rPr>
                    <w:t>含硫</w:t>
                  </w:r>
                  <w:r>
                    <w:rPr>
                      <w:rFonts w:hint="eastAsia" w:ascii="Times New Roman" w:hAnsi="Times New Roman" w:eastAsia="宋体" w:cs="Times New Roman"/>
                      <w:color w:val="auto"/>
                      <w:sz w:val="21"/>
                      <w:szCs w:val="21"/>
                      <w:highlight w:val="none"/>
                      <w:lang w:eastAsia="zh-CN" w:bidi="ar"/>
                    </w:rPr>
                    <w:t>）</w:t>
                  </w:r>
                </w:p>
              </w:tc>
              <w:tc>
                <w:tcPr>
                  <w:tcW w:w="861" w:type="pct"/>
                  <w:tcBorders>
                    <w:tl2br w:val="nil"/>
                    <w:tr2bl w:val="nil"/>
                  </w:tcBorders>
                  <w:noWrap w:val="0"/>
                  <w:vAlign w:val="center"/>
                </w:tcPr>
                <w:p w14:paraId="4D5DAF81">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6.94</w:t>
                  </w:r>
                </w:p>
              </w:tc>
            </w:tr>
            <w:tr w14:paraId="3FFA4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7" w:type="pct"/>
                  <w:tcBorders>
                    <w:tl2br w:val="nil"/>
                    <w:tr2bl w:val="nil"/>
                  </w:tcBorders>
                  <w:noWrap w:val="0"/>
                  <w:vAlign w:val="center"/>
                </w:tcPr>
                <w:p w14:paraId="6B00C4FD">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合计</w:t>
                  </w:r>
                </w:p>
              </w:tc>
              <w:tc>
                <w:tcPr>
                  <w:tcW w:w="752" w:type="pct"/>
                  <w:tcBorders>
                    <w:tl2br w:val="nil"/>
                    <w:tr2bl w:val="nil"/>
                  </w:tcBorders>
                  <w:noWrap w:val="0"/>
                  <w:vAlign w:val="center"/>
                </w:tcPr>
                <w:p w14:paraId="3FA92AB3">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46" w:type="pct"/>
                  <w:tcBorders>
                    <w:tl2br w:val="nil"/>
                    <w:tr2bl w:val="nil"/>
                  </w:tcBorders>
                  <w:noWrap w:val="0"/>
                  <w:vAlign w:val="center"/>
                </w:tcPr>
                <w:p w14:paraId="609B694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60" w:type="pct"/>
                  <w:tcBorders>
                    <w:tl2br w:val="nil"/>
                    <w:tr2bl w:val="nil"/>
                  </w:tcBorders>
                  <w:noWrap w:val="0"/>
                  <w:vAlign w:val="center"/>
                </w:tcPr>
                <w:p w14:paraId="68ED0C4C">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138.6</w:t>
                  </w:r>
                </w:p>
              </w:tc>
              <w:tc>
                <w:tcPr>
                  <w:tcW w:w="1092" w:type="pct"/>
                  <w:tcBorders>
                    <w:tl2br w:val="nil"/>
                    <w:tr2bl w:val="nil"/>
                  </w:tcBorders>
                  <w:noWrap w:val="0"/>
                  <w:vAlign w:val="center"/>
                </w:tcPr>
                <w:p w14:paraId="22749465">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合计</w:t>
                  </w:r>
                </w:p>
              </w:tc>
              <w:tc>
                <w:tcPr>
                  <w:tcW w:w="861" w:type="pct"/>
                  <w:tcBorders>
                    <w:tl2br w:val="nil"/>
                    <w:tr2bl w:val="nil"/>
                  </w:tcBorders>
                  <w:noWrap w:val="0"/>
                  <w:vAlign w:val="center"/>
                </w:tcPr>
                <w:p w14:paraId="7D1D4041">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138.6</w:t>
                  </w:r>
                </w:p>
              </w:tc>
            </w:tr>
          </w:tbl>
          <w:p w14:paraId="4A06ADF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③</w:t>
            </w:r>
            <w:r>
              <w:rPr>
                <w:rFonts w:hint="eastAsia" w:ascii="Times New Roman" w:hAnsi="Times New Roman" w:eastAsia="宋体" w:cs="Times New Roman"/>
                <w:color w:val="auto"/>
                <w:sz w:val="24"/>
                <w:szCs w:val="24"/>
                <w:highlight w:val="none"/>
                <w:lang w:eastAsia="zh-CN"/>
              </w:rPr>
              <w:t>氟平衡</w:t>
            </w:r>
          </w:p>
          <w:p w14:paraId="0EB2CD8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eastAsia="zh-CN"/>
              </w:rPr>
            </w:pPr>
          </w:p>
          <w:p w14:paraId="2649EF3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eastAsia" w:ascii="Times New Roman" w:hAnsi="Times New Roman" w:eastAsia="黑体" w:cs="Times New Roman"/>
                <w:b w:val="0"/>
                <w:bCs/>
                <w:color w:val="auto"/>
                <w:spacing w:val="0"/>
                <w:kern w:val="2"/>
                <w:sz w:val="24"/>
                <w:szCs w:val="24"/>
                <w:highlight w:val="none"/>
                <w:lang w:val="en-US" w:eastAsia="zh-CN" w:bidi="ar-SA"/>
              </w:rPr>
              <w:t xml:space="preserve">表2-13 </w:t>
            </w:r>
            <w:r>
              <w:rPr>
                <w:rFonts w:hint="default" w:ascii="Times New Roman" w:hAnsi="Times New Roman" w:eastAsia="黑体" w:cs="Times New Roman"/>
                <w:b w:val="0"/>
                <w:bCs/>
                <w:color w:val="auto"/>
                <w:spacing w:val="0"/>
                <w:kern w:val="2"/>
                <w:sz w:val="24"/>
                <w:szCs w:val="24"/>
                <w:highlight w:val="none"/>
                <w:lang w:val="en-US" w:eastAsia="zh-CN" w:bidi="ar-SA"/>
              </w:rPr>
              <w:t xml:space="preserve"> </w:t>
            </w:r>
            <w:r>
              <w:rPr>
                <w:rFonts w:hint="eastAsia" w:ascii="Times New Roman" w:hAnsi="Times New Roman" w:eastAsia="黑体" w:cs="Times New Roman"/>
                <w:b w:val="0"/>
                <w:bCs/>
                <w:color w:val="auto"/>
                <w:spacing w:val="0"/>
                <w:kern w:val="2"/>
                <w:sz w:val="24"/>
                <w:szCs w:val="24"/>
                <w:highlight w:val="none"/>
                <w:lang w:val="en-US" w:eastAsia="zh-CN" w:bidi="ar-SA"/>
              </w:rPr>
              <w:t>氟平衡一览表</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03"/>
              <w:gridCol w:w="1375"/>
              <w:gridCol w:w="1347"/>
              <w:gridCol w:w="1627"/>
              <w:gridCol w:w="1270"/>
              <w:gridCol w:w="1563"/>
            </w:tblGrid>
            <w:tr w14:paraId="56B20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10" w:type="pct"/>
                  <w:gridSpan w:val="4"/>
                  <w:tcBorders>
                    <w:top w:val="single" w:color="000000" w:sz="12" w:space="0"/>
                    <w:left w:val="nil"/>
                    <w:bottom w:val="single" w:color="000000" w:sz="4" w:space="0"/>
                    <w:right w:val="single" w:color="000000" w:sz="4" w:space="0"/>
                    <w:tl2br w:val="nil"/>
                    <w:tr2bl w:val="nil"/>
                  </w:tcBorders>
                  <w:noWrap w:val="0"/>
                  <w:vAlign w:val="center"/>
                </w:tcPr>
                <w:p w14:paraId="1EB5AC69">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输入</w:t>
                  </w:r>
                </w:p>
              </w:tc>
              <w:tc>
                <w:tcPr>
                  <w:tcW w:w="1689" w:type="pct"/>
                  <w:gridSpan w:val="2"/>
                  <w:tcBorders>
                    <w:top w:val="single" w:color="000000" w:sz="12" w:space="0"/>
                    <w:left w:val="single" w:color="000000" w:sz="4" w:space="0"/>
                    <w:bottom w:val="single" w:color="000000" w:sz="4" w:space="0"/>
                    <w:right w:val="nil"/>
                    <w:tl2br w:val="nil"/>
                    <w:tr2bl w:val="nil"/>
                  </w:tcBorders>
                  <w:noWrap w:val="0"/>
                  <w:vAlign w:val="center"/>
                </w:tcPr>
                <w:p w14:paraId="478A6999">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输出</w:t>
                  </w:r>
                </w:p>
              </w:tc>
            </w:tr>
            <w:tr w14:paraId="3CB3D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7" w:type="pct"/>
                  <w:tcBorders>
                    <w:top w:val="single" w:color="000000" w:sz="4" w:space="0"/>
                    <w:left w:val="nil"/>
                    <w:bottom w:val="single" w:color="000000" w:sz="4" w:space="0"/>
                    <w:right w:val="single" w:color="000000" w:sz="4" w:space="0"/>
                    <w:tl2br w:val="nil"/>
                    <w:tr2bl w:val="nil"/>
                  </w:tcBorders>
                  <w:noWrap w:val="0"/>
                  <w:vAlign w:val="center"/>
                </w:tcPr>
                <w:p w14:paraId="6560A75B">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原料名称</w:t>
                  </w:r>
                </w:p>
              </w:tc>
              <w:tc>
                <w:tcPr>
                  <w:tcW w:w="82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26B36D">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用量（t/a）</w:t>
                  </w:r>
                </w:p>
              </w:tc>
              <w:tc>
                <w:tcPr>
                  <w:tcW w:w="80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78636">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含氟（%）</w:t>
                  </w:r>
                </w:p>
              </w:tc>
              <w:tc>
                <w:tcPr>
                  <w:tcW w:w="9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B9EC7">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含氟量（t/a）</w:t>
                  </w:r>
                </w:p>
              </w:tc>
              <w:tc>
                <w:tcPr>
                  <w:tcW w:w="75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4C6F2F">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产物名称</w:t>
                  </w:r>
                </w:p>
              </w:tc>
              <w:tc>
                <w:tcPr>
                  <w:tcW w:w="931" w:type="pct"/>
                  <w:tcBorders>
                    <w:top w:val="single" w:color="000000" w:sz="4" w:space="0"/>
                    <w:left w:val="single" w:color="000000" w:sz="4" w:space="0"/>
                    <w:bottom w:val="single" w:color="000000" w:sz="4" w:space="0"/>
                    <w:right w:val="nil"/>
                    <w:tl2br w:val="nil"/>
                    <w:tr2bl w:val="nil"/>
                  </w:tcBorders>
                  <w:noWrap w:val="0"/>
                  <w:vAlign w:val="center"/>
                </w:tcPr>
                <w:p w14:paraId="70D11444">
                  <w:pPr>
                    <w:spacing w:beforeLines="0" w:afterLines="0"/>
                    <w:jc w:val="center"/>
                    <w:textAlignment w:val="top"/>
                    <w:rPr>
                      <w:rFonts w:hint="default" w:ascii="Times New Roman" w:hAnsi="Times New Roman" w:eastAsia="宋体" w:cs="Times New Roman"/>
                      <w:b/>
                      <w:color w:val="auto"/>
                      <w:sz w:val="21"/>
                      <w:szCs w:val="21"/>
                      <w:highlight w:val="none"/>
                      <w:lang w:eastAsia="zh-CN" w:bidi="ar"/>
                    </w:rPr>
                  </w:pPr>
                  <w:r>
                    <w:rPr>
                      <w:rFonts w:hint="eastAsia" w:ascii="Times New Roman" w:hAnsi="Times New Roman" w:eastAsia="宋体" w:cs="Times New Roman"/>
                      <w:b/>
                      <w:color w:val="auto"/>
                      <w:sz w:val="21"/>
                      <w:szCs w:val="21"/>
                      <w:highlight w:val="none"/>
                      <w:lang w:eastAsia="zh-CN" w:bidi="ar"/>
                    </w:rPr>
                    <w:t>含氟量（t/a）</w:t>
                  </w:r>
                </w:p>
              </w:tc>
            </w:tr>
            <w:tr w14:paraId="12F43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0" w:type="dxa"/>
                  <w:tcBorders>
                    <w:top w:val="single" w:color="000000" w:sz="4" w:space="0"/>
                    <w:left w:val="nil"/>
                    <w:bottom w:val="single" w:color="000000" w:sz="4" w:space="0"/>
                    <w:right w:val="single" w:color="000000" w:sz="4" w:space="0"/>
                    <w:tl2br w:val="nil"/>
                    <w:tr2bl w:val="nil"/>
                  </w:tcBorders>
                  <w:noWrap w:val="0"/>
                  <w:vAlign w:val="center"/>
                </w:tcPr>
                <w:p w14:paraId="23D4331A">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煤矸石</w:t>
                  </w:r>
                </w:p>
              </w:tc>
              <w:tc>
                <w:tcPr>
                  <w:tcW w:w="13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4586D">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346500</w:t>
                  </w:r>
                </w:p>
              </w:tc>
              <w:tc>
                <w:tcPr>
                  <w:tcW w:w="13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08BC01">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bidi="ar"/>
                    </w:rPr>
                    <w:t>0.</w:t>
                  </w:r>
                  <w:r>
                    <w:rPr>
                      <w:rFonts w:hint="eastAsia" w:ascii="Times New Roman" w:hAnsi="Times New Roman" w:eastAsia="宋体" w:cs="Times New Roman"/>
                      <w:color w:val="auto"/>
                      <w:sz w:val="21"/>
                      <w:szCs w:val="21"/>
                      <w:highlight w:val="none"/>
                      <w:lang w:val="en-US" w:eastAsia="zh-CN" w:bidi="ar"/>
                    </w:rPr>
                    <w:t>008</w:t>
                  </w:r>
                </w:p>
              </w:tc>
              <w:tc>
                <w:tcPr>
                  <w:tcW w:w="9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6FC39">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27.72</w:t>
                  </w:r>
                </w:p>
              </w:tc>
              <w:tc>
                <w:tcPr>
                  <w:tcW w:w="75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846A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煤矸石砖</w:t>
                  </w:r>
                </w:p>
              </w:tc>
              <w:tc>
                <w:tcPr>
                  <w:tcW w:w="931" w:type="pct"/>
                  <w:tcBorders>
                    <w:top w:val="single" w:color="000000" w:sz="4" w:space="0"/>
                    <w:left w:val="single" w:color="000000" w:sz="4" w:space="0"/>
                    <w:bottom w:val="single" w:color="000000" w:sz="4" w:space="0"/>
                    <w:right w:val="nil"/>
                    <w:tl2br w:val="nil"/>
                    <w:tr2bl w:val="nil"/>
                  </w:tcBorders>
                  <w:noWrap w:val="0"/>
                  <w:vAlign w:val="center"/>
                </w:tcPr>
                <w:p w14:paraId="05B9080F">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12.67</w:t>
                  </w:r>
                </w:p>
              </w:tc>
            </w:tr>
            <w:tr w14:paraId="7742AE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0" w:type="dxa"/>
                  <w:tcBorders>
                    <w:top w:val="single" w:color="000000" w:sz="4" w:space="0"/>
                    <w:left w:val="nil"/>
                    <w:bottom w:val="single" w:color="000000" w:sz="4" w:space="0"/>
                    <w:right w:val="single" w:color="000000" w:sz="4" w:space="0"/>
                    <w:tl2br w:val="nil"/>
                    <w:tr2bl w:val="nil"/>
                  </w:tcBorders>
                  <w:noWrap w:val="0"/>
                  <w:vAlign w:val="center"/>
                </w:tcPr>
                <w:p w14:paraId="486266D8">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13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CD2AB">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13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448460">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p>
              </w:tc>
              <w:tc>
                <w:tcPr>
                  <w:tcW w:w="9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E52E54">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p>
              </w:tc>
              <w:tc>
                <w:tcPr>
                  <w:tcW w:w="75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D49F0">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pacing w:val="8"/>
                      <w:sz w:val="21"/>
                      <w:szCs w:val="21"/>
                      <w:highlight w:val="none"/>
                      <w:lang w:eastAsia="zh-CN"/>
                    </w:rPr>
                    <w:t>废渣</w:t>
                  </w:r>
                </w:p>
              </w:tc>
              <w:tc>
                <w:tcPr>
                  <w:tcW w:w="931" w:type="pct"/>
                  <w:tcBorders>
                    <w:top w:val="single" w:color="000000" w:sz="4" w:space="0"/>
                    <w:left w:val="single" w:color="000000" w:sz="4" w:space="0"/>
                    <w:bottom w:val="single" w:color="000000" w:sz="4" w:space="0"/>
                    <w:right w:val="nil"/>
                    <w:tl2br w:val="nil"/>
                    <w:tr2bl w:val="nil"/>
                  </w:tcBorders>
                  <w:noWrap w:val="0"/>
                  <w:vAlign w:val="center"/>
                </w:tcPr>
                <w:p w14:paraId="4AB49789">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12.04</w:t>
                  </w:r>
                </w:p>
              </w:tc>
            </w:tr>
            <w:tr w14:paraId="36162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7" w:type="pct"/>
                  <w:tcBorders>
                    <w:top w:val="single" w:color="000000" w:sz="4" w:space="0"/>
                    <w:left w:val="nil"/>
                    <w:bottom w:val="single" w:color="000000" w:sz="4" w:space="0"/>
                    <w:right w:val="single" w:color="000000" w:sz="4" w:space="0"/>
                    <w:tl2br w:val="nil"/>
                    <w:tr2bl w:val="nil"/>
                  </w:tcBorders>
                  <w:noWrap w:val="0"/>
                  <w:vAlign w:val="center"/>
                </w:tcPr>
                <w:p w14:paraId="7BDA099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2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458E3D">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0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8771E">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9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6E549">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75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519B1">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废气</w:t>
                  </w:r>
                </w:p>
              </w:tc>
              <w:tc>
                <w:tcPr>
                  <w:tcW w:w="931" w:type="pct"/>
                  <w:tcBorders>
                    <w:top w:val="single" w:color="000000" w:sz="4" w:space="0"/>
                    <w:left w:val="single" w:color="000000" w:sz="4" w:space="0"/>
                    <w:bottom w:val="single" w:color="000000" w:sz="4" w:space="0"/>
                    <w:right w:val="nil"/>
                    <w:tl2br w:val="nil"/>
                    <w:tr2bl w:val="nil"/>
                  </w:tcBorders>
                  <w:noWrap w:val="0"/>
                  <w:vAlign w:val="center"/>
                </w:tcPr>
                <w:p w14:paraId="7EFD7510">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3.01</w:t>
                  </w:r>
                </w:p>
              </w:tc>
            </w:tr>
            <w:tr w14:paraId="51FC0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7" w:type="pct"/>
                  <w:tcBorders>
                    <w:top w:val="single" w:color="000000" w:sz="4" w:space="0"/>
                    <w:left w:val="nil"/>
                    <w:bottom w:val="single" w:color="000000" w:sz="12" w:space="0"/>
                    <w:right w:val="single" w:color="000000" w:sz="4" w:space="0"/>
                    <w:tl2br w:val="nil"/>
                    <w:tr2bl w:val="nil"/>
                  </w:tcBorders>
                  <w:noWrap w:val="0"/>
                  <w:vAlign w:val="center"/>
                </w:tcPr>
                <w:p w14:paraId="6B3A7EEE">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合计</w:t>
                  </w:r>
                </w:p>
              </w:tc>
              <w:tc>
                <w:tcPr>
                  <w:tcW w:w="820"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14:paraId="0EE5FC04">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803"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14:paraId="566E669C">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p>
              </w:tc>
              <w:tc>
                <w:tcPr>
                  <w:tcW w:w="969"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14:paraId="08230B4D">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27.72</w:t>
                  </w:r>
                </w:p>
              </w:tc>
              <w:tc>
                <w:tcPr>
                  <w:tcW w:w="757"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14:paraId="2C8F3F18">
                  <w:pPr>
                    <w:spacing w:beforeLines="0" w:afterLines="0"/>
                    <w:jc w:val="center"/>
                    <w:textAlignment w:val="top"/>
                    <w:rPr>
                      <w:rFonts w:hint="default"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z w:val="21"/>
                      <w:szCs w:val="21"/>
                      <w:highlight w:val="none"/>
                      <w:lang w:eastAsia="zh-CN" w:bidi="ar"/>
                    </w:rPr>
                    <w:t>合计</w:t>
                  </w:r>
                </w:p>
              </w:tc>
              <w:tc>
                <w:tcPr>
                  <w:tcW w:w="931" w:type="pct"/>
                  <w:tcBorders>
                    <w:top w:val="single" w:color="000000" w:sz="4" w:space="0"/>
                    <w:left w:val="single" w:color="000000" w:sz="4" w:space="0"/>
                    <w:bottom w:val="single" w:color="000000" w:sz="12" w:space="0"/>
                    <w:right w:val="nil"/>
                    <w:tl2br w:val="nil"/>
                    <w:tr2bl w:val="nil"/>
                  </w:tcBorders>
                  <w:noWrap w:val="0"/>
                  <w:vAlign w:val="center"/>
                </w:tcPr>
                <w:p w14:paraId="480CDB5E">
                  <w:pPr>
                    <w:spacing w:beforeLines="0" w:afterLines="0"/>
                    <w:jc w:val="center"/>
                    <w:textAlignment w:val="top"/>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25.2</w:t>
                  </w:r>
                </w:p>
              </w:tc>
            </w:tr>
          </w:tbl>
          <w:p w14:paraId="1DC70AE4">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2.5工作制度及劳动定员</w:t>
            </w:r>
          </w:p>
          <w:p w14:paraId="78C9646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工作班制：年工作</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0天，隧道窑为三班制，8h/班，年生产时数</w:t>
            </w:r>
            <w:r>
              <w:rPr>
                <w:rFonts w:hint="eastAsia" w:cs="Times New Roman"/>
                <w:color w:val="auto"/>
                <w:sz w:val="24"/>
                <w:szCs w:val="24"/>
                <w:highlight w:val="none"/>
                <w:lang w:val="en-US" w:eastAsia="zh-CN"/>
              </w:rPr>
              <w:t>7920</w:t>
            </w:r>
            <w:r>
              <w:rPr>
                <w:rFonts w:hint="default" w:ascii="Times New Roman" w:hAnsi="Times New Roman" w:eastAsia="宋体" w:cs="Times New Roman"/>
                <w:color w:val="auto"/>
                <w:sz w:val="24"/>
                <w:szCs w:val="24"/>
                <w:highlight w:val="none"/>
                <w:lang w:val="en-US" w:eastAsia="zh-CN"/>
              </w:rPr>
              <w:t>小时；其他工序为单班制，</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h/班，年生产时数</w:t>
            </w:r>
            <w:r>
              <w:rPr>
                <w:rFonts w:hint="eastAsia" w:cs="Times New Roman"/>
                <w:color w:val="auto"/>
                <w:sz w:val="24"/>
                <w:szCs w:val="24"/>
                <w:highlight w:val="none"/>
                <w:lang w:val="en-US" w:eastAsia="zh-CN"/>
              </w:rPr>
              <w:t>3960</w:t>
            </w:r>
            <w:r>
              <w:rPr>
                <w:rFonts w:hint="default" w:ascii="Times New Roman" w:hAnsi="Times New Roman" w:eastAsia="宋体" w:cs="Times New Roman"/>
                <w:color w:val="auto"/>
                <w:sz w:val="24"/>
                <w:szCs w:val="24"/>
                <w:highlight w:val="none"/>
                <w:lang w:val="en-US" w:eastAsia="zh-CN"/>
              </w:rPr>
              <w:t>小时。</w:t>
            </w:r>
          </w:p>
          <w:p w14:paraId="0EDBD32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项目定员：本项目不新增人员，建成后全厂员工</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人，厂区无浴室，无宿舍，无食堂。</w:t>
            </w:r>
          </w:p>
          <w:p w14:paraId="5BC1CCBB">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2.6平面布置</w:t>
            </w:r>
          </w:p>
          <w:p w14:paraId="01CAD46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本项目位于长治市屯留区路村乡前苏村南侧80m处，</w:t>
            </w:r>
            <w:r>
              <w:rPr>
                <w:rFonts w:hint="default" w:ascii="Times New Roman" w:hAnsi="Times New Roman" w:eastAsia="宋体" w:cs="Times New Roman"/>
                <w:color w:val="auto"/>
                <w:sz w:val="24"/>
                <w:szCs w:val="24"/>
                <w:highlight w:val="none"/>
                <w:lang w:val="en-US" w:eastAsia="zh-CN"/>
              </w:rPr>
              <w:t>本项目厂区</w:t>
            </w:r>
            <w:r>
              <w:rPr>
                <w:rFonts w:hint="eastAsia" w:cs="Times New Roman"/>
                <w:color w:val="auto"/>
                <w:sz w:val="24"/>
                <w:szCs w:val="24"/>
                <w:highlight w:val="none"/>
                <w:lang w:val="en-US" w:eastAsia="zh-CN"/>
              </w:rPr>
              <w:t>西南</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厂区大门</w:t>
            </w:r>
            <w:r>
              <w:rPr>
                <w:rFonts w:hint="default" w:ascii="Times New Roman" w:hAnsi="Times New Roman" w:eastAsia="宋体" w:cs="Times New Roman"/>
                <w:color w:val="auto"/>
                <w:sz w:val="24"/>
                <w:szCs w:val="24"/>
                <w:highlight w:val="none"/>
                <w:lang w:val="en-US" w:eastAsia="zh-CN"/>
              </w:rPr>
              <w:t>，办公</w:t>
            </w:r>
            <w:r>
              <w:rPr>
                <w:rFonts w:hint="eastAsia"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lang w:val="en-US" w:eastAsia="zh-CN"/>
              </w:rPr>
              <w:t>区位于厂区</w:t>
            </w:r>
            <w:r>
              <w:rPr>
                <w:rFonts w:hint="eastAsia" w:cs="Times New Roman"/>
                <w:color w:val="auto"/>
                <w:sz w:val="24"/>
                <w:szCs w:val="24"/>
                <w:highlight w:val="none"/>
                <w:lang w:val="en-US" w:eastAsia="zh-CN"/>
              </w:rPr>
              <w:t>南</w:t>
            </w:r>
            <w:r>
              <w:rPr>
                <w:rFonts w:hint="eastAsia" w:ascii="Times New Roman" w:hAnsi="Times New Roman" w:eastAsia="宋体"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生产区位于</w:t>
            </w:r>
            <w:r>
              <w:rPr>
                <w:rFonts w:hint="default"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中部</w:t>
            </w:r>
            <w:r>
              <w:rPr>
                <w:rFonts w:hint="eastAsia"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lang w:val="en-US" w:eastAsia="zh-CN"/>
              </w:rPr>
              <w:t>原料</w:t>
            </w:r>
            <w:r>
              <w:rPr>
                <w:rFonts w:hint="eastAsia" w:cs="Times New Roman"/>
                <w:color w:val="auto"/>
                <w:sz w:val="24"/>
                <w:szCs w:val="24"/>
                <w:highlight w:val="none"/>
                <w:lang w:val="en-US" w:eastAsia="zh-CN"/>
              </w:rPr>
              <w:t>库</w:t>
            </w:r>
            <w:r>
              <w:rPr>
                <w:rFonts w:hint="default" w:ascii="Times New Roman" w:hAnsi="Times New Roman" w:eastAsia="宋体" w:cs="Times New Roman"/>
                <w:color w:val="auto"/>
                <w:sz w:val="24"/>
                <w:szCs w:val="24"/>
                <w:highlight w:val="none"/>
                <w:lang w:val="en-US" w:eastAsia="zh-CN"/>
              </w:rPr>
              <w:t>位于厂区</w:t>
            </w:r>
            <w:r>
              <w:rPr>
                <w:rFonts w:hint="eastAsia" w:cs="Times New Roman"/>
                <w:color w:val="auto"/>
                <w:sz w:val="24"/>
                <w:szCs w:val="24"/>
                <w:highlight w:val="none"/>
                <w:lang w:val="en-US" w:eastAsia="zh-CN"/>
              </w:rPr>
              <w:t>中部南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生产车间位于原料库北侧，生产车间从南到北依次设置破碎筛分车区、陈化区、制砖区</w:t>
            </w:r>
            <w:r>
              <w:rPr>
                <w:rFonts w:hint="eastAsia" w:ascii="Times New Roman" w:hAnsi="Times New Roman" w:eastAsia="宋体" w:cs="Times New Roman"/>
                <w:color w:val="auto"/>
                <w:sz w:val="24"/>
                <w:szCs w:val="24"/>
                <w:highlight w:val="none"/>
                <w:lang w:val="en-US" w:eastAsia="zh-CN"/>
              </w:rPr>
              <w:t>。晾坯车间</w:t>
            </w:r>
            <w:r>
              <w:rPr>
                <w:rFonts w:hint="default" w:ascii="Times New Roman" w:hAnsi="Times New Roman" w:eastAsia="宋体" w:cs="Times New Roman"/>
                <w:color w:val="auto"/>
                <w:sz w:val="24"/>
                <w:szCs w:val="24"/>
                <w:highlight w:val="none"/>
                <w:lang w:val="en-US" w:eastAsia="zh-CN"/>
              </w:rPr>
              <w:t>位于制砖车</w:t>
            </w:r>
            <w:r>
              <w:rPr>
                <w:rFonts w:hint="eastAsia"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侧，隧道窑位于</w:t>
            </w:r>
            <w:r>
              <w:rPr>
                <w:rFonts w:hint="eastAsia"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北</w:t>
            </w:r>
            <w:r>
              <w:rPr>
                <w:rFonts w:hint="eastAsia" w:ascii="Times New Roman" w:hAnsi="Times New Roman" w:eastAsia="宋体"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lang w:val="en-US" w:eastAsia="zh-CN"/>
              </w:rPr>
              <w:t>，产品堆场位于厂区</w:t>
            </w:r>
            <w:r>
              <w:rPr>
                <w:rFonts w:hint="eastAsia"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val="en-US" w:eastAsia="zh-CN"/>
              </w:rPr>
              <w:t>侧</w:t>
            </w:r>
            <w:r>
              <w:rPr>
                <w:rFonts w:hint="eastAsia" w:ascii="Times New Roman" w:hAnsi="Times New Roman" w:eastAsia="宋体" w:cs="Times New Roman"/>
                <w:color w:val="auto"/>
                <w:sz w:val="24"/>
                <w:szCs w:val="24"/>
                <w:highlight w:val="none"/>
                <w:lang w:val="en-US" w:eastAsia="zh-CN"/>
              </w:rPr>
              <w:t>。</w:t>
            </w:r>
          </w:p>
          <w:p w14:paraId="2619C76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生产区与生活区分开，总平面布置在满足生产工艺要求的基础上，根据交通运输、消防、安全、卫生、绿化、施工等要求，结合厂区地形、地质、气象等自然条件，全面地、因地制宜地对厂区建筑物和运输线路进行总平面布置，平面布置合理，有利生产，方便管理。</w:t>
            </w:r>
          </w:p>
          <w:p w14:paraId="73A58B3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本项目厂区平面布置图见附图</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5CB22710">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2.7公辅工程</w:t>
            </w:r>
          </w:p>
          <w:p w14:paraId="595EB1B9">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2.7.1给排水</w:t>
            </w:r>
          </w:p>
          <w:p w14:paraId="187621C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（1）给水</w:t>
            </w:r>
          </w:p>
          <w:p w14:paraId="77FF067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本项目供水由厂区水井提供。</w:t>
            </w:r>
          </w:p>
          <w:p w14:paraId="20868B0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1）生活用水</w:t>
            </w:r>
          </w:p>
          <w:p w14:paraId="386D22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1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生活用水：按照《山西省用水定额</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第4部分：居民生活》（DB14/T1049.4-202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），农村分散式供水用</w:t>
            </w:r>
            <w:r>
              <w:rPr>
                <w:rFonts w:hint="eastAsia" w:ascii="Times New Roman" w:hAnsi="Times New Roman" w:eastAsia="宋体" w:cs="Times New Roman"/>
                <w:color w:val="auto"/>
                <w:sz w:val="24"/>
                <w:szCs w:val="24"/>
                <w:highlight w:val="none"/>
                <w:lang w:val="en-US" w:eastAsia="zh-CN"/>
              </w:rPr>
              <w:t>定额</w:t>
            </w:r>
            <w:r>
              <w:rPr>
                <w:rFonts w:hint="default" w:ascii="Times New Roman" w:hAnsi="Times New Roman" w:eastAsia="宋体" w:cs="Times New Roman"/>
                <w:color w:val="auto"/>
                <w:sz w:val="24"/>
                <w:szCs w:val="24"/>
                <w:highlight w:val="none"/>
                <w:lang w:val="en-US" w:eastAsia="zh-CN"/>
              </w:rPr>
              <w:t>按</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L（p·d）/计</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本项目不新增人员，建成后全厂员工</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0人，年工作时间</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天；则生活用水量</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528</w:t>
            </w:r>
            <w:r>
              <w:rPr>
                <w:rFonts w:hint="default" w:ascii="Times New Roman" w:hAnsi="Times New Roman" w:eastAsia="宋体" w:cs="Times New Roman"/>
                <w:color w:val="auto"/>
                <w:sz w:val="24"/>
                <w:szCs w:val="24"/>
                <w:highlight w:val="none"/>
                <w:lang w:val="en-US" w:eastAsia="zh-CN"/>
              </w:rPr>
              <w:t>t/a）。污水产生量按0.8计，则生活污水排放量</w:t>
            </w:r>
            <w:r>
              <w:rPr>
                <w:rFonts w:hint="eastAsia" w:ascii="Times New Roman" w:hAnsi="Times New Roman" w:eastAsia="宋体" w:cs="Times New Roman"/>
                <w:color w:val="auto"/>
                <w:sz w:val="24"/>
                <w:szCs w:val="24"/>
                <w:highlight w:val="none"/>
                <w:lang w:val="en-US" w:eastAsia="zh-CN"/>
              </w:rPr>
              <w:t>1.28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422.4</w:t>
            </w:r>
            <w:r>
              <w:rPr>
                <w:rFonts w:hint="default" w:ascii="Times New Roman" w:hAnsi="Times New Roman" w:eastAsia="宋体" w:cs="Times New Roman"/>
                <w:color w:val="auto"/>
                <w:sz w:val="24"/>
                <w:szCs w:val="24"/>
                <w:highlight w:val="none"/>
                <w:lang w:val="en-US" w:eastAsia="zh-CN"/>
              </w:rPr>
              <w:t>t/a），生活污水</w:t>
            </w:r>
            <w:r>
              <w:rPr>
                <w:rFonts w:hint="eastAsia" w:ascii="Times New Roman" w:hAnsi="Times New Roman" w:eastAsia="宋体" w:cs="Times New Roman"/>
                <w:color w:val="auto"/>
                <w:sz w:val="24"/>
                <w:szCs w:val="24"/>
                <w:highlight w:val="none"/>
                <w:lang w:val="en-US" w:eastAsia="zh-CN"/>
              </w:rPr>
              <w:t>排入</w:t>
            </w:r>
            <w:r>
              <w:rPr>
                <w:rFonts w:hint="eastAsia" w:cs="Times New Roman"/>
                <w:color w:val="auto"/>
                <w:sz w:val="24"/>
                <w:szCs w:val="24"/>
                <w:highlight w:val="none"/>
                <w:lang w:val="en-US" w:eastAsia="zh-CN"/>
              </w:rPr>
              <w:t>化粪池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定期清掏用作农肥不外排。</w:t>
            </w:r>
          </w:p>
          <w:p w14:paraId="2FF3C58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2）生产用水</w:t>
            </w:r>
          </w:p>
          <w:p w14:paraId="43387ED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本项目生产用水主要为</w:t>
            </w:r>
            <w:r>
              <w:rPr>
                <w:rFonts w:hint="eastAsia" w:ascii="Times New Roman" w:hAnsi="Times New Roman" w:eastAsia="宋体"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lang w:val="en-US" w:eastAsia="zh-CN"/>
              </w:rPr>
              <w:t>抑尘用水、制砖用水、绿化用水、道路洒水、运输车辆冲洗用水、脱硫除尘装置用水。</w:t>
            </w:r>
          </w:p>
          <w:p w14:paraId="65B74E5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1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lang w:val="en-US" w:eastAsia="zh-CN"/>
              </w:rPr>
              <w:t>抑尘用水：</w:t>
            </w:r>
            <w:r>
              <w:rPr>
                <w:rFonts w:hint="eastAsia" w:ascii="Times New Roman" w:hAnsi="Times New Roman" w:eastAsia="宋体" w:cs="Times New Roman"/>
                <w:color w:val="auto"/>
                <w:sz w:val="24"/>
                <w:szCs w:val="24"/>
                <w:highlight w:val="none"/>
                <w:lang w:val="en-US" w:eastAsia="zh-CN"/>
              </w:rPr>
              <w:t>项目原料库煤矸石存放区域</w:t>
            </w:r>
            <w:r>
              <w:rPr>
                <w:rFonts w:hint="default" w:ascii="Times New Roman" w:hAnsi="Times New Roman" w:eastAsia="宋体" w:cs="Times New Roman"/>
                <w:color w:val="auto"/>
                <w:sz w:val="24"/>
                <w:szCs w:val="24"/>
                <w:highlight w:val="none"/>
                <w:lang w:val="en-US" w:eastAsia="zh-CN"/>
              </w:rPr>
              <w:t>设喷淋装置，</w:t>
            </w:r>
            <w:r>
              <w:rPr>
                <w:rFonts w:hint="eastAsia" w:ascii="Times New Roman" w:hAnsi="Times New Roman" w:eastAsia="宋体" w:cs="Times New Roman"/>
                <w:color w:val="auto"/>
                <w:sz w:val="24"/>
                <w:szCs w:val="24"/>
                <w:highlight w:val="none"/>
                <w:lang w:val="en-US" w:eastAsia="zh-CN"/>
              </w:rPr>
              <w:t>原料库占地面积约</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，装卸时喷淋抑尘，用水指标按1.5L/m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·d计，则用水量为</w:t>
            </w:r>
            <w:r>
              <w:rPr>
                <w:rFonts w:hint="eastAsia" w:cs="Times New Roman"/>
                <w:color w:val="auto"/>
                <w:sz w:val="24"/>
                <w:szCs w:val="24"/>
                <w:highlight w:val="none"/>
                <w:lang w:val="en-US" w:eastAsia="zh-CN"/>
              </w:rPr>
              <w:t>2.55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841.5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/a）。全部蒸发，无废水产生。</w:t>
            </w:r>
          </w:p>
          <w:p w14:paraId="516A0EB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②制砖用水：本项目制砖过程中搅拌工序需要用水，参照《山西省用水定额</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第2部分：工业》（DB14/T1049.2-202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）表22非金属矿物制品业用水定额中砖瓦、石材等建筑材料制造-标砖的用水量为1m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/万块，本项目年产</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00万块煤矸石砖，则用水量为</w:t>
            </w:r>
            <w:r>
              <w:rPr>
                <w:rFonts w:hint="eastAsia" w:ascii="Times New Roman" w:hAnsi="Times New Roman" w:eastAsia="宋体" w:cs="Times New Roman"/>
                <w:color w:val="auto"/>
                <w:sz w:val="24"/>
                <w:szCs w:val="24"/>
                <w:highlight w:val="none"/>
                <w:lang w:val="en-US" w:eastAsia="zh-CN"/>
              </w:rPr>
              <w:t>33.33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生产过程中添加的水进入产品后蒸发损耗，无废水产生。</w:t>
            </w:r>
          </w:p>
          <w:p w14:paraId="020A34B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3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绿化用水</w:t>
            </w:r>
          </w:p>
          <w:p w14:paraId="1D2A55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本项目厂区绿化面积为200m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，根据《山西省用水定额 第3部分：服务业用水定额》（DB141049.3-2021）中表11浇洒草坪、绿化用水定额，绿化用水为1.5L/m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•d，则绿化用水量为0.3m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/d（63m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/a），全部蒸发。</w:t>
            </w:r>
          </w:p>
          <w:p w14:paraId="5241E18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④道路洒水</w:t>
            </w:r>
          </w:p>
          <w:p w14:paraId="0277CA2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根据《山西省用水定额 第3部分：服务业用水定额》（DB141049.3-2021），道路洒水指标按1.5L/m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·d计，本次工程道路面积约500m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，则道路洒水量为0.75m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/d（157.5m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/a）。全部蒸发。</w:t>
            </w:r>
          </w:p>
          <w:p w14:paraId="6E6BCF7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⑤运输车辆冲洗用水</w:t>
            </w:r>
          </w:p>
          <w:p w14:paraId="44EB98F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本项目厂区设置洗车平台，运输车辆进出厂区前应清洗轮胎和车身。根据《山西省用水定额 第3部分：服务业用水定额》（DB141049.3-2021）表15 汽车冲洗用水定额，载重汽车冲洗用水为40L/辆·次，本项目采用运输车辆运输装载量为</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t，洗车平台每天清洗</w:t>
            </w:r>
            <w:r>
              <w:rPr>
                <w:rFonts w:hint="eastAsia" w:ascii="Times New Roman" w:hAnsi="Times New Roman" w:eastAsia="宋体"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辆，则运输车辆冲洗用水量为1.</w:t>
            </w:r>
            <w:r>
              <w:rPr>
                <w:rFonts w:hint="eastAsia"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646.8</w:t>
            </w:r>
            <w:r>
              <w:rPr>
                <w:rFonts w:hint="default" w:ascii="Times New Roman" w:hAnsi="Times New Roman" w:eastAsia="宋体" w:cs="Times New Roman"/>
                <w:color w:val="auto"/>
                <w:sz w:val="24"/>
                <w:szCs w:val="24"/>
                <w:highlight w:val="none"/>
                <w:lang w:val="en-US" w:eastAsia="zh-CN"/>
              </w:rPr>
              <w:t>t/a）。废水量产污系数按0.8计，则项目运输车辆冲洗废水为</w:t>
            </w:r>
            <w:r>
              <w:rPr>
                <w:rFonts w:hint="eastAsia" w:ascii="Times New Roman" w:hAnsi="Times New Roman" w:eastAsia="宋体" w:cs="Times New Roman"/>
                <w:color w:val="auto"/>
                <w:sz w:val="24"/>
                <w:szCs w:val="24"/>
                <w:highlight w:val="none"/>
                <w:lang w:val="en-US" w:eastAsia="zh-CN"/>
              </w:rPr>
              <w:t>1.568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517.44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/a），经沉淀池（5m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）循环使用。因此，每天需补充水为</w:t>
            </w:r>
            <w:r>
              <w:rPr>
                <w:rFonts w:hint="eastAsia" w:ascii="Times New Roman" w:hAnsi="Times New Roman" w:eastAsia="宋体" w:cs="Times New Roman"/>
                <w:color w:val="auto"/>
                <w:sz w:val="24"/>
                <w:szCs w:val="24"/>
                <w:highlight w:val="none"/>
                <w:lang w:val="en-US" w:eastAsia="zh-CN"/>
              </w:rPr>
              <w:t>0.392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129.36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14:paraId="6F7F3E5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en-US" w:eastAsia="zh-CN"/>
              </w:rPr>
              <w:t>脱硫</w:t>
            </w:r>
            <w:r>
              <w:rPr>
                <w:rFonts w:hint="eastAsia" w:ascii="Times New Roman" w:hAnsi="Times New Roman" w:eastAsia="宋体" w:cs="Times New Roman"/>
                <w:color w:val="auto"/>
                <w:sz w:val="24"/>
                <w:szCs w:val="24"/>
                <w:highlight w:val="none"/>
                <w:lang w:val="en-US" w:eastAsia="zh-CN"/>
              </w:rPr>
              <w:t>除尘</w:t>
            </w:r>
            <w:r>
              <w:rPr>
                <w:rFonts w:hint="default" w:ascii="Times New Roman" w:hAnsi="Times New Roman" w:eastAsia="宋体" w:cs="Times New Roman"/>
                <w:color w:val="auto"/>
                <w:sz w:val="24"/>
                <w:szCs w:val="24"/>
                <w:highlight w:val="none"/>
                <w:lang w:val="en-US" w:eastAsia="zh-CN"/>
              </w:rPr>
              <w:t>装置用水</w:t>
            </w:r>
          </w:p>
          <w:p w14:paraId="74EDB4C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本项目采用</w:t>
            </w:r>
            <w:r>
              <w:rPr>
                <w:rFonts w:hint="default" w:ascii="Times New Roman" w:hAnsi="Times New Roman" w:eastAsia="宋体" w:cs="Times New Roman"/>
                <w:color w:val="auto"/>
                <w:sz w:val="24"/>
                <w:szCs w:val="24"/>
                <w:highlight w:val="none"/>
                <w:lang w:val="en-US" w:eastAsia="zh-CN"/>
              </w:rPr>
              <w:t>双碱法脱硫</w:t>
            </w:r>
            <w:r>
              <w:rPr>
                <w:rFonts w:hint="eastAsia"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湿式电除尘</w:t>
            </w:r>
            <w:r>
              <w:rPr>
                <w:rFonts w:hint="eastAsia" w:ascii="Times New Roman" w:hAnsi="Times New Roman" w:eastAsia="宋体" w:cs="Times New Roman"/>
                <w:color w:val="auto"/>
                <w:sz w:val="24"/>
                <w:szCs w:val="24"/>
                <w:highlight w:val="none"/>
                <w:lang w:val="en-US" w:eastAsia="zh-CN"/>
              </w:rPr>
              <w:t>器对隧道窑烟气进行脱硫除尘。</w:t>
            </w:r>
          </w:p>
          <w:p w14:paraId="56A148A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湿式静电除尘</w:t>
            </w:r>
          </w:p>
          <w:p w14:paraId="75F71B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湿式静电除尘器通过喷淋冲洗的方式清除附着在阳极管和阴极线上的颗粒物，冲洗频率为1天1次，每次约1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min，冲洗水量为30m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冲洗废水</w:t>
            </w:r>
            <w:r>
              <w:rPr>
                <w:rFonts w:hint="default" w:ascii="Times New Roman" w:hAnsi="Times New Roman" w:eastAsia="宋体" w:cs="Times New Roman"/>
                <w:color w:val="auto"/>
                <w:sz w:val="24"/>
                <w:szCs w:val="24"/>
                <w:highlight w:val="none"/>
                <w:lang w:val="en-US" w:eastAsia="zh-CN"/>
              </w:rPr>
              <w:t>全部进入脱硫塔循环池沉淀后循环使用</w:t>
            </w:r>
            <w:r>
              <w:rPr>
                <w:rFonts w:hint="eastAsia" w:ascii="Times New Roman" w:hAnsi="Times New Roman" w:eastAsia="宋体" w:cs="Times New Roman"/>
                <w:color w:val="auto"/>
                <w:sz w:val="24"/>
                <w:szCs w:val="24"/>
                <w:highlight w:val="none"/>
                <w:lang w:val="en-US" w:eastAsia="zh-CN"/>
              </w:rPr>
              <w:t>。蒸发损耗量为1%，</w:t>
            </w:r>
            <w:r>
              <w:rPr>
                <w:rFonts w:hint="default" w:ascii="Times New Roman" w:hAnsi="Times New Roman" w:eastAsia="宋体" w:cs="Times New Roman"/>
                <w:color w:val="auto"/>
                <w:sz w:val="24"/>
                <w:szCs w:val="24"/>
                <w:highlight w:val="none"/>
                <w:lang w:val="en-US" w:eastAsia="zh-CN"/>
              </w:rPr>
              <w:t>每天补水量为</w:t>
            </w:r>
            <w:r>
              <w:rPr>
                <w:rFonts w:hint="eastAsia" w:ascii="Times New Roman" w:hAnsi="Times New Roman" w:eastAsia="宋体" w:cs="Times New Roman"/>
                <w:color w:val="auto"/>
                <w:sz w:val="24"/>
                <w:szCs w:val="24"/>
                <w:highlight w:val="none"/>
                <w:lang w:val="en-US" w:eastAsia="zh-CN"/>
              </w:rPr>
              <w:t>0.05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14:paraId="6DF0B85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b.脱硫塔循环系统</w:t>
            </w:r>
          </w:p>
          <w:p w14:paraId="0B79452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脱硫装置液气比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L/m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1，隧道窑日排放烟气量为</w:t>
            </w:r>
            <w:r>
              <w:rPr>
                <w:rFonts w:hint="eastAsia" w:cs="Times New Roman"/>
                <w:color w:val="auto"/>
                <w:sz w:val="24"/>
                <w:szCs w:val="24"/>
                <w:highlight w:val="none"/>
                <w:lang w:val="en-US" w:eastAsia="zh-CN"/>
              </w:rPr>
              <w:t>211111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/h×24h/d=</w:t>
            </w:r>
            <w:r>
              <w:rPr>
                <w:rFonts w:hint="eastAsia" w:ascii="Times New Roman" w:hAnsi="Times New Roman" w:eastAsia="宋体" w:cs="Times New Roman"/>
                <w:color w:val="auto"/>
                <w:sz w:val="24"/>
                <w:szCs w:val="24"/>
                <w:highlight w:val="none"/>
                <w:lang w:val="en-US" w:eastAsia="zh-CN"/>
              </w:rPr>
              <w:t>5066688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/d，则脱硫装置用水量为</w:t>
            </w:r>
            <w:r>
              <w:rPr>
                <w:rFonts w:hint="eastAsia" w:ascii="Times New Roman" w:hAnsi="Times New Roman" w:eastAsia="宋体" w:cs="Times New Roman"/>
                <w:color w:val="auto"/>
                <w:sz w:val="24"/>
                <w:szCs w:val="24"/>
                <w:highlight w:val="none"/>
                <w:lang w:val="en-US" w:eastAsia="zh-CN"/>
              </w:rPr>
              <w:t>5066688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12666.72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/d。损耗占循环水量的0.2%，则补水量为</w:t>
            </w:r>
            <w:r>
              <w:rPr>
                <w:rFonts w:hint="eastAsia" w:ascii="Times New Roman" w:hAnsi="Times New Roman" w:eastAsia="宋体" w:cs="Times New Roman"/>
                <w:color w:val="auto"/>
                <w:sz w:val="24"/>
                <w:szCs w:val="24"/>
                <w:highlight w:val="none"/>
                <w:lang w:val="en-US" w:eastAsia="zh-CN"/>
              </w:rPr>
              <w:t>25.33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p>
          <w:p w14:paraId="4461C8B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脱硫废水经压滤后，排入沉淀池，经沉淀再生处理后，送脱硫系统重复利用，装置水损耗主要由烟气带走蒸发，需定时补充。</w:t>
            </w:r>
          </w:p>
          <w:p w14:paraId="1E37BA6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（2）排水</w:t>
            </w:r>
          </w:p>
          <w:p w14:paraId="760208D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1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污染物种类为</w:t>
            </w:r>
            <w:r>
              <w:rPr>
                <w:rFonts w:hint="default" w:ascii="Times New Roman" w:hAnsi="Times New Roman" w:eastAsia="宋体" w:cs="Times New Roman"/>
                <w:color w:val="auto"/>
                <w:sz w:val="24"/>
                <w:szCs w:val="24"/>
                <w:highlight w:val="none"/>
                <w:lang w:val="en-US" w:eastAsia="zh-CN"/>
              </w:rPr>
              <w:t>COD、BOD、SS</w:t>
            </w:r>
            <w:r>
              <w:rPr>
                <w:rFonts w:hint="eastAsia" w:ascii="Times New Roman" w:hAnsi="Times New Roman" w:eastAsia="宋体" w:cs="Times New Roman"/>
                <w:color w:val="auto"/>
                <w:sz w:val="24"/>
                <w:szCs w:val="24"/>
                <w:highlight w:val="none"/>
                <w:lang w:val="en-US" w:eastAsia="zh-CN"/>
              </w:rPr>
              <w:t>、NH</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lang w:val="en-US" w:eastAsia="zh-CN"/>
              </w:rPr>
              <w:t>生活污水排入</w:t>
            </w:r>
            <w:r>
              <w:rPr>
                <w:rFonts w:hint="eastAsia"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定期清掏用作农肥不外排。</w:t>
            </w:r>
          </w:p>
          <w:p w14:paraId="109C299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②运输车辆冲洗</w:t>
            </w:r>
            <w:r>
              <w:rPr>
                <w:rFonts w:hint="eastAsia" w:ascii="Times New Roman" w:hAnsi="Times New Roman" w:eastAsia="宋体" w:cs="Times New Roman"/>
                <w:color w:val="auto"/>
                <w:sz w:val="24"/>
                <w:szCs w:val="24"/>
                <w:highlight w:val="none"/>
                <w:lang w:val="en-US" w:eastAsia="zh-CN"/>
              </w:rPr>
              <w:t>废水：污染物种类为</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，建设有</w:t>
            </w:r>
            <w:r>
              <w:rPr>
                <w:rFonts w:hint="default" w:ascii="Times New Roman" w:hAnsi="Times New Roman" w:eastAsia="宋体" w:cs="Times New Roman"/>
                <w:color w:val="auto"/>
                <w:sz w:val="24"/>
                <w:szCs w:val="24"/>
                <w:highlight w:val="none"/>
                <w:lang w:val="en-US" w:eastAsia="zh-CN"/>
              </w:rPr>
              <w:t>5m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沉淀池</w:t>
            </w:r>
            <w:r>
              <w:rPr>
                <w:rFonts w:hint="eastAsia" w:ascii="Times New Roman" w:hAnsi="Times New Roman" w:eastAsia="宋体" w:cs="Times New Roman"/>
                <w:color w:val="auto"/>
                <w:sz w:val="24"/>
                <w:szCs w:val="24"/>
                <w:highlight w:val="none"/>
                <w:lang w:val="en-US" w:eastAsia="zh-CN"/>
              </w:rPr>
              <w:t>，沉淀后</w:t>
            </w:r>
            <w:r>
              <w:rPr>
                <w:rFonts w:hint="default" w:ascii="Times New Roman" w:hAnsi="Times New Roman" w:eastAsia="宋体" w:cs="Times New Roman"/>
                <w:color w:val="auto"/>
                <w:sz w:val="24"/>
                <w:szCs w:val="24"/>
                <w:highlight w:val="none"/>
                <w:lang w:val="en-US" w:eastAsia="zh-CN"/>
              </w:rPr>
              <w:t>循环使用</w:t>
            </w:r>
            <w:r>
              <w:rPr>
                <w:rFonts w:hint="eastAsia" w:ascii="Times New Roman" w:hAnsi="Times New Roman" w:eastAsia="宋体" w:cs="Times New Roman"/>
                <w:color w:val="auto"/>
                <w:sz w:val="24"/>
                <w:szCs w:val="24"/>
                <w:highlight w:val="none"/>
                <w:lang w:val="en-US" w:eastAsia="zh-CN"/>
              </w:rPr>
              <w:t>不外排。</w:t>
            </w:r>
          </w:p>
          <w:p w14:paraId="4C4077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③湿电除尘、</w:t>
            </w:r>
            <w:r>
              <w:rPr>
                <w:rFonts w:hint="default" w:ascii="Times New Roman" w:hAnsi="Times New Roman" w:eastAsia="宋体" w:cs="Times New Roman"/>
                <w:color w:val="auto"/>
                <w:sz w:val="24"/>
                <w:szCs w:val="24"/>
                <w:highlight w:val="none"/>
                <w:lang w:val="en-US" w:eastAsia="zh-CN"/>
              </w:rPr>
              <w:t>脱硫</w:t>
            </w:r>
            <w:r>
              <w:rPr>
                <w:rFonts w:hint="eastAsia" w:ascii="Times New Roman" w:hAnsi="Times New Roman" w:eastAsia="宋体" w:cs="Times New Roman"/>
                <w:color w:val="auto"/>
                <w:sz w:val="24"/>
                <w:szCs w:val="24"/>
                <w:highlight w:val="none"/>
                <w:lang w:val="en-US" w:eastAsia="zh-CN"/>
              </w:rPr>
              <w:t>除尘</w:t>
            </w:r>
            <w:r>
              <w:rPr>
                <w:rFonts w:hint="default" w:ascii="Times New Roman" w:hAnsi="Times New Roman" w:eastAsia="宋体" w:cs="Times New Roman"/>
                <w:color w:val="auto"/>
                <w:sz w:val="24"/>
                <w:szCs w:val="24"/>
                <w:highlight w:val="none"/>
                <w:lang w:val="en-US" w:eastAsia="zh-CN"/>
              </w:rPr>
              <w:t>装置</w:t>
            </w:r>
            <w:r>
              <w:rPr>
                <w:rFonts w:hint="eastAsia" w:ascii="Times New Roman" w:hAnsi="Times New Roman" w:eastAsia="宋体" w:cs="Times New Roman"/>
                <w:color w:val="auto"/>
                <w:sz w:val="24"/>
                <w:szCs w:val="24"/>
                <w:highlight w:val="none"/>
                <w:lang w:val="en-US" w:eastAsia="zh-CN"/>
              </w:rPr>
              <w:t>废水：污染物种类都为</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。湿电除尘器冲洗水进入全部进入脱硫塔循环池沉淀后循环使用；</w:t>
            </w:r>
            <w:r>
              <w:rPr>
                <w:rFonts w:hint="default" w:ascii="Times New Roman" w:hAnsi="Times New Roman" w:eastAsia="宋体" w:cs="Times New Roman"/>
                <w:color w:val="auto"/>
                <w:sz w:val="24"/>
                <w:szCs w:val="24"/>
                <w:highlight w:val="none"/>
                <w:lang w:val="en-US" w:eastAsia="zh-CN"/>
              </w:rPr>
              <w:t>脱硫废水经压滤后，排入沉淀池，经沉淀再生处理后，送脱硫系统重复利用，</w:t>
            </w:r>
            <w:r>
              <w:rPr>
                <w:rFonts w:hint="eastAsia" w:ascii="Times New Roman" w:hAnsi="Times New Roman" w:eastAsia="宋体" w:cs="Times New Roman"/>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lang w:val="en-US" w:eastAsia="zh-CN"/>
              </w:rPr>
              <w:t>。</w:t>
            </w:r>
          </w:p>
          <w:p w14:paraId="509454D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初期雨水</w:t>
            </w:r>
            <w:r>
              <w:rPr>
                <w:rFonts w:hint="eastAsia" w:ascii="Times New Roman" w:hAnsi="Times New Roman" w:eastAsia="宋体" w:cs="Times New Roman"/>
                <w:color w:val="auto"/>
                <w:sz w:val="24"/>
                <w:szCs w:val="24"/>
                <w:highlight w:val="none"/>
                <w:lang w:val="en-US" w:eastAsia="zh-CN"/>
              </w:rPr>
              <w:t>：污染物种类为</w:t>
            </w:r>
            <w:r>
              <w:rPr>
                <w:rFonts w:hint="default" w:ascii="Times New Roman" w:hAnsi="Times New Roman" w:eastAsia="宋体" w:cs="Times New Roman"/>
                <w:color w:val="auto"/>
                <w:sz w:val="24"/>
                <w:szCs w:val="24"/>
                <w:highlight w:val="none"/>
                <w:lang w:val="en-US" w:eastAsia="zh-CN"/>
              </w:rPr>
              <w:t>SS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考虑到雨季的影响，厂区应设置初期雨水收集沉淀系统，以避免厂区含悬浮物较高的冲刷雨水直接通过厂区排水系统进入周边水体。评价根据太原工业大学采用数理统计法编的计算公式（长治市），对本项目应设置的初期雨水收集池容积进行了计算，计算公式如下：</w:t>
            </w:r>
          </w:p>
          <w:p w14:paraId="776F0525">
            <w:pPr>
              <w:keepNext w:val="0"/>
              <w:keepLines w:val="0"/>
              <w:pageBreakBefore w:val="0"/>
              <w:widowControl/>
              <w:kinsoku w:val="0"/>
              <w:wordWrap/>
              <w:overflowPunct/>
              <w:topLinePunct w:val="0"/>
              <w:autoSpaceDE w:val="0"/>
              <w:autoSpaceDN w:val="0"/>
              <w:bidi w:val="0"/>
              <w:adjustRightInd/>
              <w:snapToGrid/>
              <w:spacing w:line="360" w:lineRule="auto"/>
              <w:ind w:firstLine="0" w:firstLineChars="0"/>
              <w:jc w:val="center"/>
              <w:textAlignment w:val="baseline"/>
              <w:rPr>
                <w:rFonts w:hint="default" w:ascii="Times New Roman" w:hAnsi="Times New Roman" w:cs="Times New Roman"/>
                <w:color w:val="C00000"/>
                <w:position w:val="-42"/>
                <w:sz w:val="24"/>
                <w:highlight w:val="none"/>
              </w:rPr>
            </w:pPr>
            <w:r>
              <w:rPr>
                <w:rFonts w:hint="default" w:ascii="Times New Roman" w:hAnsi="Times New Roman" w:cs="Times New Roman"/>
                <w:color w:val="C00000"/>
                <w:kern w:val="2"/>
                <w:position w:val="-10"/>
                <w:sz w:val="24"/>
                <w:szCs w:val="20"/>
                <w:highlight w:val="none"/>
                <w:lang w:val="en-US" w:eastAsia="zh-CN" w:bidi="ar-SA"/>
              </w:rPr>
              <w:object>
                <v:shape id="_x0000_i1025" o:spt="75" type="#_x0000_t75" style="height:16.05pt;width:65.2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p>
          <w:p w14:paraId="76D57D3F">
            <w:pPr>
              <w:keepNext w:val="0"/>
              <w:keepLines w:val="0"/>
              <w:pageBreakBefore w:val="0"/>
              <w:widowControl/>
              <w:kinsoku w:val="0"/>
              <w:wordWrap/>
              <w:overflowPunct/>
              <w:topLinePunct w:val="0"/>
              <w:autoSpaceDE w:val="0"/>
              <w:autoSpaceDN w:val="0"/>
              <w:bidi w:val="0"/>
              <w:adjustRightInd/>
              <w:snapToGrid/>
              <w:spacing w:line="360" w:lineRule="auto"/>
              <w:ind w:firstLine="0" w:firstLineChars="0"/>
              <w:jc w:val="center"/>
              <w:textAlignment w:val="baseline"/>
              <w:rPr>
                <w:rFonts w:hint="default" w:ascii="Times New Roman" w:hAnsi="Times New Roman" w:cs="Times New Roman"/>
                <w:color w:val="C00000"/>
                <w:sz w:val="24"/>
                <w:highlight w:val="none"/>
              </w:rPr>
            </w:pPr>
            <w:r>
              <w:rPr>
                <w:rFonts w:hint="default" w:ascii="Times New Roman" w:hAnsi="Times New Roman" w:cs="Times New Roman"/>
                <w:color w:val="C00000"/>
                <w:position w:val="-42"/>
                <w:sz w:val="24"/>
                <w:highlight w:val="none"/>
              </w:rPr>
              <w:object>
                <v:shape id="_x0000_i1026" o:spt="75" type="#_x0000_t75" style="height:40.2pt;width:106.8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p>
          <w:p w14:paraId="0D5F5EA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其中：Q——15分钟降雨量（m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2ACF193B">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q——暴雨强度（L/s•公顷）；</w:t>
            </w:r>
          </w:p>
          <w:p w14:paraId="0BD1C245">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φ——径流系数（取0.</w:t>
            </w:r>
            <w:r>
              <w:rPr>
                <w:rFonts w:hint="eastAsia"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en-US" w:eastAsia="zh-CN"/>
              </w:rPr>
              <w:t>）；</w:t>
            </w:r>
          </w:p>
          <w:p w14:paraId="40C210D7">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f——汇水面积hm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；（约为</w:t>
            </w:r>
            <w:r>
              <w:rPr>
                <w:rFonts w:hint="eastAsia" w:cs="Times New Roman"/>
                <w:color w:val="auto"/>
                <w:sz w:val="24"/>
                <w:szCs w:val="24"/>
                <w:highlight w:val="none"/>
                <w:lang w:val="en-US" w:eastAsia="zh-CN"/>
              </w:rPr>
              <w:t>36626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14:paraId="24B87335">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T——重现期（2年）；</w:t>
            </w:r>
          </w:p>
          <w:p w14:paraId="7FC1A51A">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t——降雨历时（15分钟）。</w:t>
            </w:r>
          </w:p>
          <w:p w14:paraId="01079A0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经计算，q=197.19L/s·ha，则前15分钟的雨量为</w:t>
            </w:r>
            <w:r>
              <w:rPr>
                <w:rFonts w:hint="eastAsia" w:ascii="Times New Roman" w:hAnsi="Times New Roman" w:eastAsia="宋体" w:cs="Times New Roman"/>
                <w:color w:val="auto"/>
                <w:sz w:val="24"/>
                <w:szCs w:val="24"/>
                <w:highlight w:val="none"/>
                <w:lang w:val="en-US" w:eastAsia="zh-CN"/>
              </w:rPr>
              <w:t>487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377DCA4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根据现场踏勘，企业</w:t>
            </w:r>
            <w:r>
              <w:rPr>
                <w:rFonts w:hint="eastAsia" w:ascii="Times New Roman" w:hAnsi="Times New Roman" w:eastAsia="宋体" w:cs="Times New Roman"/>
                <w:color w:val="auto"/>
                <w:sz w:val="24"/>
                <w:szCs w:val="24"/>
                <w:highlight w:val="none"/>
                <w:lang w:val="en-US" w:eastAsia="zh-CN"/>
              </w:rPr>
              <w:t>需扩建</w:t>
            </w:r>
            <w:r>
              <w:rPr>
                <w:rFonts w:hint="default"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val="en-US" w:eastAsia="zh-CN"/>
              </w:rPr>
              <w:t>550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的初期雨水收集池，基础采用混凝土防渗处理，厂区设置雨水收集沟渠，雨水可依据重力汇入雨水收集池内，沉淀后用于厂区洒水，不外排。</w:t>
            </w:r>
          </w:p>
          <w:p w14:paraId="25C32D9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改后</w:t>
            </w:r>
            <w:r>
              <w:rPr>
                <w:rFonts w:hint="default" w:ascii="Times New Roman" w:hAnsi="Times New Roman" w:eastAsia="宋体" w:cs="Times New Roman"/>
                <w:color w:val="auto"/>
                <w:sz w:val="24"/>
                <w:szCs w:val="24"/>
                <w:highlight w:val="none"/>
                <w:lang w:val="en-US" w:eastAsia="zh-CN"/>
              </w:rPr>
              <w:t>全厂用排水情况见下表，项目水平衡见下图。</w:t>
            </w:r>
          </w:p>
          <w:p w14:paraId="2F387E8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表</w:t>
            </w:r>
            <w:r>
              <w:rPr>
                <w:rFonts w:hint="eastAsia" w:ascii="Times New Roman" w:hAnsi="Times New Roman" w:eastAsia="黑体" w:cs="Times New Roman"/>
                <w:b w:val="0"/>
                <w:bCs/>
                <w:color w:val="auto"/>
                <w:spacing w:val="0"/>
                <w:kern w:val="2"/>
                <w:sz w:val="24"/>
                <w:szCs w:val="24"/>
                <w:highlight w:val="none"/>
                <w:lang w:val="en-US" w:eastAsia="zh-CN" w:bidi="ar-SA"/>
              </w:rPr>
              <w:t>2-14</w:t>
            </w:r>
            <w:r>
              <w:rPr>
                <w:rFonts w:hint="default" w:ascii="Times New Roman" w:hAnsi="Times New Roman" w:eastAsia="黑体" w:cs="Times New Roman"/>
                <w:b w:val="0"/>
                <w:bCs/>
                <w:color w:val="auto"/>
                <w:spacing w:val="0"/>
                <w:kern w:val="2"/>
                <w:sz w:val="24"/>
                <w:szCs w:val="24"/>
                <w:highlight w:val="none"/>
                <w:lang w:val="en-US" w:eastAsia="zh-CN" w:bidi="ar-SA"/>
              </w:rPr>
              <w:t xml:space="preserve">  本项目</w:t>
            </w:r>
            <w:r>
              <w:rPr>
                <w:rFonts w:hint="eastAsia" w:ascii="Times New Roman" w:hAnsi="Times New Roman" w:eastAsia="黑体" w:cs="Times New Roman"/>
                <w:b w:val="0"/>
                <w:bCs/>
                <w:color w:val="auto"/>
                <w:spacing w:val="0"/>
                <w:kern w:val="2"/>
                <w:sz w:val="24"/>
                <w:szCs w:val="24"/>
                <w:highlight w:val="none"/>
                <w:lang w:val="en-US" w:eastAsia="zh-CN" w:bidi="ar-SA"/>
              </w:rPr>
              <w:t>改建后全厂</w:t>
            </w:r>
            <w:r>
              <w:rPr>
                <w:rFonts w:hint="default" w:ascii="Times New Roman" w:hAnsi="Times New Roman" w:eastAsia="黑体" w:cs="Times New Roman"/>
                <w:b w:val="0"/>
                <w:bCs/>
                <w:color w:val="auto"/>
                <w:spacing w:val="0"/>
                <w:kern w:val="2"/>
                <w:sz w:val="24"/>
                <w:szCs w:val="24"/>
                <w:highlight w:val="none"/>
                <w:lang w:val="en-US" w:eastAsia="zh-CN" w:bidi="ar-SA"/>
              </w:rPr>
              <w:t>给排水平衡一览表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905"/>
              <w:gridCol w:w="8"/>
              <w:gridCol w:w="1216"/>
              <w:gridCol w:w="1216"/>
              <w:gridCol w:w="976"/>
              <w:gridCol w:w="1028"/>
              <w:gridCol w:w="1532"/>
            </w:tblGrid>
            <w:tr w14:paraId="4E061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230B39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auto"/>
                      <w:kern w:val="2"/>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1136" w:type="pct"/>
                  <w:tcBorders>
                    <w:tl2br w:val="nil"/>
                    <w:tr2bl w:val="nil"/>
                  </w:tcBorders>
                  <w:noWrap w:val="0"/>
                  <w:vAlign w:val="center"/>
                </w:tcPr>
                <w:p w14:paraId="6EC310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2"/>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729" w:type="pct"/>
                  <w:gridSpan w:val="2"/>
                  <w:tcBorders>
                    <w:tl2br w:val="nil"/>
                    <w:tr2bl w:val="nil"/>
                  </w:tcBorders>
                  <w:noWrap w:val="0"/>
                  <w:vAlign w:val="center"/>
                </w:tcPr>
                <w:p w14:paraId="61E58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2"/>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用水标准</w:t>
                  </w:r>
                </w:p>
              </w:tc>
              <w:tc>
                <w:tcPr>
                  <w:tcW w:w="725" w:type="pct"/>
                  <w:tcBorders>
                    <w:tl2br w:val="nil"/>
                    <w:tr2bl w:val="nil"/>
                  </w:tcBorders>
                  <w:noWrap w:val="0"/>
                  <w:vAlign w:val="center"/>
                </w:tcPr>
                <w:p w14:paraId="63D5FC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snapToGrid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新鲜用水量</w:t>
                  </w:r>
                  <w:r>
                    <w:rPr>
                      <w:rFonts w:hint="default" w:ascii="Times New Roman" w:hAnsi="Times New Roman" w:eastAsia="宋体" w:cs="Times New Roman"/>
                      <w:b/>
                      <w:bCs/>
                      <w:color w:val="auto"/>
                      <w:kern w:val="2"/>
                      <w:sz w:val="21"/>
                      <w:szCs w:val="21"/>
                      <w:highlight w:val="none"/>
                      <w:u w:val="none"/>
                      <w:lang w:val="en-US" w:eastAsia="zh-CN" w:bidi="ar"/>
                    </w:rPr>
                    <w:t>m</w:t>
                  </w:r>
                  <w:r>
                    <w:rPr>
                      <w:rFonts w:hint="default" w:ascii="Times New Roman" w:hAnsi="Times New Roman" w:eastAsia="宋体" w:cs="Times New Roman"/>
                      <w:b/>
                      <w:bCs/>
                      <w:color w:val="auto"/>
                      <w:kern w:val="2"/>
                      <w:sz w:val="21"/>
                      <w:szCs w:val="21"/>
                      <w:highlight w:val="none"/>
                      <w:u w:val="none"/>
                      <w:vertAlign w:val="superscript"/>
                      <w:lang w:val="en-US" w:eastAsia="zh-CN" w:bidi="ar"/>
                    </w:rPr>
                    <w:t>3</w:t>
                  </w:r>
                  <w:r>
                    <w:rPr>
                      <w:rFonts w:hint="default" w:ascii="Times New Roman" w:hAnsi="Times New Roman" w:eastAsia="宋体" w:cs="Times New Roman"/>
                      <w:b/>
                      <w:bCs/>
                      <w:color w:val="auto"/>
                      <w:kern w:val="2"/>
                      <w:sz w:val="21"/>
                      <w:szCs w:val="21"/>
                      <w:highlight w:val="none"/>
                      <w:u w:val="none"/>
                      <w:lang w:val="en-US" w:eastAsia="zh-CN" w:bidi="ar"/>
                    </w:rPr>
                    <w:t>/d</w:t>
                  </w:r>
                </w:p>
              </w:tc>
              <w:tc>
                <w:tcPr>
                  <w:tcW w:w="582" w:type="pct"/>
                  <w:tcBorders>
                    <w:tl2br w:val="nil"/>
                    <w:tr2bl w:val="nil"/>
                  </w:tcBorders>
                  <w:noWrap w:val="0"/>
                  <w:vAlign w:val="center"/>
                </w:tcPr>
                <w:p w14:paraId="397DA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损耗量</w:t>
                  </w:r>
                  <w:r>
                    <w:rPr>
                      <w:rFonts w:hint="default" w:ascii="Times New Roman" w:hAnsi="Times New Roman" w:eastAsia="宋体" w:cs="Times New Roman"/>
                      <w:b/>
                      <w:bCs/>
                      <w:color w:val="auto"/>
                      <w:kern w:val="2"/>
                      <w:sz w:val="21"/>
                      <w:szCs w:val="21"/>
                      <w:highlight w:val="none"/>
                      <w:u w:val="none"/>
                      <w:lang w:val="en-US" w:eastAsia="zh-CN" w:bidi="ar"/>
                    </w:rPr>
                    <w:t>m</w:t>
                  </w:r>
                  <w:r>
                    <w:rPr>
                      <w:rFonts w:hint="default" w:ascii="Times New Roman" w:hAnsi="Times New Roman" w:eastAsia="宋体" w:cs="Times New Roman"/>
                      <w:b/>
                      <w:bCs/>
                      <w:color w:val="auto"/>
                      <w:kern w:val="2"/>
                      <w:sz w:val="21"/>
                      <w:szCs w:val="21"/>
                      <w:highlight w:val="none"/>
                      <w:u w:val="none"/>
                      <w:vertAlign w:val="superscript"/>
                      <w:lang w:val="en-US" w:eastAsia="zh-CN" w:bidi="ar"/>
                    </w:rPr>
                    <w:t>3</w:t>
                  </w:r>
                  <w:r>
                    <w:rPr>
                      <w:rFonts w:hint="default" w:ascii="Times New Roman" w:hAnsi="Times New Roman" w:eastAsia="宋体" w:cs="Times New Roman"/>
                      <w:b/>
                      <w:bCs/>
                      <w:color w:val="auto"/>
                      <w:kern w:val="2"/>
                      <w:sz w:val="21"/>
                      <w:szCs w:val="21"/>
                      <w:highlight w:val="none"/>
                      <w:u w:val="none"/>
                      <w:lang w:val="en-US" w:eastAsia="zh-CN" w:bidi="ar"/>
                    </w:rPr>
                    <w:t>/d</w:t>
                  </w:r>
                </w:p>
              </w:tc>
              <w:tc>
                <w:tcPr>
                  <w:tcW w:w="613" w:type="pct"/>
                  <w:tcBorders>
                    <w:tl2br w:val="nil"/>
                    <w:tr2bl w:val="nil"/>
                  </w:tcBorders>
                  <w:noWrap w:val="0"/>
                  <w:vAlign w:val="center"/>
                </w:tcPr>
                <w:p w14:paraId="202B8F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2"/>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排水量</w:t>
                  </w:r>
                  <w:r>
                    <w:rPr>
                      <w:rFonts w:hint="default" w:ascii="Times New Roman" w:hAnsi="Times New Roman" w:eastAsia="宋体" w:cs="Times New Roman"/>
                      <w:b/>
                      <w:bCs/>
                      <w:color w:val="auto"/>
                      <w:kern w:val="2"/>
                      <w:sz w:val="21"/>
                      <w:szCs w:val="21"/>
                      <w:highlight w:val="none"/>
                      <w:u w:val="none"/>
                      <w:lang w:val="en-US" w:eastAsia="zh-CN" w:bidi="ar"/>
                    </w:rPr>
                    <w:t>m</w:t>
                  </w:r>
                  <w:r>
                    <w:rPr>
                      <w:rFonts w:hint="default" w:ascii="Times New Roman" w:hAnsi="Times New Roman" w:eastAsia="宋体" w:cs="Times New Roman"/>
                      <w:b/>
                      <w:bCs/>
                      <w:color w:val="auto"/>
                      <w:kern w:val="2"/>
                      <w:sz w:val="21"/>
                      <w:szCs w:val="21"/>
                      <w:highlight w:val="none"/>
                      <w:u w:val="none"/>
                      <w:vertAlign w:val="superscript"/>
                      <w:lang w:val="en-US" w:eastAsia="zh-CN" w:bidi="ar"/>
                    </w:rPr>
                    <w:t>3</w:t>
                  </w:r>
                  <w:r>
                    <w:rPr>
                      <w:rFonts w:hint="default" w:ascii="Times New Roman" w:hAnsi="Times New Roman" w:eastAsia="宋体" w:cs="Times New Roman"/>
                      <w:b/>
                      <w:bCs/>
                      <w:color w:val="auto"/>
                      <w:kern w:val="2"/>
                      <w:sz w:val="21"/>
                      <w:szCs w:val="21"/>
                      <w:highlight w:val="none"/>
                      <w:u w:val="none"/>
                      <w:lang w:val="en-US" w:eastAsia="zh-CN" w:bidi="ar"/>
                    </w:rPr>
                    <w:t>/d</w:t>
                  </w:r>
                </w:p>
              </w:tc>
              <w:tc>
                <w:tcPr>
                  <w:tcW w:w="913" w:type="pct"/>
                  <w:tcBorders>
                    <w:tl2br w:val="nil"/>
                    <w:tr2bl w:val="nil"/>
                  </w:tcBorders>
                  <w:noWrap w:val="0"/>
                  <w:vAlign w:val="center"/>
                </w:tcPr>
                <w:p w14:paraId="315FA3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去向</w:t>
                  </w:r>
                </w:p>
              </w:tc>
            </w:tr>
            <w:tr w14:paraId="617CD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12BC4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36" w:type="pct"/>
                  <w:tcBorders>
                    <w:tl2br w:val="nil"/>
                    <w:tr2bl w:val="nil"/>
                  </w:tcBorders>
                  <w:noWrap w:val="0"/>
                  <w:vAlign w:val="center"/>
                </w:tcPr>
                <w:p w14:paraId="1D76B4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生活用水</w:t>
                  </w:r>
                </w:p>
              </w:tc>
              <w:tc>
                <w:tcPr>
                  <w:tcW w:w="729" w:type="pct"/>
                  <w:gridSpan w:val="2"/>
                  <w:tcBorders>
                    <w:tl2br w:val="nil"/>
                    <w:tr2bl w:val="nil"/>
                  </w:tcBorders>
                  <w:noWrap w:val="0"/>
                  <w:vAlign w:val="center"/>
                </w:tcPr>
                <w:p w14:paraId="7D8F59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80</w:t>
                  </w:r>
                  <w:r>
                    <w:rPr>
                      <w:rFonts w:hint="default" w:ascii="Times New Roman" w:hAnsi="Times New Roman" w:eastAsia="宋体" w:cs="Times New Roman"/>
                      <w:i w:val="0"/>
                      <w:iCs w:val="0"/>
                      <w:color w:val="auto"/>
                      <w:kern w:val="0"/>
                      <w:sz w:val="21"/>
                      <w:szCs w:val="21"/>
                      <w:highlight w:val="none"/>
                      <w:u w:val="none"/>
                      <w:lang w:val="en-US" w:eastAsia="zh-CN" w:bidi="ar"/>
                    </w:rPr>
                    <w:t>L/</w:t>
                  </w:r>
                  <w:r>
                    <w:rPr>
                      <w:rFonts w:hint="default" w:ascii="Times New Roman" w:hAnsi="Times New Roman" w:cs="Times New Roman"/>
                      <w:color w:val="auto"/>
                      <w:kern w:val="2"/>
                      <w:sz w:val="21"/>
                      <w:szCs w:val="21"/>
                      <w:highlight w:val="none"/>
                      <w:u w:val="none"/>
                      <w:lang w:val="en-US" w:eastAsia="zh-CN" w:bidi="ar"/>
                    </w:rPr>
                    <w:t>人·</w:t>
                  </w:r>
                  <w:r>
                    <w:rPr>
                      <w:rFonts w:hint="default" w:ascii="Times New Roman" w:hAnsi="Times New Roman" w:eastAsia="宋体" w:cs="Times New Roman"/>
                      <w:color w:val="auto"/>
                      <w:kern w:val="2"/>
                      <w:sz w:val="21"/>
                      <w:szCs w:val="21"/>
                      <w:highlight w:val="none"/>
                      <w:u w:val="none"/>
                      <w:lang w:val="en-US" w:eastAsia="zh-CN" w:bidi="ar"/>
                    </w:rPr>
                    <w:t>d</w:t>
                  </w:r>
                </w:p>
              </w:tc>
              <w:tc>
                <w:tcPr>
                  <w:tcW w:w="725" w:type="pct"/>
                  <w:tcBorders>
                    <w:tl2br w:val="nil"/>
                    <w:tr2bl w:val="nil"/>
                  </w:tcBorders>
                  <w:noWrap w:val="0"/>
                  <w:vAlign w:val="center"/>
                </w:tcPr>
                <w:p w14:paraId="4C36A3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2"/>
                      <w:sz w:val="21"/>
                      <w:szCs w:val="21"/>
                      <w:highlight w:val="none"/>
                      <w:u w:val="none"/>
                      <w:lang w:val="en-US" w:eastAsia="zh-CN" w:bidi="ar-SA"/>
                    </w:rPr>
                  </w:pPr>
                  <w:r>
                    <w:rPr>
                      <w:rFonts w:hint="eastAsia" w:ascii="Times New Roman" w:hAnsi="Times New Roman" w:eastAsia="宋体" w:cs="Times New Roman"/>
                      <w:i w:val="0"/>
                      <w:iCs w:val="0"/>
                      <w:snapToGrid w:val="0"/>
                      <w:color w:val="auto"/>
                      <w:kern w:val="2"/>
                      <w:sz w:val="21"/>
                      <w:szCs w:val="21"/>
                      <w:highlight w:val="none"/>
                      <w:u w:val="none"/>
                      <w:lang w:val="en-US" w:eastAsia="zh-CN" w:bidi="ar-SA"/>
                    </w:rPr>
                    <w:t>1.6</w:t>
                  </w:r>
                </w:p>
              </w:tc>
              <w:tc>
                <w:tcPr>
                  <w:tcW w:w="582" w:type="pct"/>
                  <w:tcBorders>
                    <w:tl2br w:val="nil"/>
                    <w:tr2bl w:val="nil"/>
                  </w:tcBorders>
                  <w:noWrap w:val="0"/>
                  <w:vAlign w:val="center"/>
                </w:tcPr>
                <w:p w14:paraId="2E11A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rPr>
                    <w:t>0.32</w:t>
                  </w:r>
                </w:p>
              </w:tc>
              <w:tc>
                <w:tcPr>
                  <w:tcW w:w="613" w:type="pct"/>
                  <w:tcBorders>
                    <w:tl2br w:val="nil"/>
                    <w:tr2bl w:val="nil"/>
                  </w:tcBorders>
                  <w:noWrap w:val="0"/>
                  <w:vAlign w:val="center"/>
                </w:tcPr>
                <w:p w14:paraId="13E3E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rPr>
                    <w:t>1.28</w:t>
                  </w:r>
                </w:p>
              </w:tc>
              <w:tc>
                <w:tcPr>
                  <w:tcW w:w="913" w:type="pct"/>
                  <w:tcBorders>
                    <w:tl2br w:val="nil"/>
                    <w:tr2bl w:val="nil"/>
                  </w:tcBorders>
                  <w:noWrap w:val="0"/>
                  <w:vAlign w:val="center"/>
                </w:tcPr>
                <w:p w14:paraId="38A04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eastAsia" w:cs="Times New Roman"/>
                      <w:i w:val="0"/>
                      <w:iCs w:val="0"/>
                      <w:color w:val="auto"/>
                      <w:kern w:val="2"/>
                      <w:sz w:val="21"/>
                      <w:szCs w:val="21"/>
                      <w:highlight w:val="none"/>
                      <w:u w:val="none"/>
                      <w:lang w:val="en-US" w:eastAsia="zh-CN"/>
                    </w:rPr>
                    <w:t>化粪池</w:t>
                  </w:r>
                </w:p>
              </w:tc>
            </w:tr>
            <w:tr w14:paraId="61903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4BED7B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36" w:type="pct"/>
                  <w:tcBorders>
                    <w:tl2br w:val="nil"/>
                    <w:tr2bl w:val="nil"/>
                  </w:tcBorders>
                  <w:noWrap w:val="0"/>
                  <w:vAlign w:val="center"/>
                </w:tcPr>
                <w:p w14:paraId="09251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color w:val="auto"/>
                      <w:sz w:val="21"/>
                      <w:szCs w:val="21"/>
                      <w:highlight w:val="none"/>
                      <w:lang w:val="en-US" w:eastAsia="zh-CN"/>
                    </w:rPr>
                    <w:t>原料库</w:t>
                  </w:r>
                  <w:r>
                    <w:rPr>
                      <w:rFonts w:hint="default" w:ascii="Times New Roman" w:hAnsi="Times New Roman" w:cs="Times New Roman"/>
                      <w:color w:val="auto"/>
                      <w:sz w:val="21"/>
                      <w:szCs w:val="21"/>
                      <w:highlight w:val="none"/>
                      <w:lang w:val="en-US" w:eastAsia="zh-CN"/>
                    </w:rPr>
                    <w:t>抑尘用水</w:t>
                  </w:r>
                </w:p>
              </w:tc>
              <w:tc>
                <w:tcPr>
                  <w:tcW w:w="729" w:type="pct"/>
                  <w:gridSpan w:val="2"/>
                  <w:tcBorders>
                    <w:tl2br w:val="nil"/>
                    <w:tr2bl w:val="nil"/>
                  </w:tcBorders>
                  <w:noWrap w:val="0"/>
                  <w:vAlign w:val="center"/>
                </w:tcPr>
                <w:p w14:paraId="4EA61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
                    </w:rPr>
                    <w:t>1.5L/m</w:t>
                  </w:r>
                  <w:r>
                    <w:rPr>
                      <w:rFonts w:hint="default" w:ascii="Times New Roman" w:hAnsi="Times New Roman" w:eastAsia="宋体" w:cs="Times New Roman"/>
                      <w:snapToGrid w:val="0"/>
                      <w:color w:val="auto"/>
                      <w:kern w:val="0"/>
                      <w:sz w:val="21"/>
                      <w:szCs w:val="21"/>
                      <w:highlight w:val="none"/>
                      <w:vertAlign w:val="superscript"/>
                      <w:lang w:val="en-US" w:eastAsia="zh-CN" w:bidi="ar"/>
                    </w:rPr>
                    <w:t>2</w:t>
                  </w:r>
                  <w:r>
                    <w:rPr>
                      <w:rFonts w:hint="default" w:ascii="Times New Roman" w:hAnsi="Times New Roman" w:eastAsia="宋体" w:cs="Times New Roman"/>
                      <w:snapToGrid w:val="0"/>
                      <w:color w:val="auto"/>
                      <w:kern w:val="0"/>
                      <w:sz w:val="21"/>
                      <w:szCs w:val="21"/>
                      <w:highlight w:val="none"/>
                      <w:lang w:val="en-US" w:eastAsia="zh-CN" w:bidi="ar"/>
                    </w:rPr>
                    <w:t>·d</w:t>
                  </w:r>
                </w:p>
              </w:tc>
              <w:tc>
                <w:tcPr>
                  <w:tcW w:w="725" w:type="pct"/>
                  <w:tcBorders>
                    <w:tl2br w:val="nil"/>
                    <w:tr2bl w:val="nil"/>
                  </w:tcBorders>
                  <w:noWrap w:val="0"/>
                  <w:vAlign w:val="center"/>
                </w:tcPr>
                <w:p w14:paraId="1CA8CB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2"/>
                      <w:sz w:val="21"/>
                      <w:szCs w:val="21"/>
                      <w:highlight w:val="none"/>
                      <w:u w:val="none"/>
                      <w:lang w:val="en-US" w:eastAsia="zh-CN" w:bidi="ar-SA"/>
                    </w:rPr>
                  </w:pPr>
                  <w:r>
                    <w:rPr>
                      <w:rFonts w:hint="eastAsia" w:cs="Times New Roman"/>
                      <w:i w:val="0"/>
                      <w:iCs w:val="0"/>
                      <w:snapToGrid w:val="0"/>
                      <w:color w:val="auto"/>
                      <w:kern w:val="2"/>
                      <w:sz w:val="21"/>
                      <w:szCs w:val="21"/>
                      <w:highlight w:val="none"/>
                      <w:u w:val="none"/>
                      <w:lang w:val="en-US" w:eastAsia="zh-CN" w:bidi="ar-SA"/>
                    </w:rPr>
                    <w:t>2.55</w:t>
                  </w:r>
                </w:p>
              </w:tc>
              <w:tc>
                <w:tcPr>
                  <w:tcW w:w="582" w:type="pct"/>
                  <w:tcBorders>
                    <w:tl2br w:val="nil"/>
                    <w:tr2bl w:val="nil"/>
                  </w:tcBorders>
                  <w:noWrap w:val="0"/>
                  <w:vAlign w:val="center"/>
                </w:tcPr>
                <w:p w14:paraId="3E1B35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snapToGrid w:val="0"/>
                      <w:color w:val="auto"/>
                      <w:kern w:val="2"/>
                      <w:sz w:val="21"/>
                      <w:szCs w:val="21"/>
                      <w:highlight w:val="none"/>
                      <w:u w:val="none"/>
                      <w:lang w:val="en-US" w:eastAsia="zh-CN" w:bidi="ar-SA"/>
                    </w:rPr>
                    <w:t>2.55</w:t>
                  </w:r>
                </w:p>
              </w:tc>
              <w:tc>
                <w:tcPr>
                  <w:tcW w:w="613" w:type="pct"/>
                  <w:tcBorders>
                    <w:tl2br w:val="nil"/>
                    <w:tr2bl w:val="nil"/>
                  </w:tcBorders>
                  <w:noWrap w:val="0"/>
                  <w:vAlign w:val="center"/>
                </w:tcPr>
                <w:p w14:paraId="51224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320C2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料场洒水</w:t>
                  </w:r>
                </w:p>
              </w:tc>
            </w:tr>
            <w:tr w14:paraId="1B074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3BBD00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136" w:type="pct"/>
                  <w:tcBorders>
                    <w:tl2br w:val="nil"/>
                    <w:tr2bl w:val="nil"/>
                  </w:tcBorders>
                  <w:noWrap w:val="0"/>
                  <w:vAlign w:val="center"/>
                </w:tcPr>
                <w:p w14:paraId="1717B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制砖用水</w:t>
                  </w:r>
                </w:p>
              </w:tc>
              <w:tc>
                <w:tcPr>
                  <w:tcW w:w="729" w:type="pct"/>
                  <w:gridSpan w:val="2"/>
                  <w:tcBorders>
                    <w:tl2br w:val="nil"/>
                    <w:tr2bl w:val="nil"/>
                  </w:tcBorders>
                  <w:noWrap w:val="0"/>
                  <w:vAlign w:val="center"/>
                </w:tcPr>
                <w:p w14:paraId="2D086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bCs/>
                      <w:color w:val="auto"/>
                      <w:sz w:val="21"/>
                      <w:szCs w:val="21"/>
                      <w:highlight w:val="none"/>
                      <w:lang w:eastAsia="zh-CN"/>
                    </w:rPr>
                    <w:t>1m</w:t>
                  </w:r>
                  <w:r>
                    <w:rPr>
                      <w:rFonts w:hint="default" w:ascii="Times New Roman" w:hAnsi="Times New Roman" w:eastAsia="宋体" w:cs="Times New Roman"/>
                      <w:bCs/>
                      <w:color w:val="auto"/>
                      <w:sz w:val="21"/>
                      <w:szCs w:val="21"/>
                      <w:highlight w:val="none"/>
                      <w:vertAlign w:val="superscript"/>
                      <w:lang w:eastAsia="zh-CN"/>
                    </w:rPr>
                    <w:t>3</w:t>
                  </w:r>
                  <w:r>
                    <w:rPr>
                      <w:rFonts w:hint="default" w:ascii="Times New Roman" w:hAnsi="Times New Roman" w:eastAsia="宋体" w:cs="Times New Roman"/>
                      <w:bCs/>
                      <w:color w:val="auto"/>
                      <w:sz w:val="21"/>
                      <w:szCs w:val="21"/>
                      <w:highlight w:val="none"/>
                      <w:lang w:eastAsia="zh-CN"/>
                    </w:rPr>
                    <w:t>/万块</w:t>
                  </w:r>
                </w:p>
              </w:tc>
              <w:tc>
                <w:tcPr>
                  <w:tcW w:w="725" w:type="pct"/>
                  <w:tcBorders>
                    <w:tl2br w:val="nil"/>
                    <w:tr2bl w:val="nil"/>
                  </w:tcBorders>
                  <w:noWrap w:val="0"/>
                  <w:vAlign w:val="center"/>
                </w:tcPr>
                <w:p w14:paraId="217B63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2"/>
                      <w:sz w:val="21"/>
                      <w:szCs w:val="21"/>
                      <w:highlight w:val="none"/>
                      <w:u w:val="none"/>
                      <w:lang w:val="en-US" w:eastAsia="zh-CN" w:bidi="ar-SA"/>
                    </w:rPr>
                    <w:t>33.33</w:t>
                  </w:r>
                </w:p>
              </w:tc>
              <w:tc>
                <w:tcPr>
                  <w:tcW w:w="582" w:type="pct"/>
                  <w:tcBorders>
                    <w:tl2br w:val="nil"/>
                    <w:tr2bl w:val="nil"/>
                  </w:tcBorders>
                  <w:noWrap w:val="0"/>
                  <w:vAlign w:val="center"/>
                </w:tcPr>
                <w:p w14:paraId="1499E8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33.33</w:t>
                  </w:r>
                </w:p>
              </w:tc>
              <w:tc>
                <w:tcPr>
                  <w:tcW w:w="613" w:type="pct"/>
                  <w:tcBorders>
                    <w:tl2br w:val="nil"/>
                    <w:tr2bl w:val="nil"/>
                  </w:tcBorders>
                  <w:noWrap w:val="0"/>
                  <w:vAlign w:val="center"/>
                </w:tcPr>
                <w:p w14:paraId="18712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7A3C26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产品</w:t>
                  </w:r>
                </w:p>
              </w:tc>
            </w:tr>
            <w:tr w14:paraId="56A98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52D5DC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136" w:type="pct"/>
                  <w:tcBorders>
                    <w:tl2br w:val="nil"/>
                    <w:tr2bl w:val="nil"/>
                  </w:tcBorders>
                  <w:noWrap w:val="0"/>
                  <w:vAlign w:val="center"/>
                </w:tcPr>
                <w:p w14:paraId="76475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绿化用水</w:t>
                  </w:r>
                </w:p>
              </w:tc>
              <w:tc>
                <w:tcPr>
                  <w:tcW w:w="729" w:type="pct"/>
                  <w:gridSpan w:val="2"/>
                  <w:tcBorders>
                    <w:tl2br w:val="nil"/>
                    <w:tr2bl w:val="nil"/>
                  </w:tcBorders>
                  <w:noWrap w:val="0"/>
                  <w:vAlign w:val="center"/>
                </w:tcPr>
                <w:p w14:paraId="6A3166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1.5L/m</w:t>
                  </w:r>
                  <w:r>
                    <w:rPr>
                      <w:rFonts w:hint="default" w:ascii="Times New Roman" w:hAnsi="Times New Roman" w:eastAsia="宋体" w:cs="Times New Roman"/>
                      <w:snapToGrid w:val="0"/>
                      <w:color w:val="auto"/>
                      <w:kern w:val="0"/>
                      <w:sz w:val="21"/>
                      <w:szCs w:val="21"/>
                      <w:highlight w:val="none"/>
                      <w:vertAlign w:val="superscript"/>
                      <w:lang w:val="en-US" w:eastAsia="zh-CN" w:bidi="ar"/>
                    </w:rPr>
                    <w:t>2</w:t>
                  </w:r>
                  <w:r>
                    <w:rPr>
                      <w:rFonts w:hint="default" w:ascii="Times New Roman" w:hAnsi="Times New Roman" w:eastAsia="宋体" w:cs="Times New Roman"/>
                      <w:snapToGrid w:val="0"/>
                      <w:color w:val="auto"/>
                      <w:kern w:val="0"/>
                      <w:sz w:val="21"/>
                      <w:szCs w:val="21"/>
                      <w:highlight w:val="none"/>
                      <w:lang w:val="en-US" w:eastAsia="zh-CN" w:bidi="ar"/>
                    </w:rPr>
                    <w:t>·d</w:t>
                  </w:r>
                </w:p>
              </w:tc>
              <w:tc>
                <w:tcPr>
                  <w:tcW w:w="725" w:type="pct"/>
                  <w:tcBorders>
                    <w:tl2br w:val="nil"/>
                    <w:tr2bl w:val="nil"/>
                  </w:tcBorders>
                  <w:noWrap w:val="0"/>
                  <w:vAlign w:val="center"/>
                </w:tcPr>
                <w:p w14:paraId="0F5EE5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0.3</w:t>
                  </w:r>
                </w:p>
              </w:tc>
              <w:tc>
                <w:tcPr>
                  <w:tcW w:w="582" w:type="pct"/>
                  <w:tcBorders>
                    <w:tl2br w:val="nil"/>
                    <w:tr2bl w:val="nil"/>
                  </w:tcBorders>
                  <w:noWrap w:val="0"/>
                  <w:vAlign w:val="center"/>
                </w:tcPr>
                <w:p w14:paraId="2EE58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
                    </w:rPr>
                    <w:t>0.3</w:t>
                  </w:r>
                </w:p>
              </w:tc>
              <w:tc>
                <w:tcPr>
                  <w:tcW w:w="613" w:type="pct"/>
                  <w:tcBorders>
                    <w:tl2br w:val="nil"/>
                    <w:tr2bl w:val="nil"/>
                  </w:tcBorders>
                  <w:noWrap w:val="0"/>
                  <w:vAlign w:val="center"/>
                </w:tcPr>
                <w:p w14:paraId="0A575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22A76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蒸发</w:t>
                  </w:r>
                </w:p>
              </w:tc>
            </w:tr>
            <w:tr w14:paraId="7938F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64EEF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136" w:type="pct"/>
                  <w:tcBorders>
                    <w:tl2br w:val="nil"/>
                    <w:tr2bl w:val="nil"/>
                  </w:tcBorders>
                  <w:noWrap w:val="0"/>
                  <w:vAlign w:val="center"/>
                </w:tcPr>
                <w:p w14:paraId="731C3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道路洒水</w:t>
                  </w:r>
                </w:p>
              </w:tc>
              <w:tc>
                <w:tcPr>
                  <w:tcW w:w="729" w:type="pct"/>
                  <w:gridSpan w:val="2"/>
                  <w:tcBorders>
                    <w:tl2br w:val="nil"/>
                    <w:tr2bl w:val="nil"/>
                  </w:tcBorders>
                  <w:noWrap w:val="0"/>
                  <w:vAlign w:val="center"/>
                </w:tcPr>
                <w:p w14:paraId="77FC4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1.5L/m</w:t>
                  </w:r>
                  <w:r>
                    <w:rPr>
                      <w:rFonts w:hint="default" w:ascii="Times New Roman" w:hAnsi="Times New Roman" w:eastAsia="宋体" w:cs="Times New Roman"/>
                      <w:snapToGrid w:val="0"/>
                      <w:color w:val="auto"/>
                      <w:kern w:val="0"/>
                      <w:sz w:val="21"/>
                      <w:szCs w:val="21"/>
                      <w:highlight w:val="none"/>
                      <w:vertAlign w:val="superscript"/>
                      <w:lang w:val="en-US" w:eastAsia="zh-CN" w:bidi="ar"/>
                    </w:rPr>
                    <w:t>2</w:t>
                  </w:r>
                  <w:r>
                    <w:rPr>
                      <w:rFonts w:hint="default" w:ascii="Times New Roman" w:hAnsi="Times New Roman" w:eastAsia="宋体" w:cs="Times New Roman"/>
                      <w:snapToGrid w:val="0"/>
                      <w:color w:val="auto"/>
                      <w:kern w:val="0"/>
                      <w:sz w:val="21"/>
                      <w:szCs w:val="21"/>
                      <w:highlight w:val="none"/>
                      <w:lang w:val="en-US" w:eastAsia="zh-CN" w:bidi="ar"/>
                    </w:rPr>
                    <w:t>·d</w:t>
                  </w:r>
                </w:p>
              </w:tc>
              <w:tc>
                <w:tcPr>
                  <w:tcW w:w="725" w:type="pct"/>
                  <w:tcBorders>
                    <w:tl2br w:val="nil"/>
                    <w:tr2bl w:val="nil"/>
                  </w:tcBorders>
                  <w:noWrap w:val="0"/>
                  <w:vAlign w:val="center"/>
                </w:tcPr>
                <w:p w14:paraId="4727D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0.75</w:t>
                  </w:r>
                </w:p>
              </w:tc>
              <w:tc>
                <w:tcPr>
                  <w:tcW w:w="582" w:type="pct"/>
                  <w:tcBorders>
                    <w:tl2br w:val="nil"/>
                    <w:tr2bl w:val="nil"/>
                  </w:tcBorders>
                  <w:noWrap w:val="0"/>
                  <w:vAlign w:val="center"/>
                </w:tcPr>
                <w:p w14:paraId="59F4BD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
                    </w:rPr>
                    <w:t>0.75</w:t>
                  </w:r>
                </w:p>
              </w:tc>
              <w:tc>
                <w:tcPr>
                  <w:tcW w:w="613" w:type="pct"/>
                  <w:tcBorders>
                    <w:tl2br w:val="nil"/>
                    <w:tr2bl w:val="nil"/>
                  </w:tcBorders>
                  <w:noWrap w:val="0"/>
                  <w:vAlign w:val="center"/>
                </w:tcPr>
                <w:p w14:paraId="392C3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0BB2D4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蒸发</w:t>
                  </w:r>
                </w:p>
              </w:tc>
            </w:tr>
            <w:tr w14:paraId="18F8A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65269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136" w:type="pct"/>
                  <w:tcBorders>
                    <w:tl2br w:val="nil"/>
                    <w:tr2bl w:val="nil"/>
                  </w:tcBorders>
                  <w:noWrap w:val="0"/>
                  <w:vAlign w:val="center"/>
                </w:tcPr>
                <w:p w14:paraId="00ECDA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运输车辆冲洗用水</w:t>
                  </w:r>
                </w:p>
              </w:tc>
              <w:tc>
                <w:tcPr>
                  <w:tcW w:w="729" w:type="pct"/>
                  <w:gridSpan w:val="2"/>
                  <w:tcBorders>
                    <w:tl2br w:val="nil"/>
                    <w:tr2bl w:val="nil"/>
                  </w:tcBorders>
                  <w:noWrap w:val="0"/>
                  <w:vAlign w:val="center"/>
                </w:tcPr>
                <w:p w14:paraId="58F229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40L/辆·次</w:t>
                  </w:r>
                </w:p>
              </w:tc>
              <w:tc>
                <w:tcPr>
                  <w:tcW w:w="725" w:type="pct"/>
                  <w:tcBorders>
                    <w:tl2br w:val="nil"/>
                    <w:tr2bl w:val="nil"/>
                  </w:tcBorders>
                  <w:noWrap w:val="0"/>
                  <w:vAlign w:val="center"/>
                </w:tcPr>
                <w:p w14:paraId="0465D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0.392</w:t>
                  </w:r>
                </w:p>
              </w:tc>
              <w:tc>
                <w:tcPr>
                  <w:tcW w:w="582" w:type="pct"/>
                  <w:tcBorders>
                    <w:tl2br w:val="nil"/>
                    <w:tr2bl w:val="nil"/>
                  </w:tcBorders>
                  <w:noWrap w:val="0"/>
                  <w:vAlign w:val="center"/>
                </w:tcPr>
                <w:p w14:paraId="16DAB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0.392</w:t>
                  </w:r>
                </w:p>
              </w:tc>
              <w:tc>
                <w:tcPr>
                  <w:tcW w:w="613" w:type="pct"/>
                  <w:tcBorders>
                    <w:tl2br w:val="nil"/>
                    <w:tr2bl w:val="nil"/>
                  </w:tcBorders>
                  <w:noWrap w:val="0"/>
                  <w:vAlign w:val="center"/>
                </w:tcPr>
                <w:p w14:paraId="1FF17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37C534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循环使用</w:t>
                  </w:r>
                </w:p>
              </w:tc>
            </w:tr>
            <w:tr w14:paraId="0F01B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3D6C8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1136" w:type="pct"/>
                  <w:tcBorders>
                    <w:tl2br w:val="nil"/>
                    <w:tr2bl w:val="nil"/>
                  </w:tcBorders>
                  <w:noWrap w:val="0"/>
                  <w:vAlign w:val="center"/>
                </w:tcPr>
                <w:p w14:paraId="03279E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
                    </w:rPr>
                    <w:t>湿式电除尘器用水</w:t>
                  </w:r>
                </w:p>
              </w:tc>
              <w:tc>
                <w:tcPr>
                  <w:tcW w:w="729" w:type="pct"/>
                  <w:gridSpan w:val="2"/>
                  <w:tcBorders>
                    <w:tl2br w:val="nil"/>
                    <w:tr2bl w:val="nil"/>
                  </w:tcBorders>
                  <w:noWrap w:val="0"/>
                  <w:vAlign w:val="center"/>
                </w:tcPr>
                <w:p w14:paraId="09BC7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30m</w:t>
                  </w:r>
                  <w:r>
                    <w:rPr>
                      <w:rFonts w:hint="default" w:ascii="Times New Roman" w:hAnsi="Times New Roman" w:eastAsia="宋体" w:cs="Times New Roman"/>
                      <w:i w:val="0"/>
                      <w:iCs w:val="0"/>
                      <w:color w:val="auto"/>
                      <w:kern w:val="2"/>
                      <w:sz w:val="21"/>
                      <w:szCs w:val="21"/>
                      <w:highlight w:val="none"/>
                      <w:u w:val="none"/>
                      <w:vertAlign w:val="superscript"/>
                      <w:lang w:val="en-US" w:eastAsia="zh-CN" w:bidi="ar-SA"/>
                    </w:rPr>
                    <w:t>3</w:t>
                  </w:r>
                  <w:r>
                    <w:rPr>
                      <w:rFonts w:hint="default" w:ascii="Times New Roman" w:hAnsi="Times New Roman" w:eastAsia="宋体" w:cs="Times New Roman"/>
                      <w:i w:val="0"/>
                      <w:iCs w:val="0"/>
                      <w:color w:val="auto"/>
                      <w:kern w:val="2"/>
                      <w:sz w:val="21"/>
                      <w:szCs w:val="21"/>
                      <w:highlight w:val="none"/>
                      <w:u w:val="none"/>
                      <w:lang w:val="en-US" w:eastAsia="zh-CN" w:bidi="ar-SA"/>
                    </w:rPr>
                    <w:t>/h</w:t>
                  </w:r>
                </w:p>
              </w:tc>
              <w:tc>
                <w:tcPr>
                  <w:tcW w:w="725" w:type="pct"/>
                  <w:tcBorders>
                    <w:tl2br w:val="nil"/>
                    <w:tr2bl w:val="nil"/>
                  </w:tcBorders>
                  <w:noWrap w:val="0"/>
                  <w:vAlign w:val="center"/>
                </w:tcPr>
                <w:p w14:paraId="670E60D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w:t>
                  </w:r>
                </w:p>
              </w:tc>
              <w:tc>
                <w:tcPr>
                  <w:tcW w:w="582" w:type="pct"/>
                  <w:tcBorders>
                    <w:tl2br w:val="nil"/>
                    <w:tr2bl w:val="nil"/>
                  </w:tcBorders>
                  <w:noWrap w:val="0"/>
                  <w:vAlign w:val="center"/>
                </w:tcPr>
                <w:p w14:paraId="4536AF9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613" w:type="pct"/>
                  <w:tcBorders>
                    <w:tl2br w:val="nil"/>
                    <w:tr2bl w:val="nil"/>
                  </w:tcBorders>
                  <w:noWrap w:val="0"/>
                  <w:vAlign w:val="center"/>
                </w:tcPr>
                <w:p w14:paraId="25FAF24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0</w:t>
                  </w:r>
                </w:p>
              </w:tc>
              <w:tc>
                <w:tcPr>
                  <w:tcW w:w="913" w:type="pct"/>
                  <w:tcBorders>
                    <w:tl2br w:val="nil"/>
                    <w:tr2bl w:val="nil"/>
                  </w:tcBorders>
                  <w:noWrap w:val="0"/>
                  <w:vAlign w:val="center"/>
                </w:tcPr>
                <w:p w14:paraId="222324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循环使用</w:t>
                  </w:r>
                </w:p>
              </w:tc>
            </w:tr>
            <w:tr w14:paraId="778FC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l2br w:val="nil"/>
                    <w:tr2bl w:val="nil"/>
                  </w:tcBorders>
                  <w:noWrap w:val="0"/>
                  <w:vAlign w:val="center"/>
                </w:tcPr>
                <w:p w14:paraId="26D37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136" w:type="pct"/>
                  <w:tcBorders>
                    <w:tl2br w:val="nil"/>
                    <w:tr2bl w:val="nil"/>
                  </w:tcBorders>
                  <w:noWrap w:val="0"/>
                  <w:vAlign w:val="center"/>
                </w:tcPr>
                <w:p w14:paraId="4B529D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脱硫塔循环系统</w:t>
                  </w:r>
                </w:p>
                <w:p w14:paraId="0BBCA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用水</w:t>
                  </w:r>
                </w:p>
              </w:tc>
              <w:tc>
                <w:tcPr>
                  <w:tcW w:w="729" w:type="pct"/>
                  <w:gridSpan w:val="2"/>
                  <w:tcBorders>
                    <w:tl2br w:val="nil"/>
                    <w:tr2bl w:val="nil"/>
                  </w:tcBorders>
                  <w:noWrap w:val="0"/>
                  <w:vAlign w:val="center"/>
                </w:tcPr>
                <w:p w14:paraId="1E081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液气比（L/m</w:t>
                  </w:r>
                  <w:r>
                    <w:rPr>
                      <w:rFonts w:hint="default" w:ascii="Times New Roman" w:hAnsi="Times New Roman" w:eastAsia="宋体" w:cs="Times New Roman"/>
                      <w:i w:val="0"/>
                      <w:iCs w:val="0"/>
                      <w:color w:val="auto"/>
                      <w:kern w:val="2"/>
                      <w:sz w:val="21"/>
                      <w:szCs w:val="21"/>
                      <w:highlight w:val="none"/>
                      <w:u w:val="none"/>
                      <w:vertAlign w:val="superscript"/>
                      <w:lang w:val="en-US" w:eastAsia="zh-CN" w:bidi="ar-SA"/>
                    </w:rPr>
                    <w:t>3</w:t>
                  </w:r>
                  <w:r>
                    <w:rPr>
                      <w:rFonts w:hint="default" w:ascii="Times New Roman" w:hAnsi="Times New Roman" w:eastAsia="宋体" w:cs="Times New Roman"/>
                      <w:i w:val="0"/>
                      <w:iCs w:val="0"/>
                      <w:color w:val="auto"/>
                      <w:kern w:val="2"/>
                      <w:sz w:val="21"/>
                      <w:szCs w:val="21"/>
                      <w:highlight w:val="none"/>
                      <w:u w:val="none"/>
                      <w:lang w:val="en-US" w:eastAsia="zh-CN" w:bidi="ar-SA"/>
                    </w:rPr>
                    <w:t>）</w:t>
                  </w:r>
                  <w:r>
                    <w:rPr>
                      <w:rFonts w:hint="eastAsia" w:ascii="Times New Roman" w:hAnsi="Times New Roman" w:eastAsia="宋体" w:cs="Times New Roman"/>
                      <w:i w:val="0"/>
                      <w:iCs w:val="0"/>
                      <w:color w:val="auto"/>
                      <w:kern w:val="2"/>
                      <w:sz w:val="21"/>
                      <w:szCs w:val="21"/>
                      <w:highlight w:val="none"/>
                      <w:u w:val="none"/>
                      <w:lang w:val="en-US" w:eastAsia="zh-CN" w:bidi="ar-SA"/>
                    </w:rPr>
                    <w:t>2.5</w:t>
                  </w:r>
                  <w:r>
                    <w:rPr>
                      <w:rFonts w:hint="default" w:ascii="Times New Roman" w:hAnsi="Times New Roman" w:eastAsia="宋体" w:cs="Times New Roman"/>
                      <w:i w:val="0"/>
                      <w:iCs w:val="0"/>
                      <w:color w:val="auto"/>
                      <w:kern w:val="2"/>
                      <w:sz w:val="21"/>
                      <w:szCs w:val="21"/>
                      <w:highlight w:val="none"/>
                      <w:u w:val="none"/>
                      <w:lang w:val="en-US" w:eastAsia="zh-CN" w:bidi="ar-SA"/>
                    </w:rPr>
                    <w:t>:1</w:t>
                  </w:r>
                </w:p>
              </w:tc>
              <w:tc>
                <w:tcPr>
                  <w:tcW w:w="725" w:type="pct"/>
                  <w:tcBorders>
                    <w:tl2br w:val="nil"/>
                    <w:tr2bl w:val="nil"/>
                  </w:tcBorders>
                  <w:noWrap w:val="0"/>
                  <w:vAlign w:val="center"/>
                </w:tcPr>
                <w:p w14:paraId="62CF67F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25.33</w:t>
                  </w:r>
                </w:p>
              </w:tc>
              <w:tc>
                <w:tcPr>
                  <w:tcW w:w="582" w:type="pct"/>
                  <w:tcBorders>
                    <w:tl2br w:val="nil"/>
                    <w:tr2bl w:val="nil"/>
                  </w:tcBorders>
                  <w:noWrap w:val="0"/>
                  <w:vAlign w:val="center"/>
                </w:tcPr>
                <w:p w14:paraId="3B28ABD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25.33</w:t>
                  </w:r>
                </w:p>
              </w:tc>
              <w:tc>
                <w:tcPr>
                  <w:tcW w:w="613" w:type="pct"/>
                  <w:tcBorders>
                    <w:tl2br w:val="nil"/>
                    <w:tr2bl w:val="nil"/>
                  </w:tcBorders>
                  <w:noWrap w:val="0"/>
                  <w:vAlign w:val="center"/>
                </w:tcPr>
                <w:p w14:paraId="36CFC8C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913" w:type="pct"/>
                  <w:tcBorders>
                    <w:tl2br w:val="nil"/>
                    <w:tr2bl w:val="nil"/>
                  </w:tcBorders>
                  <w:noWrap w:val="0"/>
                  <w:vAlign w:val="center"/>
                </w:tcPr>
                <w:p w14:paraId="2B540C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循环使用</w:t>
                  </w:r>
                </w:p>
              </w:tc>
            </w:tr>
            <w:tr w14:paraId="49FC0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gridSpan w:val="3"/>
                  <w:vMerge w:val="restart"/>
                  <w:tcBorders>
                    <w:tl2br w:val="nil"/>
                    <w:tr2bl w:val="nil"/>
                  </w:tcBorders>
                  <w:noWrap w:val="0"/>
                  <w:vAlign w:val="center"/>
                </w:tcPr>
                <w:p w14:paraId="0E428547">
                  <w:pPr>
                    <w:keepNext w:val="0"/>
                    <w:keepLines w:val="0"/>
                    <w:pageBreakBefore w:val="0"/>
                    <w:widowControl w:val="0"/>
                    <w:tabs>
                      <w:tab w:val="left" w:pos="821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725" w:type="pct"/>
                  <w:tcBorders>
                    <w:tl2br w:val="nil"/>
                    <w:tr2bl w:val="nil"/>
                  </w:tcBorders>
                  <w:noWrap w:val="0"/>
                  <w:vAlign w:val="center"/>
                </w:tcPr>
                <w:p w14:paraId="058B4EDA">
                  <w:pPr>
                    <w:keepNext w:val="0"/>
                    <w:keepLines w:val="0"/>
                    <w:pageBreakBefore w:val="0"/>
                    <w:widowControl w:val="0"/>
                    <w:tabs>
                      <w:tab w:val="left" w:pos="821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采暖期</w:t>
                  </w:r>
                </w:p>
              </w:tc>
              <w:tc>
                <w:tcPr>
                  <w:tcW w:w="725" w:type="pct"/>
                  <w:tcBorders>
                    <w:tl2br w:val="nil"/>
                    <w:tr2bl w:val="nil"/>
                  </w:tcBorders>
                  <w:noWrap w:val="0"/>
                  <w:vAlign w:val="center"/>
                </w:tcPr>
                <w:p w14:paraId="177FA81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rPr>
                    <w:t>63.252</w:t>
                  </w:r>
                </w:p>
              </w:tc>
              <w:tc>
                <w:tcPr>
                  <w:tcW w:w="582" w:type="pct"/>
                  <w:tcBorders>
                    <w:tl2br w:val="nil"/>
                    <w:tr2bl w:val="nil"/>
                  </w:tcBorders>
                  <w:noWrap w:val="0"/>
                  <w:vAlign w:val="center"/>
                </w:tcPr>
                <w:p w14:paraId="3814677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snapToGrid w:val="0"/>
                      <w:color w:val="auto"/>
                      <w:kern w:val="2"/>
                      <w:sz w:val="21"/>
                      <w:szCs w:val="21"/>
                      <w:highlight w:val="none"/>
                      <w:u w:val="none"/>
                      <w:lang w:val="en-US" w:eastAsia="zh-CN" w:bidi="ar-SA"/>
                    </w:rPr>
                  </w:pPr>
                  <w:r>
                    <w:rPr>
                      <w:rFonts w:hint="eastAsia" w:ascii="Times New Roman" w:hAnsi="Times New Roman" w:eastAsia="宋体" w:cs="Times New Roman"/>
                      <w:i w:val="0"/>
                      <w:iCs w:val="0"/>
                      <w:snapToGrid w:val="0"/>
                      <w:color w:val="auto"/>
                      <w:kern w:val="2"/>
                      <w:sz w:val="21"/>
                      <w:szCs w:val="21"/>
                      <w:highlight w:val="none"/>
                      <w:u w:val="none"/>
                      <w:lang w:val="en-US" w:eastAsia="zh-CN" w:bidi="ar-SA"/>
                    </w:rPr>
                    <w:t>61.972</w:t>
                  </w:r>
                </w:p>
              </w:tc>
              <w:tc>
                <w:tcPr>
                  <w:tcW w:w="613" w:type="pct"/>
                  <w:tcBorders>
                    <w:tl2br w:val="nil"/>
                    <w:tr2bl w:val="nil"/>
                  </w:tcBorders>
                  <w:noWrap w:val="0"/>
                  <w:vAlign w:val="center"/>
                </w:tcPr>
                <w:p w14:paraId="24FFC4A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1.12</w:t>
                  </w:r>
                </w:p>
              </w:tc>
              <w:tc>
                <w:tcPr>
                  <w:tcW w:w="913" w:type="pct"/>
                  <w:tcBorders>
                    <w:tl2br w:val="nil"/>
                    <w:tr2bl w:val="nil"/>
                  </w:tcBorders>
                  <w:noWrap w:val="0"/>
                  <w:vAlign w:val="center"/>
                </w:tcPr>
                <w:p w14:paraId="662AB6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rPr>
                    <w:t>/</w:t>
                  </w:r>
                </w:p>
              </w:tc>
            </w:tr>
            <w:tr w14:paraId="06B00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gridSpan w:val="3"/>
                  <w:vMerge w:val="continue"/>
                  <w:tcBorders>
                    <w:tl2br w:val="nil"/>
                    <w:tr2bl w:val="nil"/>
                  </w:tcBorders>
                  <w:noWrap w:val="0"/>
                  <w:vAlign w:val="center"/>
                </w:tcPr>
                <w:p w14:paraId="34F40B34">
                  <w:pPr>
                    <w:keepNext w:val="0"/>
                    <w:keepLines w:val="0"/>
                    <w:pageBreakBefore w:val="0"/>
                    <w:widowControl w:val="0"/>
                    <w:tabs>
                      <w:tab w:val="left" w:pos="821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25" w:type="pct"/>
                  <w:tcBorders>
                    <w:tl2br w:val="nil"/>
                    <w:tr2bl w:val="nil"/>
                  </w:tcBorders>
                  <w:noWrap w:val="0"/>
                  <w:vAlign w:val="center"/>
                </w:tcPr>
                <w:p w14:paraId="05AFA049">
                  <w:pPr>
                    <w:keepNext w:val="0"/>
                    <w:keepLines w:val="0"/>
                    <w:pageBreakBefore w:val="0"/>
                    <w:widowControl w:val="0"/>
                    <w:tabs>
                      <w:tab w:val="left" w:pos="8211"/>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非采暖期</w:t>
                  </w:r>
                </w:p>
              </w:tc>
              <w:tc>
                <w:tcPr>
                  <w:tcW w:w="725" w:type="pct"/>
                  <w:tcBorders>
                    <w:tl2br w:val="nil"/>
                    <w:tr2bl w:val="nil"/>
                  </w:tcBorders>
                  <w:noWrap w:val="0"/>
                  <w:vAlign w:val="center"/>
                </w:tcPr>
                <w:p w14:paraId="5F61381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64.302</w:t>
                  </w:r>
                </w:p>
              </w:tc>
              <w:tc>
                <w:tcPr>
                  <w:tcW w:w="582" w:type="pct"/>
                  <w:tcBorders>
                    <w:tl2br w:val="nil"/>
                    <w:tr2bl w:val="nil"/>
                  </w:tcBorders>
                  <w:noWrap w:val="0"/>
                  <w:vAlign w:val="center"/>
                </w:tcPr>
                <w:p w14:paraId="39A112C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61.972</w:t>
                  </w:r>
                </w:p>
              </w:tc>
              <w:tc>
                <w:tcPr>
                  <w:tcW w:w="613" w:type="pct"/>
                  <w:tcBorders>
                    <w:tl2br w:val="nil"/>
                    <w:tr2bl w:val="nil"/>
                  </w:tcBorders>
                  <w:noWrap w:val="0"/>
                  <w:vAlign w:val="center"/>
                </w:tcPr>
                <w:p w14:paraId="2B9AA1C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1.12</w:t>
                  </w:r>
                </w:p>
              </w:tc>
              <w:tc>
                <w:tcPr>
                  <w:tcW w:w="913" w:type="pct"/>
                  <w:tcBorders>
                    <w:tl2br w:val="nil"/>
                    <w:tr2bl w:val="nil"/>
                  </w:tcBorders>
                  <w:noWrap w:val="0"/>
                  <w:vAlign w:val="center"/>
                </w:tcPr>
                <w:p w14:paraId="0EC528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rPr>
                    <w:t>/</w:t>
                  </w:r>
                </w:p>
              </w:tc>
            </w:tr>
          </w:tbl>
          <w:p w14:paraId="44A8522F">
            <w:pPr>
              <w:pStyle w:val="22"/>
              <w:ind w:firstLine="0" w:firstLineChars="0"/>
              <w:jc w:val="center"/>
              <w:rPr>
                <w:highlight w:val="none"/>
              </w:rPr>
            </w:pPr>
            <w:r>
              <w:rPr>
                <w:rFonts w:hint="eastAsia" w:eastAsia="宋体"/>
                <w:highlight w:val="none"/>
                <w:lang w:eastAsia="zh-CN"/>
              </w:rPr>
              <w:drawing>
                <wp:anchor distT="0" distB="0" distL="114300" distR="114300" simplePos="0" relativeHeight="251664384" behindDoc="0" locked="0" layoutInCell="1" allowOverlap="1">
                  <wp:simplePos x="0" y="0"/>
                  <wp:positionH relativeFrom="column">
                    <wp:posOffset>266700</wp:posOffset>
                  </wp:positionH>
                  <wp:positionV relativeFrom="paragraph">
                    <wp:posOffset>59055</wp:posOffset>
                  </wp:positionV>
                  <wp:extent cx="4582795" cy="6322695"/>
                  <wp:effectExtent l="0" t="0" r="0" b="0"/>
                  <wp:wrapNone/>
                  <wp:docPr id="118" name="图片 118" descr="36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369_01"/>
                          <pic:cNvPicPr>
                            <a:picLocks noChangeAspect="1"/>
                          </pic:cNvPicPr>
                        </pic:nvPicPr>
                        <pic:blipFill>
                          <a:blip r:embed="rId12"/>
                          <a:srcRect l="5173" t="6450" r="6156" b="7110"/>
                          <a:stretch>
                            <a:fillRect/>
                          </a:stretch>
                        </pic:blipFill>
                        <pic:spPr>
                          <a:xfrm>
                            <a:off x="0" y="0"/>
                            <a:ext cx="4582795" cy="6322695"/>
                          </a:xfrm>
                          <a:prstGeom prst="rect">
                            <a:avLst/>
                          </a:prstGeom>
                        </pic:spPr>
                      </pic:pic>
                    </a:graphicData>
                  </a:graphic>
                </wp:anchor>
              </w:drawing>
            </w:r>
          </w:p>
          <w:p w14:paraId="337C8AFC">
            <w:pPr>
              <w:pStyle w:val="22"/>
              <w:ind w:firstLine="0" w:firstLineChars="0"/>
              <w:jc w:val="center"/>
              <w:rPr>
                <w:highlight w:val="none"/>
              </w:rPr>
            </w:pPr>
          </w:p>
          <w:p w14:paraId="782525BE">
            <w:pPr>
              <w:pStyle w:val="22"/>
              <w:ind w:firstLine="0" w:firstLineChars="0"/>
              <w:jc w:val="center"/>
              <w:rPr>
                <w:highlight w:val="none"/>
              </w:rPr>
            </w:pPr>
          </w:p>
          <w:p w14:paraId="7EC37CEE">
            <w:pPr>
              <w:pStyle w:val="22"/>
              <w:ind w:firstLine="0" w:firstLineChars="0"/>
              <w:jc w:val="center"/>
              <w:rPr>
                <w:highlight w:val="none"/>
              </w:rPr>
            </w:pPr>
          </w:p>
          <w:p w14:paraId="552C9D1E">
            <w:pPr>
              <w:pStyle w:val="22"/>
              <w:ind w:firstLine="0" w:firstLineChars="0"/>
              <w:jc w:val="center"/>
              <w:rPr>
                <w:highlight w:val="none"/>
              </w:rPr>
            </w:pPr>
          </w:p>
          <w:p w14:paraId="722E7C30">
            <w:pPr>
              <w:pStyle w:val="22"/>
              <w:ind w:firstLine="0" w:firstLineChars="0"/>
              <w:jc w:val="center"/>
              <w:rPr>
                <w:highlight w:val="none"/>
              </w:rPr>
            </w:pPr>
          </w:p>
          <w:p w14:paraId="14FFF8B9">
            <w:pPr>
              <w:pStyle w:val="22"/>
              <w:ind w:firstLine="0" w:firstLineChars="0"/>
              <w:jc w:val="center"/>
              <w:rPr>
                <w:highlight w:val="none"/>
              </w:rPr>
            </w:pPr>
          </w:p>
          <w:p w14:paraId="61AE4457">
            <w:pPr>
              <w:pStyle w:val="22"/>
              <w:ind w:firstLine="0" w:firstLineChars="0"/>
              <w:jc w:val="center"/>
              <w:rPr>
                <w:highlight w:val="none"/>
              </w:rPr>
            </w:pPr>
          </w:p>
          <w:p w14:paraId="30CD3E99">
            <w:pPr>
              <w:pStyle w:val="22"/>
              <w:ind w:firstLine="0" w:firstLineChars="0"/>
              <w:jc w:val="center"/>
              <w:rPr>
                <w:highlight w:val="none"/>
              </w:rPr>
            </w:pPr>
          </w:p>
          <w:p w14:paraId="6987916B">
            <w:pPr>
              <w:pStyle w:val="22"/>
              <w:ind w:firstLine="0" w:firstLineChars="0"/>
              <w:jc w:val="center"/>
              <w:rPr>
                <w:highlight w:val="none"/>
              </w:rPr>
            </w:pPr>
          </w:p>
          <w:p w14:paraId="649C1618">
            <w:pPr>
              <w:pStyle w:val="22"/>
              <w:ind w:firstLine="0" w:firstLineChars="0"/>
              <w:jc w:val="center"/>
              <w:rPr>
                <w:highlight w:val="none"/>
              </w:rPr>
            </w:pPr>
          </w:p>
          <w:p w14:paraId="1F59D755">
            <w:pPr>
              <w:pStyle w:val="22"/>
              <w:ind w:firstLine="0" w:firstLineChars="0"/>
              <w:jc w:val="center"/>
              <w:rPr>
                <w:rFonts w:hint="eastAsia" w:eastAsia="宋体"/>
                <w:highlight w:val="none"/>
                <w:lang w:eastAsia="zh-CN"/>
              </w:rPr>
            </w:pPr>
          </w:p>
          <w:p w14:paraId="2A73A636">
            <w:pPr>
              <w:pStyle w:val="22"/>
              <w:ind w:firstLine="0" w:firstLineChars="0"/>
              <w:jc w:val="center"/>
              <w:rPr>
                <w:highlight w:val="none"/>
              </w:rPr>
            </w:pPr>
          </w:p>
          <w:p w14:paraId="22DD3000">
            <w:pPr>
              <w:pStyle w:val="22"/>
              <w:ind w:firstLine="0" w:firstLineChars="0"/>
              <w:jc w:val="center"/>
              <w:rPr>
                <w:highlight w:val="none"/>
              </w:rPr>
            </w:pPr>
          </w:p>
          <w:p w14:paraId="5EDD7D31">
            <w:pPr>
              <w:pStyle w:val="22"/>
              <w:ind w:firstLine="0" w:firstLineChars="0"/>
              <w:jc w:val="center"/>
              <w:rPr>
                <w:highlight w:val="none"/>
              </w:rPr>
            </w:pPr>
          </w:p>
          <w:p w14:paraId="3A67B073">
            <w:pPr>
              <w:pStyle w:val="22"/>
              <w:ind w:firstLine="0" w:firstLineChars="0"/>
              <w:jc w:val="center"/>
              <w:rPr>
                <w:highlight w:val="none"/>
              </w:rPr>
            </w:pPr>
          </w:p>
          <w:p w14:paraId="6E9366B5">
            <w:pPr>
              <w:pStyle w:val="22"/>
              <w:ind w:firstLine="0" w:firstLineChars="0"/>
              <w:jc w:val="center"/>
              <w:rPr>
                <w:highlight w:val="none"/>
              </w:rPr>
            </w:pPr>
          </w:p>
          <w:p w14:paraId="497F23DD">
            <w:pPr>
              <w:pStyle w:val="22"/>
              <w:ind w:firstLine="0" w:firstLineChars="0"/>
              <w:jc w:val="center"/>
              <w:rPr>
                <w:highlight w:val="none"/>
              </w:rPr>
            </w:pPr>
          </w:p>
          <w:p w14:paraId="41C68A60">
            <w:pPr>
              <w:pStyle w:val="22"/>
              <w:ind w:firstLine="0" w:firstLineChars="0"/>
              <w:jc w:val="center"/>
              <w:rPr>
                <w:highlight w:val="none"/>
              </w:rPr>
            </w:pPr>
          </w:p>
          <w:p w14:paraId="11E3143A">
            <w:pPr>
              <w:pStyle w:val="22"/>
              <w:ind w:firstLine="0" w:firstLineChars="0"/>
              <w:jc w:val="center"/>
              <w:rPr>
                <w:highlight w:val="none"/>
              </w:rPr>
            </w:pPr>
          </w:p>
          <w:p w14:paraId="4079FC7F">
            <w:pPr>
              <w:pStyle w:val="22"/>
              <w:ind w:firstLine="0" w:firstLineChars="0"/>
              <w:jc w:val="center"/>
              <w:rPr>
                <w:highlight w:val="none"/>
              </w:rPr>
            </w:pPr>
          </w:p>
          <w:p w14:paraId="00A0EB34">
            <w:pPr>
              <w:pStyle w:val="22"/>
              <w:ind w:firstLine="0" w:firstLineChars="0"/>
              <w:jc w:val="center"/>
              <w:rPr>
                <w:highlight w:val="none"/>
              </w:rPr>
            </w:pPr>
          </w:p>
          <w:p w14:paraId="517741C9">
            <w:pPr>
              <w:pStyle w:val="22"/>
              <w:ind w:firstLine="0" w:firstLineChars="0"/>
              <w:jc w:val="center"/>
              <w:rPr>
                <w:highlight w:val="none"/>
              </w:rPr>
            </w:pPr>
          </w:p>
          <w:p w14:paraId="174EE7EA">
            <w:pPr>
              <w:pStyle w:val="22"/>
              <w:ind w:firstLine="0" w:firstLineChars="0"/>
              <w:jc w:val="center"/>
              <w:rPr>
                <w:highlight w:val="none"/>
              </w:rPr>
            </w:pPr>
          </w:p>
          <w:p w14:paraId="794DD799">
            <w:pPr>
              <w:pStyle w:val="22"/>
              <w:ind w:firstLine="0" w:firstLineChars="0"/>
              <w:jc w:val="center"/>
              <w:rPr>
                <w:highlight w:val="none"/>
              </w:rPr>
            </w:pPr>
          </w:p>
          <w:p w14:paraId="19E677E7">
            <w:pPr>
              <w:pStyle w:val="22"/>
              <w:ind w:firstLine="0" w:firstLineChars="0"/>
              <w:jc w:val="center"/>
              <w:rPr>
                <w:rFonts w:hint="eastAsia" w:ascii="Times New Roman" w:hAnsi="Times New Roman" w:cs="Times New Roman"/>
                <w:b/>
                <w:bCs/>
                <w:color w:val="auto"/>
                <w:sz w:val="24"/>
                <w:highlight w:val="none"/>
                <w:lang w:eastAsia="zh-CN" w:bidi="ar"/>
              </w:rPr>
            </w:pPr>
          </w:p>
          <w:p w14:paraId="4B6A210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 w:val="0"/>
                <w:bCs/>
                <w:color w:val="auto"/>
                <w:spacing w:val="0"/>
                <w:kern w:val="2"/>
                <w:sz w:val="24"/>
                <w:szCs w:val="24"/>
                <w:highlight w:val="none"/>
                <w:lang w:val="en-US" w:eastAsia="zh-CN" w:bidi="ar-SA"/>
              </w:rPr>
            </w:pPr>
            <w:r>
              <w:rPr>
                <w:rFonts w:hint="default" w:ascii="Times New Roman" w:hAnsi="Times New Roman" w:eastAsia="黑体" w:cs="Times New Roman"/>
                <w:b w:val="0"/>
                <w:bCs/>
                <w:color w:val="auto"/>
                <w:spacing w:val="0"/>
                <w:kern w:val="2"/>
                <w:sz w:val="24"/>
                <w:szCs w:val="24"/>
                <w:highlight w:val="none"/>
                <w:lang w:val="en-US" w:eastAsia="zh-CN" w:bidi="ar-SA"/>
              </w:rPr>
              <w:t>图2</w:t>
            </w:r>
            <w:r>
              <w:rPr>
                <w:rFonts w:hint="eastAsia" w:eastAsia="黑体" w:cs="Times New Roman"/>
                <w:b w:val="0"/>
                <w:bCs/>
                <w:color w:val="auto"/>
                <w:spacing w:val="0"/>
                <w:kern w:val="2"/>
                <w:sz w:val="24"/>
                <w:szCs w:val="24"/>
                <w:highlight w:val="none"/>
                <w:lang w:val="en-US" w:eastAsia="zh-CN" w:bidi="ar-SA"/>
              </w:rPr>
              <w:t>-1</w:t>
            </w:r>
            <w:r>
              <w:rPr>
                <w:rFonts w:hint="default" w:ascii="Times New Roman" w:hAnsi="Times New Roman" w:eastAsia="黑体" w:cs="Times New Roman"/>
                <w:b w:val="0"/>
                <w:bCs/>
                <w:color w:val="auto"/>
                <w:spacing w:val="0"/>
                <w:kern w:val="2"/>
                <w:sz w:val="24"/>
                <w:szCs w:val="24"/>
                <w:highlight w:val="none"/>
                <w:lang w:val="en-US" w:eastAsia="zh-CN" w:bidi="ar-SA"/>
              </w:rPr>
              <w:t xml:space="preserve">  本项目</w:t>
            </w:r>
            <w:r>
              <w:rPr>
                <w:rFonts w:hint="eastAsia" w:ascii="Times New Roman" w:hAnsi="Times New Roman" w:eastAsia="黑体" w:cs="Times New Roman"/>
                <w:b w:val="0"/>
                <w:bCs/>
                <w:color w:val="auto"/>
                <w:spacing w:val="0"/>
                <w:kern w:val="2"/>
                <w:sz w:val="24"/>
                <w:szCs w:val="24"/>
                <w:highlight w:val="none"/>
                <w:lang w:val="en-US" w:eastAsia="zh-CN" w:bidi="ar-SA"/>
              </w:rPr>
              <w:t>改</w:t>
            </w:r>
            <w:r>
              <w:rPr>
                <w:rFonts w:hint="default" w:ascii="Times New Roman" w:hAnsi="Times New Roman" w:eastAsia="黑体" w:cs="Times New Roman"/>
                <w:b w:val="0"/>
                <w:bCs/>
                <w:color w:val="auto"/>
                <w:spacing w:val="0"/>
                <w:kern w:val="2"/>
                <w:sz w:val="24"/>
                <w:szCs w:val="24"/>
                <w:highlight w:val="none"/>
                <w:lang w:val="en-US" w:eastAsia="zh-CN" w:bidi="ar-SA"/>
              </w:rPr>
              <w:t>建成后全厂水平衡图（m</w:t>
            </w:r>
            <w:r>
              <w:rPr>
                <w:rFonts w:hint="default" w:ascii="Times New Roman" w:hAnsi="Times New Roman" w:eastAsia="黑体" w:cs="Times New Roman"/>
                <w:b w:val="0"/>
                <w:bCs/>
                <w:color w:val="auto"/>
                <w:spacing w:val="0"/>
                <w:kern w:val="2"/>
                <w:sz w:val="24"/>
                <w:szCs w:val="24"/>
                <w:highlight w:val="none"/>
                <w:vertAlign w:val="superscript"/>
                <w:lang w:val="en-US" w:eastAsia="zh-CN" w:bidi="ar-SA"/>
              </w:rPr>
              <w:t>3</w:t>
            </w:r>
            <w:r>
              <w:rPr>
                <w:rFonts w:hint="default" w:ascii="Times New Roman" w:hAnsi="Times New Roman" w:eastAsia="黑体" w:cs="Times New Roman"/>
                <w:b w:val="0"/>
                <w:bCs/>
                <w:color w:val="auto"/>
                <w:spacing w:val="0"/>
                <w:kern w:val="2"/>
                <w:sz w:val="24"/>
                <w:szCs w:val="24"/>
                <w:highlight w:val="none"/>
                <w:lang w:val="en-US" w:eastAsia="zh-CN" w:bidi="ar-SA"/>
              </w:rPr>
              <w:t>/</w:t>
            </w:r>
            <w:r>
              <w:rPr>
                <w:rFonts w:hint="eastAsia" w:eastAsia="黑体" w:cs="Times New Roman"/>
                <w:b w:val="0"/>
                <w:bCs/>
                <w:color w:val="auto"/>
                <w:spacing w:val="0"/>
                <w:kern w:val="2"/>
                <w:sz w:val="24"/>
                <w:szCs w:val="24"/>
                <w:highlight w:val="none"/>
                <w:lang w:val="en-US" w:eastAsia="zh-CN" w:bidi="ar-SA"/>
              </w:rPr>
              <w:t>d</w:t>
            </w:r>
            <w:r>
              <w:rPr>
                <w:rFonts w:hint="default" w:ascii="Times New Roman" w:hAnsi="Times New Roman" w:eastAsia="黑体" w:cs="Times New Roman"/>
                <w:b w:val="0"/>
                <w:bCs/>
                <w:color w:val="auto"/>
                <w:spacing w:val="0"/>
                <w:kern w:val="2"/>
                <w:sz w:val="24"/>
                <w:szCs w:val="24"/>
                <w:highlight w:val="none"/>
                <w:lang w:val="en-US" w:eastAsia="zh-CN" w:bidi="ar-SA"/>
              </w:rPr>
              <w:t>）</w:t>
            </w:r>
          </w:p>
          <w:p w14:paraId="682856A3">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2.7.2供热</w:t>
            </w:r>
          </w:p>
          <w:p w14:paraId="7ED7911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本项目生产区隧道窑需要先用</w:t>
            </w:r>
            <w:r>
              <w:rPr>
                <w:rFonts w:hint="eastAsia" w:cs="Times New Roman"/>
                <w:color w:val="auto"/>
                <w:sz w:val="24"/>
                <w:szCs w:val="24"/>
                <w:highlight w:val="none"/>
                <w:lang w:val="en-US" w:eastAsia="zh-CN"/>
              </w:rPr>
              <w:t>生物质</w:t>
            </w:r>
            <w:r>
              <w:rPr>
                <w:rFonts w:hint="default" w:ascii="Times New Roman" w:hAnsi="Times New Roman" w:eastAsia="宋体" w:cs="Times New Roman"/>
                <w:color w:val="auto"/>
                <w:sz w:val="24"/>
                <w:szCs w:val="24"/>
                <w:highlight w:val="none"/>
                <w:lang w:val="en-US" w:eastAsia="zh-CN"/>
              </w:rPr>
              <w:t>进行点火，用于助燃，点火以后主要依靠煤矸石自身燃烧进行烧制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热源为煤矸石自身燃烧产生的热量。</w:t>
            </w:r>
          </w:p>
          <w:p w14:paraId="60B949E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center"/>
            </w:pPr>
            <w:r>
              <w:rPr>
                <w:rFonts w:hint="eastAsia" w:ascii="Times New Roman" w:hAnsi="Times New Roman" w:eastAsia="宋体" w:cs="Times New Roman"/>
                <w:color w:val="auto"/>
                <w:sz w:val="24"/>
                <w:szCs w:val="24"/>
                <w:highlight w:val="none"/>
                <w:lang w:val="en-US" w:eastAsia="zh-CN"/>
              </w:rPr>
              <w:t>本项目采暖热源利用隧道窑余热。采暖在炉窑冷却段设置换热器，利用砖坯的余热作为采暖热源。采暖区为陈化库、制砖车间、办公区等。本项目主要的余热利用方式是窑尾安装换热器，即在冷却段安装热交换器，换热器进气口接入窑内，出气口并入抽余热管道，此类热交换器通过气－热交换产生最高温度为80℃的热水，一台直径为1200mm的热交换器每小时可产生4000kg热水，相当于2.8MW，本项目采暖区总面积约1490平方米，采暖负荷按40W/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计，则供暖总负荷为0.06MW。因此，本项目产生余热将能满足项目采暖需求。</w:t>
            </w:r>
          </w:p>
        </w:tc>
      </w:tr>
      <w:tr w14:paraId="6F297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1" w:hRule="atLeast"/>
          <w:jc w:val="center"/>
        </w:trPr>
        <w:tc>
          <w:tcPr>
            <w:tcW w:w="251" w:type="pct"/>
            <w:tcBorders>
              <w:tl2br w:val="nil"/>
              <w:tr2bl w:val="nil"/>
            </w:tcBorders>
            <w:vAlign w:val="center"/>
          </w:tcPr>
          <w:p w14:paraId="70DD9C40">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bCs/>
                <w:color w:val="auto"/>
                <w:sz w:val="24"/>
                <w:szCs w:val="24"/>
              </w:rPr>
              <w:t>工艺流程和产排污环节</w:t>
            </w:r>
          </w:p>
        </w:tc>
        <w:tc>
          <w:tcPr>
            <w:tcW w:w="4748" w:type="pct"/>
            <w:tcBorders>
              <w:tl2br w:val="nil"/>
              <w:tr2bl w:val="nil"/>
            </w:tcBorders>
          </w:tcPr>
          <w:p w14:paraId="654F15DC">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center"/>
              <w:rPr>
                <w:rFonts w:hint="default"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lang w:val="en-US" w:eastAsia="zh-CN"/>
              </w:rPr>
              <w:t>2.8</w:t>
            </w:r>
            <w:r>
              <w:rPr>
                <w:rFonts w:hint="default" w:ascii="Times New Roman" w:hAnsi="Times New Roman" w:eastAsia="宋体" w:cs="Times New Roman"/>
                <w:b/>
                <w:bCs/>
                <w:color w:val="auto"/>
                <w:sz w:val="24"/>
                <w:szCs w:val="20"/>
                <w:highlight w:val="none"/>
                <w:lang w:val="en-US" w:eastAsia="zh-CN"/>
              </w:rPr>
              <w:t>工艺流程</w:t>
            </w:r>
            <w:r>
              <w:rPr>
                <w:rFonts w:hint="eastAsia" w:ascii="Times New Roman" w:hAnsi="Times New Roman" w:eastAsia="宋体" w:cs="Times New Roman"/>
                <w:b/>
                <w:bCs/>
                <w:color w:val="auto"/>
                <w:sz w:val="24"/>
                <w:szCs w:val="20"/>
                <w:highlight w:val="none"/>
                <w:lang w:val="en-US" w:eastAsia="zh-CN"/>
              </w:rPr>
              <w:t>和产排污环节</w:t>
            </w:r>
          </w:p>
          <w:p w14:paraId="66A3C239">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center"/>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b/>
                <w:bCs/>
                <w:color w:val="auto"/>
                <w:sz w:val="24"/>
                <w:szCs w:val="20"/>
                <w:highlight w:val="none"/>
                <w:lang w:val="en-US" w:eastAsia="zh-CN"/>
              </w:rPr>
              <w:t>2.</w:t>
            </w:r>
            <w:r>
              <w:rPr>
                <w:rFonts w:hint="eastAsia" w:ascii="Times New Roman" w:hAnsi="Times New Roman" w:eastAsia="宋体" w:cs="Times New Roman"/>
                <w:b/>
                <w:bCs/>
                <w:color w:val="auto"/>
                <w:sz w:val="24"/>
                <w:szCs w:val="20"/>
                <w:highlight w:val="none"/>
                <w:lang w:val="en-US" w:eastAsia="zh-CN"/>
              </w:rPr>
              <w:t>8.1</w:t>
            </w:r>
            <w:r>
              <w:rPr>
                <w:rFonts w:hint="default" w:ascii="Times New Roman" w:hAnsi="Times New Roman" w:eastAsia="宋体" w:cs="Times New Roman"/>
                <w:b/>
                <w:bCs/>
                <w:color w:val="auto"/>
                <w:sz w:val="24"/>
                <w:szCs w:val="20"/>
                <w:highlight w:val="none"/>
                <w:lang w:val="en-US" w:eastAsia="zh-CN"/>
              </w:rPr>
              <w:t>工艺流程</w:t>
            </w:r>
          </w:p>
          <w:p w14:paraId="49384B5E">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本项目利用煤矸石制砖，主要包括物料堆存、破碎筛分、搅拌、陈化、挤压成型、切坯码垛、炉窑焙烧等工序。工艺流程及主要产污环节见下图。</w:t>
            </w:r>
          </w:p>
          <w:p w14:paraId="60577BEF">
            <w:pPr>
              <w:pStyle w:val="31"/>
              <w:rPr>
                <w:rFonts w:hint="default" w:ascii="Times New Roman" w:hAnsi="Times New Roman" w:eastAsia="宋体" w:cs="Times New Roman"/>
                <w:color w:val="auto"/>
                <w:sz w:val="24"/>
              </w:rPr>
            </w:pPr>
          </w:p>
          <w:p w14:paraId="42D7B807">
            <w:pPr>
              <w:pStyle w:val="31"/>
              <w:rPr>
                <w:rFonts w:hint="default" w:ascii="Times New Roman" w:hAnsi="Times New Roman" w:eastAsia="宋体" w:cs="Times New Roman"/>
                <w:color w:val="auto"/>
                <w:sz w:val="24"/>
              </w:rPr>
            </w:pPr>
          </w:p>
          <w:p w14:paraId="43846081">
            <w:pPr>
              <w:pStyle w:val="31"/>
              <w:rPr>
                <w:rFonts w:hint="default" w:ascii="Times New Roman" w:hAnsi="Times New Roman" w:eastAsia="宋体" w:cs="Times New Roman"/>
                <w:color w:val="auto"/>
                <w:sz w:val="24"/>
              </w:rPr>
            </w:pPr>
          </w:p>
          <w:p w14:paraId="297873F2">
            <w:pPr>
              <w:pStyle w:val="31"/>
              <w:rPr>
                <w:rFonts w:hint="default" w:ascii="Times New Roman" w:hAnsi="Times New Roman" w:eastAsia="宋体" w:cs="Times New Roman"/>
                <w:color w:val="auto"/>
                <w:sz w:val="24"/>
              </w:rPr>
            </w:pPr>
          </w:p>
          <w:p w14:paraId="244C3D77">
            <w:pPr>
              <w:pStyle w:val="31"/>
              <w:rPr>
                <w:rFonts w:hint="default" w:ascii="Times New Roman" w:hAnsi="Times New Roman" w:eastAsia="宋体" w:cs="Times New Roman"/>
                <w:color w:val="auto"/>
                <w:sz w:val="24"/>
              </w:rPr>
            </w:pPr>
          </w:p>
          <w:p w14:paraId="6BA6C2DB">
            <w:pPr>
              <w:pStyle w:val="31"/>
              <w:rPr>
                <w:rFonts w:hint="default" w:ascii="Times New Roman" w:hAnsi="Times New Roman" w:eastAsia="宋体" w:cs="Times New Roman"/>
                <w:color w:val="auto"/>
                <w:sz w:val="24"/>
              </w:rPr>
            </w:pPr>
          </w:p>
          <w:p w14:paraId="3370BAB5">
            <w:pPr>
              <w:pStyle w:val="31"/>
              <w:rPr>
                <w:rFonts w:hint="default" w:ascii="Times New Roman" w:hAnsi="Times New Roman" w:eastAsia="宋体" w:cs="Times New Roman"/>
                <w:color w:val="auto"/>
                <w:sz w:val="24"/>
              </w:rPr>
            </w:pPr>
          </w:p>
          <w:p w14:paraId="183FC3DA">
            <w:pPr>
              <w:pStyle w:val="31"/>
              <w:rPr>
                <w:rFonts w:hint="default" w:ascii="Times New Roman" w:hAnsi="Times New Roman" w:eastAsia="宋体" w:cs="Times New Roman"/>
                <w:color w:val="auto"/>
                <w:sz w:val="24"/>
              </w:rPr>
            </w:pPr>
          </w:p>
          <w:p w14:paraId="25576EBA">
            <w:pPr>
              <w:pStyle w:val="31"/>
              <w:rPr>
                <w:rFonts w:hint="default" w:ascii="Times New Roman" w:hAnsi="Times New Roman" w:eastAsia="宋体" w:cs="Times New Roman"/>
                <w:color w:val="auto"/>
                <w:sz w:val="24"/>
              </w:rPr>
            </w:pPr>
          </w:p>
          <w:p w14:paraId="2A4F7AFB">
            <w:pPr>
              <w:pStyle w:val="31"/>
              <w:rPr>
                <w:rFonts w:hint="default" w:ascii="Times New Roman" w:hAnsi="Times New Roman" w:eastAsia="宋体" w:cs="Times New Roman"/>
                <w:color w:val="auto"/>
                <w:sz w:val="24"/>
              </w:rPr>
            </w:pPr>
          </w:p>
          <w:p w14:paraId="3B334177">
            <w:pPr>
              <w:pStyle w:val="31"/>
              <w:rPr>
                <w:rFonts w:hint="default" w:ascii="Times New Roman" w:hAnsi="Times New Roman" w:eastAsia="宋体" w:cs="Times New Roman"/>
                <w:color w:val="auto"/>
                <w:sz w:val="24"/>
              </w:rPr>
            </w:pPr>
          </w:p>
          <w:p w14:paraId="6495EC50">
            <w:pPr>
              <w:pStyle w:val="31"/>
              <w:rPr>
                <w:rFonts w:hint="default" w:ascii="Times New Roman" w:hAnsi="Times New Roman" w:eastAsia="宋体" w:cs="Times New Roman"/>
                <w:color w:val="auto"/>
                <w:sz w:val="24"/>
              </w:rPr>
            </w:pPr>
          </w:p>
          <w:p w14:paraId="016636EA">
            <w:pPr>
              <w:pStyle w:val="31"/>
              <w:rPr>
                <w:rFonts w:hint="default" w:ascii="Times New Roman" w:hAnsi="Times New Roman" w:eastAsia="宋体" w:cs="Times New Roman"/>
                <w:color w:val="auto"/>
                <w:sz w:val="24"/>
              </w:rPr>
            </w:pPr>
          </w:p>
          <w:p w14:paraId="250AC3C5">
            <w:pPr>
              <w:pStyle w:val="31"/>
              <w:rPr>
                <w:rFonts w:hint="default" w:ascii="Times New Roman" w:hAnsi="Times New Roman" w:eastAsia="宋体" w:cs="Times New Roman"/>
                <w:color w:val="auto"/>
                <w:sz w:val="24"/>
              </w:rPr>
            </w:pPr>
          </w:p>
          <w:p w14:paraId="76DD09E2">
            <w:pPr>
              <w:pStyle w:val="31"/>
              <w:rPr>
                <w:rFonts w:hint="default" w:ascii="Times New Roman" w:hAnsi="Times New Roman" w:eastAsia="宋体" w:cs="Times New Roman"/>
                <w:color w:val="auto"/>
                <w:sz w:val="24"/>
              </w:rPr>
            </w:pPr>
          </w:p>
          <w:p w14:paraId="447A2E02">
            <w:pPr>
              <w:pStyle w:val="31"/>
              <w:rPr>
                <w:rFonts w:hint="default" w:ascii="Times New Roman" w:hAnsi="Times New Roman" w:eastAsia="宋体" w:cs="Times New Roman"/>
                <w:color w:val="auto"/>
                <w:sz w:val="24"/>
              </w:rPr>
            </w:pPr>
          </w:p>
          <w:p w14:paraId="19D1EFE5">
            <w:pPr>
              <w:pStyle w:val="31"/>
              <w:rPr>
                <w:rFonts w:hint="default" w:ascii="Times New Roman" w:hAnsi="Times New Roman" w:eastAsia="宋体" w:cs="Times New Roman"/>
                <w:color w:val="auto"/>
                <w:sz w:val="24"/>
              </w:rPr>
            </w:pPr>
          </w:p>
          <w:p w14:paraId="560F1666">
            <w:pPr>
              <w:pStyle w:val="31"/>
              <w:rPr>
                <w:rFonts w:hint="default" w:ascii="Times New Roman" w:hAnsi="Times New Roman" w:eastAsia="宋体" w:cs="Times New Roman"/>
                <w:color w:val="auto"/>
                <w:sz w:val="24"/>
              </w:rPr>
            </w:pPr>
          </w:p>
          <w:p w14:paraId="06990E80">
            <w:pPr>
              <w:pStyle w:val="31"/>
              <w:rPr>
                <w:rFonts w:hint="default" w:ascii="Times New Roman" w:hAnsi="Times New Roman" w:eastAsia="宋体" w:cs="Times New Roman"/>
                <w:color w:val="auto"/>
                <w:sz w:val="24"/>
              </w:rPr>
            </w:pPr>
          </w:p>
          <w:p w14:paraId="19B99505">
            <w:pPr>
              <w:pStyle w:val="31"/>
              <w:rPr>
                <w:rFonts w:hint="default" w:ascii="Times New Roman" w:hAnsi="Times New Roman" w:eastAsia="宋体" w:cs="Times New Roman"/>
                <w:color w:val="auto"/>
                <w:sz w:val="24"/>
              </w:rPr>
            </w:pPr>
          </w:p>
          <w:p w14:paraId="4A143E64">
            <w:pPr>
              <w:pStyle w:val="31"/>
              <w:rPr>
                <w:rFonts w:hint="default" w:ascii="Times New Roman" w:hAnsi="Times New Roman" w:eastAsia="宋体" w:cs="Times New Roman"/>
                <w:color w:val="auto"/>
                <w:sz w:val="24"/>
              </w:rPr>
            </w:pPr>
          </w:p>
          <w:p w14:paraId="3EFC5C62">
            <w:pPr>
              <w:pStyle w:val="31"/>
              <w:rPr>
                <w:rFonts w:hint="default" w:ascii="Times New Roman" w:hAnsi="Times New Roman" w:eastAsia="宋体" w:cs="Times New Roman"/>
                <w:color w:val="auto"/>
                <w:sz w:val="24"/>
              </w:rPr>
            </w:pPr>
          </w:p>
          <w:p w14:paraId="7B2B9CAC">
            <w:pPr>
              <w:pStyle w:val="31"/>
              <w:rPr>
                <w:rFonts w:hint="default" w:ascii="Times New Roman" w:hAnsi="Times New Roman" w:eastAsia="宋体" w:cs="Times New Roman"/>
                <w:color w:val="auto"/>
                <w:sz w:val="24"/>
              </w:rPr>
            </w:pPr>
          </w:p>
          <w:p w14:paraId="10BC75D5">
            <w:pPr>
              <w:pStyle w:val="31"/>
              <w:rPr>
                <w:rFonts w:hint="default" w:ascii="Times New Roman" w:hAnsi="Times New Roman" w:eastAsia="宋体" w:cs="Times New Roman"/>
                <w:color w:val="auto"/>
                <w:sz w:val="24"/>
              </w:rPr>
            </w:pPr>
          </w:p>
          <w:p w14:paraId="20FF629B">
            <w:pPr>
              <w:pStyle w:val="31"/>
              <w:rPr>
                <w:rFonts w:hint="default" w:ascii="Times New Roman" w:hAnsi="Times New Roman" w:eastAsia="宋体" w:cs="Times New Roman"/>
                <w:color w:val="auto"/>
                <w:sz w:val="24"/>
              </w:rPr>
            </w:pPr>
          </w:p>
          <w:p w14:paraId="34775324">
            <w:pPr>
              <w:pStyle w:val="31"/>
              <w:rPr>
                <w:rFonts w:hint="default" w:ascii="Times New Roman" w:hAnsi="Times New Roman" w:eastAsia="宋体" w:cs="Times New Roman"/>
                <w:color w:val="auto"/>
                <w:sz w:val="24"/>
              </w:rPr>
            </w:pPr>
          </w:p>
          <w:p w14:paraId="1AEE4ADE">
            <w:pPr>
              <w:pStyle w:val="31"/>
              <w:rPr>
                <w:rFonts w:hint="default" w:ascii="Times New Roman" w:hAnsi="Times New Roman" w:eastAsia="宋体" w:cs="Times New Roman"/>
                <w:color w:val="auto"/>
                <w:sz w:val="24"/>
              </w:rPr>
            </w:pPr>
          </w:p>
          <w:p w14:paraId="098F21CE">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r>
              <w:rPr>
                <w:sz w:val="21"/>
              </w:rPr>
              <mc:AlternateContent>
                <mc:Choice Requires="wpg">
                  <w:drawing>
                    <wp:anchor distT="0" distB="0" distL="114300" distR="114300" simplePos="0" relativeHeight="251663360" behindDoc="0" locked="0" layoutInCell="1" allowOverlap="1">
                      <wp:simplePos x="0" y="0"/>
                      <wp:positionH relativeFrom="column">
                        <wp:posOffset>311785</wp:posOffset>
                      </wp:positionH>
                      <wp:positionV relativeFrom="paragraph">
                        <wp:posOffset>255905</wp:posOffset>
                      </wp:positionV>
                      <wp:extent cx="4552950" cy="6480175"/>
                      <wp:effectExtent l="0" t="0" r="57150" b="34925"/>
                      <wp:wrapNone/>
                      <wp:docPr id="114" name="组合 114"/>
                      <wp:cNvGraphicFramePr/>
                      <a:graphic xmlns:a="http://schemas.openxmlformats.org/drawingml/2006/main">
                        <a:graphicData uri="http://schemas.microsoft.com/office/word/2010/wordprocessingGroup">
                          <wpg:wgp>
                            <wpg:cNvGrpSpPr/>
                            <wpg:grpSpPr>
                              <a:xfrm>
                                <a:off x="0" y="0"/>
                                <a:ext cx="4552950" cy="6480175"/>
                                <a:chOff x="4836" y="718343"/>
                                <a:chExt cx="7170" cy="10772"/>
                              </a:xfrm>
                            </wpg:grpSpPr>
                            <pic:pic xmlns:pic="http://schemas.openxmlformats.org/drawingml/2006/picture">
                              <pic:nvPicPr>
                                <pic:cNvPr id="115" name="图片 7"/>
                                <pic:cNvPicPr>
                                  <a:picLocks noChangeAspect="1"/>
                                </pic:cNvPicPr>
                              </pic:nvPicPr>
                              <pic:blipFill>
                                <a:blip r:embed="rId13"/>
                                <a:stretch>
                                  <a:fillRect/>
                                </a:stretch>
                              </pic:blipFill>
                              <pic:spPr>
                                <a:xfrm>
                                  <a:off x="4836" y="718343"/>
                                  <a:ext cx="7170" cy="10772"/>
                                </a:xfrm>
                                <a:prstGeom prst="rect">
                                  <a:avLst/>
                                </a:prstGeom>
                                <a:noFill/>
                                <a:ln>
                                  <a:noFill/>
                                </a:ln>
                              </pic:spPr>
                            </pic:pic>
                            <pic:pic xmlns:pic="http://schemas.openxmlformats.org/drawingml/2006/picture">
                              <pic:nvPicPr>
                                <pic:cNvPr id="116" name="图片 8"/>
                                <pic:cNvPicPr>
                                  <a:picLocks noChangeAspect="1"/>
                                </pic:cNvPicPr>
                              </pic:nvPicPr>
                              <pic:blipFill>
                                <a:blip r:embed="rId14"/>
                                <a:stretch>
                                  <a:fillRect/>
                                </a:stretch>
                              </pic:blipFill>
                              <pic:spPr>
                                <a:xfrm>
                                  <a:off x="8982" y="718461"/>
                                  <a:ext cx="1620" cy="480"/>
                                </a:xfrm>
                                <a:prstGeom prst="rect">
                                  <a:avLst/>
                                </a:prstGeom>
                                <a:noFill/>
                                <a:ln>
                                  <a:noFill/>
                                </a:ln>
                              </pic:spPr>
                            </pic:pic>
                          </wpg:wgp>
                        </a:graphicData>
                      </a:graphic>
                    </wp:anchor>
                  </w:drawing>
                </mc:Choice>
                <mc:Fallback>
                  <w:pict>
                    <v:group id="_x0000_s1026" o:spid="_x0000_s1026" o:spt="203" style="position:absolute;left:0pt;margin-left:24.55pt;margin-top:20.15pt;height:510.25pt;width:358.5pt;z-index:251663360;mso-width-relative:page;mso-height-relative:page;" coordorigin="4836,718343" coordsize="7170,10772" o:gfxdata="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">
                      <o:lock v:ext="edit" aspectratio="f"/>
                      <v:shape id="图片 7" o:spid="_x0000_s1026" o:spt="75" type="#_x0000_t75" style="position:absolute;left:4836;top:718343;height:10772;width:7170;" filled="f" o:preferrelative="t" stroked="f" coordsize="21600,21600" o:gfxdata="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3m7+5AAAA3A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8" o:spid="_x0000_s1026" o:spt="75" type="#_x0000_t75" style="position:absolute;left:8982;top:718461;height:480;width:1620;" filled="f" o:preferrelative="t" stroked="f" coordsize="21600,21600" o:gfxdata="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BSF2ugAAANwA&#10;AAAPAAAAAAAAAAEAIAAAACIAAABkcnMvZG93bnJldi54bWxQSwECFAAUAAAACACHTuJAMy8FnjsA&#10;AAA5AAAAEAAAAAAAAAABACAAAAAJAQAAZHJzL3NoYXBleG1sLnhtbFBLBQYAAAAABgAGAFsBAACz&#10;AwAAAAA=&#10;">
                        <v:fill on="f" focussize="0,0"/>
                        <v:stroke on="f"/>
                        <v:imagedata r:id="rId14" o:title=""/>
                        <o:lock v:ext="edit" aspectratio="t"/>
                      </v:shape>
                    </v:group>
                  </w:pict>
                </mc:Fallback>
              </mc:AlternateContent>
            </w:r>
          </w:p>
          <w:p w14:paraId="28B68A53">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3E45D2E3">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365D6A62">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27292B3F">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664872D7">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2D11C016">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24409F75">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7587E3B5">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1C0A53FE">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2E716FD8">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626A0425">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6B1923B7">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0C882D88">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56F79476">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59F8D273">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1E3A5137">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324CB441">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07DFBCDC">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174E2EC0">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color w:val="auto"/>
                <w:sz w:val="21"/>
              </w:rPr>
            </w:pPr>
          </w:p>
          <w:p w14:paraId="3F16E7A0">
            <w:pPr>
              <w:pStyle w:val="29"/>
              <w:rPr>
                <w:color w:val="auto"/>
                <w:sz w:val="21"/>
              </w:rPr>
            </w:pPr>
          </w:p>
          <w:p w14:paraId="5346DCF5">
            <w:pPr>
              <w:pStyle w:val="29"/>
              <w:rPr>
                <w:color w:val="auto"/>
                <w:sz w:val="21"/>
              </w:rPr>
            </w:pPr>
          </w:p>
          <w:p w14:paraId="7A98412E">
            <w:pPr>
              <w:pStyle w:val="29"/>
              <w:rPr>
                <w:color w:val="auto"/>
                <w:sz w:val="21"/>
              </w:rPr>
            </w:pPr>
          </w:p>
          <w:p w14:paraId="3AD3FC60">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rFonts w:hint="default" w:ascii="Times New Roman" w:hAnsi="Times New Roman" w:eastAsia="宋体" w:cs="Times New Roman"/>
                <w:b/>
                <w:color w:val="auto"/>
                <w:sz w:val="24"/>
                <w:szCs w:val="20"/>
                <w:lang w:val="en-US" w:eastAsia="zh-CN"/>
              </w:rPr>
            </w:pPr>
            <w:r>
              <w:rPr>
                <w:rFonts w:hint="default" w:ascii="Times New Roman" w:hAnsi="Times New Roman" w:eastAsia="黑体" w:cs="Times New Roman"/>
                <w:b w:val="0"/>
                <w:bCs/>
                <w:color w:val="auto"/>
                <w:sz w:val="24"/>
                <w:szCs w:val="20"/>
                <w:lang w:val="en-US" w:eastAsia="zh-CN"/>
              </w:rPr>
              <w:t>图2-</w:t>
            </w:r>
            <w:r>
              <w:rPr>
                <w:rFonts w:hint="eastAsia" w:ascii="Times New Roman" w:hAnsi="Times New Roman" w:eastAsia="黑体" w:cs="Times New Roman"/>
                <w:b w:val="0"/>
                <w:bCs/>
                <w:color w:val="auto"/>
                <w:sz w:val="24"/>
                <w:szCs w:val="20"/>
                <w:lang w:val="en-US" w:eastAsia="zh-CN"/>
              </w:rPr>
              <w:t>2</w:t>
            </w:r>
            <w:r>
              <w:rPr>
                <w:rFonts w:hint="default" w:ascii="Times New Roman" w:hAnsi="Times New Roman" w:eastAsia="黑体" w:cs="Times New Roman"/>
                <w:b w:val="0"/>
                <w:bCs/>
                <w:color w:val="auto"/>
                <w:sz w:val="24"/>
                <w:szCs w:val="20"/>
                <w:lang w:val="en-US" w:eastAsia="zh-CN"/>
              </w:rPr>
              <w:t xml:space="preserve">  运营期工艺流程及产排污环节图</w:t>
            </w:r>
          </w:p>
          <w:p w14:paraId="01E79A16">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2"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工艺流程简述：</w:t>
            </w:r>
          </w:p>
          <w:p w14:paraId="2571437A">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1）破碎、筛分：将煤矸石物料通过全封闭式皮带送入破碎机进行破碎，破碎后的物料经滚筒筛进行筛分，筛上物料由皮带机送破碎机再处理直到达到粒度要求，粒径≤2mm的筛下物料送入下一工序。此工序污染物主要为破碎筛分工序产生的颗粒物及机械噪声。</w:t>
            </w:r>
          </w:p>
          <w:p w14:paraId="704B6DA7">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2）搅拌、陈化：将筛分后的物料送入双轴搅拌机加水搅拌，搅拌物料由可逆式配仓胶带机送入陈化库，陈化是将破碎至所需细度的原料加水浸润，使其进一步疏解，促使水分分布均匀；可以改善原料的成型性能，提高制品质量。工艺设计选用陈化库，使原料保证72小时以上陈化时间，陈化处理后的物料送至下一工序。</w:t>
            </w:r>
          </w:p>
          <w:p w14:paraId="4B5E4275">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搅拌机在封闭车间内，由全封闭输送皮带送料，物料含水，不易起尘，此工序污染物主要为机械噪声。</w:t>
            </w:r>
          </w:p>
          <w:p w14:paraId="0EE8BFA2">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（3）陈化后搅拌：经陈化处理后的物料均匀给入高效双轴搅拌机，再加少量水搅拌，经二次搅拌后送入真空挤出机制砖。</w:t>
            </w:r>
          </w:p>
          <w:p w14:paraId="40C33AA6">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（4）制砖、切坯成型、码坯：</w:t>
            </w:r>
          </w:p>
          <w:p w14:paraId="1697FA01">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挤出成型是整个生产线上的关键工序。根据原料特性，本项目采用双级真空挤砖机，控制挤出压力2.8-3.0MPa、真空度≤-0.092MPa，经过上挤出、抽真空、下挤出等过程，在挤出口得到一个平行的泥条，得到的泥条经自动切条、切坯进行切割成型，经整理机、布坯机将砖坯码放在窑车上。由工人对切割出来的砖坯进行初步检验，经检验合格的半成品临时存放至半成品库暂存。废边角料由回废皮带返回生产。</w:t>
            </w:r>
          </w:p>
          <w:p w14:paraId="615CB5AD">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（5）干燥、焙烧、冷却：</w:t>
            </w:r>
          </w:p>
          <w:p w14:paraId="4AFF1F34">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本项目干燥焙烧采用一次码烧工艺，码有砖坯的窑车通过窑车运转系统完成窑车在干燥段、焙烧段、冷却段的运行。</w:t>
            </w:r>
          </w:p>
          <w:p w14:paraId="0C470A44">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隧道窑干燥段：砖坯码好后，经摆渡车将窑车用顶车机送往隧道窑内，砖坯进入隧道干燥窑段干燥，干燥时间为1</w:t>
            </w:r>
            <w:r>
              <w:rPr>
                <w:rFonts w:hint="eastAsia" w:ascii="Times New Roman" w:hAnsi="Times New Roman" w:cs="Times New Roman"/>
                <w:b w:val="0"/>
                <w:bCs/>
                <w:color w:val="auto"/>
                <w:sz w:val="24"/>
                <w:szCs w:val="20"/>
                <w:lang w:val="en-US" w:eastAsia="zh-CN"/>
              </w:rPr>
              <w:t>0</w:t>
            </w:r>
            <w:r>
              <w:rPr>
                <w:rFonts w:hint="default" w:ascii="Times New Roman" w:hAnsi="Times New Roman" w:cs="Times New Roman"/>
                <w:b w:val="0"/>
                <w:bCs/>
                <w:color w:val="auto"/>
                <w:sz w:val="24"/>
                <w:szCs w:val="20"/>
              </w:rPr>
              <w:t>-</w:t>
            </w:r>
            <w:r>
              <w:rPr>
                <w:rFonts w:hint="eastAsia" w:ascii="Times New Roman" w:hAnsi="Times New Roman" w:cs="Times New Roman"/>
                <w:b w:val="0"/>
                <w:bCs/>
                <w:color w:val="auto"/>
                <w:sz w:val="24"/>
                <w:szCs w:val="20"/>
                <w:lang w:val="en-US" w:eastAsia="zh-CN"/>
              </w:rPr>
              <w:t>13</w:t>
            </w:r>
            <w:r>
              <w:rPr>
                <w:rFonts w:hint="default" w:ascii="Times New Roman" w:hAnsi="Times New Roman" w:cs="Times New Roman"/>
                <w:b w:val="0"/>
                <w:bCs/>
                <w:color w:val="auto"/>
                <w:sz w:val="24"/>
                <w:szCs w:val="20"/>
              </w:rPr>
              <w:t>h，干燥的热源来自焙烧段的余热，</w:t>
            </w:r>
            <w:r>
              <w:rPr>
                <w:rFonts w:hint="default" w:ascii="Times New Roman" w:hAnsi="Times New Roman" w:cs="Times New Roman"/>
                <w:color w:val="auto"/>
                <w:sz w:val="24"/>
                <w:szCs w:val="20"/>
              </w:rPr>
              <w:t>温度控制在80℃～200℃，</w:t>
            </w:r>
            <w:r>
              <w:rPr>
                <w:rFonts w:hint="default" w:ascii="Times New Roman" w:hAnsi="Times New Roman" w:cs="Times New Roman"/>
                <w:b w:val="0"/>
                <w:bCs/>
                <w:color w:val="auto"/>
                <w:sz w:val="24"/>
                <w:szCs w:val="20"/>
              </w:rPr>
              <w:t>主要是通过引风机将焙烧段和冷却段的高温烟气由两侧风道引至干燥窑段，干燥砖坯。干燥的目的是为了排除成型时坯体中含有的水分，为烧成创造必要条件。干燥后要求坯体含水率达到2%以下，干坯无裂纹，无回潮现象产生；高温烟气经隧道窑干燥段利用完余热后通过隧道窑底部的烟道和风机引入脱硫塔进行脱硫除尘，处理达标的烟气通过3</w:t>
            </w:r>
            <w:r>
              <w:rPr>
                <w:rFonts w:hint="eastAsia" w:ascii="Times New Roman" w:hAnsi="Times New Roman" w:cs="Times New Roman"/>
                <w:b w:val="0"/>
                <w:bCs/>
                <w:color w:val="auto"/>
                <w:sz w:val="24"/>
                <w:szCs w:val="20"/>
                <w:lang w:val="en-US" w:eastAsia="zh-CN"/>
              </w:rPr>
              <w:t>2</w:t>
            </w:r>
            <w:r>
              <w:rPr>
                <w:rFonts w:hint="default" w:ascii="Times New Roman" w:hAnsi="Times New Roman" w:cs="Times New Roman"/>
                <w:b w:val="0"/>
                <w:bCs/>
                <w:color w:val="auto"/>
                <w:sz w:val="24"/>
                <w:szCs w:val="20"/>
              </w:rPr>
              <w:t>m高烟囱排放。</w:t>
            </w:r>
          </w:p>
          <w:p w14:paraId="6247561C">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隧道窑焙烧段：干燥好的砖坯，通过移动式窑车向前移动，位于隧道窑内窑车上的砖坯，进入焙烧段，砖坯采用内燃方式，经过点火后，砖坯燃烧，由于掺入一定热量的煤矸石以及窑体温度升高，自身作为热源燃烧，隧道窑焙烧产生的高温烟气通过隧道窑两侧的烟道及引风机引入隧道窑干燥段利用</w:t>
            </w:r>
            <w:r>
              <w:rPr>
                <w:rFonts w:hint="eastAsia" w:ascii="Times New Roman" w:hAnsi="Times New Roman" w:cs="Times New Roman"/>
                <w:b w:val="0"/>
                <w:bCs/>
                <w:color w:val="auto"/>
                <w:sz w:val="24"/>
                <w:szCs w:val="20"/>
                <w:lang w:eastAsia="zh-CN"/>
              </w:rPr>
              <w:t>，</w:t>
            </w:r>
            <w:r>
              <w:rPr>
                <w:rFonts w:hint="default" w:ascii="Times New Roman" w:hAnsi="Times New Roman" w:cs="Times New Roman"/>
                <w:color w:val="auto"/>
                <w:sz w:val="24"/>
                <w:szCs w:val="20"/>
              </w:rPr>
              <w:t>焙烧段温度控制在900℃～1000℃</w:t>
            </w:r>
            <w:r>
              <w:rPr>
                <w:rFonts w:hint="eastAsia" w:ascii="Times New Roman" w:hAnsi="Times New Roman" w:cs="Times New Roman"/>
                <w:color w:val="auto"/>
                <w:sz w:val="24"/>
                <w:szCs w:val="20"/>
                <w:lang w:eastAsia="zh-CN"/>
              </w:rPr>
              <w:t>，</w:t>
            </w:r>
            <w:r>
              <w:rPr>
                <w:rFonts w:hint="default" w:ascii="Times New Roman" w:hAnsi="Times New Roman" w:cs="Times New Roman"/>
                <w:color w:val="auto"/>
                <w:sz w:val="24"/>
                <w:szCs w:val="20"/>
              </w:rPr>
              <w:t>焙烧停留时间约4h</w:t>
            </w:r>
            <w:r>
              <w:rPr>
                <w:rFonts w:hint="default" w:ascii="Times New Roman" w:hAnsi="Times New Roman" w:cs="Times New Roman"/>
                <w:b w:val="0"/>
                <w:bCs/>
                <w:color w:val="auto"/>
                <w:sz w:val="24"/>
                <w:szCs w:val="20"/>
              </w:rPr>
              <w:t>。</w:t>
            </w:r>
          </w:p>
          <w:p w14:paraId="69241805">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隧道窑冷却段：在隧道窑的窑尾是冷风进入口，冷却隧道窑内后一段的制品，冷风流经制品而被加热后，再抽出送入存坯库，作为存坯库的热源。砖坯在隧道窑内经干燥、预热、焙烧、冷却等工序，出窑成为成品</w:t>
            </w:r>
            <w:r>
              <w:rPr>
                <w:rFonts w:hint="eastAsia" w:ascii="Times New Roman" w:hAnsi="Times New Roman" w:cs="Times New Roman"/>
                <w:b w:val="0"/>
                <w:bCs/>
                <w:color w:val="auto"/>
                <w:sz w:val="24"/>
                <w:szCs w:val="20"/>
                <w:lang w:eastAsia="zh-CN"/>
              </w:rPr>
              <w:t>，</w:t>
            </w:r>
            <w:r>
              <w:rPr>
                <w:rFonts w:hint="default" w:ascii="Times New Roman" w:hAnsi="Times New Roman" w:cs="Times New Roman"/>
                <w:color w:val="auto"/>
                <w:sz w:val="24"/>
                <w:szCs w:val="20"/>
              </w:rPr>
              <w:t>砖坯温度逐渐降低至60℃后出窑</w:t>
            </w:r>
            <w:r>
              <w:rPr>
                <w:rFonts w:hint="eastAsia" w:ascii="Times New Roman" w:hAnsi="Times New Roman" w:cs="Times New Roman"/>
                <w:color w:val="auto"/>
                <w:sz w:val="24"/>
                <w:szCs w:val="20"/>
                <w:lang w:eastAsia="zh-CN"/>
              </w:rPr>
              <w:t>，</w:t>
            </w:r>
            <w:r>
              <w:rPr>
                <w:rFonts w:hint="default" w:ascii="Times New Roman" w:hAnsi="Times New Roman" w:cs="Times New Roman"/>
                <w:color w:val="auto"/>
                <w:sz w:val="24"/>
                <w:szCs w:val="20"/>
              </w:rPr>
              <w:t>冷却时间约</w:t>
            </w:r>
            <w:r>
              <w:rPr>
                <w:rFonts w:hint="eastAsia"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h</w:t>
            </w:r>
            <w:r>
              <w:rPr>
                <w:rFonts w:hint="default" w:ascii="Times New Roman" w:hAnsi="Times New Roman" w:cs="Times New Roman"/>
                <w:b w:val="0"/>
                <w:bCs/>
                <w:color w:val="auto"/>
                <w:sz w:val="24"/>
                <w:szCs w:val="20"/>
              </w:rPr>
              <w:t>。</w:t>
            </w:r>
          </w:p>
          <w:p w14:paraId="64E2C578">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本项目隧道窑分为干燥带、预热带、焙烧带、冷却带，总长155m，其中干燥带</w:t>
            </w:r>
            <w:r>
              <w:rPr>
                <w:rFonts w:hint="eastAsia" w:cs="Times New Roman"/>
                <w:b w:val="0"/>
                <w:bCs/>
                <w:color w:val="auto"/>
                <w:sz w:val="24"/>
                <w:szCs w:val="20"/>
                <w:lang w:val="en-US" w:eastAsia="zh-CN"/>
              </w:rPr>
              <w:t>88</w:t>
            </w:r>
            <w:r>
              <w:rPr>
                <w:rFonts w:hint="default" w:ascii="Times New Roman" w:hAnsi="Times New Roman" w:cs="Times New Roman"/>
                <w:b w:val="0"/>
                <w:bCs/>
                <w:color w:val="auto"/>
                <w:sz w:val="24"/>
                <w:szCs w:val="20"/>
              </w:rPr>
              <w:t>m，焙烧带长</w:t>
            </w:r>
            <w:r>
              <w:rPr>
                <w:rFonts w:hint="eastAsia" w:cs="Times New Roman"/>
                <w:b w:val="0"/>
                <w:bCs/>
                <w:color w:val="auto"/>
                <w:sz w:val="24"/>
                <w:szCs w:val="20"/>
                <w:lang w:val="en-US" w:eastAsia="zh-CN"/>
              </w:rPr>
              <w:t>4</w:t>
            </w:r>
            <w:r>
              <w:rPr>
                <w:rFonts w:hint="default" w:ascii="Times New Roman" w:hAnsi="Times New Roman" w:cs="Times New Roman"/>
                <w:b w:val="0"/>
                <w:bCs/>
                <w:color w:val="auto"/>
                <w:sz w:val="24"/>
                <w:szCs w:val="20"/>
              </w:rPr>
              <w:t>3m，冷却带长24m。在隧道窑焙烧带、预热带、冷却带段设置哈风洞，用于调节隧道窑里的温度。隧道窑产生热烟气通过风道至干燥窑段对泥坯进行干燥，干燥后的热烟气进入烟气脱硫、脱硝、除尘系统处理后排放。根据人工监测窑内温度情况，决定是否开启哈风洞，通过自然风进入哈风洞来</w:t>
            </w:r>
          </w:p>
          <w:p w14:paraId="4D27A9E1">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调节隧道窑内温度，保证窑内烧结带温度在900～1000℃。使隧道窑焙烧过程、预热过程、干燥过程均保持适宜温度。</w:t>
            </w:r>
          </w:p>
          <w:p w14:paraId="41DEC6C9">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半成品进入隧道窑时温度为20-30℃，随着窑车向焙烧带推进，温度逐渐升高，达到900～1000℃，靠煤矸石本身的燃烧维持温度，煤矸石砖在烧结带烧成，向冷却带移动时，温度逐渐降低，达到200℃时，产品出隧道窑，在室外继续自然冷却，整个过程持续20-30h。隧道窑内砖坯经过干燥、预热、烧成、保温、冷却等一系列热工过程，发生物理化学变化，生成产品。</w:t>
            </w:r>
          </w:p>
          <w:p w14:paraId="5724C702">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（6）成品检验与堆放：</w:t>
            </w:r>
          </w:p>
          <w:p w14:paraId="719D2F5F">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val="0"/>
                <w:bCs/>
                <w:color w:val="auto"/>
                <w:sz w:val="24"/>
                <w:szCs w:val="20"/>
              </w:rPr>
              <w:t>焙烧后的产品由窑车运转系统运送至卸车位，人工将产品从窑车卸下，按制品外观、质量分等码放到成品堆场，同时对产品进行检验。经检验合格后出厂，空窑车经清扫、保养通过回车线送至码坯位置，进入下一个循环。</w:t>
            </w:r>
          </w:p>
          <w:p w14:paraId="1A4B2646">
            <w:pPr>
              <w:keepNext w:val="0"/>
              <w:keepLines w:val="0"/>
              <w:pageBreakBefore w:val="0"/>
              <w:widowControl w:val="0"/>
              <w:kinsoku/>
              <w:wordWrap/>
              <w:overflowPunct/>
              <w:topLinePunct w:val="0"/>
              <w:autoSpaceDE w:val="0"/>
              <w:autoSpaceDN w:val="0"/>
              <w:bidi w:val="0"/>
              <w:adjustRightInd w:val="0"/>
              <w:snapToGrid w:val="0"/>
              <w:spacing w:beforeLines="0" w:afterLines="0" w:line="480" w:lineRule="exact"/>
              <w:ind w:firstLine="480" w:firstLineChars="200"/>
              <w:textAlignment w:val="center"/>
              <w:rPr>
                <w:rFonts w:hint="default" w:ascii="Times New Roman" w:hAnsi="Times New Roman" w:cs="Times New Roman"/>
                <w:b w:val="0"/>
                <w:bCs/>
                <w:color w:val="auto"/>
                <w:sz w:val="24"/>
                <w:szCs w:val="20"/>
              </w:rPr>
            </w:pPr>
            <w:r>
              <w:rPr>
                <w:rFonts w:hint="default" w:ascii="Times New Roman" w:hAnsi="Times New Roman" w:cs="Times New Roman"/>
                <w:b w:val="0"/>
                <w:bCs/>
                <w:color w:val="auto"/>
                <w:sz w:val="24"/>
                <w:szCs w:val="20"/>
              </w:rPr>
              <w:t>烟气回用可行性分析：本项目隧道窑在生产时利用内燃烧成方式生产烧结砖，烧结带加热过程产生热烟气，先经过隧道窑的预热带余热利用后通过管道引入干燥带总入口，再经各喷口进入干燥带内，与砖坯呈逆向流动，通过热交换蒸发砖坯中的水分，砖坯水分可降低至1.5%左右；热交换后的烟气再由排烟带各分散排口进入总出口管，送入烟气除尘、脱硫、脱硝系统处置。</w:t>
            </w:r>
          </w:p>
          <w:p w14:paraId="4CE17BD5">
            <w:pPr>
              <w:spacing w:line="470" w:lineRule="exact"/>
              <w:ind w:firstLine="480" w:firstLineChars="200"/>
              <w:rPr>
                <w:b/>
                <w:color w:val="auto"/>
                <w:sz w:val="24"/>
                <w:szCs w:val="24"/>
              </w:rPr>
            </w:pPr>
            <w:r>
              <w:rPr>
                <w:rFonts w:hint="default" w:ascii="Times New Roman" w:hAnsi="Times New Roman" w:eastAsia="宋体" w:cs="Times New Roman"/>
                <w:b w:val="0"/>
                <w:color w:val="auto"/>
                <w:sz w:val="24"/>
                <w:szCs w:val="20"/>
              </w:rPr>
              <w:drawing>
                <wp:anchor distT="0" distB="0" distL="114300" distR="114300" simplePos="0" relativeHeight="251665408" behindDoc="0" locked="0" layoutInCell="1" allowOverlap="1">
                  <wp:simplePos x="0" y="0"/>
                  <wp:positionH relativeFrom="column">
                    <wp:posOffset>101600</wp:posOffset>
                  </wp:positionH>
                  <wp:positionV relativeFrom="paragraph">
                    <wp:posOffset>78105</wp:posOffset>
                  </wp:positionV>
                  <wp:extent cx="5039995" cy="1939925"/>
                  <wp:effectExtent l="0" t="0" r="8255" b="3175"/>
                  <wp:wrapNone/>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15"/>
                          <a:srcRect/>
                          <a:stretch>
                            <a:fillRect/>
                          </a:stretch>
                        </pic:blipFill>
                        <pic:spPr>
                          <a:xfrm>
                            <a:off x="0" y="0"/>
                            <a:ext cx="5039995" cy="1939925"/>
                          </a:xfrm>
                          <a:prstGeom prst="rect">
                            <a:avLst/>
                          </a:prstGeom>
                          <a:noFill/>
                          <a:ln>
                            <a:noFill/>
                          </a:ln>
                        </pic:spPr>
                      </pic:pic>
                    </a:graphicData>
                  </a:graphic>
                </wp:anchor>
              </w:drawing>
            </w:r>
          </w:p>
          <w:p w14:paraId="3C997B47">
            <w:pPr>
              <w:spacing w:line="470" w:lineRule="exact"/>
              <w:ind w:firstLine="482" w:firstLineChars="200"/>
              <w:rPr>
                <w:b/>
                <w:color w:val="auto"/>
                <w:sz w:val="24"/>
                <w:szCs w:val="24"/>
              </w:rPr>
            </w:pPr>
          </w:p>
          <w:p w14:paraId="3D56C407">
            <w:pPr>
              <w:spacing w:line="470" w:lineRule="exact"/>
              <w:ind w:firstLine="482" w:firstLineChars="200"/>
              <w:rPr>
                <w:b/>
                <w:color w:val="auto"/>
                <w:sz w:val="24"/>
                <w:szCs w:val="24"/>
              </w:rPr>
            </w:pPr>
          </w:p>
          <w:p w14:paraId="1E14C09E">
            <w:pPr>
              <w:spacing w:line="470" w:lineRule="exact"/>
              <w:ind w:firstLine="482" w:firstLineChars="200"/>
              <w:rPr>
                <w:b/>
                <w:color w:val="auto"/>
                <w:sz w:val="24"/>
                <w:szCs w:val="24"/>
              </w:rPr>
            </w:pPr>
          </w:p>
          <w:p w14:paraId="50C4AB4A">
            <w:pPr>
              <w:spacing w:line="470" w:lineRule="exact"/>
              <w:ind w:firstLine="482" w:firstLineChars="200"/>
              <w:rPr>
                <w:b/>
                <w:color w:val="auto"/>
                <w:sz w:val="24"/>
                <w:szCs w:val="24"/>
              </w:rPr>
            </w:pPr>
          </w:p>
          <w:p w14:paraId="66820DBA">
            <w:pPr>
              <w:spacing w:line="470" w:lineRule="exact"/>
              <w:ind w:firstLine="482" w:firstLineChars="200"/>
              <w:rPr>
                <w:b/>
                <w:color w:val="auto"/>
                <w:sz w:val="24"/>
                <w:szCs w:val="24"/>
              </w:rPr>
            </w:pPr>
          </w:p>
          <w:p w14:paraId="56F49558">
            <w:pPr>
              <w:spacing w:line="470" w:lineRule="exact"/>
              <w:ind w:firstLine="482" w:firstLineChars="200"/>
              <w:rPr>
                <w:b/>
                <w:color w:val="auto"/>
                <w:sz w:val="24"/>
                <w:szCs w:val="24"/>
              </w:rPr>
            </w:pPr>
          </w:p>
          <w:p w14:paraId="086344DD">
            <w:pPr>
              <w:keepNext w:val="0"/>
              <w:keepLines w:val="0"/>
              <w:pageBreakBefore w:val="0"/>
              <w:widowControl w:val="0"/>
              <w:kinsoku/>
              <w:wordWrap/>
              <w:overflowPunct/>
              <w:topLinePunct w:val="0"/>
              <w:autoSpaceDE/>
              <w:autoSpaceDN/>
              <w:bidi w:val="0"/>
              <w:adjustRightInd/>
              <w:snapToGrid/>
              <w:spacing w:before="157" w:beforeLines="50" w:after="313" w:afterLines="100"/>
              <w:jc w:val="center"/>
              <w:textAlignment w:val="auto"/>
              <w:rPr>
                <w:rFonts w:hint="default" w:ascii="Times New Roman" w:hAnsi="Times New Roman" w:eastAsia="黑体" w:cs="Times New Roman"/>
                <w:b w:val="0"/>
                <w:bCs/>
                <w:color w:val="auto"/>
                <w:sz w:val="24"/>
                <w:szCs w:val="20"/>
                <w:lang w:val="en-US" w:eastAsia="zh-CN"/>
              </w:rPr>
            </w:pPr>
            <w:r>
              <w:rPr>
                <w:rFonts w:hint="default" w:ascii="Times New Roman" w:hAnsi="Times New Roman" w:eastAsia="黑体" w:cs="Times New Roman"/>
                <w:b w:val="0"/>
                <w:bCs/>
                <w:color w:val="auto"/>
                <w:sz w:val="24"/>
                <w:szCs w:val="20"/>
                <w:lang w:val="en-US" w:eastAsia="zh-CN"/>
              </w:rPr>
              <w:t>图</w:t>
            </w:r>
            <w:r>
              <w:rPr>
                <w:rFonts w:hint="eastAsia" w:ascii="Times New Roman" w:hAnsi="Times New Roman" w:eastAsia="黑体" w:cs="Times New Roman"/>
                <w:b w:val="0"/>
                <w:bCs/>
                <w:color w:val="auto"/>
                <w:sz w:val="24"/>
                <w:szCs w:val="20"/>
                <w:lang w:val="en-US" w:eastAsia="zh-CN"/>
              </w:rPr>
              <w:t>2-3</w:t>
            </w:r>
            <w:r>
              <w:rPr>
                <w:rFonts w:hint="default" w:ascii="Times New Roman" w:hAnsi="Times New Roman" w:eastAsia="黑体" w:cs="Times New Roman"/>
                <w:b w:val="0"/>
                <w:bCs/>
                <w:color w:val="auto"/>
                <w:sz w:val="24"/>
                <w:szCs w:val="20"/>
                <w:lang w:val="en-US" w:eastAsia="zh-CN"/>
              </w:rPr>
              <w:t xml:space="preserve">  隧道窑</w:t>
            </w:r>
            <w:r>
              <w:rPr>
                <w:rFonts w:hint="eastAsia" w:ascii="Times New Roman" w:hAnsi="Times New Roman" w:eastAsia="黑体" w:cs="Times New Roman"/>
                <w:b w:val="0"/>
                <w:bCs/>
                <w:color w:val="auto"/>
                <w:sz w:val="24"/>
                <w:szCs w:val="20"/>
                <w:lang w:val="en-US" w:eastAsia="zh-CN"/>
              </w:rPr>
              <w:t>物料</w:t>
            </w:r>
            <w:r>
              <w:rPr>
                <w:rFonts w:hint="default" w:ascii="Times New Roman" w:hAnsi="Times New Roman" w:eastAsia="黑体" w:cs="Times New Roman"/>
                <w:b w:val="0"/>
                <w:bCs/>
                <w:color w:val="auto"/>
                <w:sz w:val="24"/>
                <w:szCs w:val="20"/>
                <w:lang w:val="en-US" w:eastAsia="zh-CN"/>
              </w:rPr>
              <w:t>烟气流向</w:t>
            </w:r>
            <w:r>
              <w:rPr>
                <w:rFonts w:hint="eastAsia" w:ascii="Times New Roman" w:hAnsi="Times New Roman" w:eastAsia="黑体" w:cs="Times New Roman"/>
                <w:b w:val="0"/>
                <w:bCs/>
                <w:color w:val="auto"/>
                <w:sz w:val="24"/>
                <w:szCs w:val="20"/>
                <w:lang w:val="en-US" w:eastAsia="zh-CN"/>
              </w:rPr>
              <w:t>平面</w:t>
            </w:r>
            <w:r>
              <w:rPr>
                <w:rFonts w:hint="default" w:ascii="Times New Roman" w:hAnsi="Times New Roman" w:eastAsia="黑体" w:cs="Times New Roman"/>
                <w:b w:val="0"/>
                <w:bCs/>
                <w:color w:val="auto"/>
                <w:sz w:val="24"/>
                <w:szCs w:val="20"/>
                <w:lang w:val="en-US" w:eastAsia="zh-CN"/>
              </w:rPr>
              <w:t>图</w:t>
            </w:r>
          </w:p>
          <w:p w14:paraId="09FE5351">
            <w:pPr>
              <w:spacing w:line="470" w:lineRule="exact"/>
              <w:ind w:firstLine="482" w:firstLineChars="200"/>
              <w:rPr>
                <w:rFonts w:hint="eastAsia"/>
                <w:b/>
                <w:color w:val="auto"/>
                <w:sz w:val="24"/>
                <w:szCs w:val="24"/>
              </w:rPr>
            </w:pPr>
            <w:r>
              <w:rPr>
                <w:b/>
                <w:color w:val="auto"/>
                <w:sz w:val="24"/>
                <w:szCs w:val="24"/>
              </w:rPr>
              <w:t>2 运营期污染工序：</w:t>
            </w:r>
          </w:p>
          <w:p w14:paraId="1261782E">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（1）废气</w:t>
            </w:r>
          </w:p>
          <w:p w14:paraId="7552A18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①</w:t>
            </w:r>
            <w:r>
              <w:rPr>
                <w:rFonts w:hint="default" w:ascii="Times New Roman" w:hAnsi="Times New Roman" w:cs="Times New Roman"/>
                <w:color w:val="auto"/>
                <w:sz w:val="24"/>
                <w:szCs w:val="20"/>
              </w:rPr>
              <w:t>物料堆存、装卸粉尘：</w:t>
            </w:r>
          </w:p>
          <w:p w14:paraId="43327A7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②</w:t>
            </w:r>
            <w:r>
              <w:rPr>
                <w:rFonts w:hint="default" w:ascii="Times New Roman" w:hAnsi="Times New Roman" w:cs="Times New Roman"/>
                <w:color w:val="auto"/>
                <w:sz w:val="24"/>
                <w:szCs w:val="20"/>
              </w:rPr>
              <w:t>破碎、筛分工序粉尘</w:t>
            </w:r>
          </w:p>
          <w:p w14:paraId="76CB3D8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③</w:t>
            </w:r>
            <w:r>
              <w:rPr>
                <w:rFonts w:hint="default" w:ascii="Times New Roman" w:hAnsi="Times New Roman" w:cs="Times New Roman"/>
                <w:color w:val="auto"/>
                <w:sz w:val="24"/>
                <w:szCs w:val="20"/>
              </w:rPr>
              <w:t>炉窑焙烧产生的颗粒物、SO</w:t>
            </w:r>
            <w:r>
              <w:rPr>
                <w:rFonts w:hint="default" w:ascii="Times New Roman" w:hAnsi="Times New Roman" w:cs="Times New Roman"/>
                <w:color w:val="auto"/>
                <w:sz w:val="24"/>
                <w:szCs w:val="20"/>
                <w:vertAlign w:val="subscript"/>
              </w:rPr>
              <w:t>2</w:t>
            </w:r>
            <w:r>
              <w:rPr>
                <w:rFonts w:hint="default" w:ascii="Times New Roman" w:hAnsi="Times New Roman" w:cs="Times New Roman"/>
                <w:color w:val="auto"/>
                <w:sz w:val="24"/>
                <w:szCs w:val="20"/>
              </w:rPr>
              <w:t>、NO</w:t>
            </w:r>
            <w:r>
              <w:rPr>
                <w:rFonts w:hint="default" w:ascii="Times New Roman" w:hAnsi="Times New Roman" w:cs="Times New Roman"/>
                <w:color w:val="auto"/>
                <w:sz w:val="24"/>
                <w:szCs w:val="20"/>
                <w:vertAlign w:val="subscript"/>
              </w:rPr>
              <w:t>X</w:t>
            </w:r>
            <w:r>
              <w:rPr>
                <w:rFonts w:hint="default" w:ascii="Times New Roman" w:hAnsi="Times New Roman" w:cs="Times New Roman"/>
                <w:color w:val="auto"/>
                <w:sz w:val="24"/>
                <w:szCs w:val="20"/>
              </w:rPr>
              <w:t>、氟化物；</w:t>
            </w:r>
          </w:p>
          <w:p w14:paraId="4F12BA9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④</w:t>
            </w:r>
            <w:r>
              <w:rPr>
                <w:rFonts w:hint="default" w:ascii="Times New Roman" w:hAnsi="Times New Roman" w:cs="Times New Roman"/>
                <w:color w:val="auto"/>
                <w:sz w:val="24"/>
                <w:szCs w:val="20"/>
              </w:rPr>
              <w:t>道路运输扬尘；</w:t>
            </w:r>
          </w:p>
          <w:p w14:paraId="0749C8F0">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⑤</w:t>
            </w:r>
            <w:r>
              <w:rPr>
                <w:rFonts w:hint="default" w:ascii="Times New Roman" w:hAnsi="Times New Roman" w:cs="Times New Roman"/>
                <w:color w:val="auto"/>
                <w:sz w:val="24"/>
                <w:szCs w:val="20"/>
              </w:rPr>
              <w:t>皮带运输粉尘；</w:t>
            </w:r>
          </w:p>
          <w:p w14:paraId="00894B0D">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⑥</w:t>
            </w:r>
            <w:r>
              <w:rPr>
                <w:rFonts w:hint="default" w:ascii="Times New Roman" w:hAnsi="Times New Roman" w:cs="Times New Roman"/>
                <w:color w:val="auto"/>
                <w:sz w:val="24"/>
                <w:szCs w:val="20"/>
              </w:rPr>
              <w:t>石灰筒仓粉尘。</w:t>
            </w:r>
          </w:p>
          <w:p w14:paraId="0A832284">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（2）废水</w:t>
            </w:r>
          </w:p>
          <w:p w14:paraId="0995B00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①</w:t>
            </w:r>
            <w:r>
              <w:rPr>
                <w:rFonts w:hint="default" w:ascii="Times New Roman" w:hAnsi="Times New Roman" w:cs="Times New Roman"/>
                <w:color w:val="auto"/>
                <w:sz w:val="24"/>
                <w:szCs w:val="20"/>
              </w:rPr>
              <w:t>生活污水：本项目工人日常生活产生少量的盥洗废水，主要污染物为COD、BOD</w:t>
            </w:r>
            <w:r>
              <w:rPr>
                <w:rFonts w:hint="default" w:ascii="Times New Roman" w:hAnsi="Times New Roman" w:cs="Times New Roman"/>
                <w:color w:val="auto"/>
                <w:sz w:val="24"/>
                <w:szCs w:val="20"/>
                <w:vertAlign w:val="subscript"/>
              </w:rPr>
              <w:t>5</w:t>
            </w:r>
            <w:r>
              <w:rPr>
                <w:rFonts w:hint="default" w:ascii="Times New Roman" w:hAnsi="Times New Roman" w:cs="Times New Roman"/>
                <w:color w:val="auto"/>
                <w:sz w:val="24"/>
                <w:szCs w:val="20"/>
              </w:rPr>
              <w:t>、NH</w:t>
            </w:r>
            <w:r>
              <w:rPr>
                <w:rFonts w:hint="default" w:ascii="Times New Roman" w:hAnsi="Times New Roman" w:cs="Times New Roman"/>
                <w:color w:val="auto"/>
                <w:sz w:val="24"/>
                <w:szCs w:val="20"/>
                <w:vertAlign w:val="subscript"/>
              </w:rPr>
              <w:t>3</w:t>
            </w:r>
            <w:r>
              <w:rPr>
                <w:rFonts w:hint="default" w:ascii="Times New Roman" w:hAnsi="Times New Roman" w:cs="Times New Roman"/>
                <w:color w:val="auto"/>
                <w:sz w:val="24"/>
                <w:szCs w:val="20"/>
              </w:rPr>
              <w:t>-N、SS；</w:t>
            </w:r>
          </w:p>
          <w:p w14:paraId="16BB00D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②</w:t>
            </w:r>
            <w:r>
              <w:rPr>
                <w:rFonts w:hint="default" w:ascii="Times New Roman" w:hAnsi="Times New Roman" w:cs="Times New Roman"/>
                <w:color w:val="auto"/>
                <w:sz w:val="24"/>
                <w:szCs w:val="20"/>
              </w:rPr>
              <w:t>车辆冲洗废水：主要污染物为SS；</w:t>
            </w:r>
          </w:p>
          <w:p w14:paraId="24A24B6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③</w:t>
            </w:r>
            <w:r>
              <w:rPr>
                <w:rFonts w:hint="default" w:ascii="Times New Roman" w:hAnsi="Times New Roman" w:cs="Times New Roman"/>
                <w:color w:val="auto"/>
                <w:sz w:val="24"/>
                <w:szCs w:val="20"/>
              </w:rPr>
              <w:t>湿电除尘废水：主要污染物为COD、SS；</w:t>
            </w:r>
          </w:p>
          <w:p w14:paraId="28A4335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④</w:t>
            </w:r>
            <w:r>
              <w:rPr>
                <w:rFonts w:hint="default" w:ascii="Times New Roman" w:hAnsi="Times New Roman" w:cs="Times New Roman"/>
                <w:color w:val="auto"/>
                <w:sz w:val="24"/>
                <w:szCs w:val="20"/>
              </w:rPr>
              <w:t>脱硫装置废水：主要污染物为COD、SS；</w:t>
            </w:r>
          </w:p>
          <w:p w14:paraId="04A0184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⑤</w:t>
            </w:r>
            <w:r>
              <w:rPr>
                <w:rFonts w:hint="default" w:ascii="Times New Roman" w:hAnsi="Times New Roman" w:cs="Times New Roman"/>
                <w:color w:val="auto"/>
                <w:sz w:val="24"/>
                <w:szCs w:val="20"/>
              </w:rPr>
              <w:t>初期雨水：主要污染物为SS。</w:t>
            </w:r>
          </w:p>
          <w:p w14:paraId="3B6DA630">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（3）固体废物</w:t>
            </w:r>
          </w:p>
          <w:p w14:paraId="6CD0FF4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①</w:t>
            </w:r>
            <w:r>
              <w:rPr>
                <w:rFonts w:hint="default" w:ascii="Times New Roman" w:hAnsi="Times New Roman" w:cs="Times New Roman"/>
                <w:color w:val="auto"/>
                <w:sz w:val="24"/>
                <w:szCs w:val="20"/>
              </w:rPr>
              <w:t>废砖坯；</w:t>
            </w:r>
          </w:p>
          <w:p w14:paraId="0F57C1AD">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②</w:t>
            </w:r>
            <w:r>
              <w:rPr>
                <w:rFonts w:hint="default" w:ascii="Times New Roman" w:hAnsi="Times New Roman" w:cs="Times New Roman"/>
                <w:color w:val="auto"/>
                <w:sz w:val="24"/>
                <w:szCs w:val="20"/>
              </w:rPr>
              <w:t>不合格品；</w:t>
            </w:r>
          </w:p>
          <w:p w14:paraId="5B9F34A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③</w:t>
            </w:r>
            <w:r>
              <w:rPr>
                <w:rFonts w:hint="default" w:ascii="Times New Roman" w:hAnsi="Times New Roman" w:cs="Times New Roman"/>
                <w:color w:val="auto"/>
                <w:sz w:val="24"/>
                <w:szCs w:val="20"/>
              </w:rPr>
              <w:t>除尘灰；</w:t>
            </w:r>
          </w:p>
          <w:p w14:paraId="66306C3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④</w:t>
            </w:r>
            <w:r>
              <w:rPr>
                <w:rFonts w:hint="default" w:ascii="Times New Roman" w:hAnsi="Times New Roman" w:cs="Times New Roman"/>
                <w:color w:val="auto"/>
                <w:sz w:val="24"/>
                <w:szCs w:val="20"/>
              </w:rPr>
              <w:t>脱硫渣；</w:t>
            </w:r>
          </w:p>
          <w:p w14:paraId="5EDF1B4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⑤</w:t>
            </w:r>
            <w:r>
              <w:rPr>
                <w:rFonts w:hint="default" w:ascii="Times New Roman" w:hAnsi="Times New Roman" w:cs="Times New Roman"/>
                <w:color w:val="auto"/>
                <w:sz w:val="24"/>
                <w:szCs w:val="20"/>
              </w:rPr>
              <w:t>废矿物油；</w:t>
            </w:r>
          </w:p>
          <w:p w14:paraId="3138EB6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⑥</w:t>
            </w:r>
            <w:r>
              <w:rPr>
                <w:rFonts w:hint="default" w:ascii="Times New Roman" w:hAnsi="Times New Roman" w:cs="Times New Roman"/>
                <w:color w:val="auto"/>
                <w:sz w:val="24"/>
                <w:szCs w:val="20"/>
              </w:rPr>
              <w:t>废矿物油桶；</w:t>
            </w:r>
          </w:p>
          <w:p w14:paraId="68A5CA2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cs="Times New Roman"/>
                <w:color w:val="auto"/>
                <w:sz w:val="24"/>
                <w:szCs w:val="20"/>
              </w:rPr>
            </w:pPr>
            <w:r>
              <w:rPr>
                <w:rFonts w:hint="eastAsia" w:cs="Times New Roman"/>
                <w:color w:val="auto"/>
                <w:sz w:val="24"/>
                <w:szCs w:val="20"/>
                <w:lang w:val="en-US" w:eastAsia="zh-CN"/>
              </w:rPr>
              <w:t>⑦</w:t>
            </w:r>
            <w:r>
              <w:rPr>
                <w:rFonts w:hint="default" w:ascii="Times New Roman" w:hAnsi="Times New Roman" w:cs="Times New Roman"/>
                <w:color w:val="auto"/>
                <w:sz w:val="24"/>
                <w:szCs w:val="20"/>
              </w:rPr>
              <w:t>生活垃圾。</w:t>
            </w:r>
          </w:p>
          <w:p w14:paraId="703892A6">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（4）噪声</w:t>
            </w:r>
          </w:p>
          <w:p w14:paraId="0A4F9B50">
            <w:pPr>
              <w:keepNext w:val="0"/>
              <w:keepLines w:val="0"/>
              <w:pageBreakBefore w:val="0"/>
              <w:widowControl w:val="0"/>
              <w:kinsoku/>
              <w:wordWrap/>
              <w:overflowPunct/>
              <w:topLinePunct w:val="0"/>
              <w:bidi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生产运营过程中的主要强噪声源有破碎机、筛分机、挤出机、码坯机、搅拌机、风机、泵类等，产生的噪声为机械性噪声和空气动力学噪声，频谱特征大部分以中低频为主，声级约75～95dB（A）。</w:t>
            </w:r>
          </w:p>
        </w:tc>
      </w:tr>
      <w:tr w14:paraId="5914C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251" w:type="pct"/>
            <w:tcBorders>
              <w:tl2br w:val="nil"/>
              <w:tr2bl w:val="nil"/>
            </w:tcBorders>
            <w:vAlign w:val="center"/>
          </w:tcPr>
          <w:p w14:paraId="7B5ADAC1">
            <w:pPr>
              <w:pStyle w:val="20"/>
              <w:keepNext w:val="0"/>
              <w:keepLines/>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ascii="Times New Roman" w:hAnsi="Times New Roman"/>
                <w:color w:val="auto"/>
                <w:sz w:val="21"/>
                <w:szCs w:val="21"/>
              </w:rPr>
            </w:pPr>
            <w:r>
              <w:rPr>
                <w:rFonts w:ascii="Times New Roman" w:hAnsi="Times New Roman"/>
                <w:b/>
                <w:bCs w:val="0"/>
                <w:color w:val="auto"/>
                <w:kern w:val="2"/>
                <w:sz w:val="24"/>
                <w:szCs w:val="24"/>
              </w:rPr>
              <w:t>与项目有关的原有环境污染问题</w:t>
            </w:r>
          </w:p>
        </w:tc>
        <w:tc>
          <w:tcPr>
            <w:tcW w:w="4748" w:type="pct"/>
            <w:tcBorders>
              <w:tl2br w:val="nil"/>
              <w:tr2bl w:val="nil"/>
            </w:tcBorders>
          </w:tcPr>
          <w:p w14:paraId="5A330003">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2.9现有工程概况</w:t>
            </w:r>
          </w:p>
          <w:p w14:paraId="632B0616">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（1）现有项目主要建设内容</w:t>
            </w:r>
          </w:p>
          <w:p w14:paraId="245F051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屯留县圣烨建材有限公司</w:t>
            </w:r>
            <w:r>
              <w:rPr>
                <w:rFonts w:hint="default" w:ascii="Times New Roman" w:hAnsi="Times New Roman" w:eastAsia="宋体" w:cs="Times New Roman"/>
                <w:b w:val="0"/>
                <w:bCs w:val="0"/>
                <w:color w:val="auto"/>
                <w:sz w:val="24"/>
                <w:szCs w:val="24"/>
                <w:highlight w:val="none"/>
                <w:lang w:val="en-US" w:eastAsia="zh-CN"/>
              </w:rPr>
              <w:t>位于</w:t>
            </w:r>
            <w:r>
              <w:rPr>
                <w:rFonts w:hint="eastAsia" w:cs="Times New Roman"/>
                <w:b w:val="0"/>
                <w:bCs w:val="0"/>
                <w:color w:val="auto"/>
                <w:sz w:val="24"/>
                <w:szCs w:val="24"/>
                <w:highlight w:val="none"/>
                <w:lang w:val="en-US" w:eastAsia="zh-CN"/>
              </w:rPr>
              <w:t>长治市屯留区路村乡前苏村南侧80m处</w:t>
            </w:r>
            <w:r>
              <w:rPr>
                <w:rFonts w:hint="default" w:ascii="Times New Roman" w:hAnsi="Times New Roman" w:eastAsia="宋体" w:cs="Times New Roman"/>
                <w:b w:val="0"/>
                <w:bCs w:val="0"/>
                <w:color w:val="auto"/>
                <w:sz w:val="24"/>
                <w:szCs w:val="24"/>
                <w:highlight w:val="none"/>
                <w:lang w:val="en-US" w:eastAsia="zh-CN"/>
              </w:rPr>
              <w:t>，现有建设规模为年产</w:t>
            </w:r>
            <w:r>
              <w:rPr>
                <w:rFonts w:hint="eastAsia"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lang w:val="en-US" w:eastAsia="zh-CN"/>
              </w:rPr>
              <w:t>00万块煤矸石砖。现有员工20人，年工作</w:t>
            </w:r>
            <w:r>
              <w:rPr>
                <w:rFonts w:hint="eastAsia"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0天。现有破碎筛分工序年生产时间为</w:t>
            </w:r>
            <w:r>
              <w:rPr>
                <w:rFonts w:hint="eastAsia" w:cs="Times New Roman"/>
                <w:b w:val="0"/>
                <w:bCs w:val="0"/>
                <w:color w:val="auto"/>
                <w:sz w:val="24"/>
                <w:szCs w:val="24"/>
                <w:highlight w:val="none"/>
                <w:lang w:val="en-US" w:eastAsia="zh-CN"/>
              </w:rPr>
              <w:t>2400</w:t>
            </w:r>
            <w:r>
              <w:rPr>
                <w:rFonts w:hint="default" w:ascii="Times New Roman" w:hAnsi="Times New Roman" w:eastAsia="宋体" w:cs="Times New Roman"/>
                <w:b w:val="0"/>
                <w:bCs w:val="0"/>
                <w:color w:val="auto"/>
                <w:sz w:val="24"/>
                <w:szCs w:val="24"/>
                <w:highlight w:val="none"/>
                <w:lang w:val="en-US" w:eastAsia="zh-CN"/>
              </w:rPr>
              <w:t>小时（</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h/d，</w:t>
            </w:r>
            <w:r>
              <w:rPr>
                <w:rFonts w:hint="eastAsia"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0d/a），现有隧道窑工序年生产时间为</w:t>
            </w:r>
            <w:r>
              <w:rPr>
                <w:rFonts w:hint="eastAsia" w:cs="Times New Roman"/>
                <w:b w:val="0"/>
                <w:bCs w:val="0"/>
                <w:color w:val="auto"/>
                <w:sz w:val="24"/>
                <w:szCs w:val="24"/>
                <w:highlight w:val="none"/>
                <w:lang w:val="en-US" w:eastAsia="zh-CN"/>
              </w:rPr>
              <w:t>7200</w:t>
            </w:r>
            <w:r>
              <w:rPr>
                <w:rFonts w:hint="default" w:ascii="Times New Roman" w:hAnsi="Times New Roman" w:eastAsia="宋体" w:cs="Times New Roman"/>
                <w:b w:val="0"/>
                <w:bCs w:val="0"/>
                <w:color w:val="auto"/>
                <w:sz w:val="24"/>
                <w:szCs w:val="24"/>
                <w:highlight w:val="none"/>
                <w:lang w:val="en-US" w:eastAsia="zh-CN"/>
              </w:rPr>
              <w:t>小时（24h/d，</w:t>
            </w:r>
            <w:r>
              <w:rPr>
                <w:rFonts w:hint="eastAsia"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0d/a）。</w:t>
            </w:r>
          </w:p>
          <w:p w14:paraId="278DA9BA">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（2）现有项目环保手续执行情况</w:t>
            </w:r>
          </w:p>
          <w:p w14:paraId="07B93D6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2008年8月18日，原长治市环境保护局以“长环函〔2008〕144号”文出具了“关于屯留县圣烨建材有限公司年产6000万块煤矸石烧结砖项目环境影响报告表的批复”（附件3）；</w:t>
            </w:r>
          </w:p>
          <w:p w14:paraId="0F138C3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2008年7月4日，原屯留县环境保护局以“屯环发〔2008〕16号”文出具了“关于屯留县圣烨建材有限公司年产6000万块煤矸石烧结砖项目污染物排放总量指标的批复”（附件4），批复烟尘：110t/a，粉尘：18t/a，SO2：12.64t/a，按照当时总量置换要求，置换量分别为烟尘：123.2t/a，粉尘：20.16t/a，SO2：14.41t/a；</w:t>
            </w:r>
          </w:p>
          <w:p w14:paraId="15012F20">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2013年4月9日，原长治市环境保护局以“长环函[2013]81号”文出具了“关于屯留县圣烨建材有限公司年产6000万块(一期3000万块)煤矸石烧结砖项目竣工环境保护设施验收意见”（附件5），对一期工程年产3000万块项目进行了验收。自此，形成年产3000万块煤矸石烧结砖的生产规模，投产以来生产运行持续稳定。</w:t>
            </w:r>
          </w:p>
          <w:p w14:paraId="11A77CFD">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2022年，为实现节能减排、提质增效，保障企业的可持续发展，屯留县圣烨建材有限公司决定对现有生产线在原址进行改扩建，并于2022年10月14日取得了《屯留县圣烨建材有限公司年产6000万块煤矸石烧结砖技改项目》项目备案证；</w:t>
            </w:r>
          </w:p>
          <w:p w14:paraId="14A5209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2023年5月30日，长治市行政审批服务管理局以“屯审管建函〔2023〕24号”文出具了“关于屯留县圣烨建材有限公司年产6000万块煤矸石烧结砖技改项目环境影响报告表的批复”（附件6）；</w:t>
            </w:r>
          </w:p>
          <w:p w14:paraId="22145E5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2023年4月24日，长治市生态环境局屯留分局以“屯环函〔2023〕20号”文出具了“关于屯留县圣烨建材有限公司年产6000万块煤矸石烧结砖技改项目大气污染物排放总量控制指标的核定意见”（附件7），核定该项目大气污染物排放量为颗粒物：1.41t/a，二氧化硫：3.405t/a，氮氧化物：14.688t/a。根据山西省生态环境厅《关于印发建设项目主要污染物排放总量指标核定暂行办法的通知》(晋环规[2023]1号)第三章第十三条规定，该项目颗粒物、二氧化硫实行1：1置换，颗粒物置换量：1.41吨/年，二氧化硫置换量：3.405吨/年。氮氧化物需实行2倍置换，置换量为29.376吨/年。根据原有总量批复文件（屯环发〔2008〕16号），本次技改项目所需颗粒物、二氧化硫未超出(屯环发〔2008〕16号)文件污染物总量控制指标要求。最终，原则同意氮氧化物排放总量：14.688吨/年，该氮氧化物置换量29.376吨/年严格执行排污权交易制度，通过排污权交易解决（附件8）。</w:t>
            </w:r>
          </w:p>
          <w:p w14:paraId="3D0E564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2024年7月29日，屯留县圣烨建材有限公司填报并领取了《排污许可证》（附件9），有效期限：2024年7月29日至2029年7月28日，证书编号：9114042468021372X3001Q；</w:t>
            </w:r>
          </w:p>
          <w:p w14:paraId="763B944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2024年9月20日，屯留县圣烨建材有限公司自行组织该项目竣工环境保护验收会，并取得验收意见（附件10）。</w:t>
            </w:r>
          </w:p>
          <w:p w14:paraId="19ECD6F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目前，现有项目正常运行。竣工环保验收后企业工程内容</w:t>
            </w:r>
            <w:r>
              <w:rPr>
                <w:rFonts w:hint="eastAsia" w:ascii="Times New Roman" w:hAnsi="Times New Roman" w:eastAsia="宋体" w:cs="Times New Roman"/>
                <w:b w:val="0"/>
                <w:bCs w:val="0"/>
                <w:color w:val="auto"/>
                <w:sz w:val="24"/>
                <w:szCs w:val="24"/>
                <w:highlight w:val="none"/>
                <w:lang w:val="en-US" w:eastAsia="zh-CN"/>
              </w:rPr>
              <w:t>未发生变化。</w:t>
            </w:r>
          </w:p>
          <w:p w14:paraId="164217FF">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2.10现有工程污染物排放情况</w:t>
            </w:r>
          </w:p>
          <w:p w14:paraId="221B180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（1）废气防治措施及污染物排放情况</w:t>
            </w:r>
          </w:p>
          <w:p w14:paraId="5D4353C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
              </w:rPr>
            </w:pPr>
            <w:r>
              <w:rPr>
                <w:rFonts w:hint="default" w:ascii="Times New Roman" w:hAnsi="Times New Roman" w:eastAsia="黑体" w:cs="Times New Roman"/>
                <w:b w:val="0"/>
                <w:bCs w:val="0"/>
                <w:color w:val="auto"/>
                <w:kern w:val="2"/>
                <w:sz w:val="24"/>
                <w:szCs w:val="24"/>
                <w:highlight w:val="none"/>
                <w:lang w:val="en-US" w:eastAsia="zh"/>
              </w:rPr>
              <w:t>表</w:t>
            </w:r>
            <w:r>
              <w:rPr>
                <w:rFonts w:hint="default" w:ascii="Times New Roman" w:hAnsi="Times New Roman" w:eastAsia="黑体" w:cs="Times New Roman"/>
                <w:b w:val="0"/>
                <w:bCs w:val="0"/>
                <w:color w:val="auto"/>
                <w:kern w:val="2"/>
                <w:sz w:val="24"/>
                <w:szCs w:val="24"/>
                <w:highlight w:val="none"/>
                <w:lang w:val="en-US" w:eastAsia="zh-CN"/>
              </w:rPr>
              <w:t>2-1</w:t>
            </w:r>
            <w:r>
              <w:rPr>
                <w:rFonts w:hint="eastAsia" w:eastAsia="黑体" w:cs="Times New Roman"/>
                <w:b w:val="0"/>
                <w:bCs w:val="0"/>
                <w:color w:val="auto"/>
                <w:kern w:val="2"/>
                <w:sz w:val="24"/>
                <w:szCs w:val="24"/>
                <w:highlight w:val="none"/>
                <w:lang w:val="en-US" w:eastAsia="zh-CN"/>
              </w:rPr>
              <w:t>5</w:t>
            </w:r>
            <w:r>
              <w:rPr>
                <w:rFonts w:hint="default" w:ascii="Times New Roman" w:hAnsi="Times New Roman" w:eastAsia="黑体" w:cs="Times New Roman"/>
                <w:b w:val="0"/>
                <w:bCs w:val="0"/>
                <w:color w:val="auto"/>
                <w:kern w:val="2"/>
                <w:sz w:val="24"/>
                <w:szCs w:val="24"/>
                <w:highlight w:val="none"/>
                <w:lang w:val="en-US" w:eastAsia="zh"/>
              </w:rPr>
              <w:t xml:space="preserve">  现有工程废气污染防治措施表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417"/>
              <w:gridCol w:w="1634"/>
              <w:gridCol w:w="4414"/>
            </w:tblGrid>
            <w:tr w14:paraId="3921C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48" w:type="pct"/>
                  <w:tcBorders>
                    <w:tl2br w:val="nil"/>
                    <w:tr2bl w:val="nil"/>
                  </w:tcBorders>
                  <w:noWrap w:val="0"/>
                  <w:vAlign w:val="center"/>
                </w:tcPr>
                <w:p w14:paraId="30937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eastAsia="zh"/>
                    </w:rPr>
                  </w:pPr>
                  <w:r>
                    <w:rPr>
                      <w:rFonts w:hint="eastAsia" w:ascii="Times New Roman" w:hAnsi="Times New Roman" w:eastAsia="宋体" w:cs="Times New Roman"/>
                      <w:b/>
                      <w:bCs/>
                      <w:color w:val="auto"/>
                      <w:kern w:val="2"/>
                      <w:sz w:val="21"/>
                      <w:szCs w:val="21"/>
                      <w:highlight w:val="none"/>
                      <w:lang w:eastAsia="zh"/>
                    </w:rPr>
                    <w:t>排放口</w:t>
                  </w:r>
                </w:p>
                <w:p w14:paraId="772A8A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eastAsia="zh-CN"/>
                    </w:rPr>
                  </w:pPr>
                  <w:r>
                    <w:rPr>
                      <w:rFonts w:hint="eastAsia" w:ascii="Times New Roman" w:hAnsi="Times New Roman" w:eastAsia="宋体" w:cs="Times New Roman"/>
                      <w:b/>
                      <w:bCs/>
                      <w:color w:val="auto"/>
                      <w:kern w:val="2"/>
                      <w:sz w:val="21"/>
                      <w:szCs w:val="21"/>
                      <w:highlight w:val="none"/>
                      <w:lang w:val="en-US" w:eastAsia="zh-CN"/>
                    </w:rPr>
                    <w:t>名称</w:t>
                  </w:r>
                </w:p>
              </w:tc>
              <w:tc>
                <w:tcPr>
                  <w:tcW w:w="845" w:type="pct"/>
                  <w:tcBorders>
                    <w:tl2br w:val="nil"/>
                    <w:tr2bl w:val="nil"/>
                  </w:tcBorders>
                  <w:noWrap w:val="0"/>
                  <w:vAlign w:val="center"/>
                </w:tcPr>
                <w:p w14:paraId="3EDBE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eastAsia="zh"/>
                    </w:rPr>
                  </w:pPr>
                  <w:r>
                    <w:rPr>
                      <w:rFonts w:hint="eastAsia" w:ascii="Times New Roman" w:hAnsi="Times New Roman" w:eastAsia="宋体" w:cs="Times New Roman"/>
                      <w:b/>
                      <w:bCs/>
                      <w:color w:val="auto"/>
                      <w:kern w:val="2"/>
                      <w:sz w:val="21"/>
                      <w:szCs w:val="21"/>
                      <w:highlight w:val="none"/>
                      <w:lang w:eastAsia="zh"/>
                    </w:rPr>
                    <w:t>产污环节</w:t>
                  </w:r>
                </w:p>
              </w:tc>
              <w:tc>
                <w:tcPr>
                  <w:tcW w:w="974" w:type="pct"/>
                  <w:tcBorders>
                    <w:tl2br w:val="nil"/>
                    <w:tr2bl w:val="nil"/>
                  </w:tcBorders>
                  <w:noWrap w:val="0"/>
                  <w:vAlign w:val="center"/>
                </w:tcPr>
                <w:p w14:paraId="639FA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eastAsia="zh"/>
                    </w:rPr>
                  </w:pPr>
                  <w:r>
                    <w:rPr>
                      <w:rFonts w:hint="eastAsia" w:ascii="Times New Roman" w:hAnsi="Times New Roman" w:eastAsia="宋体" w:cs="Times New Roman"/>
                      <w:b/>
                      <w:bCs/>
                      <w:color w:val="auto"/>
                      <w:kern w:val="2"/>
                      <w:sz w:val="21"/>
                      <w:szCs w:val="21"/>
                      <w:highlight w:val="none"/>
                      <w:lang w:eastAsia="zh"/>
                    </w:rPr>
                    <w:t>污染物种类</w:t>
                  </w:r>
                </w:p>
              </w:tc>
              <w:tc>
                <w:tcPr>
                  <w:tcW w:w="2632" w:type="pct"/>
                  <w:tcBorders>
                    <w:tl2br w:val="nil"/>
                    <w:tr2bl w:val="nil"/>
                  </w:tcBorders>
                  <w:noWrap w:val="0"/>
                  <w:vAlign w:val="center"/>
                </w:tcPr>
                <w:p w14:paraId="30319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eastAsia="zh"/>
                    </w:rPr>
                  </w:pPr>
                  <w:r>
                    <w:rPr>
                      <w:rFonts w:hint="eastAsia" w:ascii="Times New Roman" w:hAnsi="Times New Roman" w:eastAsia="宋体" w:cs="Times New Roman"/>
                      <w:b/>
                      <w:bCs/>
                      <w:color w:val="auto"/>
                      <w:kern w:val="2"/>
                      <w:sz w:val="21"/>
                      <w:szCs w:val="21"/>
                      <w:highlight w:val="none"/>
                      <w:lang w:eastAsia="zh"/>
                    </w:rPr>
                    <w:t>主要污染防治措施</w:t>
                  </w:r>
                </w:p>
              </w:tc>
            </w:tr>
            <w:tr w14:paraId="00CA5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1A2513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845" w:type="pct"/>
                  <w:tcBorders>
                    <w:tl2br w:val="nil"/>
                    <w:tr2bl w:val="nil"/>
                  </w:tcBorders>
                  <w:noWrap w:val="0"/>
                  <w:vAlign w:val="center"/>
                </w:tcPr>
                <w:p w14:paraId="07E4A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lang w:eastAsia="zh"/>
                    </w:rPr>
                  </w:pPr>
                  <w:r>
                    <w:rPr>
                      <w:rFonts w:hint="default" w:ascii="Times New Roman" w:hAnsi="Times New Roman" w:eastAsia="宋体" w:cs="Times New Roman"/>
                      <w:snapToGrid w:val="0"/>
                      <w:color w:val="auto"/>
                      <w:kern w:val="0"/>
                      <w:sz w:val="21"/>
                      <w:szCs w:val="21"/>
                      <w:highlight w:val="none"/>
                      <w:lang w:val="en-US" w:eastAsia="zh-CN" w:bidi="ar"/>
                    </w:rPr>
                    <w:t>原料堆场</w:t>
                  </w:r>
                </w:p>
              </w:tc>
              <w:tc>
                <w:tcPr>
                  <w:tcW w:w="974" w:type="pct"/>
                  <w:tcBorders>
                    <w:tl2br w:val="nil"/>
                    <w:tr2bl w:val="nil"/>
                  </w:tcBorders>
                  <w:noWrap w:val="0"/>
                  <w:vAlign w:val="center"/>
                </w:tcPr>
                <w:p w14:paraId="65A5BF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lang w:eastAsia="zh"/>
                    </w:rPr>
                  </w:pPr>
                  <w:r>
                    <w:rPr>
                      <w:rFonts w:hint="default" w:ascii="Times New Roman" w:hAnsi="Times New Roman" w:eastAsia="宋体" w:cs="Times New Roman"/>
                      <w:color w:val="auto"/>
                      <w:kern w:val="2"/>
                      <w:sz w:val="21"/>
                      <w:szCs w:val="21"/>
                      <w:highlight w:val="none"/>
                      <w:lang w:val="en-US" w:eastAsia="zh-CN"/>
                    </w:rPr>
                    <w:t>扬</w:t>
                  </w:r>
                  <w:r>
                    <w:rPr>
                      <w:rFonts w:hint="eastAsia" w:ascii="Times New Roman" w:hAnsi="Times New Roman" w:eastAsia="宋体" w:cs="Times New Roman"/>
                      <w:color w:val="auto"/>
                      <w:kern w:val="2"/>
                      <w:sz w:val="21"/>
                      <w:szCs w:val="21"/>
                      <w:highlight w:val="none"/>
                      <w:lang w:eastAsia="zh"/>
                    </w:rPr>
                    <w:t>尘</w:t>
                  </w:r>
                </w:p>
              </w:tc>
              <w:tc>
                <w:tcPr>
                  <w:tcW w:w="2632" w:type="pct"/>
                  <w:tcBorders>
                    <w:tl2br w:val="nil"/>
                    <w:tr2bl w:val="nil"/>
                  </w:tcBorders>
                  <w:noWrap w:val="0"/>
                  <w:vAlign w:val="center"/>
                </w:tcPr>
                <w:p w14:paraId="13A37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①全封闭原料库，地面硬化，顶部配套建设覆盖全场的喷淋洒水装置，以及1台移动式雾炮机。原料全部储存其内，不露天堆放。②物料装卸装卸在封闭原料库内进行，固定装卸位；卸车时开启喷雾抑尘设施；③厂区出入口设置洗车平台，对进出厂区的车辆车身及轮胎进行冲洗</w:t>
                  </w:r>
                  <w:r>
                    <w:rPr>
                      <w:rFonts w:hint="eastAsia" w:ascii="Times New Roman" w:hAnsi="Times New Roman" w:eastAsia="宋体" w:cs="Times New Roman"/>
                      <w:snapToGrid w:val="0"/>
                      <w:color w:val="auto"/>
                      <w:kern w:val="0"/>
                      <w:sz w:val="21"/>
                      <w:szCs w:val="21"/>
                      <w:highlight w:val="none"/>
                      <w:lang w:val="en-US" w:eastAsia="zh-CN" w:bidi="ar"/>
                    </w:rPr>
                    <w:t>。</w:t>
                  </w:r>
                </w:p>
              </w:tc>
            </w:tr>
            <w:tr w14:paraId="26B56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4AE13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DA001</w:t>
                  </w:r>
                </w:p>
              </w:tc>
              <w:tc>
                <w:tcPr>
                  <w:tcW w:w="845" w:type="pct"/>
                  <w:tcBorders>
                    <w:tl2br w:val="nil"/>
                    <w:tr2bl w:val="nil"/>
                  </w:tcBorders>
                  <w:shd w:val="clear" w:color="auto" w:fill="auto"/>
                  <w:noWrap w:val="0"/>
                  <w:vAlign w:val="center"/>
                </w:tcPr>
                <w:p w14:paraId="50038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隧道窑工序</w:t>
                  </w:r>
                </w:p>
              </w:tc>
              <w:tc>
                <w:tcPr>
                  <w:tcW w:w="974" w:type="pct"/>
                  <w:tcBorders>
                    <w:tl2br w:val="nil"/>
                    <w:tr2bl w:val="nil"/>
                  </w:tcBorders>
                  <w:shd w:val="clear" w:color="auto" w:fill="auto"/>
                  <w:noWrap w:val="0"/>
                  <w:vAlign w:val="center"/>
                </w:tcPr>
                <w:p w14:paraId="577D2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烟尘、SO</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、NO</w:t>
                  </w:r>
                  <w:r>
                    <w:rPr>
                      <w:rFonts w:hint="default" w:ascii="Times New Roman" w:hAnsi="Times New Roman" w:eastAsia="宋体" w:cs="Times New Roman"/>
                      <w:color w:val="auto"/>
                      <w:kern w:val="2"/>
                      <w:sz w:val="21"/>
                      <w:szCs w:val="21"/>
                      <w:highlight w:val="none"/>
                      <w:vertAlign w:val="subscript"/>
                      <w:lang w:val="en-US" w:eastAsia="zh-CN" w:bidi="ar-SA"/>
                    </w:rPr>
                    <w:t>X</w:t>
                  </w:r>
                  <w:r>
                    <w:rPr>
                      <w:rFonts w:hint="default" w:ascii="Times New Roman" w:hAnsi="Times New Roman" w:eastAsia="宋体" w:cs="Times New Roman"/>
                      <w:color w:val="auto"/>
                      <w:kern w:val="2"/>
                      <w:sz w:val="21"/>
                      <w:szCs w:val="21"/>
                      <w:highlight w:val="none"/>
                      <w:lang w:val="en-US" w:eastAsia="zh-CN" w:bidi="ar-SA"/>
                    </w:rPr>
                    <w:t>、氟化物</w:t>
                  </w:r>
                </w:p>
              </w:tc>
              <w:tc>
                <w:tcPr>
                  <w:tcW w:w="2632" w:type="pct"/>
                  <w:tcBorders>
                    <w:tl2br w:val="nil"/>
                    <w:tr2bl w:val="nil"/>
                  </w:tcBorders>
                  <w:shd w:val="clear" w:color="auto" w:fill="auto"/>
                  <w:noWrap w:val="0"/>
                  <w:vAlign w:val="center"/>
                </w:tcPr>
                <w:p w14:paraId="14FB7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通过</w:t>
                  </w:r>
                  <w:r>
                    <w:rPr>
                      <w:rFonts w:hint="eastAsia" w:ascii="Times New Roman" w:hAnsi="Times New Roman"/>
                      <w:color w:val="auto"/>
                      <w:highlight w:val="none"/>
                      <w:lang w:val="en-US" w:eastAsia="zh-CN"/>
                    </w:rPr>
                    <w:t>SNCR脱硝</w:t>
                  </w:r>
                  <w:r>
                    <w:rPr>
                      <w:rFonts w:hint="eastAsia"/>
                      <w:color w:val="auto"/>
                      <w:highlight w:val="none"/>
                      <w:lang w:val="en-US" w:eastAsia="zh-CN"/>
                    </w:rPr>
                    <w:t>+</w:t>
                  </w:r>
                  <w:r>
                    <w:rPr>
                      <w:rFonts w:hint="eastAsia" w:ascii="Times New Roman" w:hAnsi="Times New Roman"/>
                      <w:color w:val="auto"/>
                      <w:highlight w:val="none"/>
                      <w:lang w:val="en-US" w:eastAsia="zh-CN"/>
                    </w:rPr>
                    <w:t>双碱法脱硫+湿电除尘器</w:t>
                  </w:r>
                  <w:r>
                    <w:rPr>
                      <w:rFonts w:hint="eastAsia" w:ascii="Times New Roman" w:hAnsi="Times New Roman" w:eastAsia="宋体" w:cs="Times New Roman"/>
                      <w:color w:val="auto"/>
                      <w:kern w:val="2"/>
                      <w:sz w:val="21"/>
                      <w:szCs w:val="21"/>
                      <w:highlight w:val="none"/>
                      <w:lang w:val="en-US" w:eastAsia="zh-CN"/>
                    </w:rPr>
                    <w:t>处理后</w:t>
                  </w:r>
                  <w:r>
                    <w:rPr>
                      <w:rFonts w:hint="eastAsia" w:cs="Times New Roman"/>
                      <w:color w:val="auto"/>
                      <w:kern w:val="2"/>
                      <w:sz w:val="21"/>
                      <w:szCs w:val="21"/>
                      <w:highlight w:val="none"/>
                      <w:lang w:val="en-US" w:eastAsia="zh-CN"/>
                    </w:rPr>
                    <w:t>32</w:t>
                  </w:r>
                  <w:r>
                    <w:rPr>
                      <w:rFonts w:hint="eastAsia" w:ascii="Times New Roman" w:hAnsi="Times New Roman" w:eastAsia="宋体" w:cs="Times New Roman"/>
                      <w:color w:val="auto"/>
                      <w:kern w:val="2"/>
                      <w:sz w:val="21"/>
                      <w:szCs w:val="21"/>
                      <w:highlight w:val="none"/>
                      <w:lang w:val="en-US" w:eastAsia="zh-CN"/>
                    </w:rPr>
                    <w:t>m高排气筒排放。</w:t>
                  </w:r>
                </w:p>
              </w:tc>
            </w:tr>
            <w:tr w14:paraId="7E043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01E2B6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DA004</w:t>
                  </w:r>
                </w:p>
              </w:tc>
              <w:tc>
                <w:tcPr>
                  <w:tcW w:w="845" w:type="pct"/>
                  <w:tcBorders>
                    <w:tl2br w:val="nil"/>
                    <w:tr2bl w:val="nil"/>
                  </w:tcBorders>
                  <w:shd w:val="clear" w:color="auto" w:fill="auto"/>
                  <w:noWrap w:val="0"/>
                  <w:vAlign w:val="center"/>
                </w:tcPr>
                <w:p w14:paraId="16BD34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
                    </w:rPr>
                    <w:t>破碎</w:t>
                  </w:r>
                  <w:r>
                    <w:rPr>
                      <w:rFonts w:hint="eastAsia" w:ascii="Times New Roman" w:hAnsi="Times New Roman" w:eastAsia="宋体" w:cs="Times New Roman"/>
                      <w:color w:val="auto"/>
                      <w:kern w:val="2"/>
                      <w:sz w:val="21"/>
                      <w:szCs w:val="21"/>
                      <w:highlight w:val="none"/>
                      <w:lang w:val="en-US" w:eastAsia="zh-CN"/>
                    </w:rPr>
                    <w:t>工序</w:t>
                  </w:r>
                </w:p>
              </w:tc>
              <w:tc>
                <w:tcPr>
                  <w:tcW w:w="974" w:type="pct"/>
                  <w:tcBorders>
                    <w:tl2br w:val="nil"/>
                    <w:tr2bl w:val="nil"/>
                  </w:tcBorders>
                  <w:shd w:val="clear" w:color="auto" w:fill="auto"/>
                  <w:noWrap w:val="0"/>
                  <w:vAlign w:val="center"/>
                </w:tcPr>
                <w:p w14:paraId="236291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粉尘</w:t>
                  </w:r>
                </w:p>
              </w:tc>
              <w:tc>
                <w:tcPr>
                  <w:tcW w:w="2632" w:type="pct"/>
                  <w:tcBorders>
                    <w:tl2br w:val="nil"/>
                    <w:tr2bl w:val="nil"/>
                  </w:tcBorders>
                  <w:shd w:val="clear" w:color="auto" w:fill="auto"/>
                  <w:noWrap w:val="0"/>
                  <w:vAlign w:val="center"/>
                </w:tcPr>
                <w:p w14:paraId="52F6E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通过布袋除尘器处理后15m高排气筒排放。</w:t>
                  </w:r>
                </w:p>
              </w:tc>
            </w:tr>
            <w:tr w14:paraId="60025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2899EE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DA003</w:t>
                  </w:r>
                </w:p>
              </w:tc>
              <w:tc>
                <w:tcPr>
                  <w:tcW w:w="845" w:type="pct"/>
                  <w:tcBorders>
                    <w:tl2br w:val="nil"/>
                    <w:tr2bl w:val="nil"/>
                  </w:tcBorders>
                  <w:shd w:val="clear" w:color="auto" w:fill="auto"/>
                  <w:noWrap w:val="0"/>
                  <w:vAlign w:val="center"/>
                </w:tcPr>
                <w:p w14:paraId="68137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石灰筒仓</w:t>
                  </w:r>
                </w:p>
              </w:tc>
              <w:tc>
                <w:tcPr>
                  <w:tcW w:w="974" w:type="pct"/>
                  <w:tcBorders>
                    <w:tl2br w:val="nil"/>
                    <w:tr2bl w:val="nil"/>
                  </w:tcBorders>
                  <w:shd w:val="clear" w:color="auto" w:fill="auto"/>
                  <w:noWrap w:val="0"/>
                  <w:vAlign w:val="center"/>
                </w:tcPr>
                <w:p w14:paraId="160235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粉尘</w:t>
                  </w:r>
                </w:p>
              </w:tc>
              <w:tc>
                <w:tcPr>
                  <w:tcW w:w="2632" w:type="pct"/>
                  <w:tcBorders>
                    <w:tl2br w:val="nil"/>
                    <w:tr2bl w:val="nil"/>
                  </w:tcBorders>
                  <w:shd w:val="clear" w:color="auto" w:fill="auto"/>
                  <w:noWrap w:val="0"/>
                  <w:vAlign w:val="center"/>
                </w:tcPr>
                <w:p w14:paraId="64CD0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配1套布袋除尘器，粉尘经处理后由1根15m高排气筒排放</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77244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17D2F1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DA00</w:t>
                  </w:r>
                  <w:r>
                    <w:rPr>
                      <w:rFonts w:hint="eastAsia" w:cs="Times New Roman"/>
                      <w:color w:val="auto"/>
                      <w:kern w:val="2"/>
                      <w:sz w:val="21"/>
                      <w:szCs w:val="21"/>
                      <w:highlight w:val="none"/>
                      <w:lang w:val="en-US" w:eastAsia="zh-CN"/>
                    </w:rPr>
                    <w:t>5</w:t>
                  </w:r>
                </w:p>
              </w:tc>
              <w:tc>
                <w:tcPr>
                  <w:tcW w:w="1417" w:type="dxa"/>
                  <w:tcBorders>
                    <w:tl2br w:val="nil"/>
                    <w:tr2bl w:val="nil"/>
                  </w:tcBorders>
                  <w:noWrap w:val="0"/>
                  <w:vAlign w:val="center"/>
                </w:tcPr>
                <w:p w14:paraId="1D1D8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 w:bidi="ar-SA"/>
                    </w:rPr>
                  </w:pPr>
                  <w:r>
                    <w:rPr>
                      <w:rFonts w:hint="eastAsia" w:ascii="Times New Roman" w:hAnsi="Times New Roman" w:eastAsia="宋体" w:cs="Times New Roman"/>
                      <w:color w:val="auto"/>
                      <w:kern w:val="2"/>
                      <w:sz w:val="21"/>
                      <w:szCs w:val="21"/>
                      <w:highlight w:val="none"/>
                      <w:lang w:val="en-US" w:eastAsia="zh"/>
                    </w:rPr>
                    <w:t>筛分</w:t>
                  </w:r>
                  <w:r>
                    <w:rPr>
                      <w:rFonts w:hint="eastAsia" w:ascii="Times New Roman" w:hAnsi="Times New Roman" w:eastAsia="宋体" w:cs="Times New Roman"/>
                      <w:color w:val="auto"/>
                      <w:kern w:val="2"/>
                      <w:sz w:val="21"/>
                      <w:szCs w:val="21"/>
                      <w:highlight w:val="none"/>
                      <w:lang w:val="en-US" w:eastAsia="zh-CN"/>
                    </w:rPr>
                    <w:t>工序</w:t>
                  </w:r>
                </w:p>
              </w:tc>
              <w:tc>
                <w:tcPr>
                  <w:tcW w:w="1634" w:type="dxa"/>
                  <w:tcBorders>
                    <w:tl2br w:val="nil"/>
                    <w:tr2bl w:val="nil"/>
                  </w:tcBorders>
                  <w:noWrap w:val="0"/>
                  <w:vAlign w:val="center"/>
                </w:tcPr>
                <w:p w14:paraId="79416D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粉尘</w:t>
                  </w:r>
                </w:p>
              </w:tc>
              <w:tc>
                <w:tcPr>
                  <w:tcW w:w="4414" w:type="dxa"/>
                  <w:tcBorders>
                    <w:tl2br w:val="nil"/>
                    <w:tr2bl w:val="nil"/>
                  </w:tcBorders>
                  <w:noWrap w:val="0"/>
                  <w:vAlign w:val="center"/>
                </w:tcPr>
                <w:p w14:paraId="1599A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通过布袋除尘器处理后15m高排气筒排放。</w:t>
                  </w:r>
                </w:p>
              </w:tc>
            </w:tr>
            <w:tr w14:paraId="6C4C2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121E80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1417" w:type="dxa"/>
                  <w:tcBorders>
                    <w:tl2br w:val="nil"/>
                    <w:tr2bl w:val="nil"/>
                  </w:tcBorders>
                  <w:noWrap w:val="0"/>
                  <w:vAlign w:val="center"/>
                </w:tcPr>
                <w:p w14:paraId="0E281A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
                    </w:rPr>
                  </w:pPr>
                  <w:r>
                    <w:rPr>
                      <w:rFonts w:hint="default" w:ascii="Times New Roman" w:hAnsi="Times New Roman" w:eastAsia="宋体" w:cs="Times New Roman"/>
                      <w:color w:val="auto"/>
                      <w:sz w:val="21"/>
                      <w:szCs w:val="21"/>
                      <w:highlight w:val="none"/>
                      <w:lang w:val="en-US" w:eastAsia="zh-CN"/>
                    </w:rPr>
                    <w:t>皮带输送</w:t>
                  </w:r>
                </w:p>
              </w:tc>
              <w:tc>
                <w:tcPr>
                  <w:tcW w:w="1634" w:type="dxa"/>
                  <w:tcBorders>
                    <w:tl2br w:val="nil"/>
                    <w:tr2bl w:val="nil"/>
                  </w:tcBorders>
                  <w:noWrap w:val="0"/>
                  <w:vAlign w:val="center"/>
                </w:tcPr>
                <w:p w14:paraId="1703CD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粉尘</w:t>
                  </w:r>
                </w:p>
              </w:tc>
              <w:tc>
                <w:tcPr>
                  <w:tcW w:w="4414" w:type="dxa"/>
                  <w:tcBorders>
                    <w:tl2br w:val="nil"/>
                    <w:tr2bl w:val="nil"/>
                  </w:tcBorders>
                  <w:noWrap w:val="0"/>
                  <w:vAlign w:val="center"/>
                </w:tcPr>
                <w:p w14:paraId="068AC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车间无组织排放</w:t>
                  </w:r>
                  <w:r>
                    <w:rPr>
                      <w:rFonts w:hint="eastAsia" w:cs="Times New Roman"/>
                      <w:snapToGrid w:val="0"/>
                      <w:color w:val="auto"/>
                      <w:kern w:val="0"/>
                      <w:sz w:val="21"/>
                      <w:szCs w:val="21"/>
                      <w:highlight w:val="none"/>
                      <w:lang w:val="en-US" w:eastAsia="zh-CN" w:bidi="ar-SA"/>
                    </w:rPr>
                    <w:t>，部分皮带未全封闭。</w:t>
                  </w:r>
                </w:p>
              </w:tc>
            </w:tr>
            <w:tr w14:paraId="062EF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2EB27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845" w:type="pct"/>
                  <w:tcBorders>
                    <w:tl2br w:val="nil"/>
                    <w:tr2bl w:val="nil"/>
                  </w:tcBorders>
                  <w:noWrap w:val="0"/>
                  <w:vAlign w:val="center"/>
                </w:tcPr>
                <w:p w14:paraId="08224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厂区运输</w:t>
                  </w:r>
                </w:p>
              </w:tc>
              <w:tc>
                <w:tcPr>
                  <w:tcW w:w="974" w:type="pct"/>
                  <w:tcBorders>
                    <w:tl2br w:val="nil"/>
                    <w:tr2bl w:val="nil"/>
                  </w:tcBorders>
                  <w:noWrap w:val="0"/>
                  <w:vAlign w:val="center"/>
                </w:tcPr>
                <w:p w14:paraId="53A2BE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扬</w:t>
                  </w:r>
                  <w:r>
                    <w:rPr>
                      <w:rFonts w:hint="eastAsia" w:ascii="Times New Roman" w:hAnsi="Times New Roman" w:eastAsia="宋体" w:cs="Times New Roman"/>
                      <w:color w:val="auto"/>
                      <w:kern w:val="2"/>
                      <w:sz w:val="21"/>
                      <w:szCs w:val="21"/>
                      <w:highlight w:val="none"/>
                      <w:lang w:eastAsia="zh"/>
                    </w:rPr>
                    <w:t>尘</w:t>
                  </w:r>
                </w:p>
              </w:tc>
              <w:tc>
                <w:tcPr>
                  <w:tcW w:w="2632" w:type="pct"/>
                  <w:tcBorders>
                    <w:tl2br w:val="nil"/>
                    <w:tr2bl w:val="nil"/>
                  </w:tcBorders>
                  <w:noWrap w:val="0"/>
                  <w:vAlign w:val="center"/>
                </w:tcPr>
                <w:p w14:paraId="569B5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①厂内运输道路硬化和洒水抑尘；②块状物料运输必须苫盖，密闭运输；③厂区出入口设置洗车平台，对运输车辆车身及轮胎进行冲洗。</w:t>
                  </w:r>
                </w:p>
              </w:tc>
            </w:tr>
          </w:tbl>
          <w:p w14:paraId="7CFF7FD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b w:val="0"/>
                <w:bCs w:val="0"/>
                <w:color w:val="auto"/>
                <w:sz w:val="24"/>
                <w:szCs w:val="20"/>
                <w:highlight w:val="none"/>
                <w:lang w:val="en-US" w:eastAsia="zh-CN"/>
              </w:rPr>
              <w:t>目前，现有项目</w:t>
            </w:r>
            <w:r>
              <w:rPr>
                <w:rFonts w:hint="eastAsia" w:ascii="Times New Roman" w:hAnsi="Times New Roman" w:eastAsia="宋体" w:cs="Times New Roman"/>
                <w:color w:val="auto"/>
                <w:kern w:val="2"/>
                <w:sz w:val="24"/>
                <w:szCs w:val="24"/>
                <w:highlight w:val="none"/>
                <w:lang w:eastAsia="zh"/>
              </w:rPr>
              <w:t>环保</w:t>
            </w:r>
            <w:r>
              <w:rPr>
                <w:rFonts w:hint="eastAsia" w:ascii="Times New Roman" w:hAnsi="Times New Roman" w:eastAsia="宋体" w:cs="Times New Roman"/>
                <w:color w:val="auto"/>
                <w:kern w:val="2"/>
                <w:sz w:val="24"/>
                <w:szCs w:val="24"/>
                <w:highlight w:val="none"/>
                <w:lang w:val="en-US" w:eastAsia="zh-CN"/>
              </w:rPr>
              <w:t>设施正常</w:t>
            </w:r>
            <w:r>
              <w:rPr>
                <w:rFonts w:hint="eastAsia" w:ascii="Times New Roman" w:hAnsi="Times New Roman" w:eastAsia="宋体" w:cs="Times New Roman"/>
                <w:color w:val="auto"/>
                <w:kern w:val="2"/>
                <w:sz w:val="24"/>
                <w:szCs w:val="24"/>
                <w:highlight w:val="none"/>
                <w:lang w:eastAsia="zh"/>
              </w:rPr>
              <w:t>运行</w:t>
            </w:r>
            <w:r>
              <w:rPr>
                <w:rFonts w:hint="eastAsia" w:ascii="Times New Roman" w:hAnsi="Times New Roman" w:eastAsia="宋体" w:cs="Times New Roman"/>
                <w:color w:val="auto"/>
                <w:kern w:val="2"/>
                <w:sz w:val="24"/>
                <w:szCs w:val="24"/>
                <w:highlight w:val="none"/>
                <w:lang w:eastAsia="zh-CN"/>
              </w:rPr>
              <w:t>。</w:t>
            </w:r>
          </w:p>
          <w:p w14:paraId="2850FEF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①</w:t>
            </w:r>
            <w:r>
              <w:rPr>
                <w:rFonts w:hint="eastAsia" w:ascii="Times New Roman" w:hAnsi="Times New Roman" w:eastAsia="宋体" w:cs="Times New Roman"/>
                <w:color w:val="auto"/>
                <w:kern w:val="2"/>
                <w:sz w:val="24"/>
                <w:szCs w:val="24"/>
                <w:highlight w:val="none"/>
                <w:lang w:eastAsia="zh"/>
              </w:rPr>
              <w:t>现有工程</w:t>
            </w:r>
            <w:r>
              <w:rPr>
                <w:rFonts w:hint="eastAsia" w:ascii="Times New Roman" w:hAnsi="Times New Roman" w:eastAsia="宋体" w:cs="Times New Roman"/>
                <w:color w:val="auto"/>
                <w:kern w:val="2"/>
                <w:sz w:val="24"/>
                <w:szCs w:val="24"/>
                <w:highlight w:val="none"/>
                <w:lang w:val="en-US" w:eastAsia="zh"/>
              </w:rPr>
              <w:t>破碎筛分</w:t>
            </w:r>
            <w:r>
              <w:rPr>
                <w:rFonts w:hint="eastAsia" w:ascii="Times New Roman" w:hAnsi="Times New Roman" w:eastAsia="宋体" w:cs="Times New Roman"/>
                <w:color w:val="auto"/>
                <w:kern w:val="2"/>
                <w:sz w:val="24"/>
                <w:szCs w:val="24"/>
                <w:highlight w:val="none"/>
                <w:lang w:val="en-US" w:eastAsia="zh-CN"/>
              </w:rPr>
              <w:t>废气</w:t>
            </w:r>
            <w:r>
              <w:rPr>
                <w:rFonts w:hint="eastAsia" w:cs="Times New Roman"/>
                <w:color w:val="auto"/>
                <w:kern w:val="2"/>
                <w:sz w:val="24"/>
                <w:szCs w:val="24"/>
                <w:highlight w:val="none"/>
                <w:lang w:val="en-US" w:eastAsia="zh-CN"/>
              </w:rPr>
              <w:t>、石灰筒仓废气和</w:t>
            </w:r>
            <w:r>
              <w:rPr>
                <w:rFonts w:hint="eastAsia" w:ascii="Times New Roman" w:hAnsi="Times New Roman" w:eastAsia="宋体" w:cs="Times New Roman"/>
                <w:color w:val="auto"/>
                <w:kern w:val="2"/>
                <w:sz w:val="24"/>
                <w:szCs w:val="24"/>
                <w:highlight w:val="none"/>
                <w:lang w:val="en-US" w:eastAsia="zh-CN"/>
              </w:rPr>
              <w:t>隧道窑废气</w:t>
            </w:r>
          </w:p>
          <w:p w14:paraId="4889B0A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宋体"/>
                <w:color w:val="auto"/>
                <w:highlight w:val="none"/>
                <w:lang w:val="en-US" w:eastAsia="zh-CN"/>
              </w:rPr>
            </w:pPr>
            <w:r>
              <w:rPr>
                <w:rFonts w:hint="eastAsia" w:ascii="Times New Roman" w:hAnsi="Times New Roman" w:eastAsia="宋体" w:cs="Times New Roman"/>
                <w:color w:val="auto"/>
                <w:kern w:val="2"/>
                <w:sz w:val="24"/>
                <w:szCs w:val="24"/>
                <w:highlight w:val="none"/>
                <w:lang w:eastAsia="zh"/>
              </w:rPr>
              <w:t>根据</w:t>
            </w:r>
            <w:r>
              <w:rPr>
                <w:rFonts w:hint="eastAsia" w:ascii="Times New Roman" w:hAnsi="Times New Roman" w:eastAsia="宋体" w:cs="Times New Roman"/>
                <w:color w:val="auto"/>
                <w:kern w:val="2"/>
                <w:sz w:val="24"/>
                <w:szCs w:val="24"/>
                <w:highlight w:val="none"/>
                <w:lang w:val="en-US" w:eastAsia="zh-CN"/>
              </w:rPr>
              <w:t>202</w:t>
            </w:r>
            <w:r>
              <w:rPr>
                <w:rFonts w:hint="eastAsia"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en-US" w:eastAsia="zh-CN"/>
              </w:rPr>
              <w:t>年</w:t>
            </w:r>
            <w:r>
              <w:rPr>
                <w:rFonts w:hint="eastAsia" w:cs="Times New Roman"/>
                <w:color w:val="auto"/>
                <w:kern w:val="2"/>
                <w:sz w:val="24"/>
                <w:szCs w:val="24"/>
                <w:highlight w:val="none"/>
                <w:lang w:val="en-US" w:eastAsia="zh-CN"/>
              </w:rPr>
              <w:t>8</w:t>
            </w:r>
            <w:r>
              <w:rPr>
                <w:rFonts w:hint="eastAsia" w:ascii="Times New Roman" w:hAnsi="Times New Roman" w:eastAsia="宋体" w:cs="Times New Roman"/>
                <w:color w:val="auto"/>
                <w:kern w:val="2"/>
                <w:sz w:val="24"/>
                <w:szCs w:val="24"/>
                <w:highlight w:val="none"/>
                <w:lang w:val="en-US" w:eastAsia="zh-CN"/>
              </w:rPr>
              <w:t>月</w:t>
            </w:r>
            <w:r>
              <w:rPr>
                <w:rFonts w:hint="eastAsia" w:cs="Times New Roman"/>
                <w:color w:val="auto"/>
                <w:kern w:val="2"/>
                <w:sz w:val="24"/>
                <w:szCs w:val="24"/>
                <w:highlight w:val="none"/>
                <w:lang w:val="en-US" w:eastAsia="zh-CN"/>
              </w:rPr>
              <w:t>23</w:t>
            </w:r>
            <w:r>
              <w:rPr>
                <w:rFonts w:hint="eastAsia" w:ascii="Times New Roman" w:hAnsi="Times New Roman" w:eastAsia="宋体" w:cs="Times New Roman"/>
                <w:color w:val="auto"/>
                <w:kern w:val="2"/>
                <w:sz w:val="24"/>
                <w:szCs w:val="24"/>
                <w:highlight w:val="none"/>
                <w:lang w:val="en-US" w:eastAsia="zh-CN"/>
              </w:rPr>
              <w:t>日</w:t>
            </w:r>
            <w:r>
              <w:rPr>
                <w:rFonts w:hint="eastAsia" w:cs="Times New Roman"/>
                <w:color w:val="auto"/>
                <w:kern w:val="2"/>
                <w:sz w:val="24"/>
                <w:szCs w:val="24"/>
                <w:highlight w:val="none"/>
                <w:lang w:val="en-US" w:eastAsia="zh-CN"/>
              </w:rPr>
              <w:t>-2024年8月24日</w:t>
            </w:r>
            <w:r>
              <w:rPr>
                <w:rFonts w:hint="eastAsia" w:ascii="Times New Roman" w:hAnsi="Times New Roman" w:eastAsia="宋体" w:cs="Times New Roman"/>
                <w:color w:val="auto"/>
                <w:kern w:val="2"/>
                <w:sz w:val="24"/>
                <w:szCs w:val="24"/>
                <w:highlight w:val="none"/>
                <w:lang w:eastAsia="zh"/>
              </w:rPr>
              <w:t>《</w:t>
            </w:r>
            <w:r>
              <w:rPr>
                <w:rFonts w:hint="eastAsia" w:cs="Times New Roman"/>
                <w:color w:val="auto"/>
                <w:kern w:val="2"/>
                <w:sz w:val="24"/>
                <w:szCs w:val="24"/>
                <w:highlight w:val="none"/>
                <w:lang w:eastAsia="zh-CN"/>
              </w:rPr>
              <w:t>屯留县圣烨建材有限公司</w:t>
            </w:r>
            <w:r>
              <w:rPr>
                <w:rFonts w:hint="eastAsia" w:cs="Times New Roman"/>
                <w:color w:val="auto"/>
                <w:kern w:val="2"/>
                <w:sz w:val="24"/>
                <w:szCs w:val="24"/>
                <w:highlight w:val="none"/>
                <w:lang w:val="en-US" w:eastAsia="zh-CN"/>
              </w:rPr>
              <w:t>验收</w:t>
            </w:r>
            <w:r>
              <w:rPr>
                <w:rFonts w:hint="eastAsia" w:ascii="Times New Roman" w:hAnsi="Times New Roman" w:eastAsia="宋体" w:cs="Times New Roman"/>
                <w:color w:val="auto"/>
                <w:kern w:val="2"/>
                <w:sz w:val="24"/>
                <w:szCs w:val="24"/>
                <w:highlight w:val="none"/>
                <w:lang w:eastAsia="zh"/>
              </w:rPr>
              <w:t>监测》可知，废气污染源及污染物</w:t>
            </w:r>
            <w:r>
              <w:rPr>
                <w:rFonts w:hint="eastAsia" w:ascii="Times New Roman" w:hAnsi="Times New Roman" w:eastAsia="宋体" w:cs="Times New Roman"/>
                <w:color w:val="auto"/>
                <w:kern w:val="2"/>
                <w:sz w:val="24"/>
                <w:szCs w:val="24"/>
                <w:highlight w:val="none"/>
                <w:lang w:val="en-US" w:eastAsia="zh-CN"/>
              </w:rPr>
              <w:t>有组织</w:t>
            </w:r>
            <w:r>
              <w:rPr>
                <w:rFonts w:hint="eastAsia" w:ascii="Times New Roman" w:hAnsi="Times New Roman" w:eastAsia="宋体" w:cs="Times New Roman"/>
                <w:color w:val="auto"/>
                <w:kern w:val="2"/>
                <w:sz w:val="24"/>
                <w:szCs w:val="24"/>
                <w:highlight w:val="none"/>
                <w:lang w:eastAsia="zh"/>
              </w:rPr>
              <w:t>排放情况见表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-16</w:t>
            </w:r>
            <w:r>
              <w:rPr>
                <w:rFonts w:hint="eastAsia"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eastAsia="zh"/>
              </w:rPr>
              <w:t>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-17、表2-18、表2-19</w:t>
            </w:r>
            <w:r>
              <w:rPr>
                <w:rFonts w:hint="eastAsia" w:ascii="Times New Roman" w:hAnsi="Times New Roman" w:eastAsia="宋体" w:cs="Times New Roman"/>
                <w:color w:val="auto"/>
                <w:kern w:val="2"/>
                <w:sz w:val="24"/>
                <w:szCs w:val="24"/>
                <w:highlight w:val="none"/>
                <w:lang w:eastAsia="zh"/>
              </w:rPr>
              <w:t>。</w:t>
            </w:r>
            <w:r>
              <w:rPr>
                <w:rFonts w:hint="eastAsia" w:ascii="Times New Roman" w:hAnsi="Times New Roman" w:eastAsia="宋体" w:cs="Times New Roman"/>
                <w:color w:val="auto"/>
                <w:kern w:val="2"/>
                <w:sz w:val="24"/>
                <w:szCs w:val="24"/>
                <w:highlight w:val="none"/>
                <w:lang w:val="en-US" w:eastAsia="zh-CN"/>
              </w:rPr>
              <w:t>检测报告见附件16。同时参考在线检测数据以及2025年度自行监测报告统计如下：</w:t>
            </w:r>
          </w:p>
          <w:p w14:paraId="0F00CAD3">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
              </w:rPr>
            </w:pPr>
            <w:r>
              <w:rPr>
                <w:rFonts w:hint="default" w:ascii="Times New Roman" w:hAnsi="Times New Roman" w:eastAsia="黑体" w:cs="Times New Roman"/>
                <w:b w:val="0"/>
                <w:bCs w:val="0"/>
                <w:color w:val="auto"/>
                <w:kern w:val="2"/>
                <w:sz w:val="24"/>
                <w:szCs w:val="24"/>
                <w:highlight w:val="none"/>
                <w:lang w:val="en-US" w:eastAsia="zh"/>
              </w:rPr>
              <w:t>表</w:t>
            </w:r>
            <w:r>
              <w:rPr>
                <w:rFonts w:hint="default" w:ascii="Times New Roman" w:hAnsi="Times New Roman" w:eastAsia="黑体" w:cs="Times New Roman"/>
                <w:b w:val="0"/>
                <w:bCs w:val="0"/>
                <w:color w:val="auto"/>
                <w:kern w:val="2"/>
                <w:sz w:val="24"/>
                <w:szCs w:val="24"/>
                <w:highlight w:val="none"/>
                <w:lang w:val="en-US" w:eastAsia="zh-CN"/>
              </w:rPr>
              <w:t>2</w:t>
            </w:r>
            <w:r>
              <w:rPr>
                <w:rFonts w:hint="eastAsia" w:ascii="Times New Roman" w:hAnsi="Times New Roman" w:eastAsia="黑体" w:cs="Times New Roman"/>
                <w:b w:val="0"/>
                <w:bCs w:val="0"/>
                <w:color w:val="auto"/>
                <w:kern w:val="2"/>
                <w:sz w:val="24"/>
                <w:szCs w:val="24"/>
                <w:highlight w:val="none"/>
                <w:lang w:val="en-US" w:eastAsia="zh-CN"/>
              </w:rPr>
              <w:t>-1</w:t>
            </w:r>
            <w:r>
              <w:rPr>
                <w:rFonts w:hint="eastAsia" w:eastAsia="黑体" w:cs="Times New Roman"/>
                <w:b w:val="0"/>
                <w:bCs w:val="0"/>
                <w:color w:val="auto"/>
                <w:kern w:val="2"/>
                <w:sz w:val="24"/>
                <w:szCs w:val="24"/>
                <w:highlight w:val="none"/>
                <w:lang w:val="en-US" w:eastAsia="zh-CN"/>
              </w:rPr>
              <w:t>6</w:t>
            </w:r>
            <w:r>
              <w:rPr>
                <w:rFonts w:hint="default" w:ascii="Times New Roman" w:hAnsi="Times New Roman" w:eastAsia="黑体" w:cs="Times New Roman"/>
                <w:b w:val="0"/>
                <w:bCs w:val="0"/>
                <w:color w:val="auto"/>
                <w:kern w:val="2"/>
                <w:sz w:val="24"/>
                <w:szCs w:val="24"/>
                <w:highlight w:val="none"/>
                <w:lang w:val="en-US" w:eastAsia="zh-CN"/>
              </w:rPr>
              <w:t xml:space="preserve">  </w:t>
            </w:r>
            <w:r>
              <w:rPr>
                <w:rFonts w:hint="default" w:ascii="Times New Roman" w:hAnsi="Times New Roman" w:eastAsia="黑体" w:cs="Times New Roman"/>
                <w:b w:val="0"/>
                <w:bCs w:val="0"/>
                <w:color w:val="auto"/>
                <w:kern w:val="2"/>
                <w:sz w:val="24"/>
                <w:szCs w:val="24"/>
                <w:highlight w:val="none"/>
                <w:lang w:val="en-US" w:eastAsia="zh"/>
              </w:rPr>
              <w:t>现有工程破碎废气排放情况表</w:t>
            </w:r>
          </w:p>
          <w:p w14:paraId="3812F3C4">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default" w:ascii="Times New Roman" w:hAnsi="Times New Roman" w:eastAsia="黑体" w:cs="Times New Roman"/>
                <w:b w:val="0"/>
                <w:bCs w:val="0"/>
                <w:color w:val="auto"/>
                <w:kern w:val="2"/>
                <w:sz w:val="15"/>
                <w:szCs w:val="15"/>
                <w:highlight w:val="none"/>
                <w:lang w:eastAsia="zh"/>
              </w:rPr>
            </w:pPr>
            <w:r>
              <w:rPr>
                <w:rFonts w:hint="eastAsia" w:ascii="Times New Roman" w:hAnsi="Times New Roman" w:eastAsia="黑体" w:cs="Times New Roman"/>
                <w:b w:val="0"/>
                <w:bCs w:val="0"/>
                <w:color w:val="auto"/>
                <w:kern w:val="2"/>
                <w:sz w:val="15"/>
                <w:szCs w:val="15"/>
                <w:highlight w:val="none"/>
                <w:lang w:val="en-US" w:eastAsia="zh-CN"/>
              </w:rPr>
              <w:t>单位：</w:t>
            </w:r>
            <w:r>
              <w:rPr>
                <w:rFonts w:hint="default" w:ascii="Times New Roman" w:hAnsi="Times New Roman" w:eastAsia="黑体" w:cs="Times New Roman"/>
                <w:b w:val="0"/>
                <w:bCs w:val="0"/>
                <w:color w:val="auto"/>
                <w:kern w:val="2"/>
                <w:sz w:val="15"/>
                <w:szCs w:val="15"/>
                <w:highlight w:val="none"/>
                <w:lang w:eastAsia="zh"/>
              </w:rPr>
              <w:t>mg/m</w:t>
            </w:r>
            <w:r>
              <w:rPr>
                <w:rFonts w:hint="default" w:ascii="Times New Roman" w:hAnsi="Times New Roman" w:eastAsia="黑体" w:cs="Times New Roman"/>
                <w:b w:val="0"/>
                <w:bCs w:val="0"/>
                <w:color w:val="auto"/>
                <w:kern w:val="2"/>
                <w:sz w:val="15"/>
                <w:szCs w:val="15"/>
                <w:highlight w:val="none"/>
                <w:vertAlign w:val="superscript"/>
                <w:lang w:eastAsia="zh"/>
              </w:rPr>
              <w:t>3</w:t>
            </w:r>
          </w:p>
          <w:tbl>
            <w:tblPr>
              <w:tblStyle w:val="9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07"/>
              <w:gridCol w:w="1091"/>
              <w:gridCol w:w="659"/>
              <w:gridCol w:w="1544"/>
              <w:gridCol w:w="1748"/>
              <w:gridCol w:w="661"/>
              <w:gridCol w:w="874"/>
            </w:tblGrid>
            <w:tr w14:paraId="0E3210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077" w:type="pct"/>
                  <w:vMerge w:val="restart"/>
                  <w:tcBorders>
                    <w:tl2br w:val="nil"/>
                    <w:tr2bl w:val="nil"/>
                  </w:tcBorders>
                  <w:noWrap w:val="0"/>
                  <w:vAlign w:val="center"/>
                </w:tcPr>
                <w:p w14:paraId="25886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0E73FF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日期</w:t>
                  </w:r>
                </w:p>
              </w:tc>
              <w:tc>
                <w:tcPr>
                  <w:tcW w:w="650" w:type="pct"/>
                  <w:vMerge w:val="restart"/>
                  <w:tcBorders>
                    <w:tl2br w:val="nil"/>
                    <w:tr2bl w:val="nil"/>
                  </w:tcBorders>
                  <w:noWrap w:val="0"/>
                  <w:vAlign w:val="center"/>
                </w:tcPr>
                <w:p w14:paraId="7D7B8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67B39C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点位</w:t>
                  </w:r>
                </w:p>
              </w:tc>
              <w:tc>
                <w:tcPr>
                  <w:tcW w:w="1313" w:type="pct"/>
                  <w:gridSpan w:val="2"/>
                  <w:tcBorders>
                    <w:tl2br w:val="nil"/>
                    <w:tr2bl w:val="nil"/>
                  </w:tcBorders>
                  <w:noWrap w:val="0"/>
                  <w:vAlign w:val="center"/>
                </w:tcPr>
                <w:p w14:paraId="584D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监测项目及指标</w:t>
                  </w:r>
                </w:p>
              </w:tc>
              <w:tc>
                <w:tcPr>
                  <w:tcW w:w="1042" w:type="pct"/>
                  <w:tcBorders>
                    <w:tl2br w:val="nil"/>
                    <w:tr2bl w:val="nil"/>
                  </w:tcBorders>
                  <w:noWrap w:val="0"/>
                  <w:vAlign w:val="center"/>
                </w:tcPr>
                <w:p w14:paraId="515A9C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监测结果</w:t>
                  </w:r>
                  <w:r>
                    <w:rPr>
                      <w:rFonts w:hint="eastAsia" w:cs="Times New Roman"/>
                      <w:b/>
                      <w:bCs/>
                      <w:color w:val="auto"/>
                      <w:kern w:val="2"/>
                      <w:sz w:val="21"/>
                      <w:szCs w:val="21"/>
                      <w:highlight w:val="none"/>
                      <w:lang w:val="en-US" w:eastAsia="zh-CN"/>
                    </w:rPr>
                    <w:t>（均值）</w:t>
                  </w:r>
                </w:p>
              </w:tc>
              <w:tc>
                <w:tcPr>
                  <w:tcW w:w="394" w:type="pct"/>
                  <w:tcBorders>
                    <w:tl2br w:val="nil"/>
                    <w:tr2bl w:val="nil"/>
                  </w:tcBorders>
                  <w:noWrap w:val="0"/>
                  <w:vAlign w:val="center"/>
                </w:tcPr>
                <w:p w14:paraId="3FE253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标准值</w:t>
                  </w:r>
                </w:p>
              </w:tc>
              <w:tc>
                <w:tcPr>
                  <w:tcW w:w="521" w:type="pct"/>
                  <w:tcBorders>
                    <w:tl2br w:val="nil"/>
                    <w:tr2bl w:val="nil"/>
                  </w:tcBorders>
                  <w:noWrap w:val="0"/>
                  <w:vAlign w:val="center"/>
                </w:tcPr>
                <w:p w14:paraId="588C5C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达标情况</w:t>
                  </w:r>
                </w:p>
              </w:tc>
            </w:tr>
            <w:tr w14:paraId="1FD0DA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restart"/>
                  <w:tcBorders>
                    <w:tl2br w:val="nil"/>
                    <w:tr2bl w:val="nil"/>
                  </w:tcBorders>
                  <w:noWrap w:val="0"/>
                  <w:vAlign w:val="center"/>
                </w:tcPr>
                <w:p w14:paraId="103CC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w:t>
                  </w:r>
                  <w:r>
                    <w:rPr>
                      <w:rFonts w:hint="eastAsia" w:cs="Times New Roman"/>
                      <w:color w:val="auto"/>
                      <w:kern w:val="2"/>
                      <w:sz w:val="21"/>
                      <w:szCs w:val="21"/>
                      <w:highlight w:val="none"/>
                      <w:lang w:val="en-US" w:eastAsia="zh-CN"/>
                    </w:rPr>
                    <w:t>4</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8.23-2024.8.24</w:t>
                  </w:r>
                </w:p>
              </w:tc>
              <w:tc>
                <w:tcPr>
                  <w:tcW w:w="650" w:type="pct"/>
                  <w:vMerge w:val="restart"/>
                  <w:tcBorders>
                    <w:tl2br w:val="nil"/>
                    <w:tr2bl w:val="nil"/>
                  </w:tcBorders>
                  <w:noWrap w:val="0"/>
                  <w:vAlign w:val="center"/>
                </w:tcPr>
                <w:p w14:paraId="367B7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破碎排气筒</w:t>
                  </w:r>
                </w:p>
              </w:tc>
              <w:tc>
                <w:tcPr>
                  <w:tcW w:w="393" w:type="pct"/>
                  <w:vMerge w:val="restart"/>
                  <w:tcBorders>
                    <w:tl2br w:val="nil"/>
                    <w:tr2bl w:val="nil"/>
                  </w:tcBorders>
                  <w:noWrap w:val="0"/>
                  <w:vAlign w:val="center"/>
                </w:tcPr>
                <w:p w14:paraId="4EC0E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颗粒物</w:t>
                  </w:r>
                </w:p>
              </w:tc>
              <w:tc>
                <w:tcPr>
                  <w:tcW w:w="920" w:type="pct"/>
                  <w:tcBorders>
                    <w:tl2br w:val="nil"/>
                    <w:tr2bl w:val="nil"/>
                  </w:tcBorders>
                  <w:noWrap w:val="0"/>
                  <w:vAlign w:val="center"/>
                </w:tcPr>
                <w:p w14:paraId="73858D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标干流量Nm³/h</w:t>
                  </w:r>
                </w:p>
              </w:tc>
              <w:tc>
                <w:tcPr>
                  <w:tcW w:w="1042" w:type="pct"/>
                  <w:tcBorders>
                    <w:tl2br w:val="nil"/>
                    <w:tr2bl w:val="nil"/>
                  </w:tcBorders>
                  <w:noWrap w:val="0"/>
                  <w:vAlign w:val="center"/>
                </w:tcPr>
                <w:p w14:paraId="74070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11993</w:t>
                  </w:r>
                </w:p>
              </w:tc>
              <w:tc>
                <w:tcPr>
                  <w:tcW w:w="394" w:type="pct"/>
                  <w:tcBorders>
                    <w:tl2br w:val="nil"/>
                    <w:tr2bl w:val="nil"/>
                  </w:tcBorders>
                  <w:noWrap w:val="0"/>
                  <w:vAlign w:val="center"/>
                </w:tcPr>
                <w:p w14:paraId="3637B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7C272F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6CEA1D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1121DE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2CCD0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5875A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6C0762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实测浓度mg/m³</w:t>
                  </w:r>
                </w:p>
              </w:tc>
              <w:tc>
                <w:tcPr>
                  <w:tcW w:w="1042" w:type="pct"/>
                  <w:tcBorders>
                    <w:tl2br w:val="nil"/>
                    <w:tr2bl w:val="nil"/>
                  </w:tcBorders>
                  <w:noWrap w:val="0"/>
                  <w:vAlign w:val="center"/>
                </w:tcPr>
                <w:p w14:paraId="347A3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3.4</w:t>
                  </w:r>
                </w:p>
              </w:tc>
              <w:tc>
                <w:tcPr>
                  <w:tcW w:w="394" w:type="pct"/>
                  <w:tcBorders>
                    <w:tl2br w:val="nil"/>
                    <w:tr2bl w:val="nil"/>
                  </w:tcBorders>
                  <w:noWrap w:val="0"/>
                  <w:vAlign w:val="center"/>
                </w:tcPr>
                <w:p w14:paraId="6D36D6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521" w:type="pct"/>
                  <w:tcBorders>
                    <w:tl2br w:val="nil"/>
                    <w:tr2bl w:val="nil"/>
                  </w:tcBorders>
                  <w:noWrap w:val="0"/>
                  <w:vAlign w:val="center"/>
                </w:tcPr>
                <w:p w14:paraId="5092A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达标</w:t>
                  </w:r>
                </w:p>
              </w:tc>
            </w:tr>
            <w:tr w14:paraId="694026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34E87E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7CD433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401828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2A320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排放速率Kg/h</w:t>
                  </w:r>
                </w:p>
              </w:tc>
              <w:tc>
                <w:tcPr>
                  <w:tcW w:w="1042" w:type="pct"/>
                  <w:tcBorders>
                    <w:tl2br w:val="nil"/>
                    <w:tr2bl w:val="nil"/>
                  </w:tcBorders>
                  <w:noWrap w:val="0"/>
                  <w:vAlign w:val="center"/>
                </w:tcPr>
                <w:p w14:paraId="3C5A07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0.04</w:t>
                  </w:r>
                </w:p>
              </w:tc>
              <w:tc>
                <w:tcPr>
                  <w:tcW w:w="394" w:type="pct"/>
                  <w:tcBorders>
                    <w:tl2br w:val="nil"/>
                    <w:tr2bl w:val="nil"/>
                  </w:tcBorders>
                  <w:noWrap w:val="0"/>
                  <w:vAlign w:val="center"/>
                </w:tcPr>
                <w:p w14:paraId="60F42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5452D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bl>
          <w:p w14:paraId="4F60349F">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
              </w:rPr>
            </w:pPr>
            <w:r>
              <w:rPr>
                <w:rFonts w:hint="default" w:ascii="Times New Roman" w:hAnsi="Times New Roman" w:eastAsia="黑体" w:cs="Times New Roman"/>
                <w:b w:val="0"/>
                <w:bCs w:val="0"/>
                <w:color w:val="auto"/>
                <w:kern w:val="2"/>
                <w:sz w:val="24"/>
                <w:szCs w:val="24"/>
                <w:highlight w:val="none"/>
                <w:lang w:val="en-US" w:eastAsia="zh"/>
              </w:rPr>
              <w:t>表</w:t>
            </w:r>
            <w:r>
              <w:rPr>
                <w:rFonts w:hint="default" w:ascii="Times New Roman" w:hAnsi="Times New Roman" w:eastAsia="黑体" w:cs="Times New Roman"/>
                <w:b w:val="0"/>
                <w:bCs w:val="0"/>
                <w:color w:val="auto"/>
                <w:kern w:val="2"/>
                <w:sz w:val="24"/>
                <w:szCs w:val="24"/>
                <w:highlight w:val="none"/>
                <w:lang w:val="en-US" w:eastAsia="zh-CN"/>
              </w:rPr>
              <w:t>2</w:t>
            </w:r>
            <w:r>
              <w:rPr>
                <w:rFonts w:hint="eastAsia" w:ascii="Times New Roman" w:hAnsi="Times New Roman" w:eastAsia="黑体" w:cs="Times New Roman"/>
                <w:b w:val="0"/>
                <w:bCs w:val="0"/>
                <w:color w:val="auto"/>
                <w:kern w:val="2"/>
                <w:sz w:val="24"/>
                <w:szCs w:val="24"/>
                <w:highlight w:val="none"/>
                <w:lang w:val="en-US" w:eastAsia="zh-CN"/>
              </w:rPr>
              <w:t>-17</w:t>
            </w:r>
            <w:r>
              <w:rPr>
                <w:rFonts w:hint="default" w:ascii="Times New Roman" w:hAnsi="Times New Roman" w:eastAsia="黑体" w:cs="Times New Roman"/>
                <w:b w:val="0"/>
                <w:bCs w:val="0"/>
                <w:color w:val="auto"/>
                <w:kern w:val="2"/>
                <w:sz w:val="24"/>
                <w:szCs w:val="24"/>
                <w:highlight w:val="none"/>
                <w:lang w:val="en-US" w:eastAsia="zh-CN"/>
              </w:rPr>
              <w:t xml:space="preserve">  </w:t>
            </w:r>
            <w:r>
              <w:rPr>
                <w:rFonts w:hint="default" w:ascii="Times New Roman" w:hAnsi="Times New Roman" w:eastAsia="黑体" w:cs="Times New Roman"/>
                <w:b w:val="0"/>
                <w:bCs w:val="0"/>
                <w:color w:val="auto"/>
                <w:kern w:val="2"/>
                <w:sz w:val="24"/>
                <w:szCs w:val="24"/>
                <w:highlight w:val="none"/>
                <w:lang w:val="en-US" w:eastAsia="zh"/>
              </w:rPr>
              <w:t>现有工程筛分废气排放情况表</w:t>
            </w:r>
          </w:p>
          <w:p w14:paraId="42027EF9">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default" w:ascii="Times New Roman" w:hAnsi="Times New Roman" w:eastAsia="黑体" w:cs="Times New Roman"/>
                <w:b w:val="0"/>
                <w:bCs w:val="0"/>
                <w:color w:val="auto"/>
                <w:kern w:val="2"/>
                <w:sz w:val="15"/>
                <w:szCs w:val="15"/>
                <w:highlight w:val="none"/>
                <w:lang w:eastAsia="zh"/>
              </w:rPr>
            </w:pPr>
            <w:r>
              <w:rPr>
                <w:rFonts w:hint="eastAsia" w:ascii="Times New Roman" w:hAnsi="Times New Roman" w:eastAsia="黑体" w:cs="Times New Roman"/>
                <w:b w:val="0"/>
                <w:bCs w:val="0"/>
                <w:color w:val="auto"/>
                <w:kern w:val="2"/>
                <w:sz w:val="15"/>
                <w:szCs w:val="15"/>
                <w:highlight w:val="none"/>
                <w:lang w:val="en-US" w:eastAsia="zh-CN"/>
              </w:rPr>
              <w:t>单位：</w:t>
            </w:r>
            <w:r>
              <w:rPr>
                <w:rFonts w:hint="default" w:ascii="Times New Roman" w:hAnsi="Times New Roman" w:eastAsia="黑体" w:cs="Times New Roman"/>
                <w:b w:val="0"/>
                <w:bCs w:val="0"/>
                <w:color w:val="auto"/>
                <w:kern w:val="2"/>
                <w:sz w:val="15"/>
                <w:szCs w:val="15"/>
                <w:highlight w:val="none"/>
                <w:lang w:eastAsia="zh"/>
              </w:rPr>
              <w:t>mg/m</w:t>
            </w:r>
            <w:r>
              <w:rPr>
                <w:rFonts w:hint="default" w:ascii="Times New Roman" w:hAnsi="Times New Roman" w:eastAsia="黑体" w:cs="Times New Roman"/>
                <w:b w:val="0"/>
                <w:bCs w:val="0"/>
                <w:color w:val="auto"/>
                <w:kern w:val="2"/>
                <w:sz w:val="15"/>
                <w:szCs w:val="15"/>
                <w:highlight w:val="none"/>
                <w:vertAlign w:val="superscript"/>
                <w:lang w:eastAsia="zh"/>
              </w:rPr>
              <w:t>3</w:t>
            </w:r>
          </w:p>
          <w:tbl>
            <w:tblPr>
              <w:tblStyle w:val="9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07"/>
              <w:gridCol w:w="1091"/>
              <w:gridCol w:w="659"/>
              <w:gridCol w:w="1544"/>
              <w:gridCol w:w="1748"/>
              <w:gridCol w:w="661"/>
              <w:gridCol w:w="874"/>
            </w:tblGrid>
            <w:tr w14:paraId="6762B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077" w:type="pct"/>
                  <w:vMerge w:val="restart"/>
                  <w:tcBorders>
                    <w:tl2br w:val="nil"/>
                    <w:tr2bl w:val="nil"/>
                  </w:tcBorders>
                  <w:noWrap w:val="0"/>
                  <w:vAlign w:val="center"/>
                </w:tcPr>
                <w:p w14:paraId="022B6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7E225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日期</w:t>
                  </w:r>
                </w:p>
              </w:tc>
              <w:tc>
                <w:tcPr>
                  <w:tcW w:w="650" w:type="pct"/>
                  <w:vMerge w:val="restart"/>
                  <w:tcBorders>
                    <w:tl2br w:val="nil"/>
                    <w:tr2bl w:val="nil"/>
                  </w:tcBorders>
                  <w:noWrap w:val="0"/>
                  <w:vAlign w:val="center"/>
                </w:tcPr>
                <w:p w14:paraId="5B31A7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48A03D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点位</w:t>
                  </w:r>
                </w:p>
              </w:tc>
              <w:tc>
                <w:tcPr>
                  <w:tcW w:w="1313" w:type="pct"/>
                  <w:gridSpan w:val="2"/>
                  <w:tcBorders>
                    <w:tl2br w:val="nil"/>
                    <w:tr2bl w:val="nil"/>
                  </w:tcBorders>
                  <w:noWrap w:val="0"/>
                  <w:vAlign w:val="center"/>
                </w:tcPr>
                <w:p w14:paraId="1C3BE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监测项目及指标</w:t>
                  </w:r>
                </w:p>
              </w:tc>
              <w:tc>
                <w:tcPr>
                  <w:tcW w:w="1042" w:type="pct"/>
                  <w:tcBorders>
                    <w:tl2br w:val="nil"/>
                    <w:tr2bl w:val="nil"/>
                  </w:tcBorders>
                  <w:noWrap w:val="0"/>
                  <w:vAlign w:val="center"/>
                </w:tcPr>
                <w:p w14:paraId="0FD18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监测结果</w:t>
                  </w:r>
                  <w:r>
                    <w:rPr>
                      <w:rFonts w:hint="eastAsia" w:cs="Times New Roman"/>
                      <w:b/>
                      <w:bCs/>
                      <w:color w:val="auto"/>
                      <w:kern w:val="2"/>
                      <w:sz w:val="21"/>
                      <w:szCs w:val="21"/>
                      <w:highlight w:val="none"/>
                      <w:lang w:val="en-US" w:eastAsia="zh-CN"/>
                    </w:rPr>
                    <w:t>（均值）</w:t>
                  </w:r>
                </w:p>
              </w:tc>
              <w:tc>
                <w:tcPr>
                  <w:tcW w:w="394" w:type="pct"/>
                  <w:tcBorders>
                    <w:tl2br w:val="nil"/>
                    <w:tr2bl w:val="nil"/>
                  </w:tcBorders>
                  <w:noWrap w:val="0"/>
                  <w:vAlign w:val="center"/>
                </w:tcPr>
                <w:p w14:paraId="51F28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标准值</w:t>
                  </w:r>
                </w:p>
              </w:tc>
              <w:tc>
                <w:tcPr>
                  <w:tcW w:w="521" w:type="pct"/>
                  <w:tcBorders>
                    <w:tl2br w:val="nil"/>
                    <w:tr2bl w:val="nil"/>
                  </w:tcBorders>
                  <w:noWrap w:val="0"/>
                  <w:vAlign w:val="center"/>
                </w:tcPr>
                <w:p w14:paraId="14854C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达标情况</w:t>
                  </w:r>
                </w:p>
              </w:tc>
            </w:tr>
            <w:tr w14:paraId="66D2B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restart"/>
                  <w:tcBorders>
                    <w:tl2br w:val="nil"/>
                    <w:tr2bl w:val="nil"/>
                  </w:tcBorders>
                  <w:noWrap w:val="0"/>
                  <w:vAlign w:val="center"/>
                </w:tcPr>
                <w:p w14:paraId="371DC1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w:t>
                  </w:r>
                  <w:r>
                    <w:rPr>
                      <w:rFonts w:hint="eastAsia" w:cs="Times New Roman"/>
                      <w:color w:val="auto"/>
                      <w:kern w:val="2"/>
                      <w:sz w:val="21"/>
                      <w:szCs w:val="21"/>
                      <w:highlight w:val="none"/>
                      <w:lang w:val="en-US" w:eastAsia="zh-CN"/>
                    </w:rPr>
                    <w:t>4</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8.23-2024.8.24</w:t>
                  </w:r>
                </w:p>
              </w:tc>
              <w:tc>
                <w:tcPr>
                  <w:tcW w:w="650" w:type="pct"/>
                  <w:vMerge w:val="restart"/>
                  <w:tcBorders>
                    <w:tl2br w:val="nil"/>
                    <w:tr2bl w:val="nil"/>
                  </w:tcBorders>
                  <w:noWrap w:val="0"/>
                  <w:vAlign w:val="center"/>
                </w:tcPr>
                <w:p w14:paraId="098A6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筛分排气筒</w:t>
                  </w:r>
                </w:p>
              </w:tc>
              <w:tc>
                <w:tcPr>
                  <w:tcW w:w="393" w:type="pct"/>
                  <w:vMerge w:val="restart"/>
                  <w:tcBorders>
                    <w:tl2br w:val="nil"/>
                    <w:tr2bl w:val="nil"/>
                  </w:tcBorders>
                  <w:noWrap w:val="0"/>
                  <w:vAlign w:val="center"/>
                </w:tcPr>
                <w:p w14:paraId="3AA4E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颗粒物</w:t>
                  </w:r>
                </w:p>
              </w:tc>
              <w:tc>
                <w:tcPr>
                  <w:tcW w:w="920" w:type="pct"/>
                  <w:tcBorders>
                    <w:tl2br w:val="nil"/>
                    <w:tr2bl w:val="nil"/>
                  </w:tcBorders>
                  <w:noWrap w:val="0"/>
                  <w:vAlign w:val="center"/>
                </w:tcPr>
                <w:p w14:paraId="05650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标干流量Nm³/h</w:t>
                  </w:r>
                </w:p>
              </w:tc>
              <w:tc>
                <w:tcPr>
                  <w:tcW w:w="1042" w:type="pct"/>
                  <w:tcBorders>
                    <w:tl2br w:val="nil"/>
                    <w:tr2bl w:val="nil"/>
                  </w:tcBorders>
                  <w:noWrap w:val="0"/>
                  <w:vAlign w:val="center"/>
                </w:tcPr>
                <w:p w14:paraId="5D3BB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10342</w:t>
                  </w:r>
                </w:p>
              </w:tc>
              <w:tc>
                <w:tcPr>
                  <w:tcW w:w="394" w:type="pct"/>
                  <w:tcBorders>
                    <w:tl2br w:val="nil"/>
                    <w:tr2bl w:val="nil"/>
                  </w:tcBorders>
                  <w:noWrap w:val="0"/>
                  <w:vAlign w:val="center"/>
                </w:tcPr>
                <w:p w14:paraId="52D5F0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7FC45E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63E34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5271E0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2F942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7519D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1DA7C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实测浓度mg/m³</w:t>
                  </w:r>
                </w:p>
              </w:tc>
              <w:tc>
                <w:tcPr>
                  <w:tcW w:w="1042" w:type="pct"/>
                  <w:tcBorders>
                    <w:tl2br w:val="nil"/>
                    <w:tr2bl w:val="nil"/>
                  </w:tcBorders>
                  <w:noWrap w:val="0"/>
                  <w:vAlign w:val="center"/>
                </w:tcPr>
                <w:p w14:paraId="6A68FE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3.9</w:t>
                  </w:r>
                </w:p>
              </w:tc>
              <w:tc>
                <w:tcPr>
                  <w:tcW w:w="394" w:type="pct"/>
                  <w:tcBorders>
                    <w:tl2br w:val="nil"/>
                    <w:tr2bl w:val="nil"/>
                  </w:tcBorders>
                  <w:noWrap w:val="0"/>
                  <w:vAlign w:val="center"/>
                </w:tcPr>
                <w:p w14:paraId="77C27B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521" w:type="pct"/>
                  <w:tcBorders>
                    <w:tl2br w:val="nil"/>
                    <w:tr2bl w:val="nil"/>
                  </w:tcBorders>
                  <w:noWrap w:val="0"/>
                  <w:vAlign w:val="center"/>
                </w:tcPr>
                <w:p w14:paraId="711BB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达标</w:t>
                  </w:r>
                </w:p>
              </w:tc>
            </w:tr>
            <w:tr w14:paraId="4BA08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24E66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660CD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033E6B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5AA44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排放速率Kg/h</w:t>
                  </w:r>
                </w:p>
              </w:tc>
              <w:tc>
                <w:tcPr>
                  <w:tcW w:w="1042" w:type="pct"/>
                  <w:tcBorders>
                    <w:tl2br w:val="nil"/>
                    <w:tr2bl w:val="nil"/>
                  </w:tcBorders>
                  <w:noWrap w:val="0"/>
                  <w:vAlign w:val="center"/>
                </w:tcPr>
                <w:p w14:paraId="1B3C0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0.041</w:t>
                  </w:r>
                </w:p>
              </w:tc>
              <w:tc>
                <w:tcPr>
                  <w:tcW w:w="394" w:type="pct"/>
                  <w:tcBorders>
                    <w:tl2br w:val="nil"/>
                    <w:tr2bl w:val="nil"/>
                  </w:tcBorders>
                  <w:noWrap w:val="0"/>
                  <w:vAlign w:val="center"/>
                </w:tcPr>
                <w:p w14:paraId="2B265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58E7C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bl>
          <w:p w14:paraId="711BA12B">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
              </w:rPr>
            </w:pPr>
            <w:r>
              <w:rPr>
                <w:rFonts w:hint="default" w:ascii="Times New Roman" w:hAnsi="Times New Roman" w:eastAsia="黑体" w:cs="Times New Roman"/>
                <w:b w:val="0"/>
                <w:bCs w:val="0"/>
                <w:color w:val="auto"/>
                <w:kern w:val="2"/>
                <w:sz w:val="24"/>
                <w:szCs w:val="24"/>
                <w:highlight w:val="none"/>
                <w:lang w:val="en-US" w:eastAsia="zh"/>
              </w:rPr>
              <w:t>表</w:t>
            </w:r>
            <w:r>
              <w:rPr>
                <w:rFonts w:hint="default" w:ascii="Times New Roman" w:hAnsi="Times New Roman" w:eastAsia="黑体" w:cs="Times New Roman"/>
                <w:b w:val="0"/>
                <w:bCs w:val="0"/>
                <w:color w:val="auto"/>
                <w:kern w:val="2"/>
                <w:sz w:val="24"/>
                <w:szCs w:val="24"/>
                <w:highlight w:val="none"/>
                <w:lang w:val="en-US" w:eastAsia="zh-CN"/>
              </w:rPr>
              <w:t>2</w:t>
            </w:r>
            <w:r>
              <w:rPr>
                <w:rFonts w:hint="eastAsia" w:ascii="Times New Roman" w:hAnsi="Times New Roman" w:eastAsia="黑体" w:cs="Times New Roman"/>
                <w:b w:val="0"/>
                <w:bCs w:val="0"/>
                <w:color w:val="auto"/>
                <w:kern w:val="2"/>
                <w:sz w:val="24"/>
                <w:szCs w:val="24"/>
                <w:highlight w:val="none"/>
                <w:lang w:val="en-US" w:eastAsia="zh-CN"/>
              </w:rPr>
              <w:t>-18</w:t>
            </w:r>
            <w:r>
              <w:rPr>
                <w:rFonts w:hint="default" w:ascii="Times New Roman" w:hAnsi="Times New Roman" w:eastAsia="黑体" w:cs="Times New Roman"/>
                <w:b w:val="0"/>
                <w:bCs w:val="0"/>
                <w:color w:val="auto"/>
                <w:kern w:val="2"/>
                <w:sz w:val="24"/>
                <w:szCs w:val="24"/>
                <w:highlight w:val="none"/>
                <w:lang w:val="en-US" w:eastAsia="zh-CN"/>
              </w:rPr>
              <w:t xml:space="preserve">  </w:t>
            </w:r>
            <w:r>
              <w:rPr>
                <w:rFonts w:hint="default" w:ascii="Times New Roman" w:hAnsi="Times New Roman" w:eastAsia="黑体" w:cs="Times New Roman"/>
                <w:b w:val="0"/>
                <w:bCs w:val="0"/>
                <w:color w:val="auto"/>
                <w:kern w:val="2"/>
                <w:sz w:val="24"/>
                <w:szCs w:val="24"/>
                <w:highlight w:val="none"/>
                <w:lang w:val="en-US" w:eastAsia="zh"/>
              </w:rPr>
              <w:t>现有工程石灰筒仓废气排放情况表</w:t>
            </w:r>
          </w:p>
          <w:p w14:paraId="7D84FD38">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default" w:ascii="Times New Roman" w:hAnsi="Times New Roman" w:eastAsia="黑体" w:cs="Times New Roman"/>
                <w:b w:val="0"/>
                <w:bCs w:val="0"/>
                <w:color w:val="auto"/>
                <w:kern w:val="2"/>
                <w:sz w:val="15"/>
                <w:szCs w:val="15"/>
                <w:highlight w:val="none"/>
                <w:lang w:eastAsia="zh"/>
              </w:rPr>
            </w:pPr>
            <w:r>
              <w:rPr>
                <w:rFonts w:hint="eastAsia" w:ascii="Times New Roman" w:hAnsi="Times New Roman" w:eastAsia="黑体" w:cs="Times New Roman"/>
                <w:b w:val="0"/>
                <w:bCs w:val="0"/>
                <w:color w:val="auto"/>
                <w:kern w:val="2"/>
                <w:sz w:val="15"/>
                <w:szCs w:val="15"/>
                <w:highlight w:val="none"/>
                <w:lang w:val="en-US" w:eastAsia="zh-CN"/>
              </w:rPr>
              <w:t>单位：</w:t>
            </w:r>
            <w:r>
              <w:rPr>
                <w:rFonts w:hint="default" w:ascii="Times New Roman" w:hAnsi="Times New Roman" w:eastAsia="黑体" w:cs="Times New Roman"/>
                <w:b w:val="0"/>
                <w:bCs w:val="0"/>
                <w:color w:val="auto"/>
                <w:kern w:val="2"/>
                <w:sz w:val="15"/>
                <w:szCs w:val="15"/>
                <w:highlight w:val="none"/>
                <w:lang w:eastAsia="zh"/>
              </w:rPr>
              <w:t>mg/m</w:t>
            </w:r>
            <w:r>
              <w:rPr>
                <w:rFonts w:hint="default" w:ascii="Times New Roman" w:hAnsi="Times New Roman" w:eastAsia="黑体" w:cs="Times New Roman"/>
                <w:b w:val="0"/>
                <w:bCs w:val="0"/>
                <w:color w:val="auto"/>
                <w:kern w:val="2"/>
                <w:sz w:val="15"/>
                <w:szCs w:val="15"/>
                <w:highlight w:val="none"/>
                <w:vertAlign w:val="superscript"/>
                <w:lang w:eastAsia="zh"/>
              </w:rPr>
              <w:t>3</w:t>
            </w:r>
          </w:p>
          <w:tbl>
            <w:tblPr>
              <w:tblStyle w:val="9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07"/>
              <w:gridCol w:w="1091"/>
              <w:gridCol w:w="659"/>
              <w:gridCol w:w="1544"/>
              <w:gridCol w:w="1748"/>
              <w:gridCol w:w="661"/>
              <w:gridCol w:w="874"/>
            </w:tblGrid>
            <w:tr w14:paraId="27470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077" w:type="pct"/>
                  <w:vMerge w:val="restart"/>
                  <w:tcBorders>
                    <w:tl2br w:val="nil"/>
                    <w:tr2bl w:val="nil"/>
                  </w:tcBorders>
                  <w:noWrap w:val="0"/>
                  <w:vAlign w:val="center"/>
                </w:tcPr>
                <w:p w14:paraId="1A018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433472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日期</w:t>
                  </w:r>
                </w:p>
              </w:tc>
              <w:tc>
                <w:tcPr>
                  <w:tcW w:w="650" w:type="pct"/>
                  <w:vMerge w:val="restart"/>
                  <w:tcBorders>
                    <w:tl2br w:val="nil"/>
                    <w:tr2bl w:val="nil"/>
                  </w:tcBorders>
                  <w:noWrap w:val="0"/>
                  <w:vAlign w:val="center"/>
                </w:tcPr>
                <w:p w14:paraId="27CC2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13187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点位</w:t>
                  </w:r>
                </w:p>
              </w:tc>
              <w:tc>
                <w:tcPr>
                  <w:tcW w:w="1313" w:type="pct"/>
                  <w:gridSpan w:val="2"/>
                  <w:tcBorders>
                    <w:tl2br w:val="nil"/>
                    <w:tr2bl w:val="nil"/>
                  </w:tcBorders>
                  <w:noWrap w:val="0"/>
                  <w:vAlign w:val="center"/>
                </w:tcPr>
                <w:p w14:paraId="0E5BF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监测项目及指标</w:t>
                  </w:r>
                </w:p>
              </w:tc>
              <w:tc>
                <w:tcPr>
                  <w:tcW w:w="1042" w:type="pct"/>
                  <w:tcBorders>
                    <w:tl2br w:val="nil"/>
                    <w:tr2bl w:val="nil"/>
                  </w:tcBorders>
                  <w:noWrap w:val="0"/>
                  <w:vAlign w:val="center"/>
                </w:tcPr>
                <w:p w14:paraId="255D43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监测结果</w:t>
                  </w:r>
                  <w:r>
                    <w:rPr>
                      <w:rFonts w:hint="eastAsia" w:cs="Times New Roman"/>
                      <w:b/>
                      <w:bCs/>
                      <w:color w:val="auto"/>
                      <w:kern w:val="2"/>
                      <w:sz w:val="21"/>
                      <w:szCs w:val="21"/>
                      <w:highlight w:val="none"/>
                      <w:lang w:val="en-US" w:eastAsia="zh-CN"/>
                    </w:rPr>
                    <w:t>（均值）</w:t>
                  </w:r>
                </w:p>
              </w:tc>
              <w:tc>
                <w:tcPr>
                  <w:tcW w:w="394" w:type="pct"/>
                  <w:tcBorders>
                    <w:tl2br w:val="nil"/>
                    <w:tr2bl w:val="nil"/>
                  </w:tcBorders>
                  <w:noWrap w:val="0"/>
                  <w:vAlign w:val="center"/>
                </w:tcPr>
                <w:p w14:paraId="20E99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标准值</w:t>
                  </w:r>
                </w:p>
              </w:tc>
              <w:tc>
                <w:tcPr>
                  <w:tcW w:w="521" w:type="pct"/>
                  <w:tcBorders>
                    <w:tl2br w:val="nil"/>
                    <w:tr2bl w:val="nil"/>
                  </w:tcBorders>
                  <w:noWrap w:val="0"/>
                  <w:vAlign w:val="center"/>
                </w:tcPr>
                <w:p w14:paraId="151B1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达标情况</w:t>
                  </w:r>
                </w:p>
              </w:tc>
            </w:tr>
            <w:tr w14:paraId="2A98FE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restart"/>
                  <w:tcBorders>
                    <w:tl2br w:val="nil"/>
                    <w:tr2bl w:val="nil"/>
                  </w:tcBorders>
                  <w:noWrap w:val="0"/>
                  <w:vAlign w:val="center"/>
                </w:tcPr>
                <w:p w14:paraId="7D90C1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w:t>
                  </w:r>
                  <w:r>
                    <w:rPr>
                      <w:rFonts w:hint="eastAsia" w:cs="Times New Roman"/>
                      <w:color w:val="auto"/>
                      <w:kern w:val="2"/>
                      <w:sz w:val="21"/>
                      <w:szCs w:val="21"/>
                      <w:highlight w:val="none"/>
                      <w:lang w:val="en-US" w:eastAsia="zh-CN"/>
                    </w:rPr>
                    <w:t>4</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8.23-2024.8.24</w:t>
                  </w:r>
                </w:p>
              </w:tc>
              <w:tc>
                <w:tcPr>
                  <w:tcW w:w="650" w:type="pct"/>
                  <w:vMerge w:val="restart"/>
                  <w:tcBorders>
                    <w:tl2br w:val="nil"/>
                    <w:tr2bl w:val="nil"/>
                  </w:tcBorders>
                  <w:noWrap w:val="0"/>
                  <w:vAlign w:val="center"/>
                </w:tcPr>
                <w:p w14:paraId="138701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石灰筒仓排气筒</w:t>
                  </w:r>
                </w:p>
              </w:tc>
              <w:tc>
                <w:tcPr>
                  <w:tcW w:w="393" w:type="pct"/>
                  <w:vMerge w:val="restart"/>
                  <w:tcBorders>
                    <w:tl2br w:val="nil"/>
                    <w:tr2bl w:val="nil"/>
                  </w:tcBorders>
                  <w:noWrap w:val="0"/>
                  <w:vAlign w:val="center"/>
                </w:tcPr>
                <w:p w14:paraId="25A5E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颗粒物</w:t>
                  </w:r>
                </w:p>
              </w:tc>
              <w:tc>
                <w:tcPr>
                  <w:tcW w:w="920" w:type="pct"/>
                  <w:tcBorders>
                    <w:tl2br w:val="nil"/>
                    <w:tr2bl w:val="nil"/>
                  </w:tcBorders>
                  <w:noWrap w:val="0"/>
                  <w:vAlign w:val="center"/>
                </w:tcPr>
                <w:p w14:paraId="0DAC80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标干流量Nm³/h</w:t>
                  </w:r>
                </w:p>
              </w:tc>
              <w:tc>
                <w:tcPr>
                  <w:tcW w:w="1042" w:type="pct"/>
                  <w:tcBorders>
                    <w:tl2br w:val="nil"/>
                    <w:tr2bl w:val="nil"/>
                  </w:tcBorders>
                  <w:noWrap w:val="0"/>
                  <w:vAlign w:val="center"/>
                </w:tcPr>
                <w:p w14:paraId="76D8A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696</w:t>
                  </w:r>
                </w:p>
              </w:tc>
              <w:tc>
                <w:tcPr>
                  <w:tcW w:w="394" w:type="pct"/>
                  <w:tcBorders>
                    <w:tl2br w:val="nil"/>
                    <w:tr2bl w:val="nil"/>
                  </w:tcBorders>
                  <w:noWrap w:val="0"/>
                  <w:vAlign w:val="center"/>
                </w:tcPr>
                <w:p w14:paraId="3CD519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40AC5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4AB801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6198C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2DB7B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06676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26F4A7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实测浓度mg/m³</w:t>
                  </w:r>
                </w:p>
              </w:tc>
              <w:tc>
                <w:tcPr>
                  <w:tcW w:w="1042" w:type="pct"/>
                  <w:tcBorders>
                    <w:tl2br w:val="nil"/>
                    <w:tr2bl w:val="nil"/>
                  </w:tcBorders>
                  <w:noWrap w:val="0"/>
                  <w:vAlign w:val="center"/>
                </w:tcPr>
                <w:p w14:paraId="060AD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4.0</w:t>
                  </w:r>
                </w:p>
              </w:tc>
              <w:tc>
                <w:tcPr>
                  <w:tcW w:w="394" w:type="pct"/>
                  <w:tcBorders>
                    <w:tl2br w:val="nil"/>
                    <w:tr2bl w:val="nil"/>
                  </w:tcBorders>
                  <w:noWrap w:val="0"/>
                  <w:vAlign w:val="center"/>
                </w:tcPr>
                <w:p w14:paraId="146ECA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521" w:type="pct"/>
                  <w:tcBorders>
                    <w:tl2br w:val="nil"/>
                    <w:tr2bl w:val="nil"/>
                  </w:tcBorders>
                  <w:noWrap w:val="0"/>
                  <w:vAlign w:val="center"/>
                </w:tcPr>
                <w:p w14:paraId="620490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达标</w:t>
                  </w:r>
                </w:p>
              </w:tc>
            </w:tr>
            <w:tr w14:paraId="0EAB8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77" w:type="pct"/>
                  <w:vMerge w:val="continue"/>
                  <w:tcBorders>
                    <w:tl2br w:val="nil"/>
                    <w:tr2bl w:val="nil"/>
                  </w:tcBorders>
                  <w:noWrap w:val="0"/>
                  <w:vAlign w:val="center"/>
                </w:tcPr>
                <w:p w14:paraId="7B66A2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650" w:type="pct"/>
                  <w:vMerge w:val="continue"/>
                  <w:tcBorders>
                    <w:tl2br w:val="nil"/>
                    <w:tr2bl w:val="nil"/>
                  </w:tcBorders>
                  <w:noWrap w:val="0"/>
                  <w:vAlign w:val="center"/>
                </w:tcPr>
                <w:p w14:paraId="25227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393" w:type="pct"/>
                  <w:vMerge w:val="continue"/>
                  <w:tcBorders>
                    <w:tl2br w:val="nil"/>
                    <w:tr2bl w:val="nil"/>
                  </w:tcBorders>
                  <w:noWrap w:val="0"/>
                  <w:vAlign w:val="center"/>
                </w:tcPr>
                <w:p w14:paraId="61B79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920" w:type="pct"/>
                  <w:tcBorders>
                    <w:tl2br w:val="nil"/>
                    <w:tr2bl w:val="nil"/>
                  </w:tcBorders>
                  <w:noWrap w:val="0"/>
                  <w:vAlign w:val="center"/>
                </w:tcPr>
                <w:p w14:paraId="1D2ECD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排放速率Kg/h</w:t>
                  </w:r>
                </w:p>
              </w:tc>
              <w:tc>
                <w:tcPr>
                  <w:tcW w:w="1042" w:type="pct"/>
                  <w:tcBorders>
                    <w:tl2br w:val="nil"/>
                    <w:tr2bl w:val="nil"/>
                  </w:tcBorders>
                  <w:noWrap w:val="0"/>
                  <w:vAlign w:val="center"/>
                </w:tcPr>
                <w:p w14:paraId="60EB5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0.0028</w:t>
                  </w:r>
                </w:p>
              </w:tc>
              <w:tc>
                <w:tcPr>
                  <w:tcW w:w="394" w:type="pct"/>
                  <w:tcBorders>
                    <w:tl2br w:val="nil"/>
                    <w:tr2bl w:val="nil"/>
                  </w:tcBorders>
                  <w:noWrap w:val="0"/>
                  <w:vAlign w:val="center"/>
                </w:tcPr>
                <w:p w14:paraId="1A5C40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521" w:type="pct"/>
                  <w:tcBorders>
                    <w:tl2br w:val="nil"/>
                    <w:tr2bl w:val="nil"/>
                  </w:tcBorders>
                  <w:noWrap w:val="0"/>
                  <w:vAlign w:val="center"/>
                </w:tcPr>
                <w:p w14:paraId="4588B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bl>
          <w:p w14:paraId="5A79A7E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
              </w:rPr>
              <w:t>根据监测数据可知，现有工程</w:t>
            </w:r>
            <w:r>
              <w:rPr>
                <w:rFonts w:hint="default" w:ascii="Times New Roman" w:hAnsi="Times New Roman" w:cs="Times New Roman"/>
                <w:color w:val="auto"/>
                <w:sz w:val="24"/>
                <w:szCs w:val="24"/>
              </w:rPr>
              <w:t>原料破碎筛分产生的</w:t>
            </w:r>
            <w:r>
              <w:rPr>
                <w:rFonts w:hint="default" w:ascii="Times New Roman" w:hAnsi="Times New Roman" w:cs="Times New Roman"/>
                <w:color w:val="auto"/>
                <w:sz w:val="24"/>
                <w:szCs w:val="24"/>
                <w:lang w:eastAsia="zh"/>
              </w:rPr>
              <w:t>污染物颗粒物有组织排放浓度满足《长治市人民政府办公室关于印发长治市大气和水污染物排放管控要求的通知》（长政办规〔2023〕1号）砖瓦行业管控要求</w:t>
            </w:r>
            <w:r>
              <w:rPr>
                <w:rFonts w:hint="eastAsia" w:ascii="Times New Roman" w:hAnsi="Times New Roman" w:cs="Times New Roman"/>
                <w:color w:val="auto"/>
                <w:sz w:val="24"/>
                <w:szCs w:val="24"/>
                <w:lang w:eastAsia="zh-CN"/>
              </w:rPr>
              <w:t>。</w:t>
            </w:r>
          </w:p>
          <w:p w14:paraId="03243BCA">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
              </w:rPr>
            </w:pPr>
            <w:r>
              <w:rPr>
                <w:rFonts w:hint="eastAsia" w:ascii="Times New Roman" w:hAnsi="Times New Roman" w:eastAsia="黑体" w:cs="Times New Roman"/>
                <w:b w:val="0"/>
                <w:bCs w:val="0"/>
                <w:color w:val="auto"/>
                <w:kern w:val="2"/>
                <w:sz w:val="24"/>
                <w:szCs w:val="24"/>
                <w:highlight w:val="none"/>
                <w:lang w:val="en-US" w:eastAsia="zh"/>
              </w:rPr>
              <w:t>表</w:t>
            </w:r>
            <w:r>
              <w:rPr>
                <w:rFonts w:hint="eastAsia" w:ascii="Times New Roman" w:hAnsi="Times New Roman" w:eastAsia="黑体" w:cs="Times New Roman"/>
                <w:b w:val="0"/>
                <w:bCs w:val="0"/>
                <w:color w:val="auto"/>
                <w:kern w:val="2"/>
                <w:sz w:val="24"/>
                <w:szCs w:val="24"/>
                <w:highlight w:val="none"/>
                <w:lang w:val="en-US" w:eastAsia="zh-CN"/>
              </w:rPr>
              <w:t xml:space="preserve">2-19  </w:t>
            </w:r>
            <w:r>
              <w:rPr>
                <w:rFonts w:hint="eastAsia" w:ascii="Times New Roman" w:hAnsi="Times New Roman" w:eastAsia="黑体" w:cs="Times New Roman"/>
                <w:b w:val="0"/>
                <w:bCs w:val="0"/>
                <w:color w:val="auto"/>
                <w:kern w:val="2"/>
                <w:sz w:val="24"/>
                <w:szCs w:val="24"/>
                <w:highlight w:val="none"/>
                <w:lang w:val="en-US" w:eastAsia="zh"/>
              </w:rPr>
              <w:t>现有工程隧道窑废气排放情况表</w:t>
            </w:r>
          </w:p>
          <w:p w14:paraId="2C5E4388">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eastAsia" w:ascii="Times New Roman" w:hAnsi="Times New Roman" w:eastAsia="黑体" w:cs="Times New Roman"/>
                <w:b w:val="0"/>
                <w:bCs w:val="0"/>
                <w:color w:val="auto"/>
                <w:kern w:val="2"/>
                <w:sz w:val="15"/>
                <w:szCs w:val="15"/>
                <w:highlight w:val="none"/>
                <w:lang w:val="en-US" w:eastAsia="zh"/>
              </w:rPr>
            </w:pPr>
            <w:r>
              <w:rPr>
                <w:rFonts w:hint="eastAsia" w:ascii="Times New Roman" w:hAnsi="Times New Roman" w:eastAsia="黑体" w:cs="Times New Roman"/>
                <w:b w:val="0"/>
                <w:bCs w:val="0"/>
                <w:color w:val="auto"/>
                <w:kern w:val="2"/>
                <w:sz w:val="15"/>
                <w:szCs w:val="15"/>
                <w:highlight w:val="none"/>
                <w:lang w:val="en-US" w:eastAsia="zh-CN"/>
              </w:rPr>
              <w:t>单位：</w:t>
            </w:r>
            <w:r>
              <w:rPr>
                <w:rFonts w:hint="eastAsia" w:ascii="Times New Roman" w:hAnsi="Times New Roman" w:eastAsia="黑体" w:cs="Times New Roman"/>
                <w:b w:val="0"/>
                <w:bCs w:val="0"/>
                <w:color w:val="auto"/>
                <w:kern w:val="2"/>
                <w:sz w:val="15"/>
                <w:szCs w:val="15"/>
                <w:highlight w:val="none"/>
                <w:lang w:val="en-US" w:eastAsia="zh"/>
              </w:rPr>
              <w:t>mg/m</w:t>
            </w:r>
            <w:r>
              <w:rPr>
                <w:rFonts w:hint="eastAsia" w:ascii="Times New Roman" w:hAnsi="Times New Roman" w:eastAsia="黑体" w:cs="Times New Roman"/>
                <w:b w:val="0"/>
                <w:bCs w:val="0"/>
                <w:color w:val="auto"/>
                <w:kern w:val="2"/>
                <w:sz w:val="15"/>
                <w:szCs w:val="15"/>
                <w:highlight w:val="none"/>
                <w:vertAlign w:val="superscript"/>
                <w:lang w:val="en-US" w:eastAsia="zh"/>
              </w:rPr>
              <w:t>3</w:t>
            </w:r>
          </w:p>
          <w:tbl>
            <w:tblPr>
              <w:tblStyle w:val="9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77"/>
              <w:gridCol w:w="831"/>
              <w:gridCol w:w="1893"/>
              <w:gridCol w:w="2203"/>
              <w:gridCol w:w="626"/>
              <w:gridCol w:w="554"/>
            </w:tblGrid>
            <w:tr w14:paraId="4E249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358" w:type="pct"/>
                  <w:vMerge w:val="restart"/>
                  <w:tcBorders>
                    <w:tl2br w:val="nil"/>
                    <w:tr2bl w:val="nil"/>
                  </w:tcBorders>
                  <w:noWrap w:val="0"/>
                  <w:vAlign w:val="center"/>
                </w:tcPr>
                <w:p w14:paraId="05DDA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w:t>
                  </w:r>
                </w:p>
                <w:p w14:paraId="7D39B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时间</w:t>
                  </w:r>
                </w:p>
              </w:tc>
              <w:tc>
                <w:tcPr>
                  <w:tcW w:w="1623" w:type="pct"/>
                  <w:gridSpan w:val="2"/>
                  <w:tcBorders>
                    <w:tl2br w:val="nil"/>
                    <w:tr2bl w:val="nil"/>
                  </w:tcBorders>
                  <w:noWrap w:val="0"/>
                  <w:vAlign w:val="center"/>
                </w:tcPr>
                <w:p w14:paraId="3DE921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监测项目及指标</w:t>
                  </w:r>
                </w:p>
              </w:tc>
              <w:tc>
                <w:tcPr>
                  <w:tcW w:w="1313" w:type="pct"/>
                  <w:tcBorders>
                    <w:tl2br w:val="nil"/>
                    <w:tr2bl w:val="nil"/>
                  </w:tcBorders>
                  <w:noWrap w:val="0"/>
                  <w:vAlign w:val="center"/>
                </w:tcPr>
                <w:p w14:paraId="76B51B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监测结果</w:t>
                  </w:r>
                  <w:r>
                    <w:rPr>
                      <w:rFonts w:hint="eastAsia" w:cs="Times New Roman"/>
                      <w:b/>
                      <w:bCs/>
                      <w:color w:val="auto"/>
                      <w:kern w:val="2"/>
                      <w:sz w:val="21"/>
                      <w:szCs w:val="21"/>
                      <w:highlight w:val="none"/>
                      <w:lang w:val="en-US" w:eastAsia="zh-CN"/>
                    </w:rPr>
                    <w:t>（均值）</w:t>
                  </w:r>
                </w:p>
              </w:tc>
              <w:tc>
                <w:tcPr>
                  <w:tcW w:w="373" w:type="pct"/>
                  <w:tcBorders>
                    <w:tl2br w:val="nil"/>
                    <w:tr2bl w:val="nil"/>
                  </w:tcBorders>
                  <w:noWrap w:val="0"/>
                  <w:vAlign w:val="center"/>
                </w:tcPr>
                <w:p w14:paraId="5BD3D1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标准</w:t>
                  </w:r>
                </w:p>
                <w:p w14:paraId="56A6E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限值</w:t>
                  </w:r>
                </w:p>
              </w:tc>
              <w:tc>
                <w:tcPr>
                  <w:tcW w:w="330" w:type="pct"/>
                  <w:tcBorders>
                    <w:tl2br w:val="nil"/>
                    <w:tr2bl w:val="nil"/>
                  </w:tcBorders>
                  <w:noWrap w:val="0"/>
                  <w:vAlign w:val="center"/>
                </w:tcPr>
                <w:p w14:paraId="32BD6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达标</w:t>
                  </w:r>
                </w:p>
                <w:p w14:paraId="70A520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情况</w:t>
                  </w:r>
                </w:p>
              </w:tc>
            </w:tr>
            <w:tr w14:paraId="69E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restart"/>
                  <w:tcBorders>
                    <w:tl2br w:val="nil"/>
                    <w:tr2bl w:val="nil"/>
                  </w:tcBorders>
                  <w:noWrap w:val="0"/>
                  <w:vAlign w:val="center"/>
                </w:tcPr>
                <w:p w14:paraId="7257D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w:t>
                  </w:r>
                  <w:r>
                    <w:rPr>
                      <w:rFonts w:hint="eastAsia" w:cs="Times New Roman"/>
                      <w:color w:val="auto"/>
                      <w:kern w:val="2"/>
                      <w:sz w:val="21"/>
                      <w:szCs w:val="21"/>
                      <w:highlight w:val="none"/>
                      <w:lang w:val="en-US" w:eastAsia="zh-CN"/>
                    </w:rPr>
                    <w:t>4</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8.23-2024.8.24</w:t>
                  </w:r>
                </w:p>
              </w:tc>
              <w:tc>
                <w:tcPr>
                  <w:tcW w:w="1623" w:type="pct"/>
                  <w:gridSpan w:val="2"/>
                  <w:tcBorders>
                    <w:tl2br w:val="nil"/>
                    <w:tr2bl w:val="nil"/>
                  </w:tcBorders>
                  <w:noWrap w:val="0"/>
                  <w:vAlign w:val="center"/>
                </w:tcPr>
                <w:p w14:paraId="6475D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标干流量Nm³/h</w:t>
                  </w:r>
                </w:p>
              </w:tc>
              <w:tc>
                <w:tcPr>
                  <w:tcW w:w="1313" w:type="pct"/>
                  <w:tcBorders>
                    <w:tl2br w:val="nil"/>
                    <w:tr2bl w:val="nil"/>
                  </w:tcBorders>
                  <w:noWrap w:val="0"/>
                  <w:vAlign w:val="center"/>
                </w:tcPr>
                <w:p w14:paraId="4602E6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38679</w:t>
                  </w:r>
                </w:p>
              </w:tc>
              <w:tc>
                <w:tcPr>
                  <w:tcW w:w="373" w:type="pct"/>
                  <w:tcBorders>
                    <w:tl2br w:val="nil"/>
                    <w:tr2bl w:val="nil"/>
                  </w:tcBorders>
                  <w:noWrap w:val="0"/>
                  <w:vAlign w:val="center"/>
                </w:tcPr>
                <w:p w14:paraId="2BD7F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c>
                <w:tcPr>
                  <w:tcW w:w="330" w:type="pct"/>
                  <w:tcBorders>
                    <w:tl2br w:val="nil"/>
                    <w:tr2bl w:val="nil"/>
                  </w:tcBorders>
                  <w:noWrap w:val="0"/>
                  <w:vAlign w:val="center"/>
                </w:tcPr>
                <w:p w14:paraId="5C6CD6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731D6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0FB50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restart"/>
                  <w:tcBorders>
                    <w:tl2br w:val="nil"/>
                    <w:tr2bl w:val="nil"/>
                  </w:tcBorders>
                  <w:noWrap w:val="0"/>
                  <w:vAlign w:val="center"/>
                </w:tcPr>
                <w:p w14:paraId="07EAC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颗粒物</w:t>
                  </w:r>
                </w:p>
              </w:tc>
              <w:tc>
                <w:tcPr>
                  <w:tcW w:w="1127" w:type="pct"/>
                  <w:tcBorders>
                    <w:tl2br w:val="nil"/>
                    <w:tr2bl w:val="nil"/>
                  </w:tcBorders>
                  <w:noWrap w:val="0"/>
                  <w:vAlign w:val="center"/>
                </w:tcPr>
                <w:p w14:paraId="5F5EF5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排放</w:t>
                  </w:r>
                  <w:r>
                    <w:rPr>
                      <w:rFonts w:hint="default" w:ascii="Times New Roman" w:hAnsi="Times New Roman" w:eastAsia="宋体" w:cs="Times New Roman"/>
                      <w:color w:val="auto"/>
                      <w:kern w:val="2"/>
                      <w:sz w:val="21"/>
                      <w:szCs w:val="21"/>
                      <w:highlight w:val="none"/>
                      <w:lang w:val="en-US" w:eastAsia="zh-CN"/>
                    </w:rPr>
                    <w:t>浓度mg/m³</w:t>
                  </w:r>
                </w:p>
              </w:tc>
              <w:tc>
                <w:tcPr>
                  <w:tcW w:w="1313" w:type="pct"/>
                  <w:tcBorders>
                    <w:tl2br w:val="nil"/>
                    <w:tr2bl w:val="nil"/>
                  </w:tcBorders>
                  <w:noWrap w:val="0"/>
                  <w:vAlign w:val="center"/>
                </w:tcPr>
                <w:p w14:paraId="2D2AA3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3.4</w:t>
                  </w:r>
                </w:p>
              </w:tc>
              <w:tc>
                <w:tcPr>
                  <w:tcW w:w="373" w:type="pct"/>
                  <w:tcBorders>
                    <w:tl2br w:val="nil"/>
                    <w:tr2bl w:val="nil"/>
                  </w:tcBorders>
                  <w:noWrap w:val="0"/>
                  <w:vAlign w:val="center"/>
                </w:tcPr>
                <w:p w14:paraId="61AD2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w:t>
                  </w:r>
                </w:p>
              </w:tc>
              <w:tc>
                <w:tcPr>
                  <w:tcW w:w="330" w:type="pct"/>
                  <w:tcBorders>
                    <w:tl2br w:val="nil"/>
                    <w:tr2bl w:val="nil"/>
                  </w:tcBorders>
                  <w:noWrap w:val="0"/>
                  <w:vAlign w:val="center"/>
                </w:tcPr>
                <w:p w14:paraId="2293A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达标</w:t>
                  </w:r>
                </w:p>
              </w:tc>
            </w:tr>
            <w:tr w14:paraId="34CCB4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5AD2A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continue"/>
                  <w:tcBorders>
                    <w:tl2br w:val="nil"/>
                    <w:tr2bl w:val="nil"/>
                  </w:tcBorders>
                  <w:noWrap w:val="0"/>
                  <w:vAlign w:val="center"/>
                </w:tcPr>
                <w:p w14:paraId="39903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1127" w:type="pct"/>
                  <w:tcBorders>
                    <w:tl2br w:val="nil"/>
                    <w:tr2bl w:val="nil"/>
                  </w:tcBorders>
                  <w:noWrap w:val="0"/>
                  <w:vAlign w:val="center"/>
                </w:tcPr>
                <w:p w14:paraId="237BE5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排放速率</w:t>
                  </w:r>
                  <w:r>
                    <w:rPr>
                      <w:rFonts w:hint="default" w:ascii="Times New Roman" w:hAnsi="Times New Roman" w:cs="Times New Roman"/>
                      <w:color w:val="auto"/>
                      <w:kern w:val="2"/>
                      <w:sz w:val="21"/>
                      <w:szCs w:val="21"/>
                      <w:highlight w:val="none"/>
                      <w:lang w:val="en-US" w:eastAsia="zh-CN"/>
                    </w:rPr>
                    <w:t>k</w:t>
                  </w:r>
                  <w:r>
                    <w:rPr>
                      <w:rFonts w:hint="default" w:ascii="Times New Roman" w:hAnsi="Times New Roman" w:eastAsia="宋体" w:cs="Times New Roman"/>
                      <w:color w:val="auto"/>
                      <w:kern w:val="2"/>
                      <w:sz w:val="21"/>
                      <w:szCs w:val="21"/>
                      <w:highlight w:val="none"/>
                      <w:lang w:val="en-US" w:eastAsia="zh-CN"/>
                    </w:rPr>
                    <w:t>g/h</w:t>
                  </w:r>
                </w:p>
              </w:tc>
              <w:tc>
                <w:tcPr>
                  <w:tcW w:w="1313" w:type="pct"/>
                  <w:tcBorders>
                    <w:tl2br w:val="nil"/>
                    <w:tr2bl w:val="nil"/>
                  </w:tcBorders>
                  <w:noWrap w:val="0"/>
                  <w:vAlign w:val="center"/>
                </w:tcPr>
                <w:p w14:paraId="6AD5CE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0.13</w:t>
                  </w:r>
                </w:p>
              </w:tc>
              <w:tc>
                <w:tcPr>
                  <w:tcW w:w="373" w:type="pct"/>
                  <w:tcBorders>
                    <w:tl2br w:val="nil"/>
                    <w:tr2bl w:val="nil"/>
                  </w:tcBorders>
                  <w:noWrap w:val="0"/>
                  <w:vAlign w:val="center"/>
                </w:tcPr>
                <w:p w14:paraId="7118A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0.163</w:t>
                  </w:r>
                </w:p>
              </w:tc>
              <w:tc>
                <w:tcPr>
                  <w:tcW w:w="330" w:type="pct"/>
                  <w:tcBorders>
                    <w:tl2br w:val="nil"/>
                    <w:tr2bl w:val="nil"/>
                  </w:tcBorders>
                  <w:noWrap w:val="0"/>
                  <w:vAlign w:val="center"/>
                </w:tcPr>
                <w:p w14:paraId="7BA6F9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6F5CAF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24E83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restart"/>
                  <w:tcBorders>
                    <w:tl2br w:val="nil"/>
                    <w:tr2bl w:val="nil"/>
                  </w:tcBorders>
                  <w:noWrap w:val="0"/>
                  <w:vAlign w:val="center"/>
                </w:tcPr>
                <w:p w14:paraId="5EB44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SO₂</w:t>
                  </w:r>
                </w:p>
              </w:tc>
              <w:tc>
                <w:tcPr>
                  <w:tcW w:w="1127" w:type="pct"/>
                  <w:tcBorders>
                    <w:tl2br w:val="nil"/>
                    <w:tr2bl w:val="nil"/>
                  </w:tcBorders>
                  <w:noWrap w:val="0"/>
                  <w:vAlign w:val="center"/>
                </w:tcPr>
                <w:p w14:paraId="14041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排放</w:t>
                  </w:r>
                  <w:r>
                    <w:rPr>
                      <w:rFonts w:hint="default" w:ascii="Times New Roman" w:hAnsi="Times New Roman" w:eastAsia="宋体" w:cs="Times New Roman"/>
                      <w:color w:val="auto"/>
                      <w:kern w:val="2"/>
                      <w:sz w:val="21"/>
                      <w:szCs w:val="21"/>
                      <w:highlight w:val="none"/>
                      <w:lang w:val="en-US" w:eastAsia="zh-CN"/>
                    </w:rPr>
                    <w:t>浓度mg/m³</w:t>
                  </w:r>
                </w:p>
              </w:tc>
              <w:tc>
                <w:tcPr>
                  <w:tcW w:w="1313" w:type="pct"/>
                  <w:tcBorders>
                    <w:tl2br w:val="nil"/>
                    <w:tr2bl w:val="nil"/>
                  </w:tcBorders>
                  <w:noWrap w:val="0"/>
                  <w:vAlign w:val="center"/>
                </w:tcPr>
                <w:p w14:paraId="4F82C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10.5</w:t>
                  </w:r>
                </w:p>
              </w:tc>
              <w:tc>
                <w:tcPr>
                  <w:tcW w:w="373" w:type="pct"/>
                  <w:tcBorders>
                    <w:tl2br w:val="nil"/>
                    <w:tr2bl w:val="nil"/>
                  </w:tcBorders>
                  <w:noWrap w:val="0"/>
                  <w:vAlign w:val="center"/>
                </w:tcPr>
                <w:p w14:paraId="29FB5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330" w:type="pct"/>
                  <w:tcBorders>
                    <w:tl2br w:val="nil"/>
                    <w:tr2bl w:val="nil"/>
                  </w:tcBorders>
                  <w:noWrap w:val="0"/>
                  <w:vAlign w:val="center"/>
                </w:tcPr>
                <w:p w14:paraId="6ACFB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达标</w:t>
                  </w:r>
                </w:p>
              </w:tc>
            </w:tr>
            <w:tr w14:paraId="1BDFE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127AC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continue"/>
                  <w:tcBorders>
                    <w:tl2br w:val="nil"/>
                    <w:tr2bl w:val="nil"/>
                  </w:tcBorders>
                  <w:noWrap w:val="0"/>
                  <w:vAlign w:val="center"/>
                </w:tcPr>
                <w:p w14:paraId="149D4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1127" w:type="pct"/>
                  <w:tcBorders>
                    <w:tl2br w:val="nil"/>
                    <w:tr2bl w:val="nil"/>
                  </w:tcBorders>
                  <w:noWrap w:val="0"/>
                  <w:vAlign w:val="center"/>
                </w:tcPr>
                <w:p w14:paraId="7B69D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排放速率</w:t>
                  </w:r>
                  <w:r>
                    <w:rPr>
                      <w:rFonts w:hint="default" w:ascii="Times New Roman" w:hAnsi="Times New Roman" w:cs="Times New Roman"/>
                      <w:color w:val="auto"/>
                      <w:kern w:val="2"/>
                      <w:sz w:val="21"/>
                      <w:szCs w:val="21"/>
                      <w:highlight w:val="none"/>
                      <w:lang w:val="en-US" w:eastAsia="zh-CN"/>
                    </w:rPr>
                    <w:t>k</w:t>
                  </w:r>
                  <w:r>
                    <w:rPr>
                      <w:rFonts w:hint="default" w:ascii="Times New Roman" w:hAnsi="Times New Roman" w:eastAsia="宋体" w:cs="Times New Roman"/>
                      <w:color w:val="auto"/>
                      <w:kern w:val="2"/>
                      <w:sz w:val="21"/>
                      <w:szCs w:val="21"/>
                      <w:highlight w:val="none"/>
                      <w:lang w:val="en-US" w:eastAsia="zh-CN"/>
                    </w:rPr>
                    <w:t>g/h</w:t>
                  </w:r>
                </w:p>
              </w:tc>
              <w:tc>
                <w:tcPr>
                  <w:tcW w:w="1313" w:type="pct"/>
                  <w:tcBorders>
                    <w:tl2br w:val="nil"/>
                    <w:tr2bl w:val="nil"/>
                  </w:tcBorders>
                  <w:noWrap w:val="0"/>
                  <w:vAlign w:val="center"/>
                </w:tcPr>
                <w:p w14:paraId="52CF6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0.41</w:t>
                  </w:r>
                </w:p>
              </w:tc>
              <w:tc>
                <w:tcPr>
                  <w:tcW w:w="373" w:type="pct"/>
                  <w:tcBorders>
                    <w:tl2br w:val="nil"/>
                    <w:tr2bl w:val="nil"/>
                  </w:tcBorders>
                  <w:noWrap w:val="0"/>
                  <w:vAlign w:val="center"/>
                </w:tcPr>
                <w:p w14:paraId="0925B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0.473</w:t>
                  </w:r>
                </w:p>
              </w:tc>
              <w:tc>
                <w:tcPr>
                  <w:tcW w:w="330" w:type="pct"/>
                  <w:tcBorders>
                    <w:tl2br w:val="nil"/>
                    <w:tr2bl w:val="nil"/>
                  </w:tcBorders>
                  <w:noWrap w:val="0"/>
                  <w:vAlign w:val="center"/>
                </w:tcPr>
                <w:p w14:paraId="0ECC8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678350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2B56CB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restart"/>
                  <w:tcBorders>
                    <w:tl2br w:val="nil"/>
                    <w:tr2bl w:val="nil"/>
                  </w:tcBorders>
                  <w:noWrap w:val="0"/>
                  <w:vAlign w:val="center"/>
                </w:tcPr>
                <w:p w14:paraId="58473F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NOx</w:t>
                  </w:r>
                </w:p>
              </w:tc>
              <w:tc>
                <w:tcPr>
                  <w:tcW w:w="1127" w:type="pct"/>
                  <w:tcBorders>
                    <w:tl2br w:val="nil"/>
                    <w:tr2bl w:val="nil"/>
                  </w:tcBorders>
                  <w:noWrap w:val="0"/>
                  <w:vAlign w:val="center"/>
                </w:tcPr>
                <w:p w14:paraId="30516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排放</w:t>
                  </w:r>
                  <w:r>
                    <w:rPr>
                      <w:rFonts w:hint="default" w:ascii="Times New Roman" w:hAnsi="Times New Roman" w:eastAsia="宋体" w:cs="Times New Roman"/>
                      <w:color w:val="auto"/>
                      <w:kern w:val="2"/>
                      <w:sz w:val="21"/>
                      <w:szCs w:val="21"/>
                      <w:highlight w:val="none"/>
                      <w:lang w:val="en-US" w:eastAsia="zh-CN"/>
                    </w:rPr>
                    <w:t>浓度mg/m³</w:t>
                  </w:r>
                </w:p>
              </w:tc>
              <w:tc>
                <w:tcPr>
                  <w:tcW w:w="1313" w:type="pct"/>
                  <w:tcBorders>
                    <w:tl2br w:val="nil"/>
                    <w:tr2bl w:val="nil"/>
                  </w:tcBorders>
                  <w:noWrap w:val="0"/>
                  <w:vAlign w:val="center"/>
                </w:tcPr>
                <w:p w14:paraId="6A14DE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32</w:t>
                  </w:r>
                </w:p>
              </w:tc>
              <w:tc>
                <w:tcPr>
                  <w:tcW w:w="373" w:type="pct"/>
                  <w:tcBorders>
                    <w:tl2br w:val="nil"/>
                    <w:tr2bl w:val="nil"/>
                  </w:tcBorders>
                  <w:noWrap w:val="0"/>
                  <w:vAlign w:val="center"/>
                </w:tcPr>
                <w:p w14:paraId="1AE84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330" w:type="pct"/>
                  <w:tcBorders>
                    <w:tl2br w:val="nil"/>
                    <w:tr2bl w:val="nil"/>
                  </w:tcBorders>
                  <w:noWrap w:val="0"/>
                  <w:vAlign w:val="center"/>
                </w:tcPr>
                <w:p w14:paraId="748ED0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达标</w:t>
                  </w:r>
                </w:p>
              </w:tc>
            </w:tr>
            <w:tr w14:paraId="2DBB54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32C77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continue"/>
                  <w:tcBorders>
                    <w:tl2br w:val="nil"/>
                    <w:tr2bl w:val="nil"/>
                  </w:tcBorders>
                  <w:noWrap w:val="0"/>
                  <w:vAlign w:val="center"/>
                </w:tcPr>
                <w:p w14:paraId="505735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1127" w:type="pct"/>
                  <w:tcBorders>
                    <w:tl2br w:val="nil"/>
                    <w:tr2bl w:val="nil"/>
                  </w:tcBorders>
                  <w:noWrap w:val="0"/>
                  <w:vAlign w:val="center"/>
                </w:tcPr>
                <w:p w14:paraId="61889C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排放速率</w:t>
                  </w:r>
                  <w:r>
                    <w:rPr>
                      <w:rFonts w:hint="default" w:ascii="Times New Roman" w:hAnsi="Times New Roman" w:cs="Times New Roman"/>
                      <w:color w:val="auto"/>
                      <w:kern w:val="2"/>
                      <w:sz w:val="21"/>
                      <w:szCs w:val="21"/>
                      <w:highlight w:val="none"/>
                      <w:lang w:val="en-US" w:eastAsia="zh-CN"/>
                    </w:rPr>
                    <w:t>k</w:t>
                  </w:r>
                  <w:r>
                    <w:rPr>
                      <w:rFonts w:hint="default" w:ascii="Times New Roman" w:hAnsi="Times New Roman" w:eastAsia="宋体" w:cs="Times New Roman"/>
                      <w:color w:val="auto"/>
                      <w:kern w:val="2"/>
                      <w:sz w:val="21"/>
                      <w:szCs w:val="21"/>
                      <w:highlight w:val="none"/>
                      <w:lang w:val="en-US" w:eastAsia="zh-CN"/>
                    </w:rPr>
                    <w:t>g/h</w:t>
                  </w:r>
                </w:p>
              </w:tc>
              <w:tc>
                <w:tcPr>
                  <w:tcW w:w="1313" w:type="pct"/>
                  <w:tcBorders>
                    <w:tl2br w:val="nil"/>
                    <w:tr2bl w:val="nil"/>
                  </w:tcBorders>
                  <w:noWrap w:val="0"/>
                  <w:vAlign w:val="center"/>
                </w:tcPr>
                <w:p w14:paraId="7F95C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1.2</w:t>
                  </w:r>
                </w:p>
              </w:tc>
              <w:tc>
                <w:tcPr>
                  <w:tcW w:w="373" w:type="pct"/>
                  <w:tcBorders>
                    <w:tl2br w:val="nil"/>
                    <w:tr2bl w:val="nil"/>
                  </w:tcBorders>
                  <w:noWrap w:val="0"/>
                  <w:vAlign w:val="center"/>
                </w:tcPr>
                <w:p w14:paraId="5AE25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2.04</w:t>
                  </w:r>
                </w:p>
              </w:tc>
              <w:tc>
                <w:tcPr>
                  <w:tcW w:w="330" w:type="pct"/>
                  <w:tcBorders>
                    <w:tl2br w:val="nil"/>
                    <w:tr2bl w:val="nil"/>
                  </w:tcBorders>
                  <w:noWrap w:val="0"/>
                  <w:vAlign w:val="center"/>
                </w:tcPr>
                <w:p w14:paraId="51A69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r w14:paraId="71E5F3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4D1251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restart"/>
                  <w:tcBorders>
                    <w:tl2br w:val="nil"/>
                    <w:tr2bl w:val="nil"/>
                  </w:tcBorders>
                  <w:noWrap w:val="0"/>
                  <w:vAlign w:val="center"/>
                </w:tcPr>
                <w:p w14:paraId="55310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氟化物</w:t>
                  </w:r>
                </w:p>
              </w:tc>
              <w:tc>
                <w:tcPr>
                  <w:tcW w:w="1127" w:type="pct"/>
                  <w:tcBorders>
                    <w:tl2br w:val="nil"/>
                    <w:tr2bl w:val="nil"/>
                  </w:tcBorders>
                  <w:noWrap w:val="0"/>
                  <w:vAlign w:val="center"/>
                </w:tcPr>
                <w:p w14:paraId="71AF4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排放</w:t>
                  </w:r>
                  <w:r>
                    <w:rPr>
                      <w:rFonts w:hint="default" w:ascii="Times New Roman" w:hAnsi="Times New Roman" w:eastAsia="宋体" w:cs="Times New Roman"/>
                      <w:color w:val="auto"/>
                      <w:kern w:val="2"/>
                      <w:sz w:val="21"/>
                      <w:szCs w:val="21"/>
                      <w:highlight w:val="none"/>
                      <w:lang w:val="en-US" w:eastAsia="zh-CN"/>
                    </w:rPr>
                    <w:t>浓度mg/m³</w:t>
                  </w:r>
                </w:p>
              </w:tc>
              <w:tc>
                <w:tcPr>
                  <w:tcW w:w="1313" w:type="pct"/>
                  <w:tcBorders>
                    <w:tl2br w:val="nil"/>
                    <w:tr2bl w:val="nil"/>
                  </w:tcBorders>
                  <w:noWrap w:val="0"/>
                  <w:vAlign w:val="center"/>
                </w:tcPr>
                <w:p w14:paraId="16C07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0.82</w:t>
                  </w:r>
                </w:p>
              </w:tc>
              <w:tc>
                <w:tcPr>
                  <w:tcW w:w="373" w:type="pct"/>
                  <w:tcBorders>
                    <w:tl2br w:val="nil"/>
                    <w:tr2bl w:val="nil"/>
                  </w:tcBorders>
                  <w:noWrap w:val="0"/>
                  <w:vAlign w:val="center"/>
                </w:tcPr>
                <w:p w14:paraId="592F5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330" w:type="pct"/>
                  <w:tcBorders>
                    <w:tl2br w:val="nil"/>
                    <w:tr2bl w:val="nil"/>
                  </w:tcBorders>
                  <w:noWrap w:val="0"/>
                  <w:vAlign w:val="center"/>
                </w:tcPr>
                <w:p w14:paraId="7E6FE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达标</w:t>
                  </w:r>
                </w:p>
              </w:tc>
            </w:tr>
            <w:tr w14:paraId="779FA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8" w:type="pct"/>
                  <w:vMerge w:val="continue"/>
                  <w:tcBorders>
                    <w:tl2br w:val="nil"/>
                    <w:tr2bl w:val="nil"/>
                  </w:tcBorders>
                  <w:noWrap w:val="0"/>
                  <w:vAlign w:val="center"/>
                </w:tcPr>
                <w:p w14:paraId="70D8C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p>
              </w:tc>
              <w:tc>
                <w:tcPr>
                  <w:tcW w:w="495" w:type="pct"/>
                  <w:vMerge w:val="continue"/>
                  <w:tcBorders>
                    <w:tl2br w:val="nil"/>
                    <w:tr2bl w:val="nil"/>
                  </w:tcBorders>
                  <w:noWrap w:val="0"/>
                  <w:vAlign w:val="center"/>
                </w:tcPr>
                <w:p w14:paraId="1FA5F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p>
              </w:tc>
              <w:tc>
                <w:tcPr>
                  <w:tcW w:w="1127" w:type="pct"/>
                  <w:tcBorders>
                    <w:tl2br w:val="nil"/>
                    <w:tr2bl w:val="nil"/>
                  </w:tcBorders>
                  <w:noWrap w:val="0"/>
                  <w:vAlign w:val="center"/>
                </w:tcPr>
                <w:p w14:paraId="78155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排放速率</w:t>
                  </w:r>
                  <w:r>
                    <w:rPr>
                      <w:rFonts w:hint="default" w:ascii="Times New Roman" w:hAnsi="Times New Roman" w:cs="Times New Roman"/>
                      <w:color w:val="auto"/>
                      <w:kern w:val="2"/>
                      <w:sz w:val="21"/>
                      <w:szCs w:val="21"/>
                      <w:highlight w:val="none"/>
                      <w:lang w:val="en-US" w:eastAsia="zh-CN"/>
                    </w:rPr>
                    <w:t>k</w:t>
                  </w:r>
                  <w:r>
                    <w:rPr>
                      <w:rFonts w:hint="default" w:ascii="Times New Roman" w:hAnsi="Times New Roman" w:eastAsia="宋体" w:cs="Times New Roman"/>
                      <w:color w:val="auto"/>
                      <w:kern w:val="2"/>
                      <w:sz w:val="21"/>
                      <w:szCs w:val="21"/>
                      <w:highlight w:val="none"/>
                      <w:lang w:val="en-US" w:eastAsia="zh-CN"/>
                    </w:rPr>
                    <w:t>g/h</w:t>
                  </w:r>
                </w:p>
              </w:tc>
              <w:tc>
                <w:tcPr>
                  <w:tcW w:w="1313" w:type="pct"/>
                  <w:tcBorders>
                    <w:tl2br w:val="nil"/>
                    <w:tr2bl w:val="nil"/>
                  </w:tcBorders>
                  <w:noWrap w:val="0"/>
                  <w:vAlign w:val="center"/>
                </w:tcPr>
                <w:p w14:paraId="2405A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0.032</w:t>
                  </w:r>
                </w:p>
              </w:tc>
              <w:tc>
                <w:tcPr>
                  <w:tcW w:w="373" w:type="pct"/>
                  <w:tcBorders>
                    <w:tl2br w:val="nil"/>
                    <w:tr2bl w:val="nil"/>
                  </w:tcBorders>
                  <w:noWrap w:val="0"/>
                  <w:vAlign w:val="center"/>
                </w:tcPr>
                <w:p w14:paraId="3248D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0.055</w:t>
                  </w:r>
                </w:p>
              </w:tc>
              <w:tc>
                <w:tcPr>
                  <w:tcW w:w="330" w:type="pct"/>
                  <w:tcBorders>
                    <w:tl2br w:val="nil"/>
                    <w:tr2bl w:val="nil"/>
                  </w:tcBorders>
                  <w:noWrap w:val="0"/>
                  <w:vAlign w:val="center"/>
                </w:tcPr>
                <w:p w14:paraId="7CBB9F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p>
              </w:tc>
            </w:tr>
          </w:tbl>
          <w:p w14:paraId="7250559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eastAsia="zh"/>
              </w:rPr>
            </w:pPr>
            <w:r>
              <w:rPr>
                <w:rFonts w:hint="eastAsia" w:ascii="Times New Roman" w:hAnsi="Times New Roman" w:eastAsia="宋体" w:cs="Times New Roman"/>
                <w:color w:val="auto"/>
                <w:kern w:val="2"/>
                <w:sz w:val="24"/>
                <w:szCs w:val="24"/>
                <w:highlight w:val="none"/>
                <w:lang w:eastAsia="zh"/>
              </w:rPr>
              <w:t>根据统计数据可知，</w:t>
            </w:r>
            <w:r>
              <w:rPr>
                <w:rFonts w:hint="eastAsia" w:ascii="Times New Roman" w:hAnsi="Times New Roman" w:eastAsia="宋体" w:cs="Times New Roman"/>
                <w:color w:val="auto"/>
                <w:kern w:val="2"/>
                <w:sz w:val="24"/>
                <w:szCs w:val="24"/>
                <w:highlight w:val="none"/>
                <w:lang w:val="en-US" w:eastAsia="zh-CN"/>
              </w:rPr>
              <w:t>现有工程隧道窑废气污染物颗粒物有组织排放浓度满足《长治市人民政府办公室关于印发长治市大气和水污染物排放管控要求的通知》（长政办规〔2023〕1号）砖瓦行业管控要求</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现有工程隧道窑废气污染物SO</w:t>
            </w:r>
            <w:r>
              <w:rPr>
                <w:rFonts w:hint="eastAsia" w:ascii="Times New Roman" w:hAnsi="Times New Roman" w:eastAsia="宋体" w:cs="Times New Roman"/>
                <w:color w:val="auto"/>
                <w:kern w:val="2"/>
                <w:sz w:val="24"/>
                <w:szCs w:val="24"/>
                <w:highlight w:val="none"/>
                <w:vertAlign w:val="subscript"/>
                <w:lang w:val="en-US" w:eastAsia="zh-CN"/>
              </w:rPr>
              <w:t>2</w:t>
            </w:r>
            <w:r>
              <w:rPr>
                <w:rFonts w:hint="eastAsia" w:ascii="Times New Roman" w:hAnsi="Times New Roman" w:eastAsia="宋体" w:cs="Times New Roman"/>
                <w:color w:val="auto"/>
                <w:kern w:val="2"/>
                <w:sz w:val="24"/>
                <w:szCs w:val="24"/>
                <w:highlight w:val="none"/>
                <w:lang w:val="en-US" w:eastAsia="zh-CN"/>
              </w:rPr>
              <w:t>、NOx有组织排放浓度</w:t>
            </w:r>
            <w:r>
              <w:rPr>
                <w:rFonts w:hint="eastAsia" w:cs="Times New Roman"/>
                <w:color w:val="auto"/>
                <w:kern w:val="2"/>
                <w:sz w:val="24"/>
                <w:szCs w:val="24"/>
                <w:highlight w:val="none"/>
                <w:lang w:val="en-US" w:eastAsia="zh-CN"/>
              </w:rPr>
              <w:t>不</w:t>
            </w:r>
            <w:r>
              <w:rPr>
                <w:rFonts w:hint="eastAsia" w:ascii="Times New Roman" w:hAnsi="Times New Roman" w:eastAsia="宋体" w:cs="Times New Roman"/>
                <w:color w:val="auto"/>
                <w:kern w:val="2"/>
                <w:sz w:val="24"/>
                <w:szCs w:val="24"/>
                <w:highlight w:val="none"/>
                <w:lang w:val="en-US" w:eastAsia="zh-CN"/>
              </w:rPr>
              <w:t>满足《长治市人民政府办公室关于印发长治市大气和水污染物排放管控要求的通知》（长政办规〔2023〕1号）砖瓦行业管控要求</w:t>
            </w:r>
            <w:r>
              <w:rPr>
                <w:rFonts w:hint="eastAsia"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氟化物满足长治市大气污染防治工作领导组办公室文件“关于印发长治市工业炉窑专项整治实施方案的通知”（长气防办〔2019〕8号）推荐的《建材工业大气污染物排放标准》（DB37/2373-2018）表2砖瓦工业重点控制区排放限值。</w:t>
            </w:r>
          </w:p>
          <w:p w14:paraId="75F8873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②现有工程</w:t>
            </w:r>
            <w:r>
              <w:rPr>
                <w:rFonts w:hint="eastAsia" w:ascii="Times New Roman" w:hAnsi="Times New Roman" w:eastAsia="宋体" w:cs="Times New Roman"/>
                <w:color w:val="auto"/>
                <w:kern w:val="2"/>
                <w:sz w:val="24"/>
                <w:szCs w:val="24"/>
                <w:highlight w:val="none"/>
                <w:lang w:eastAsia="zh"/>
              </w:rPr>
              <w:t>废气</w:t>
            </w:r>
            <w:r>
              <w:rPr>
                <w:rFonts w:hint="eastAsia" w:ascii="Times New Roman" w:hAnsi="Times New Roman" w:eastAsia="宋体" w:cs="Times New Roman"/>
                <w:color w:val="auto"/>
                <w:kern w:val="2"/>
                <w:sz w:val="24"/>
                <w:szCs w:val="24"/>
                <w:highlight w:val="none"/>
                <w:lang w:val="en-US" w:eastAsia="zh-CN"/>
              </w:rPr>
              <w:t>厂界无组织</w:t>
            </w:r>
          </w:p>
          <w:p w14:paraId="6DE0C2C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eastAsia="zh"/>
              </w:rPr>
              <w:t>根据</w:t>
            </w:r>
            <w:r>
              <w:rPr>
                <w:rFonts w:hint="eastAsia" w:ascii="Times New Roman" w:hAnsi="Times New Roman" w:eastAsia="宋体" w:cs="Times New Roman"/>
                <w:color w:val="auto"/>
                <w:kern w:val="2"/>
                <w:sz w:val="24"/>
                <w:szCs w:val="24"/>
                <w:highlight w:val="none"/>
                <w:lang w:val="en-US" w:eastAsia="zh-CN"/>
              </w:rPr>
              <w:t>202</w:t>
            </w:r>
            <w:r>
              <w:rPr>
                <w:rFonts w:hint="eastAsia"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en-US" w:eastAsia="zh-CN"/>
              </w:rPr>
              <w:t>年</w:t>
            </w:r>
            <w:r>
              <w:rPr>
                <w:rFonts w:hint="eastAsia" w:cs="Times New Roman"/>
                <w:color w:val="auto"/>
                <w:kern w:val="2"/>
                <w:sz w:val="24"/>
                <w:szCs w:val="24"/>
                <w:highlight w:val="none"/>
                <w:lang w:val="en-US" w:eastAsia="zh-CN"/>
              </w:rPr>
              <w:t>8</w:t>
            </w:r>
            <w:r>
              <w:rPr>
                <w:rFonts w:hint="eastAsia" w:ascii="Times New Roman" w:hAnsi="Times New Roman" w:eastAsia="宋体" w:cs="Times New Roman"/>
                <w:color w:val="auto"/>
                <w:kern w:val="2"/>
                <w:sz w:val="24"/>
                <w:szCs w:val="24"/>
                <w:highlight w:val="none"/>
                <w:lang w:val="en-US" w:eastAsia="zh-CN"/>
              </w:rPr>
              <w:t>月</w:t>
            </w:r>
            <w:r>
              <w:rPr>
                <w:rFonts w:hint="eastAsia" w:cs="Times New Roman"/>
                <w:color w:val="auto"/>
                <w:kern w:val="2"/>
                <w:sz w:val="24"/>
                <w:szCs w:val="24"/>
                <w:highlight w:val="none"/>
                <w:lang w:val="en-US" w:eastAsia="zh-CN"/>
              </w:rPr>
              <w:t>23</w:t>
            </w:r>
            <w:r>
              <w:rPr>
                <w:rFonts w:hint="eastAsia" w:ascii="Times New Roman" w:hAnsi="Times New Roman" w:eastAsia="宋体" w:cs="Times New Roman"/>
                <w:color w:val="auto"/>
                <w:kern w:val="2"/>
                <w:sz w:val="24"/>
                <w:szCs w:val="24"/>
                <w:highlight w:val="none"/>
                <w:lang w:val="en-US" w:eastAsia="zh-CN"/>
              </w:rPr>
              <w:t>日</w:t>
            </w:r>
            <w:r>
              <w:rPr>
                <w:rFonts w:hint="eastAsia" w:cs="Times New Roman"/>
                <w:color w:val="auto"/>
                <w:kern w:val="2"/>
                <w:sz w:val="24"/>
                <w:szCs w:val="24"/>
                <w:highlight w:val="none"/>
                <w:lang w:val="en-US" w:eastAsia="zh-CN"/>
              </w:rPr>
              <w:t>-2024年8月24日</w:t>
            </w:r>
            <w:r>
              <w:rPr>
                <w:rFonts w:hint="eastAsia" w:ascii="Times New Roman" w:hAnsi="Times New Roman" w:eastAsia="宋体" w:cs="Times New Roman"/>
                <w:color w:val="auto"/>
                <w:kern w:val="2"/>
                <w:sz w:val="24"/>
                <w:szCs w:val="24"/>
                <w:highlight w:val="none"/>
                <w:lang w:eastAsia="zh"/>
              </w:rPr>
              <w:t>《</w:t>
            </w:r>
            <w:r>
              <w:rPr>
                <w:rFonts w:hint="eastAsia" w:cs="Times New Roman"/>
                <w:color w:val="auto"/>
                <w:kern w:val="2"/>
                <w:sz w:val="24"/>
                <w:szCs w:val="24"/>
                <w:highlight w:val="none"/>
                <w:lang w:eastAsia="zh-CN"/>
              </w:rPr>
              <w:t>屯留县圣烨建材有限公司</w:t>
            </w:r>
            <w:r>
              <w:rPr>
                <w:rFonts w:hint="eastAsia" w:cs="Times New Roman"/>
                <w:color w:val="auto"/>
                <w:kern w:val="2"/>
                <w:sz w:val="24"/>
                <w:szCs w:val="24"/>
                <w:highlight w:val="none"/>
                <w:lang w:val="en-US" w:eastAsia="zh-CN"/>
              </w:rPr>
              <w:t>验收</w:t>
            </w:r>
            <w:r>
              <w:rPr>
                <w:rFonts w:hint="eastAsia" w:ascii="Times New Roman" w:hAnsi="Times New Roman" w:eastAsia="宋体" w:cs="Times New Roman"/>
                <w:color w:val="auto"/>
                <w:kern w:val="2"/>
                <w:sz w:val="24"/>
                <w:szCs w:val="24"/>
                <w:highlight w:val="none"/>
                <w:lang w:eastAsia="zh"/>
              </w:rPr>
              <w:t>监测》可知，废气</w:t>
            </w:r>
            <w:r>
              <w:rPr>
                <w:rFonts w:hint="eastAsia" w:ascii="Times New Roman" w:hAnsi="Times New Roman" w:eastAsia="宋体" w:cs="Times New Roman"/>
                <w:color w:val="auto"/>
                <w:kern w:val="2"/>
                <w:sz w:val="24"/>
                <w:szCs w:val="24"/>
                <w:highlight w:val="none"/>
                <w:lang w:val="en-US" w:eastAsia="zh-CN"/>
              </w:rPr>
              <w:t>厂界无组织</w:t>
            </w:r>
            <w:r>
              <w:rPr>
                <w:rFonts w:hint="eastAsia" w:ascii="Times New Roman" w:hAnsi="Times New Roman" w:eastAsia="宋体" w:cs="Times New Roman"/>
                <w:color w:val="auto"/>
                <w:kern w:val="2"/>
                <w:sz w:val="24"/>
                <w:szCs w:val="24"/>
                <w:highlight w:val="none"/>
                <w:lang w:eastAsia="zh"/>
              </w:rPr>
              <w:t>排放情况见表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-20</w:t>
            </w:r>
            <w:r>
              <w:rPr>
                <w:rFonts w:hint="eastAsia" w:ascii="Times New Roman" w:hAnsi="Times New Roman" w:eastAsia="宋体" w:cs="Times New Roman"/>
                <w:color w:val="auto"/>
                <w:kern w:val="2"/>
                <w:sz w:val="24"/>
                <w:szCs w:val="24"/>
                <w:highlight w:val="none"/>
                <w:lang w:val="en-US" w:eastAsia="zh-CN"/>
              </w:rPr>
              <w:t>。</w:t>
            </w:r>
          </w:p>
          <w:p w14:paraId="502D9BA6">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CN"/>
              </w:rPr>
            </w:pPr>
            <w:r>
              <w:rPr>
                <w:rFonts w:hint="eastAsia" w:ascii="Times New Roman" w:hAnsi="Times New Roman" w:eastAsia="黑体" w:cs="Times New Roman"/>
                <w:b w:val="0"/>
                <w:bCs w:val="0"/>
                <w:color w:val="auto"/>
                <w:kern w:val="2"/>
                <w:sz w:val="24"/>
                <w:szCs w:val="24"/>
                <w:highlight w:val="none"/>
                <w:lang w:val="en-US" w:eastAsia="zh"/>
              </w:rPr>
              <w:t>表</w:t>
            </w:r>
            <w:r>
              <w:rPr>
                <w:rFonts w:hint="eastAsia" w:ascii="Times New Roman" w:hAnsi="Times New Roman" w:eastAsia="黑体" w:cs="Times New Roman"/>
                <w:b w:val="0"/>
                <w:bCs w:val="0"/>
                <w:color w:val="auto"/>
                <w:kern w:val="2"/>
                <w:sz w:val="24"/>
                <w:szCs w:val="24"/>
                <w:highlight w:val="none"/>
                <w:lang w:val="en-US" w:eastAsia="zh-CN"/>
              </w:rPr>
              <w:t xml:space="preserve">2-20  </w:t>
            </w:r>
            <w:r>
              <w:rPr>
                <w:rFonts w:hint="eastAsia" w:ascii="Times New Roman" w:hAnsi="Times New Roman" w:eastAsia="黑体" w:cs="Times New Roman"/>
                <w:b w:val="0"/>
                <w:bCs w:val="0"/>
                <w:color w:val="auto"/>
                <w:kern w:val="2"/>
                <w:sz w:val="24"/>
                <w:szCs w:val="24"/>
                <w:highlight w:val="none"/>
                <w:lang w:val="en-US" w:eastAsia="zh"/>
              </w:rPr>
              <w:t>现有工程废气</w:t>
            </w:r>
            <w:r>
              <w:rPr>
                <w:rFonts w:hint="eastAsia" w:ascii="Times New Roman" w:hAnsi="Times New Roman" w:eastAsia="黑体" w:cs="Times New Roman"/>
                <w:b w:val="0"/>
                <w:bCs w:val="0"/>
                <w:color w:val="auto"/>
                <w:kern w:val="2"/>
                <w:sz w:val="24"/>
                <w:szCs w:val="24"/>
                <w:highlight w:val="none"/>
                <w:lang w:val="en-US" w:eastAsia="zh-CN"/>
              </w:rPr>
              <w:t>厂界无组织</w:t>
            </w:r>
            <w:r>
              <w:rPr>
                <w:rFonts w:hint="eastAsia" w:ascii="Times New Roman" w:hAnsi="Times New Roman" w:eastAsia="黑体" w:cs="Times New Roman"/>
                <w:b w:val="0"/>
                <w:bCs w:val="0"/>
                <w:color w:val="auto"/>
                <w:kern w:val="2"/>
                <w:sz w:val="24"/>
                <w:szCs w:val="24"/>
                <w:highlight w:val="none"/>
                <w:lang w:val="en-US" w:eastAsia="zh"/>
              </w:rPr>
              <w:t>排放情</w:t>
            </w:r>
            <w:r>
              <w:rPr>
                <w:rFonts w:hint="eastAsia" w:ascii="Times New Roman" w:hAnsi="Times New Roman" w:eastAsia="黑体" w:cs="Times New Roman"/>
                <w:b w:val="0"/>
                <w:bCs w:val="0"/>
                <w:color w:val="auto"/>
                <w:kern w:val="2"/>
                <w:sz w:val="24"/>
                <w:szCs w:val="24"/>
                <w:highlight w:val="none"/>
                <w:lang w:val="en-US" w:eastAsia="zh-CN"/>
              </w:rPr>
              <w:t>况</w:t>
            </w:r>
            <w:r>
              <w:rPr>
                <w:rFonts w:hint="eastAsia" w:ascii="Times New Roman" w:hAnsi="Times New Roman" w:eastAsia="黑体" w:cs="Times New Roman"/>
                <w:b w:val="0"/>
                <w:bCs w:val="0"/>
                <w:color w:val="auto"/>
                <w:kern w:val="2"/>
                <w:sz w:val="24"/>
                <w:szCs w:val="24"/>
                <w:highlight w:val="none"/>
                <w:lang w:val="en-US" w:eastAsia="zh"/>
              </w:rPr>
              <w:t>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113"/>
              <w:gridCol w:w="1420"/>
              <w:gridCol w:w="1677"/>
              <w:gridCol w:w="1672"/>
              <w:gridCol w:w="539"/>
            </w:tblGrid>
            <w:tr w14:paraId="3DE50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1172" w:type="pct"/>
                  <w:tcBorders>
                    <w:tl2br w:val="nil"/>
                    <w:tr2bl w:val="nil"/>
                  </w:tcBorders>
                  <w:noWrap w:val="0"/>
                  <w:vAlign w:val="center"/>
                </w:tcPr>
                <w:p w14:paraId="288B316A">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监测日期</w:t>
                  </w:r>
                </w:p>
              </w:tc>
              <w:tc>
                <w:tcPr>
                  <w:tcW w:w="663" w:type="pct"/>
                  <w:tcBorders>
                    <w:tl2br w:val="nil"/>
                    <w:tr2bl w:val="nil"/>
                  </w:tcBorders>
                  <w:noWrap w:val="0"/>
                  <w:vAlign w:val="center"/>
                </w:tcPr>
                <w:p w14:paraId="614B0C4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w:t>
                  </w:r>
                </w:p>
                <w:p w14:paraId="7705713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846" w:type="pct"/>
                  <w:tcBorders>
                    <w:tl2br w:val="nil"/>
                    <w:tr2bl w:val="nil"/>
                  </w:tcBorders>
                  <w:noWrap w:val="0"/>
                  <w:vAlign w:val="center"/>
                </w:tcPr>
                <w:p w14:paraId="4AAA0E8A">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监测点位</w:t>
                  </w:r>
                </w:p>
              </w:tc>
              <w:tc>
                <w:tcPr>
                  <w:tcW w:w="999" w:type="pct"/>
                  <w:tcBorders>
                    <w:tl2br w:val="nil"/>
                    <w:tr2bl w:val="nil"/>
                  </w:tcBorders>
                  <w:noWrap w:val="0"/>
                  <w:vAlign w:val="center"/>
                </w:tcPr>
                <w:p w14:paraId="17F7138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监测结果（mg/m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996" w:type="pct"/>
                  <w:tcBorders>
                    <w:tl2br w:val="nil"/>
                    <w:tr2bl w:val="nil"/>
                  </w:tcBorders>
                  <w:noWrap w:val="0"/>
                  <w:vAlign w:val="center"/>
                </w:tcPr>
                <w:p w14:paraId="405A7F4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321" w:type="pct"/>
                  <w:tcBorders>
                    <w:tl2br w:val="nil"/>
                    <w:tr2bl w:val="nil"/>
                  </w:tcBorders>
                  <w:noWrap w:val="0"/>
                  <w:vAlign w:val="center"/>
                </w:tcPr>
                <w:p w14:paraId="2BDAA38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判定</w:t>
                  </w:r>
                </w:p>
              </w:tc>
            </w:tr>
            <w:tr w14:paraId="2C95A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restart"/>
                  <w:tcBorders>
                    <w:tl2br w:val="nil"/>
                    <w:tr2bl w:val="nil"/>
                  </w:tcBorders>
                  <w:noWrap w:val="0"/>
                  <w:vAlign w:val="center"/>
                </w:tcPr>
                <w:p w14:paraId="55DA32AB">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rPr>
                    <w:t>202</w:t>
                  </w:r>
                  <w:r>
                    <w:rPr>
                      <w:rFonts w:hint="eastAsia" w:cs="Times New Roman"/>
                      <w:color w:val="auto"/>
                      <w:kern w:val="2"/>
                      <w:sz w:val="21"/>
                      <w:szCs w:val="21"/>
                      <w:highlight w:val="none"/>
                      <w:lang w:val="en-US" w:eastAsia="zh-CN"/>
                    </w:rPr>
                    <w:t>4</w:t>
                  </w: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8.23-2024.8.24</w:t>
                  </w:r>
                </w:p>
              </w:tc>
              <w:tc>
                <w:tcPr>
                  <w:tcW w:w="663" w:type="pct"/>
                  <w:vMerge w:val="restart"/>
                  <w:tcBorders>
                    <w:tl2br w:val="nil"/>
                    <w:tr2bl w:val="nil"/>
                  </w:tcBorders>
                  <w:noWrap w:val="0"/>
                  <w:vAlign w:val="center"/>
                </w:tcPr>
                <w:p w14:paraId="6D19674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846" w:type="pct"/>
                  <w:tcBorders>
                    <w:tl2br w:val="nil"/>
                    <w:tr2bl w:val="nil"/>
                  </w:tcBorders>
                  <w:noWrap w:val="0"/>
                  <w:vAlign w:val="center"/>
                </w:tcPr>
                <w:p w14:paraId="5A50897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#（参照点）</w:t>
                  </w:r>
                </w:p>
              </w:tc>
              <w:tc>
                <w:tcPr>
                  <w:tcW w:w="999" w:type="pct"/>
                  <w:tcBorders>
                    <w:tl2br w:val="nil"/>
                    <w:tr2bl w:val="nil"/>
                  </w:tcBorders>
                  <w:noWrap w:val="0"/>
                  <w:vAlign w:val="center"/>
                </w:tcPr>
                <w:p w14:paraId="3359497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0.254-0.310</w:t>
                  </w:r>
                </w:p>
              </w:tc>
              <w:tc>
                <w:tcPr>
                  <w:tcW w:w="996" w:type="pct"/>
                  <w:vMerge w:val="restart"/>
                  <w:tcBorders>
                    <w:tl2br w:val="nil"/>
                    <w:tr2bl w:val="nil"/>
                  </w:tcBorders>
                  <w:noWrap w:val="0"/>
                  <w:vAlign w:val="center"/>
                </w:tcPr>
                <w:p w14:paraId="6571762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321" w:type="pct"/>
                  <w:vMerge w:val="restart"/>
                  <w:tcBorders>
                    <w:tl2br w:val="nil"/>
                    <w:tr2bl w:val="nil"/>
                  </w:tcBorders>
                  <w:noWrap w:val="0"/>
                  <w:vAlign w:val="center"/>
                </w:tcPr>
                <w:p w14:paraId="5C81D1E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1E8AF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56C51B7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236B34A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46" w:type="pct"/>
                  <w:tcBorders>
                    <w:tl2br w:val="nil"/>
                    <w:tr2bl w:val="nil"/>
                  </w:tcBorders>
                  <w:noWrap w:val="0"/>
                  <w:vAlign w:val="center"/>
                </w:tcPr>
                <w:p w14:paraId="7125058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4A80C22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0.319-0.399</w:t>
                  </w:r>
                </w:p>
              </w:tc>
              <w:tc>
                <w:tcPr>
                  <w:tcW w:w="996" w:type="pct"/>
                  <w:vMerge w:val="continue"/>
                  <w:tcBorders>
                    <w:tl2br w:val="nil"/>
                    <w:tr2bl w:val="nil"/>
                  </w:tcBorders>
                  <w:noWrap w:val="0"/>
                  <w:vAlign w:val="center"/>
                </w:tcPr>
                <w:p w14:paraId="385C0BB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75591F9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AD48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3E13845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663F3F4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46" w:type="pct"/>
                  <w:tcBorders>
                    <w:tl2br w:val="nil"/>
                    <w:tr2bl w:val="nil"/>
                  </w:tcBorders>
                  <w:noWrap w:val="0"/>
                  <w:vAlign w:val="center"/>
                </w:tcPr>
                <w:p w14:paraId="4199DF4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60507AF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0.339-0.391</w:t>
                  </w:r>
                </w:p>
              </w:tc>
              <w:tc>
                <w:tcPr>
                  <w:tcW w:w="996" w:type="pct"/>
                  <w:vMerge w:val="continue"/>
                  <w:tcBorders>
                    <w:tl2br w:val="nil"/>
                    <w:tr2bl w:val="nil"/>
                  </w:tcBorders>
                  <w:noWrap w:val="0"/>
                  <w:vAlign w:val="center"/>
                </w:tcPr>
                <w:p w14:paraId="29CE225B">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6D4EB7D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313A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1DB4B00D">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1BC44AE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46" w:type="pct"/>
                  <w:tcBorders>
                    <w:tl2br w:val="nil"/>
                    <w:tr2bl w:val="nil"/>
                  </w:tcBorders>
                  <w:noWrap w:val="0"/>
                  <w:vAlign w:val="center"/>
                </w:tcPr>
                <w:p w14:paraId="51AD7B7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23D439DD">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0.322-0.400</w:t>
                  </w:r>
                </w:p>
              </w:tc>
              <w:tc>
                <w:tcPr>
                  <w:tcW w:w="996" w:type="pct"/>
                  <w:vMerge w:val="continue"/>
                  <w:tcBorders>
                    <w:tl2br w:val="nil"/>
                    <w:tr2bl w:val="nil"/>
                  </w:tcBorders>
                  <w:noWrap w:val="0"/>
                  <w:vAlign w:val="center"/>
                </w:tcPr>
                <w:p w14:paraId="2AD1CAA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523AA35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2D826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2DBA43C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26401AA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57A641F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4</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3569F20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0.331-0.400</w:t>
                  </w:r>
                </w:p>
              </w:tc>
              <w:tc>
                <w:tcPr>
                  <w:tcW w:w="996" w:type="pct"/>
                  <w:vMerge w:val="continue"/>
                  <w:tcBorders>
                    <w:tl2br w:val="nil"/>
                    <w:tr2bl w:val="nil"/>
                  </w:tcBorders>
                  <w:noWrap w:val="0"/>
                  <w:vAlign w:val="center"/>
                </w:tcPr>
                <w:p w14:paraId="0AA5382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226E9E2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6CBC2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61FEDAA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restart"/>
                  <w:tcBorders>
                    <w:tl2br w:val="nil"/>
                    <w:tr2bl w:val="nil"/>
                  </w:tcBorders>
                  <w:noWrap w:val="0"/>
                  <w:vAlign w:val="center"/>
                </w:tcPr>
                <w:p w14:paraId="5BAED92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SO₂</w:t>
                  </w:r>
                </w:p>
              </w:tc>
              <w:tc>
                <w:tcPr>
                  <w:tcW w:w="846" w:type="pct"/>
                  <w:tcBorders>
                    <w:tl2br w:val="nil"/>
                    <w:tr2bl w:val="nil"/>
                  </w:tcBorders>
                  <w:noWrap w:val="0"/>
                  <w:vAlign w:val="center"/>
                </w:tcPr>
                <w:p w14:paraId="7B2B24EA">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#（参照点）</w:t>
                  </w:r>
                </w:p>
              </w:tc>
              <w:tc>
                <w:tcPr>
                  <w:tcW w:w="999" w:type="pct"/>
                  <w:tcBorders>
                    <w:tl2br w:val="nil"/>
                    <w:tr2bl w:val="nil"/>
                  </w:tcBorders>
                  <w:noWrap w:val="0"/>
                  <w:vAlign w:val="center"/>
                </w:tcPr>
                <w:p w14:paraId="2BF8340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0.008-0.010</w:t>
                  </w:r>
                </w:p>
              </w:tc>
              <w:tc>
                <w:tcPr>
                  <w:tcW w:w="996" w:type="pct"/>
                  <w:vMerge w:val="restart"/>
                  <w:tcBorders>
                    <w:tl2br w:val="nil"/>
                    <w:tr2bl w:val="nil"/>
                  </w:tcBorders>
                  <w:noWrap w:val="0"/>
                  <w:vAlign w:val="center"/>
                </w:tcPr>
                <w:p w14:paraId="6D5F6B8D">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w:t>
                  </w:r>
                </w:p>
              </w:tc>
              <w:tc>
                <w:tcPr>
                  <w:tcW w:w="321" w:type="pct"/>
                  <w:vMerge w:val="restart"/>
                  <w:tcBorders>
                    <w:tl2br w:val="nil"/>
                    <w:tr2bl w:val="nil"/>
                  </w:tcBorders>
                  <w:noWrap w:val="0"/>
                  <w:vAlign w:val="center"/>
                </w:tcPr>
                <w:p w14:paraId="16CC9CE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7C6B1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49E0D3D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34FC811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2838894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6633654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0.011-0.017</w:t>
                  </w:r>
                </w:p>
              </w:tc>
              <w:tc>
                <w:tcPr>
                  <w:tcW w:w="996" w:type="pct"/>
                  <w:vMerge w:val="continue"/>
                  <w:tcBorders>
                    <w:tl2br w:val="nil"/>
                    <w:tr2bl w:val="nil"/>
                  </w:tcBorders>
                  <w:noWrap w:val="0"/>
                  <w:vAlign w:val="center"/>
                </w:tcPr>
                <w:p w14:paraId="5B6AC87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7F1BE98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5A424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14988EE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102CEDEB">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50C0E5C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5288538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0.012-0.019</w:t>
                  </w:r>
                </w:p>
              </w:tc>
              <w:tc>
                <w:tcPr>
                  <w:tcW w:w="996" w:type="pct"/>
                  <w:vMerge w:val="continue"/>
                  <w:tcBorders>
                    <w:tl2br w:val="nil"/>
                    <w:tr2bl w:val="nil"/>
                  </w:tcBorders>
                  <w:noWrap w:val="0"/>
                  <w:vAlign w:val="center"/>
                </w:tcPr>
                <w:p w14:paraId="16B0BC0E">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6F027D5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27482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4B2FD06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6EE02DBE">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426642AE">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3AF6D0A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0.011-0.018</w:t>
                  </w:r>
                </w:p>
              </w:tc>
              <w:tc>
                <w:tcPr>
                  <w:tcW w:w="996" w:type="pct"/>
                  <w:vMerge w:val="continue"/>
                  <w:tcBorders>
                    <w:tl2br w:val="nil"/>
                    <w:tr2bl w:val="nil"/>
                  </w:tcBorders>
                  <w:noWrap w:val="0"/>
                  <w:vAlign w:val="center"/>
                </w:tcPr>
                <w:p w14:paraId="4760453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4C3A34A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101CD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43FC52C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7BFA21D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4FC5ADE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r>
                    <w:rPr>
                      <w:rFonts w:hint="eastAsia" w:ascii="Times New Roman" w:hAnsi="Times New Roman" w:eastAsia="宋体" w:cs="Times New Roman"/>
                      <w:b w:val="0"/>
                      <w:bCs w:val="0"/>
                      <w:color w:val="auto"/>
                      <w:sz w:val="21"/>
                      <w:szCs w:val="21"/>
                      <w:highlight w:val="none"/>
                      <w:lang w:val="en-US" w:eastAsia="zh-CN"/>
                    </w:rPr>
                    <w:t>#（监控点）</w:t>
                  </w:r>
                </w:p>
              </w:tc>
              <w:tc>
                <w:tcPr>
                  <w:tcW w:w="999" w:type="pct"/>
                  <w:tcBorders>
                    <w:tl2br w:val="nil"/>
                    <w:tr2bl w:val="nil"/>
                  </w:tcBorders>
                  <w:noWrap w:val="0"/>
                  <w:vAlign w:val="center"/>
                </w:tcPr>
                <w:p w14:paraId="56756E1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0.011-0.019</w:t>
                  </w:r>
                </w:p>
              </w:tc>
              <w:tc>
                <w:tcPr>
                  <w:tcW w:w="996" w:type="pct"/>
                  <w:vMerge w:val="continue"/>
                  <w:tcBorders>
                    <w:tl2br w:val="nil"/>
                    <w:tr2bl w:val="nil"/>
                  </w:tcBorders>
                  <w:noWrap w:val="0"/>
                  <w:vAlign w:val="center"/>
                </w:tcPr>
                <w:p w14:paraId="4C0C5AB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66CBAA2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60082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6489BB8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restart"/>
                  <w:tcBorders>
                    <w:tl2br w:val="nil"/>
                    <w:tr2bl w:val="nil"/>
                  </w:tcBorders>
                  <w:noWrap w:val="0"/>
                  <w:vAlign w:val="center"/>
                </w:tcPr>
                <w:p w14:paraId="5F4B2EF8">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氟化物</w:t>
                  </w:r>
                  <w:r>
                    <w:rPr>
                      <w:rFonts w:hint="eastAsia" w:cs="Times New Roman"/>
                      <w:color w:val="auto"/>
                      <w:kern w:val="2"/>
                      <w:sz w:val="21"/>
                      <w:szCs w:val="21"/>
                      <w:highlight w:val="none"/>
                      <w:lang w:val="en-US" w:eastAsia="zh-CN"/>
                    </w:rPr>
                    <w:t>（</w:t>
                  </w:r>
                  <w:r>
                    <w:rPr>
                      <w:rFonts w:hint="default" w:ascii="Times New Roman" w:hAnsi="Times New Roman" w:eastAsia="宋体" w:cs="Times New Roman"/>
                      <w:color w:val="000000"/>
                      <w:kern w:val="0"/>
                      <w:sz w:val="20"/>
                      <w:szCs w:val="20"/>
                      <w:lang w:val="en-US" w:eastAsia="zh-CN" w:bidi="ar"/>
                    </w:rPr>
                    <w:t>μg/m</w:t>
                  </w:r>
                  <w:r>
                    <w:rPr>
                      <w:rFonts w:hint="default" w:ascii="Times New Roman" w:hAnsi="Times New Roman" w:eastAsia="宋体" w:cs="Times New Roman"/>
                      <w:color w:val="000000"/>
                      <w:kern w:val="0"/>
                      <w:sz w:val="13"/>
                      <w:szCs w:val="13"/>
                      <w:lang w:val="en-US" w:eastAsia="zh-CN" w:bidi="ar"/>
                    </w:rPr>
                    <w:t>3</w:t>
                  </w:r>
                  <w:r>
                    <w:rPr>
                      <w:rFonts w:hint="eastAsia" w:ascii="宋体" w:hAnsi="宋体" w:eastAsia="宋体" w:cs="宋体"/>
                      <w:color w:val="000000"/>
                      <w:kern w:val="0"/>
                      <w:sz w:val="20"/>
                      <w:szCs w:val="20"/>
                      <w:lang w:val="en-US" w:eastAsia="zh-CN" w:bidi="ar"/>
                    </w:rPr>
                    <w:t>）</w:t>
                  </w:r>
                </w:p>
              </w:tc>
              <w:tc>
                <w:tcPr>
                  <w:tcW w:w="846" w:type="pct"/>
                  <w:tcBorders>
                    <w:tl2br w:val="nil"/>
                    <w:tr2bl w:val="nil"/>
                  </w:tcBorders>
                  <w:noWrap w:val="0"/>
                  <w:vAlign w:val="center"/>
                </w:tcPr>
                <w:p w14:paraId="1983F70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1#（参照点）</w:t>
                  </w:r>
                </w:p>
              </w:tc>
              <w:tc>
                <w:tcPr>
                  <w:tcW w:w="999" w:type="pct"/>
                  <w:tcBorders>
                    <w:tl2br w:val="nil"/>
                    <w:tr2bl w:val="nil"/>
                  </w:tcBorders>
                  <w:noWrap w:val="0"/>
                  <w:vAlign w:val="center"/>
                </w:tcPr>
                <w:p w14:paraId="14C60D0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0.5-0.8</w:t>
                  </w:r>
                </w:p>
              </w:tc>
              <w:tc>
                <w:tcPr>
                  <w:tcW w:w="996" w:type="pct"/>
                  <w:vMerge w:val="restart"/>
                  <w:tcBorders>
                    <w:tl2br w:val="nil"/>
                    <w:tr2bl w:val="nil"/>
                  </w:tcBorders>
                  <w:noWrap w:val="0"/>
                  <w:vAlign w:val="center"/>
                </w:tcPr>
                <w:p w14:paraId="041D7A7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p>
              </w:tc>
              <w:tc>
                <w:tcPr>
                  <w:tcW w:w="321" w:type="pct"/>
                  <w:vMerge w:val="restart"/>
                  <w:tcBorders>
                    <w:tl2br w:val="nil"/>
                    <w:tr2bl w:val="nil"/>
                  </w:tcBorders>
                  <w:noWrap w:val="0"/>
                  <w:vAlign w:val="center"/>
                </w:tcPr>
                <w:p w14:paraId="1C728AC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14:paraId="3663F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3C4A0F7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352383CA">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2C44910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2#（监控点）</w:t>
                  </w:r>
                </w:p>
              </w:tc>
              <w:tc>
                <w:tcPr>
                  <w:tcW w:w="999" w:type="pct"/>
                  <w:tcBorders>
                    <w:tl2br w:val="nil"/>
                    <w:tr2bl w:val="nil"/>
                  </w:tcBorders>
                  <w:noWrap w:val="0"/>
                  <w:vAlign w:val="center"/>
                </w:tcPr>
                <w:p w14:paraId="35C29ABD">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1.1-1.3</w:t>
                  </w:r>
                </w:p>
              </w:tc>
              <w:tc>
                <w:tcPr>
                  <w:tcW w:w="996" w:type="pct"/>
                  <w:vMerge w:val="continue"/>
                  <w:tcBorders>
                    <w:tl2br w:val="nil"/>
                    <w:tr2bl w:val="nil"/>
                  </w:tcBorders>
                  <w:noWrap w:val="0"/>
                  <w:vAlign w:val="center"/>
                </w:tcPr>
                <w:p w14:paraId="544F6265">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2929463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6A6B9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1EFC347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7BCBB8F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1954D1DE">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3#（监控点）</w:t>
                  </w:r>
                </w:p>
              </w:tc>
              <w:tc>
                <w:tcPr>
                  <w:tcW w:w="999" w:type="pct"/>
                  <w:tcBorders>
                    <w:tl2br w:val="nil"/>
                    <w:tr2bl w:val="nil"/>
                  </w:tcBorders>
                  <w:noWrap w:val="0"/>
                  <w:vAlign w:val="center"/>
                </w:tcPr>
                <w:p w14:paraId="18665304">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1.1-1.4</w:t>
                  </w:r>
                </w:p>
              </w:tc>
              <w:tc>
                <w:tcPr>
                  <w:tcW w:w="996" w:type="pct"/>
                  <w:vMerge w:val="continue"/>
                  <w:tcBorders>
                    <w:tl2br w:val="nil"/>
                    <w:tr2bl w:val="nil"/>
                  </w:tcBorders>
                  <w:noWrap w:val="0"/>
                  <w:vAlign w:val="center"/>
                </w:tcPr>
                <w:p w14:paraId="702F0E86">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44FA4D10">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CED1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61C2286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74C7D51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27610C6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4#（监控点）</w:t>
                  </w:r>
                </w:p>
              </w:tc>
              <w:tc>
                <w:tcPr>
                  <w:tcW w:w="999" w:type="pct"/>
                  <w:tcBorders>
                    <w:tl2br w:val="nil"/>
                    <w:tr2bl w:val="nil"/>
                  </w:tcBorders>
                  <w:noWrap w:val="0"/>
                  <w:vAlign w:val="center"/>
                </w:tcPr>
                <w:p w14:paraId="0A52AA83">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1.1-1.3</w:t>
                  </w:r>
                </w:p>
              </w:tc>
              <w:tc>
                <w:tcPr>
                  <w:tcW w:w="996" w:type="pct"/>
                  <w:vMerge w:val="continue"/>
                  <w:tcBorders>
                    <w:tl2br w:val="nil"/>
                    <w:tr2bl w:val="nil"/>
                  </w:tcBorders>
                  <w:noWrap w:val="0"/>
                  <w:vAlign w:val="center"/>
                </w:tcPr>
                <w:p w14:paraId="5C8076F7">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02ABD67C">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6E11D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2" w:type="pct"/>
                  <w:vMerge w:val="continue"/>
                  <w:tcBorders>
                    <w:tl2br w:val="nil"/>
                    <w:tr2bl w:val="nil"/>
                  </w:tcBorders>
                  <w:noWrap w:val="0"/>
                  <w:vAlign w:val="center"/>
                </w:tcPr>
                <w:p w14:paraId="7927AB92">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63" w:type="pct"/>
                  <w:vMerge w:val="continue"/>
                  <w:tcBorders>
                    <w:tl2br w:val="nil"/>
                    <w:tr2bl w:val="nil"/>
                  </w:tcBorders>
                  <w:noWrap w:val="0"/>
                  <w:vAlign w:val="center"/>
                </w:tcPr>
                <w:p w14:paraId="5794CA81">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6" w:type="pct"/>
                  <w:tcBorders>
                    <w:tl2br w:val="nil"/>
                    <w:tr2bl w:val="nil"/>
                  </w:tcBorders>
                  <w:noWrap w:val="0"/>
                  <w:vAlign w:val="center"/>
                </w:tcPr>
                <w:p w14:paraId="3659DFAA">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5#（监控点）</w:t>
                  </w:r>
                </w:p>
              </w:tc>
              <w:tc>
                <w:tcPr>
                  <w:tcW w:w="999" w:type="pct"/>
                  <w:tcBorders>
                    <w:tl2br w:val="nil"/>
                    <w:tr2bl w:val="nil"/>
                  </w:tcBorders>
                  <w:noWrap w:val="0"/>
                  <w:vAlign w:val="center"/>
                </w:tcPr>
                <w:p w14:paraId="765297C8">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1.1-1.3</w:t>
                  </w:r>
                </w:p>
              </w:tc>
              <w:tc>
                <w:tcPr>
                  <w:tcW w:w="996" w:type="pct"/>
                  <w:vMerge w:val="continue"/>
                  <w:tcBorders>
                    <w:tl2br w:val="nil"/>
                    <w:tr2bl w:val="nil"/>
                  </w:tcBorders>
                  <w:noWrap w:val="0"/>
                  <w:vAlign w:val="center"/>
                </w:tcPr>
                <w:p w14:paraId="5369050F">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21" w:type="pct"/>
                  <w:vMerge w:val="continue"/>
                  <w:tcBorders>
                    <w:tl2br w:val="nil"/>
                    <w:tr2bl w:val="nil"/>
                  </w:tcBorders>
                  <w:noWrap w:val="0"/>
                  <w:vAlign w:val="center"/>
                </w:tcPr>
                <w:p w14:paraId="28B1B23E">
                  <w:pPr>
                    <w:pStyle w:val="3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14:paraId="6AA670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eastAsia="zh"/>
              </w:rPr>
            </w:pPr>
            <w:r>
              <w:rPr>
                <w:rFonts w:hint="eastAsia" w:ascii="Times New Roman" w:hAnsi="Times New Roman" w:eastAsia="宋体" w:cs="Times New Roman"/>
                <w:color w:val="auto"/>
                <w:kern w:val="2"/>
                <w:sz w:val="24"/>
                <w:szCs w:val="24"/>
                <w:highlight w:val="none"/>
                <w:lang w:eastAsia="zh"/>
              </w:rPr>
              <w:t>根据监测数据可知，现有项目颗粒物、二氧化硫无组织排放浓度达到《长治市人民政府办公室关于印发长治市大气和水污染物排放管控要求的通知》（长政办规〔2023〕1号）；氟化物无组织排放浓度达到《建材工业大气污染物排放标准》（DB37/2373-2018）表3砖瓦行业排放限值。</w:t>
            </w:r>
          </w:p>
          <w:p w14:paraId="044E02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③现有工程污染物排放量</w:t>
            </w:r>
          </w:p>
          <w:p w14:paraId="1E1688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根据</w:t>
            </w:r>
            <w:r>
              <w:rPr>
                <w:rFonts w:hint="eastAsia" w:ascii="Times New Roman" w:hAnsi="Times New Roman" w:eastAsia="宋体" w:cs="Times New Roman"/>
                <w:color w:val="auto"/>
                <w:kern w:val="2"/>
                <w:sz w:val="24"/>
                <w:szCs w:val="24"/>
                <w:highlight w:val="none"/>
                <w:lang w:val="en-US" w:eastAsia="zh-CN"/>
              </w:rPr>
              <w:t>现有项目</w:t>
            </w:r>
            <w:r>
              <w:rPr>
                <w:rFonts w:hint="eastAsia" w:cs="Times New Roman"/>
                <w:color w:val="auto"/>
                <w:kern w:val="2"/>
                <w:sz w:val="24"/>
                <w:szCs w:val="24"/>
                <w:highlight w:val="none"/>
                <w:lang w:val="en-US" w:eastAsia="zh-CN"/>
              </w:rPr>
              <w:t>验收监测数据</w:t>
            </w:r>
            <w:r>
              <w:rPr>
                <w:rFonts w:hint="eastAsia" w:ascii="Times New Roman" w:hAnsi="Times New Roman" w:eastAsia="宋体" w:cs="Times New Roman"/>
                <w:color w:val="auto"/>
                <w:kern w:val="2"/>
                <w:sz w:val="24"/>
                <w:szCs w:val="24"/>
                <w:highlight w:val="none"/>
                <w:lang w:eastAsia="zh-CN"/>
              </w:rPr>
              <w:t>，</w:t>
            </w:r>
            <w:r>
              <w:rPr>
                <w:rFonts w:hint="eastAsia" w:cs="Times New Roman"/>
                <w:color w:val="auto"/>
                <w:kern w:val="2"/>
                <w:sz w:val="24"/>
                <w:szCs w:val="24"/>
                <w:highlight w:val="none"/>
                <w:lang w:val="en-US" w:eastAsia="zh-CN"/>
              </w:rPr>
              <w:t>计算得</w:t>
            </w:r>
            <w:r>
              <w:rPr>
                <w:rFonts w:hint="eastAsia" w:ascii="Times New Roman" w:hAnsi="Times New Roman" w:eastAsia="宋体" w:cs="Times New Roman"/>
                <w:color w:val="auto"/>
                <w:kern w:val="2"/>
                <w:sz w:val="24"/>
                <w:szCs w:val="24"/>
                <w:highlight w:val="none"/>
                <w:lang w:val="en-US" w:eastAsia="zh-CN"/>
              </w:rPr>
              <w:t>现有</w:t>
            </w:r>
            <w:r>
              <w:rPr>
                <w:rFonts w:hint="eastAsia" w:cs="Times New Roman"/>
                <w:color w:val="auto"/>
                <w:kern w:val="2"/>
                <w:sz w:val="24"/>
                <w:szCs w:val="24"/>
                <w:highlight w:val="none"/>
                <w:lang w:val="en-US" w:eastAsia="zh-CN"/>
              </w:rPr>
              <w:t>工程</w:t>
            </w:r>
            <w:r>
              <w:rPr>
                <w:rFonts w:hint="eastAsia" w:ascii="Times New Roman" w:hAnsi="Times New Roman" w:eastAsia="宋体" w:cs="Times New Roman"/>
                <w:color w:val="auto"/>
                <w:kern w:val="2"/>
                <w:sz w:val="24"/>
                <w:szCs w:val="24"/>
                <w:highlight w:val="none"/>
                <w:lang w:val="en-US" w:eastAsia="zh-CN"/>
              </w:rPr>
              <w:t>全年排放污染物总量为：颗粒物</w:t>
            </w:r>
            <w:r>
              <w:rPr>
                <w:rFonts w:hint="eastAsia" w:cs="Times New Roman"/>
                <w:color w:val="auto"/>
                <w:kern w:val="2"/>
                <w:sz w:val="24"/>
                <w:szCs w:val="24"/>
                <w:highlight w:val="none"/>
                <w:lang w:val="en-US" w:eastAsia="zh-CN"/>
              </w:rPr>
              <w:t xml:space="preserve"> 1.13</w:t>
            </w:r>
            <w:r>
              <w:rPr>
                <w:rFonts w:hint="eastAsia" w:ascii="Times New Roman" w:hAnsi="Times New Roman" w:eastAsia="宋体" w:cs="Times New Roman"/>
                <w:color w:val="auto"/>
                <w:kern w:val="2"/>
                <w:sz w:val="24"/>
                <w:szCs w:val="24"/>
                <w:highlight w:val="none"/>
                <w:lang w:val="en-US" w:eastAsia="zh-CN"/>
              </w:rPr>
              <w:t>t/a，SO</w:t>
            </w:r>
            <w:r>
              <w:rPr>
                <w:rFonts w:hint="eastAsia" w:ascii="Times New Roman" w:hAnsi="Times New Roman" w:eastAsia="宋体" w:cs="Times New Roman"/>
                <w:color w:val="auto"/>
                <w:kern w:val="2"/>
                <w:sz w:val="24"/>
                <w:szCs w:val="24"/>
                <w:highlight w:val="none"/>
                <w:vertAlign w:val="subscript"/>
                <w:lang w:val="en-US" w:eastAsia="zh-CN"/>
              </w:rPr>
              <w:t>2</w:t>
            </w:r>
            <w:r>
              <w:rPr>
                <w:rFonts w:hint="eastAsia" w:cs="Times New Roman"/>
                <w:color w:val="auto"/>
                <w:kern w:val="2"/>
                <w:sz w:val="24"/>
                <w:szCs w:val="24"/>
                <w:highlight w:val="none"/>
                <w:vertAlign w:val="subscript"/>
                <w:lang w:val="en-US" w:eastAsia="zh-CN"/>
              </w:rPr>
              <w:t xml:space="preserve"> </w:t>
            </w:r>
            <w:r>
              <w:rPr>
                <w:rFonts w:hint="eastAsia" w:cs="Times New Roman"/>
                <w:color w:val="auto"/>
                <w:kern w:val="2"/>
                <w:sz w:val="24"/>
                <w:szCs w:val="24"/>
                <w:highlight w:val="none"/>
                <w:lang w:val="en-US" w:eastAsia="zh-CN"/>
              </w:rPr>
              <w:t>2.952</w:t>
            </w:r>
            <w:r>
              <w:rPr>
                <w:rFonts w:hint="eastAsia" w:ascii="Times New Roman" w:hAnsi="Times New Roman" w:eastAsia="宋体" w:cs="Times New Roman"/>
                <w:color w:val="auto"/>
                <w:kern w:val="2"/>
                <w:sz w:val="24"/>
                <w:szCs w:val="24"/>
                <w:highlight w:val="none"/>
                <w:lang w:val="en-US" w:eastAsia="zh-CN"/>
              </w:rPr>
              <w:t>t/a，NOx</w:t>
            </w:r>
            <w:r>
              <w:rPr>
                <w:rFonts w:hint="eastAsia" w:cs="Times New Roman"/>
                <w:color w:val="auto"/>
                <w:kern w:val="2"/>
                <w:sz w:val="24"/>
                <w:szCs w:val="24"/>
                <w:highlight w:val="none"/>
                <w:lang w:val="en-US" w:eastAsia="zh-CN"/>
              </w:rPr>
              <w:t xml:space="preserve"> 8.64</w:t>
            </w:r>
            <w:r>
              <w:rPr>
                <w:rFonts w:hint="eastAsia" w:ascii="Times New Roman" w:hAnsi="Times New Roman" w:eastAsia="宋体" w:cs="Times New Roman"/>
                <w:color w:val="auto"/>
                <w:kern w:val="2"/>
                <w:sz w:val="24"/>
                <w:szCs w:val="24"/>
                <w:highlight w:val="none"/>
                <w:lang w:val="en-US" w:eastAsia="zh-CN"/>
              </w:rPr>
              <w:t>t/a</w:t>
            </w:r>
            <w:r>
              <w:rPr>
                <w:rFonts w:hint="eastAsia" w:cs="Times New Roman"/>
                <w:color w:val="auto"/>
                <w:kern w:val="2"/>
                <w:sz w:val="24"/>
                <w:szCs w:val="24"/>
                <w:highlight w:val="none"/>
                <w:lang w:val="en-US" w:eastAsia="zh-CN"/>
              </w:rPr>
              <w:t>，氟化物 0.230t/a</w:t>
            </w:r>
            <w:r>
              <w:rPr>
                <w:rFonts w:hint="eastAsia" w:ascii="Times New Roman" w:hAnsi="Times New Roman" w:eastAsia="宋体" w:cs="Times New Roman"/>
                <w:color w:val="auto"/>
                <w:kern w:val="2"/>
                <w:sz w:val="24"/>
                <w:szCs w:val="24"/>
                <w:highlight w:val="none"/>
                <w:lang w:val="en-US" w:eastAsia="zh-CN"/>
              </w:rPr>
              <w:t>。</w:t>
            </w:r>
          </w:p>
          <w:p w14:paraId="50FA497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hint="eastAsia" w:ascii="Times New Roman" w:hAnsi="Times New Roman" w:eastAsia="宋体" w:cs="Times New Roman"/>
                <w:b/>
                <w:bCs/>
                <w:color w:val="auto"/>
                <w:sz w:val="24"/>
                <w:szCs w:val="20"/>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核查现有工程污染物排放总量的批复</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屯环函</w:t>
            </w:r>
            <w:r>
              <w:rPr>
                <w:rFonts w:hint="eastAsia" w:ascii="Times New Roman" w:hAnsi="Times New Roman" w:eastAsia="宋体" w:cs="Times New Roman"/>
                <w:b w:val="0"/>
                <w:bCs w:val="0"/>
                <w:color w:val="auto"/>
                <w:sz w:val="24"/>
                <w:szCs w:val="20"/>
                <w:highlight w:val="none"/>
                <w:lang w:val="en-US" w:eastAsia="zh-CN"/>
              </w:rPr>
              <w:t>〔20</w:t>
            </w:r>
            <w:r>
              <w:rPr>
                <w:rFonts w:hint="eastAsia" w:cs="Times New Roman"/>
                <w:b w:val="0"/>
                <w:bCs w:val="0"/>
                <w:color w:val="auto"/>
                <w:sz w:val="24"/>
                <w:szCs w:val="20"/>
                <w:highlight w:val="none"/>
                <w:lang w:val="en-US" w:eastAsia="zh-CN"/>
              </w:rPr>
              <w:t>23</w:t>
            </w:r>
            <w:r>
              <w:rPr>
                <w:rFonts w:hint="eastAsia" w:ascii="Times New Roman" w:hAnsi="Times New Roman" w:eastAsia="宋体" w:cs="Times New Roman"/>
                <w:b w:val="0"/>
                <w:bCs w:val="0"/>
                <w:color w:val="auto"/>
                <w:sz w:val="24"/>
                <w:szCs w:val="20"/>
                <w:highlight w:val="none"/>
                <w:lang w:val="en-US" w:eastAsia="zh-CN"/>
              </w:rPr>
              <w:t>〕</w:t>
            </w:r>
            <w:r>
              <w:rPr>
                <w:rFonts w:hint="eastAsia" w:cs="Times New Roman"/>
                <w:b w:val="0"/>
                <w:bCs w:val="0"/>
                <w:color w:val="auto"/>
                <w:sz w:val="24"/>
                <w:szCs w:val="20"/>
                <w:highlight w:val="none"/>
                <w:lang w:val="en-US" w:eastAsia="zh-CN"/>
              </w:rPr>
              <w:t>20</w:t>
            </w:r>
            <w:r>
              <w:rPr>
                <w:rFonts w:hint="eastAsia" w:ascii="Times New Roman" w:hAnsi="Times New Roman" w:eastAsia="宋体" w:cs="Times New Roman"/>
                <w:b w:val="0"/>
                <w:bCs w:val="0"/>
                <w:color w:val="auto"/>
                <w:sz w:val="24"/>
                <w:szCs w:val="20"/>
                <w:highlight w:val="none"/>
                <w:lang w:val="en-US" w:eastAsia="zh-CN"/>
              </w:rPr>
              <w:t>号</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中，污染物排放总量为</w:t>
            </w:r>
            <w:r>
              <w:rPr>
                <w:rFonts w:hint="eastAsia" w:cs="Times New Roman"/>
                <w:b w:val="0"/>
                <w:bCs w:val="0"/>
                <w:color w:val="auto"/>
                <w:sz w:val="24"/>
                <w:szCs w:val="20"/>
                <w:highlight w:val="none"/>
                <w:lang w:val="en-US" w:eastAsia="zh-CN"/>
              </w:rPr>
              <w:t>颗粒物1.41</w:t>
            </w:r>
            <w:r>
              <w:rPr>
                <w:rFonts w:hint="eastAsia" w:ascii="Times New Roman" w:hAnsi="Times New Roman" w:eastAsia="宋体" w:cs="Times New Roman"/>
                <w:b w:val="0"/>
                <w:bCs w:val="0"/>
                <w:color w:val="auto"/>
                <w:sz w:val="24"/>
                <w:szCs w:val="20"/>
                <w:highlight w:val="none"/>
                <w:lang w:val="en-US" w:eastAsia="zh-CN"/>
              </w:rPr>
              <w:t>吨，二氧化硫</w:t>
            </w:r>
            <w:r>
              <w:rPr>
                <w:rFonts w:hint="eastAsia" w:cs="Times New Roman"/>
                <w:b w:val="0"/>
                <w:bCs w:val="0"/>
                <w:color w:val="auto"/>
                <w:sz w:val="24"/>
                <w:szCs w:val="20"/>
                <w:highlight w:val="none"/>
                <w:lang w:val="en-US" w:eastAsia="zh-CN"/>
              </w:rPr>
              <w:t>3.405</w:t>
            </w:r>
            <w:r>
              <w:rPr>
                <w:rFonts w:hint="eastAsia" w:ascii="Times New Roman" w:hAnsi="Times New Roman" w:eastAsia="宋体" w:cs="Times New Roman"/>
                <w:b w:val="0"/>
                <w:bCs w:val="0"/>
                <w:color w:val="auto"/>
                <w:sz w:val="24"/>
                <w:szCs w:val="20"/>
                <w:highlight w:val="none"/>
                <w:lang w:val="en-US" w:eastAsia="zh-CN"/>
              </w:rPr>
              <w:t>吨</w:t>
            </w:r>
            <w:r>
              <w:rPr>
                <w:rFonts w:hint="eastAsia" w:cs="Times New Roman"/>
                <w:b w:val="0"/>
                <w:bCs w:val="0"/>
                <w:color w:val="auto"/>
                <w:sz w:val="24"/>
                <w:szCs w:val="20"/>
                <w:highlight w:val="none"/>
                <w:lang w:val="en-US" w:eastAsia="zh-CN"/>
              </w:rPr>
              <w:t>，氮氧化物14.688吨</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
              </w:rPr>
              <w:t>现有工程颗粒物有组织排放量</w:t>
            </w:r>
            <w:r>
              <w:rPr>
                <w:rFonts w:hint="eastAsia" w:ascii="Times New Roman" w:hAnsi="Times New Roman" w:eastAsia="宋体" w:cs="Times New Roman"/>
                <w:b w:val="0"/>
                <w:bCs w:val="0"/>
                <w:color w:val="auto"/>
                <w:sz w:val="24"/>
                <w:szCs w:val="24"/>
                <w:highlight w:val="none"/>
                <w:lang w:val="en-US" w:eastAsia="zh-CN"/>
              </w:rPr>
              <w:t>小于</w:t>
            </w:r>
            <w:r>
              <w:rPr>
                <w:rFonts w:hint="eastAsia" w:ascii="Times New Roman" w:hAnsi="Times New Roman" w:eastAsia="宋体" w:cs="Times New Roman"/>
                <w:color w:val="auto"/>
                <w:kern w:val="2"/>
                <w:sz w:val="24"/>
                <w:szCs w:val="24"/>
                <w:highlight w:val="none"/>
                <w:lang w:eastAsia="zh"/>
              </w:rPr>
              <w:t>企业大气排放许可量</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未</w:t>
            </w:r>
            <w:r>
              <w:rPr>
                <w:rFonts w:hint="eastAsia" w:ascii="Times New Roman" w:hAnsi="Times New Roman" w:eastAsia="宋体" w:cs="Times New Roman"/>
                <w:color w:val="auto"/>
                <w:kern w:val="2"/>
                <w:sz w:val="24"/>
                <w:szCs w:val="24"/>
                <w:highlight w:val="none"/>
                <w:lang w:eastAsia="zh-CN"/>
              </w:rPr>
              <w:t>超过现有批复的总量控制指标，满足总量控制的要求</w:t>
            </w:r>
            <w:r>
              <w:rPr>
                <w:rFonts w:hint="eastAsia" w:cs="Times New Roman"/>
                <w:color w:val="auto"/>
                <w:kern w:val="2"/>
                <w:sz w:val="24"/>
                <w:szCs w:val="24"/>
                <w:highlight w:val="none"/>
                <w:lang w:eastAsia="zh-CN"/>
              </w:rPr>
              <w:t>。</w:t>
            </w:r>
          </w:p>
          <w:p w14:paraId="12B3590D">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default"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（2）废水防治措施及污染物排放情况</w:t>
            </w:r>
          </w:p>
          <w:p w14:paraId="4A848D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现有项目</w:t>
            </w:r>
            <w:r>
              <w:rPr>
                <w:rFonts w:hint="default" w:ascii="Times New Roman" w:hAnsi="Times New Roman" w:eastAsia="宋体" w:cs="Times New Roman"/>
                <w:color w:val="auto"/>
                <w:kern w:val="2"/>
                <w:sz w:val="24"/>
                <w:szCs w:val="24"/>
                <w:highlight w:val="none"/>
                <w:lang w:eastAsia="zh-CN"/>
              </w:rPr>
              <w:t>生活废水</w:t>
            </w:r>
            <w:r>
              <w:rPr>
                <w:rFonts w:hint="default" w:ascii="Times New Roman" w:hAnsi="Times New Roman" w:eastAsia="宋体" w:cs="Times New Roman"/>
                <w:color w:val="auto"/>
                <w:kern w:val="2"/>
                <w:sz w:val="24"/>
                <w:szCs w:val="24"/>
                <w:highlight w:val="none"/>
                <w:lang w:val="en-US" w:eastAsia="zh-CN"/>
              </w:rPr>
              <w:t>进入</w:t>
            </w:r>
            <w:r>
              <w:rPr>
                <w:rFonts w:hint="eastAsia" w:cs="Times New Roman"/>
                <w:color w:val="auto"/>
                <w:kern w:val="2"/>
                <w:sz w:val="24"/>
                <w:szCs w:val="24"/>
                <w:highlight w:val="none"/>
                <w:lang w:val="en-US" w:eastAsia="zh-CN"/>
              </w:rPr>
              <w:t>化粪池</w:t>
            </w:r>
            <w:r>
              <w:rPr>
                <w:rFonts w:hint="default" w:ascii="Times New Roman" w:hAnsi="Times New Roman" w:eastAsia="宋体" w:cs="Times New Roman"/>
                <w:color w:val="auto"/>
                <w:kern w:val="2"/>
                <w:sz w:val="24"/>
                <w:szCs w:val="24"/>
                <w:highlight w:val="none"/>
                <w:lang w:val="en-US" w:eastAsia="zh-CN"/>
              </w:rPr>
              <w:t>，定期清掏不外排；生产废水收集后循环回用，不外排。</w:t>
            </w:r>
          </w:p>
          <w:p w14:paraId="67152621">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eastAsia"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（3）噪声防治措施</w:t>
            </w:r>
          </w:p>
          <w:p w14:paraId="2A9BC6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项目主要设备噪声来源于生产过程中产生的，如搅拌机、</w:t>
            </w:r>
            <w:r>
              <w:rPr>
                <w:rFonts w:hint="eastAsia" w:cs="Times New Roman"/>
                <w:color w:val="auto"/>
                <w:kern w:val="2"/>
                <w:sz w:val="24"/>
                <w:szCs w:val="24"/>
                <w:highlight w:val="none"/>
                <w:lang w:val="en-US" w:eastAsia="zh-CN"/>
              </w:rPr>
              <w:t>破碎</w:t>
            </w:r>
            <w:r>
              <w:rPr>
                <w:rFonts w:hint="eastAsia" w:ascii="Times New Roman" w:hAnsi="Times New Roman" w:eastAsia="宋体" w:cs="Times New Roman"/>
                <w:color w:val="auto"/>
                <w:kern w:val="2"/>
                <w:sz w:val="24"/>
                <w:szCs w:val="24"/>
                <w:highlight w:val="none"/>
                <w:lang w:val="en-US" w:eastAsia="zh-CN"/>
              </w:rPr>
              <w:t>机、</w:t>
            </w:r>
            <w:r>
              <w:rPr>
                <w:rFonts w:hint="eastAsia" w:cs="Times New Roman"/>
                <w:color w:val="auto"/>
                <w:kern w:val="2"/>
                <w:sz w:val="24"/>
                <w:szCs w:val="24"/>
                <w:highlight w:val="none"/>
                <w:lang w:val="en-US" w:eastAsia="zh-CN"/>
              </w:rPr>
              <w:t>筛分机</w:t>
            </w:r>
            <w:r>
              <w:rPr>
                <w:rFonts w:hint="eastAsia" w:ascii="Times New Roman" w:hAnsi="Times New Roman" w:eastAsia="宋体" w:cs="Times New Roman"/>
                <w:color w:val="auto"/>
                <w:kern w:val="2"/>
                <w:sz w:val="24"/>
                <w:szCs w:val="24"/>
                <w:highlight w:val="none"/>
                <w:lang w:val="en-US" w:eastAsia="zh-CN"/>
              </w:rPr>
              <w:t>、挤砖机、切坯机、切条机等，噪声级约</w:t>
            </w:r>
            <w:r>
              <w:rPr>
                <w:rFonts w:hint="default" w:ascii="Times New Roman" w:hAnsi="Times New Roman" w:eastAsia="宋体" w:cs="Times New Roman"/>
                <w:color w:val="auto"/>
                <w:kern w:val="2"/>
                <w:sz w:val="24"/>
                <w:szCs w:val="24"/>
                <w:highlight w:val="none"/>
                <w:lang w:val="en-US" w:eastAsia="zh-CN"/>
              </w:rPr>
              <w:t>75~</w:t>
            </w:r>
            <w:r>
              <w:rPr>
                <w:rFonts w:hint="eastAsia" w:ascii="Times New Roman" w:hAnsi="Times New Roman" w:eastAsia="宋体" w:cs="Times New Roman"/>
                <w:color w:val="auto"/>
                <w:kern w:val="2"/>
                <w:sz w:val="24"/>
                <w:szCs w:val="24"/>
                <w:highlight w:val="none"/>
                <w:lang w:val="en-US" w:eastAsia="zh-CN"/>
              </w:rPr>
              <w:t>95</w:t>
            </w:r>
            <w:r>
              <w:rPr>
                <w:rFonts w:hint="default" w:ascii="Times New Roman" w:hAnsi="Times New Roman" w:eastAsia="宋体" w:cs="Times New Roman"/>
                <w:color w:val="auto"/>
                <w:kern w:val="2"/>
                <w:sz w:val="24"/>
                <w:szCs w:val="24"/>
                <w:highlight w:val="none"/>
                <w:lang w:val="en-US" w:eastAsia="zh-CN"/>
              </w:rPr>
              <w:t>dB</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A</w:t>
            </w:r>
            <w:r>
              <w:rPr>
                <w:rFonts w:hint="eastAsia" w:ascii="Times New Roman" w:hAnsi="Times New Roman" w:eastAsia="宋体" w:cs="Times New Roman"/>
                <w:color w:val="auto"/>
                <w:kern w:val="2"/>
                <w:sz w:val="24"/>
                <w:szCs w:val="24"/>
                <w:highlight w:val="none"/>
                <w:lang w:val="en-US" w:eastAsia="zh-CN"/>
              </w:rPr>
              <w:t>）。经采用低噪设备，基础减振，室内布置等措施后，可降噪</w:t>
            </w:r>
            <w:r>
              <w:rPr>
                <w:rFonts w:hint="default" w:ascii="Times New Roman" w:hAnsi="Times New Roman" w:eastAsia="宋体" w:cs="Times New Roman"/>
                <w:color w:val="auto"/>
                <w:kern w:val="2"/>
                <w:sz w:val="24"/>
                <w:szCs w:val="24"/>
                <w:highlight w:val="none"/>
                <w:lang w:val="en-US" w:eastAsia="zh-CN"/>
              </w:rPr>
              <w:t>25dB</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A</w:t>
            </w:r>
            <w:r>
              <w:rPr>
                <w:rFonts w:hint="eastAsia" w:ascii="Times New Roman" w:hAnsi="Times New Roman" w:eastAsia="宋体" w:cs="Times New Roman"/>
                <w:color w:val="auto"/>
                <w:kern w:val="2"/>
                <w:sz w:val="24"/>
                <w:szCs w:val="24"/>
                <w:highlight w:val="none"/>
                <w:lang w:val="en-US" w:eastAsia="zh-CN"/>
              </w:rPr>
              <w:t>）左右。</w:t>
            </w:r>
          </w:p>
          <w:p w14:paraId="17004B1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eastAsia="zh"/>
              </w:rPr>
            </w:pPr>
            <w:r>
              <w:rPr>
                <w:rFonts w:hint="eastAsia" w:ascii="Times New Roman" w:hAnsi="Times New Roman" w:eastAsia="宋体" w:cs="Times New Roman"/>
                <w:color w:val="auto"/>
                <w:kern w:val="2"/>
                <w:sz w:val="24"/>
                <w:szCs w:val="24"/>
                <w:highlight w:val="none"/>
                <w:lang w:eastAsia="zh"/>
              </w:rPr>
              <w:t>根据</w:t>
            </w:r>
            <w:r>
              <w:rPr>
                <w:rFonts w:hint="eastAsia" w:ascii="Times New Roman" w:hAnsi="Times New Roman" w:eastAsia="宋体" w:cs="Times New Roman"/>
                <w:color w:val="auto"/>
                <w:kern w:val="2"/>
                <w:sz w:val="24"/>
                <w:szCs w:val="24"/>
                <w:highlight w:val="none"/>
                <w:lang w:val="en-US" w:eastAsia="zh-CN"/>
              </w:rPr>
              <w:t>202</w:t>
            </w:r>
            <w:r>
              <w:rPr>
                <w:rFonts w:hint="eastAsia"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en-US" w:eastAsia="zh-CN"/>
              </w:rPr>
              <w:t>年</w:t>
            </w:r>
            <w:r>
              <w:rPr>
                <w:rFonts w:hint="eastAsia" w:cs="Times New Roman"/>
                <w:color w:val="auto"/>
                <w:kern w:val="2"/>
                <w:sz w:val="24"/>
                <w:szCs w:val="24"/>
                <w:highlight w:val="none"/>
                <w:lang w:val="en-US" w:eastAsia="zh-CN"/>
              </w:rPr>
              <w:t>8</w:t>
            </w:r>
            <w:r>
              <w:rPr>
                <w:rFonts w:hint="eastAsia" w:ascii="Times New Roman" w:hAnsi="Times New Roman" w:eastAsia="宋体" w:cs="Times New Roman"/>
                <w:color w:val="auto"/>
                <w:kern w:val="2"/>
                <w:sz w:val="24"/>
                <w:szCs w:val="24"/>
                <w:highlight w:val="none"/>
                <w:lang w:val="en-US" w:eastAsia="zh-CN"/>
              </w:rPr>
              <w:t>月</w:t>
            </w:r>
            <w:r>
              <w:rPr>
                <w:rFonts w:hint="eastAsia" w:cs="Times New Roman"/>
                <w:color w:val="auto"/>
                <w:kern w:val="2"/>
                <w:sz w:val="24"/>
                <w:szCs w:val="24"/>
                <w:highlight w:val="none"/>
                <w:lang w:val="en-US" w:eastAsia="zh-CN"/>
              </w:rPr>
              <w:t>23</w:t>
            </w:r>
            <w:r>
              <w:rPr>
                <w:rFonts w:hint="eastAsia" w:ascii="Times New Roman" w:hAnsi="Times New Roman" w:eastAsia="宋体" w:cs="Times New Roman"/>
                <w:color w:val="auto"/>
                <w:kern w:val="2"/>
                <w:sz w:val="24"/>
                <w:szCs w:val="24"/>
                <w:highlight w:val="none"/>
                <w:lang w:val="en-US" w:eastAsia="zh-CN"/>
              </w:rPr>
              <w:t>日</w:t>
            </w:r>
            <w:r>
              <w:rPr>
                <w:rFonts w:hint="eastAsia" w:cs="Times New Roman"/>
                <w:color w:val="auto"/>
                <w:kern w:val="2"/>
                <w:sz w:val="24"/>
                <w:szCs w:val="24"/>
                <w:highlight w:val="none"/>
                <w:lang w:val="en-US" w:eastAsia="zh-CN"/>
              </w:rPr>
              <w:t>-2024年8月24日</w:t>
            </w:r>
            <w:r>
              <w:rPr>
                <w:rFonts w:hint="eastAsia" w:ascii="Times New Roman" w:hAnsi="Times New Roman" w:eastAsia="宋体" w:cs="Times New Roman"/>
                <w:color w:val="auto"/>
                <w:kern w:val="2"/>
                <w:sz w:val="24"/>
                <w:szCs w:val="24"/>
                <w:highlight w:val="none"/>
                <w:lang w:eastAsia="zh"/>
              </w:rPr>
              <w:t>《</w:t>
            </w:r>
            <w:r>
              <w:rPr>
                <w:rFonts w:hint="eastAsia" w:cs="Times New Roman"/>
                <w:color w:val="auto"/>
                <w:kern w:val="2"/>
                <w:sz w:val="24"/>
                <w:szCs w:val="24"/>
                <w:highlight w:val="none"/>
                <w:lang w:eastAsia="zh-CN"/>
              </w:rPr>
              <w:t>屯留县圣烨建材有限公司</w:t>
            </w:r>
            <w:r>
              <w:rPr>
                <w:rFonts w:hint="eastAsia" w:cs="Times New Roman"/>
                <w:color w:val="auto"/>
                <w:kern w:val="2"/>
                <w:sz w:val="24"/>
                <w:szCs w:val="24"/>
                <w:highlight w:val="none"/>
                <w:lang w:val="en-US" w:eastAsia="zh-CN"/>
              </w:rPr>
              <w:t>验收</w:t>
            </w:r>
            <w:r>
              <w:rPr>
                <w:rFonts w:hint="eastAsia" w:ascii="Times New Roman" w:hAnsi="Times New Roman" w:eastAsia="宋体" w:cs="Times New Roman"/>
                <w:color w:val="auto"/>
                <w:kern w:val="2"/>
                <w:sz w:val="24"/>
                <w:szCs w:val="24"/>
                <w:highlight w:val="none"/>
                <w:lang w:eastAsia="zh"/>
              </w:rPr>
              <w:t>监测》可知</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现有项目噪声监测</w:t>
            </w:r>
            <w:r>
              <w:rPr>
                <w:rFonts w:hint="eastAsia" w:ascii="Times New Roman" w:hAnsi="Times New Roman" w:eastAsia="宋体" w:cs="Times New Roman"/>
                <w:color w:val="auto"/>
                <w:kern w:val="2"/>
                <w:sz w:val="24"/>
                <w:szCs w:val="24"/>
                <w:highlight w:val="none"/>
                <w:lang w:eastAsia="zh"/>
              </w:rPr>
              <w:t>情况见表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-21</w:t>
            </w:r>
            <w:r>
              <w:rPr>
                <w:rFonts w:hint="eastAsia" w:ascii="Times New Roman" w:hAnsi="Times New Roman" w:eastAsia="宋体" w:cs="Times New Roman"/>
                <w:color w:val="auto"/>
                <w:kern w:val="2"/>
                <w:sz w:val="24"/>
                <w:szCs w:val="24"/>
                <w:highlight w:val="none"/>
                <w:lang w:eastAsia="zh"/>
              </w:rPr>
              <w:t>。</w:t>
            </w:r>
          </w:p>
          <w:p w14:paraId="7DC49D7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
              </w:rPr>
            </w:pPr>
            <w:r>
              <w:rPr>
                <w:rFonts w:hint="eastAsia" w:ascii="Times New Roman" w:hAnsi="Times New Roman" w:eastAsia="黑体" w:cs="Times New Roman"/>
                <w:b w:val="0"/>
                <w:bCs w:val="0"/>
                <w:color w:val="auto"/>
                <w:kern w:val="2"/>
                <w:sz w:val="24"/>
                <w:szCs w:val="24"/>
                <w:highlight w:val="none"/>
                <w:lang w:val="en-US" w:eastAsia="zh"/>
              </w:rPr>
              <w:t>表</w:t>
            </w:r>
            <w:r>
              <w:rPr>
                <w:rFonts w:hint="eastAsia" w:ascii="Times New Roman" w:hAnsi="Times New Roman" w:eastAsia="黑体" w:cs="Times New Roman"/>
                <w:b w:val="0"/>
                <w:bCs w:val="0"/>
                <w:color w:val="auto"/>
                <w:kern w:val="2"/>
                <w:sz w:val="24"/>
                <w:szCs w:val="24"/>
                <w:highlight w:val="none"/>
                <w:lang w:val="en-US" w:eastAsia="zh-CN"/>
              </w:rPr>
              <w:t xml:space="preserve">2-21  </w:t>
            </w:r>
            <w:r>
              <w:rPr>
                <w:rFonts w:hint="eastAsia" w:ascii="Times New Roman" w:hAnsi="Times New Roman" w:eastAsia="黑体" w:cs="Times New Roman"/>
                <w:b w:val="0"/>
                <w:bCs w:val="0"/>
                <w:color w:val="auto"/>
                <w:kern w:val="2"/>
                <w:sz w:val="24"/>
                <w:szCs w:val="24"/>
                <w:highlight w:val="none"/>
                <w:lang w:val="en-US" w:eastAsia="zh"/>
              </w:rPr>
              <w:t>现有工程</w:t>
            </w:r>
            <w:r>
              <w:rPr>
                <w:rFonts w:hint="eastAsia" w:ascii="Times New Roman" w:hAnsi="Times New Roman" w:eastAsia="黑体" w:cs="Times New Roman"/>
                <w:b w:val="0"/>
                <w:bCs w:val="0"/>
                <w:color w:val="auto"/>
                <w:kern w:val="2"/>
                <w:sz w:val="24"/>
                <w:szCs w:val="24"/>
                <w:highlight w:val="none"/>
                <w:lang w:val="en-US" w:eastAsia="zh-CN"/>
              </w:rPr>
              <w:t>噪声监测</w:t>
            </w:r>
            <w:r>
              <w:rPr>
                <w:rFonts w:hint="eastAsia" w:ascii="Times New Roman" w:hAnsi="Times New Roman" w:eastAsia="黑体" w:cs="Times New Roman"/>
                <w:b w:val="0"/>
                <w:bCs w:val="0"/>
                <w:color w:val="auto"/>
                <w:kern w:val="2"/>
                <w:sz w:val="24"/>
                <w:szCs w:val="24"/>
                <w:highlight w:val="none"/>
                <w:lang w:val="en-US" w:eastAsia="zh"/>
              </w:rPr>
              <w:t>情况表</w:t>
            </w:r>
          </w:p>
          <w:p w14:paraId="24987D31">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eastAsia" w:ascii="Times New Roman" w:hAnsi="Times New Roman" w:eastAsia="黑体" w:cs="Times New Roman"/>
                <w:b w:val="0"/>
                <w:bCs w:val="0"/>
                <w:color w:val="auto"/>
                <w:kern w:val="2"/>
                <w:sz w:val="24"/>
                <w:szCs w:val="24"/>
                <w:highlight w:val="none"/>
                <w:lang w:val="en-US" w:eastAsia="zh-CN"/>
              </w:rPr>
            </w:pPr>
            <w:r>
              <w:rPr>
                <w:rFonts w:hint="eastAsia" w:ascii="Times New Roman" w:hAnsi="Times New Roman" w:eastAsia="黑体" w:cs="Times New Roman"/>
                <w:b w:val="0"/>
                <w:bCs w:val="0"/>
                <w:color w:val="auto"/>
                <w:kern w:val="2"/>
                <w:sz w:val="15"/>
                <w:szCs w:val="15"/>
                <w:highlight w:val="none"/>
                <w:lang w:val="en-US" w:eastAsia="zh-CN"/>
              </w:rPr>
              <w:t>单位：</w:t>
            </w:r>
            <w:r>
              <w:rPr>
                <w:rFonts w:hint="eastAsia" w:ascii="Times New Roman" w:hAnsi="Times New Roman" w:eastAsia="黑体" w:cs="Times New Roman"/>
                <w:b w:val="0"/>
                <w:bCs w:val="0"/>
                <w:color w:val="auto"/>
                <w:kern w:val="2"/>
                <w:sz w:val="15"/>
                <w:szCs w:val="15"/>
                <w:highlight w:val="none"/>
                <w:lang w:val="en-US" w:eastAsia="zh"/>
              </w:rPr>
              <w:t>mg/m</w:t>
            </w:r>
            <w:r>
              <w:rPr>
                <w:rFonts w:hint="eastAsia" w:ascii="Times New Roman" w:hAnsi="Times New Roman" w:eastAsia="黑体" w:cs="Times New Roman"/>
                <w:b w:val="0"/>
                <w:bCs w:val="0"/>
                <w:color w:val="auto"/>
                <w:kern w:val="2"/>
                <w:sz w:val="15"/>
                <w:szCs w:val="15"/>
                <w:highlight w:val="none"/>
                <w:vertAlign w:val="superscript"/>
                <w:lang w:val="en-US" w:eastAsia="zh"/>
              </w:rPr>
              <w:t>3</w:t>
            </w:r>
          </w:p>
          <w:tbl>
            <w:tblPr>
              <w:tblStyle w:val="24"/>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644"/>
              <w:gridCol w:w="743"/>
              <w:gridCol w:w="706"/>
              <w:gridCol w:w="811"/>
              <w:gridCol w:w="653"/>
              <w:gridCol w:w="724"/>
              <w:gridCol w:w="727"/>
              <w:gridCol w:w="789"/>
              <w:gridCol w:w="616"/>
            </w:tblGrid>
            <w:tr w14:paraId="290E4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noWrap w:val="0"/>
                  <w:vAlign w:val="center"/>
                </w:tcPr>
                <w:p w14:paraId="1A00CCE9">
                  <w:pPr>
                    <w:spacing w:line="300" w:lineRule="exact"/>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w:t>
                  </w:r>
                </w:p>
                <w:p w14:paraId="50957CC7">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日期</w:t>
                  </w:r>
                </w:p>
              </w:tc>
              <w:tc>
                <w:tcPr>
                  <w:tcW w:w="444" w:type="pct"/>
                  <w:tcBorders>
                    <w:tl2br w:val="nil"/>
                    <w:tr2bl w:val="nil"/>
                  </w:tcBorders>
                  <w:noWrap w:val="0"/>
                  <w:vAlign w:val="center"/>
                </w:tcPr>
                <w:p w14:paraId="6590A868">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监测点位</w:t>
                  </w:r>
                </w:p>
              </w:tc>
              <w:tc>
                <w:tcPr>
                  <w:tcW w:w="503" w:type="pct"/>
                  <w:tcBorders>
                    <w:tl2br w:val="nil"/>
                    <w:tr2bl w:val="nil"/>
                  </w:tcBorders>
                  <w:noWrap w:val="0"/>
                  <w:vAlign w:val="center"/>
                </w:tcPr>
                <w:p w14:paraId="1B6974DA">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监测时段</w:t>
                  </w:r>
                </w:p>
              </w:tc>
              <w:tc>
                <w:tcPr>
                  <w:tcW w:w="456" w:type="pct"/>
                  <w:tcBorders>
                    <w:tl2br w:val="nil"/>
                    <w:tr2bl w:val="nil"/>
                  </w:tcBorders>
                  <w:noWrap w:val="0"/>
                  <w:vAlign w:val="center"/>
                </w:tcPr>
                <w:p w14:paraId="38239808">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Leq</w:t>
                  </w:r>
                </w:p>
              </w:tc>
              <w:tc>
                <w:tcPr>
                  <w:tcW w:w="568" w:type="pct"/>
                  <w:tcBorders>
                    <w:tl2br w:val="nil"/>
                    <w:tr2bl w:val="nil"/>
                  </w:tcBorders>
                  <w:noWrap w:val="0"/>
                  <w:vAlign w:val="center"/>
                </w:tcPr>
                <w:p w14:paraId="46239E43">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Leq标准限值</w:t>
                  </w:r>
                </w:p>
              </w:tc>
              <w:tc>
                <w:tcPr>
                  <w:tcW w:w="449" w:type="pct"/>
                  <w:tcBorders>
                    <w:tl2br w:val="nil"/>
                    <w:tr2bl w:val="nil"/>
                  </w:tcBorders>
                  <w:noWrap w:val="0"/>
                  <w:vAlign w:val="center"/>
                </w:tcPr>
                <w:p w14:paraId="5C4559B4">
                  <w:pPr>
                    <w:spacing w:line="300" w:lineRule="exact"/>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达标情况</w:t>
                  </w:r>
                </w:p>
              </w:tc>
              <w:tc>
                <w:tcPr>
                  <w:tcW w:w="491" w:type="pct"/>
                  <w:tcBorders>
                    <w:tl2br w:val="nil"/>
                    <w:tr2bl w:val="nil"/>
                  </w:tcBorders>
                  <w:noWrap w:val="0"/>
                  <w:vAlign w:val="center"/>
                </w:tcPr>
                <w:p w14:paraId="16353970">
                  <w:pPr>
                    <w:spacing w:line="300" w:lineRule="exact"/>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监测时段</w:t>
                  </w:r>
                </w:p>
              </w:tc>
              <w:tc>
                <w:tcPr>
                  <w:tcW w:w="493" w:type="pct"/>
                  <w:tcBorders>
                    <w:tl2br w:val="nil"/>
                    <w:tr2bl w:val="nil"/>
                  </w:tcBorders>
                  <w:noWrap w:val="0"/>
                  <w:vAlign w:val="center"/>
                </w:tcPr>
                <w:p w14:paraId="2E624D3B">
                  <w:pPr>
                    <w:spacing w:line="300" w:lineRule="exact"/>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Leq</w:t>
                  </w:r>
                </w:p>
              </w:tc>
              <w:tc>
                <w:tcPr>
                  <w:tcW w:w="530" w:type="pct"/>
                  <w:tcBorders>
                    <w:tl2br w:val="nil"/>
                    <w:tr2bl w:val="nil"/>
                  </w:tcBorders>
                  <w:noWrap w:val="0"/>
                  <w:vAlign w:val="center"/>
                </w:tcPr>
                <w:p w14:paraId="66521FB0">
                  <w:pPr>
                    <w:spacing w:line="300" w:lineRule="exact"/>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Leq标准限值</w:t>
                  </w:r>
                </w:p>
              </w:tc>
              <w:tc>
                <w:tcPr>
                  <w:tcW w:w="427" w:type="pct"/>
                  <w:tcBorders>
                    <w:tl2br w:val="nil"/>
                    <w:tr2bl w:val="nil"/>
                  </w:tcBorders>
                  <w:noWrap w:val="0"/>
                  <w:vAlign w:val="center"/>
                </w:tcPr>
                <w:p w14:paraId="73A41FA6">
                  <w:pPr>
                    <w:spacing w:line="300" w:lineRule="exact"/>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达标情况</w:t>
                  </w:r>
                </w:p>
              </w:tc>
            </w:tr>
            <w:tr w14:paraId="01023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vMerge w:val="restart"/>
                  <w:tcBorders>
                    <w:tl2br w:val="nil"/>
                    <w:tr2bl w:val="nil"/>
                  </w:tcBorders>
                  <w:noWrap w:val="0"/>
                  <w:vAlign w:val="center"/>
                </w:tcPr>
                <w:p w14:paraId="3F1E8864">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2024.8.23-2024.8.24</w:t>
                  </w:r>
                </w:p>
              </w:tc>
              <w:tc>
                <w:tcPr>
                  <w:tcW w:w="444" w:type="pct"/>
                  <w:tcBorders>
                    <w:tl2br w:val="nil"/>
                    <w:tr2bl w:val="nil"/>
                  </w:tcBorders>
                  <w:noWrap w:val="0"/>
                  <w:vAlign w:val="center"/>
                </w:tcPr>
                <w:p w14:paraId="03A5C8F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503" w:type="pct"/>
                  <w:vMerge w:val="restart"/>
                  <w:tcBorders>
                    <w:tl2br w:val="nil"/>
                    <w:tr2bl w:val="nil"/>
                  </w:tcBorders>
                  <w:noWrap w:val="0"/>
                  <w:vAlign w:val="center"/>
                </w:tcPr>
                <w:p w14:paraId="403FCD5D">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456" w:type="pct"/>
                  <w:vMerge w:val="restart"/>
                  <w:tcBorders>
                    <w:tl2br w:val="nil"/>
                    <w:tr2bl w:val="nil"/>
                  </w:tcBorders>
                  <w:noWrap w:val="0"/>
                  <w:vAlign w:val="center"/>
                </w:tcPr>
                <w:p w14:paraId="710E5B60">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53-57</w:t>
                  </w:r>
                </w:p>
              </w:tc>
              <w:tc>
                <w:tcPr>
                  <w:tcW w:w="568" w:type="pct"/>
                  <w:vMerge w:val="restart"/>
                  <w:tcBorders>
                    <w:tl2br w:val="nil"/>
                    <w:tr2bl w:val="nil"/>
                  </w:tcBorders>
                  <w:noWrap w:val="0"/>
                  <w:vAlign w:val="center"/>
                </w:tcPr>
                <w:p w14:paraId="4DE44582">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449" w:type="pct"/>
                  <w:vMerge w:val="restart"/>
                  <w:tcBorders>
                    <w:tl2br w:val="nil"/>
                    <w:tr2bl w:val="nil"/>
                  </w:tcBorders>
                  <w:noWrap w:val="0"/>
                  <w:vAlign w:val="center"/>
                </w:tcPr>
                <w:p w14:paraId="30480F8E">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lang w:eastAsia="zh"/>
                    </w:rPr>
                    <w:t>达标</w:t>
                  </w:r>
                </w:p>
              </w:tc>
              <w:tc>
                <w:tcPr>
                  <w:tcW w:w="491" w:type="pct"/>
                  <w:vMerge w:val="restart"/>
                  <w:tcBorders>
                    <w:tl2br w:val="nil"/>
                    <w:tr2bl w:val="nil"/>
                  </w:tcBorders>
                  <w:noWrap w:val="0"/>
                  <w:vAlign w:val="center"/>
                </w:tcPr>
                <w:p w14:paraId="00C339D9">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r>
                    <w:rPr>
                      <w:rFonts w:hint="eastAsia" w:ascii="Times New Roman" w:hAnsi="Times New Roman" w:eastAsia="宋体" w:cs="Times New Roman"/>
                      <w:color w:val="auto"/>
                      <w:szCs w:val="21"/>
                      <w:highlight w:val="none"/>
                      <w:lang w:val="en-US" w:eastAsia="zh-CN"/>
                    </w:rPr>
                    <w:t>夜间</w:t>
                  </w:r>
                </w:p>
              </w:tc>
              <w:tc>
                <w:tcPr>
                  <w:tcW w:w="493" w:type="pct"/>
                  <w:vMerge w:val="restart"/>
                  <w:tcBorders>
                    <w:tl2br w:val="nil"/>
                    <w:tr2bl w:val="nil"/>
                  </w:tcBorders>
                  <w:noWrap w:val="0"/>
                  <w:vAlign w:val="center"/>
                </w:tcPr>
                <w:p w14:paraId="1459C8D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44-48</w:t>
                  </w:r>
                </w:p>
              </w:tc>
              <w:tc>
                <w:tcPr>
                  <w:tcW w:w="530" w:type="pct"/>
                  <w:vMerge w:val="restart"/>
                  <w:tcBorders>
                    <w:tl2br w:val="nil"/>
                    <w:tr2bl w:val="nil"/>
                  </w:tcBorders>
                  <w:noWrap w:val="0"/>
                  <w:vAlign w:val="center"/>
                </w:tcPr>
                <w:p w14:paraId="1EEDB3D3">
                  <w:pPr>
                    <w:spacing w:line="300" w:lineRule="exact"/>
                    <w:jc w:val="center"/>
                    <w:rPr>
                      <w:rFonts w:hint="default" w:ascii="Times New Roman" w:hAnsi="Times New Roman" w:eastAsia="宋体" w:cs="Times New Roman"/>
                      <w:color w:val="auto"/>
                      <w:kern w:val="2"/>
                      <w:sz w:val="21"/>
                      <w:szCs w:val="21"/>
                      <w:highlight w:val="none"/>
                      <w:lang w:val="en-US" w:eastAsia="zh" w:bidi="ar-SA"/>
                    </w:rPr>
                  </w:pPr>
                  <w:r>
                    <w:rPr>
                      <w:rFonts w:hint="eastAsia" w:ascii="Times New Roman" w:hAnsi="Times New Roman" w:eastAsia="宋体" w:cs="Times New Roman"/>
                      <w:color w:val="auto"/>
                      <w:szCs w:val="21"/>
                      <w:highlight w:val="none"/>
                      <w:lang w:val="en-US" w:eastAsia="zh-CN"/>
                    </w:rPr>
                    <w:t>50</w:t>
                  </w:r>
                </w:p>
              </w:tc>
              <w:tc>
                <w:tcPr>
                  <w:tcW w:w="427" w:type="pct"/>
                  <w:vMerge w:val="restart"/>
                  <w:tcBorders>
                    <w:tl2br w:val="nil"/>
                    <w:tr2bl w:val="nil"/>
                  </w:tcBorders>
                  <w:noWrap w:val="0"/>
                  <w:vAlign w:val="center"/>
                </w:tcPr>
                <w:p w14:paraId="7DBDE654">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lang w:eastAsia="zh"/>
                    </w:rPr>
                    <w:t>达标</w:t>
                  </w:r>
                </w:p>
              </w:tc>
            </w:tr>
            <w:tr w14:paraId="4577F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vMerge w:val="continue"/>
                  <w:tcBorders>
                    <w:tl2br w:val="nil"/>
                    <w:tr2bl w:val="nil"/>
                  </w:tcBorders>
                  <w:noWrap w:val="0"/>
                  <w:vAlign w:val="center"/>
                </w:tcPr>
                <w:p w14:paraId="530A6AF6">
                  <w:pPr>
                    <w:spacing w:line="300" w:lineRule="exact"/>
                    <w:jc w:val="center"/>
                    <w:rPr>
                      <w:rFonts w:hint="eastAsia" w:ascii="Times New Roman" w:hAnsi="Times New Roman" w:eastAsia="宋体" w:cs="Times New Roman"/>
                      <w:color w:val="auto"/>
                      <w:szCs w:val="21"/>
                      <w:highlight w:val="none"/>
                      <w:lang w:val="en-US" w:eastAsia="zh-CN"/>
                    </w:rPr>
                  </w:pPr>
                </w:p>
              </w:tc>
              <w:tc>
                <w:tcPr>
                  <w:tcW w:w="444" w:type="pct"/>
                  <w:tcBorders>
                    <w:tl2br w:val="nil"/>
                    <w:tr2bl w:val="nil"/>
                  </w:tcBorders>
                  <w:noWrap w:val="0"/>
                  <w:vAlign w:val="center"/>
                </w:tcPr>
                <w:p w14:paraId="680FDEAC">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503" w:type="pct"/>
                  <w:vMerge w:val="continue"/>
                  <w:tcBorders>
                    <w:tl2br w:val="nil"/>
                    <w:tr2bl w:val="nil"/>
                  </w:tcBorders>
                  <w:noWrap w:val="0"/>
                  <w:vAlign w:val="center"/>
                </w:tcPr>
                <w:p w14:paraId="266C65C7">
                  <w:pPr>
                    <w:spacing w:line="300" w:lineRule="exact"/>
                    <w:jc w:val="center"/>
                    <w:rPr>
                      <w:rFonts w:hint="default" w:ascii="Times New Roman" w:hAnsi="Times New Roman" w:eastAsia="宋体" w:cs="Times New Roman"/>
                      <w:color w:val="auto"/>
                      <w:szCs w:val="21"/>
                      <w:highlight w:val="none"/>
                      <w:lang w:val="en-US" w:eastAsia="zh-CN"/>
                    </w:rPr>
                  </w:pPr>
                </w:p>
              </w:tc>
              <w:tc>
                <w:tcPr>
                  <w:tcW w:w="456" w:type="pct"/>
                  <w:vMerge w:val="continue"/>
                  <w:tcBorders>
                    <w:tl2br w:val="nil"/>
                    <w:tr2bl w:val="nil"/>
                  </w:tcBorders>
                  <w:noWrap w:val="0"/>
                  <w:vAlign w:val="center"/>
                </w:tcPr>
                <w:p w14:paraId="0F4B0282">
                  <w:pPr>
                    <w:spacing w:line="300" w:lineRule="exact"/>
                    <w:jc w:val="center"/>
                    <w:rPr>
                      <w:rFonts w:hint="default" w:ascii="Times New Roman" w:hAnsi="Times New Roman" w:eastAsia="宋体" w:cs="Times New Roman"/>
                      <w:color w:val="auto"/>
                      <w:szCs w:val="21"/>
                      <w:highlight w:val="none"/>
                      <w:lang w:val="en-US" w:eastAsia="zh-CN"/>
                    </w:rPr>
                  </w:pPr>
                </w:p>
              </w:tc>
              <w:tc>
                <w:tcPr>
                  <w:tcW w:w="568" w:type="pct"/>
                  <w:vMerge w:val="continue"/>
                  <w:tcBorders>
                    <w:tl2br w:val="nil"/>
                    <w:tr2bl w:val="nil"/>
                  </w:tcBorders>
                  <w:noWrap w:val="0"/>
                  <w:vAlign w:val="center"/>
                </w:tcPr>
                <w:p w14:paraId="06BA00C3">
                  <w:pPr>
                    <w:spacing w:line="300" w:lineRule="exact"/>
                    <w:jc w:val="center"/>
                    <w:rPr>
                      <w:rFonts w:hint="eastAsia" w:ascii="Times New Roman" w:hAnsi="Times New Roman" w:eastAsia="宋体" w:cs="Times New Roman"/>
                      <w:color w:val="auto"/>
                      <w:szCs w:val="21"/>
                      <w:highlight w:val="none"/>
                      <w:lang w:val="en-US" w:eastAsia="zh-CN"/>
                    </w:rPr>
                  </w:pPr>
                </w:p>
              </w:tc>
              <w:tc>
                <w:tcPr>
                  <w:tcW w:w="449" w:type="pct"/>
                  <w:vMerge w:val="continue"/>
                  <w:tcBorders>
                    <w:tl2br w:val="nil"/>
                    <w:tr2bl w:val="nil"/>
                  </w:tcBorders>
                  <w:noWrap w:val="0"/>
                  <w:vAlign w:val="center"/>
                </w:tcPr>
                <w:p w14:paraId="3C31FB98">
                  <w:pPr>
                    <w:spacing w:line="300" w:lineRule="exact"/>
                    <w:jc w:val="center"/>
                    <w:rPr>
                      <w:rFonts w:hint="eastAsia" w:ascii="Times New Roman" w:hAnsi="Times New Roman" w:eastAsia="宋体" w:cs="Times New Roman"/>
                      <w:color w:val="auto"/>
                      <w:szCs w:val="21"/>
                      <w:highlight w:val="none"/>
                      <w:lang w:val="en-US" w:eastAsia="zh-CN"/>
                    </w:rPr>
                  </w:pPr>
                </w:p>
              </w:tc>
              <w:tc>
                <w:tcPr>
                  <w:tcW w:w="491" w:type="pct"/>
                  <w:vMerge w:val="continue"/>
                  <w:tcBorders>
                    <w:tl2br w:val="nil"/>
                    <w:tr2bl w:val="nil"/>
                  </w:tcBorders>
                  <w:noWrap w:val="0"/>
                  <w:vAlign w:val="center"/>
                </w:tcPr>
                <w:p w14:paraId="654CAD37">
                  <w:pPr>
                    <w:spacing w:line="300" w:lineRule="exact"/>
                    <w:jc w:val="center"/>
                    <w:rPr>
                      <w:rFonts w:hint="eastAsia" w:ascii="Times New Roman" w:hAnsi="Times New Roman" w:eastAsia="宋体" w:cs="Times New Roman"/>
                      <w:color w:val="auto"/>
                      <w:kern w:val="2"/>
                      <w:sz w:val="21"/>
                      <w:szCs w:val="21"/>
                      <w:highlight w:val="none"/>
                      <w:lang w:eastAsia="zh"/>
                    </w:rPr>
                  </w:pPr>
                </w:p>
              </w:tc>
              <w:tc>
                <w:tcPr>
                  <w:tcW w:w="493" w:type="pct"/>
                  <w:vMerge w:val="continue"/>
                  <w:tcBorders>
                    <w:tl2br w:val="nil"/>
                    <w:tr2bl w:val="nil"/>
                  </w:tcBorders>
                  <w:noWrap w:val="0"/>
                  <w:vAlign w:val="center"/>
                </w:tcPr>
                <w:p w14:paraId="61666ECF">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530" w:type="pct"/>
                  <w:vMerge w:val="continue"/>
                  <w:tcBorders>
                    <w:tl2br w:val="nil"/>
                    <w:tr2bl w:val="nil"/>
                  </w:tcBorders>
                  <w:noWrap w:val="0"/>
                  <w:vAlign w:val="center"/>
                </w:tcPr>
                <w:p w14:paraId="1D489D91">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427" w:type="pct"/>
                  <w:vMerge w:val="continue"/>
                  <w:tcBorders>
                    <w:tl2br w:val="nil"/>
                    <w:tr2bl w:val="nil"/>
                  </w:tcBorders>
                  <w:noWrap w:val="0"/>
                  <w:vAlign w:val="center"/>
                </w:tcPr>
                <w:p w14:paraId="6B290DF3">
                  <w:pPr>
                    <w:spacing w:line="300" w:lineRule="exact"/>
                    <w:jc w:val="center"/>
                    <w:rPr>
                      <w:rFonts w:hint="eastAsia" w:ascii="Times New Roman" w:hAnsi="Times New Roman" w:eastAsia="宋体" w:cs="Times New Roman"/>
                      <w:color w:val="auto"/>
                      <w:szCs w:val="21"/>
                      <w:highlight w:val="none"/>
                      <w:lang w:val="en-US" w:eastAsia="zh-CN"/>
                    </w:rPr>
                  </w:pPr>
                </w:p>
              </w:tc>
            </w:tr>
            <w:tr w14:paraId="43BF8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vMerge w:val="continue"/>
                  <w:tcBorders>
                    <w:tl2br w:val="nil"/>
                    <w:tr2bl w:val="nil"/>
                  </w:tcBorders>
                  <w:noWrap w:val="0"/>
                  <w:vAlign w:val="center"/>
                </w:tcPr>
                <w:p w14:paraId="2279B749">
                  <w:pPr>
                    <w:spacing w:line="300" w:lineRule="exact"/>
                    <w:jc w:val="center"/>
                    <w:rPr>
                      <w:rFonts w:hint="eastAsia" w:ascii="Times New Roman" w:hAnsi="Times New Roman" w:eastAsia="宋体" w:cs="Times New Roman"/>
                      <w:color w:val="auto"/>
                      <w:szCs w:val="21"/>
                      <w:highlight w:val="none"/>
                      <w:lang w:val="en-US" w:eastAsia="zh-CN"/>
                    </w:rPr>
                  </w:pPr>
                </w:p>
              </w:tc>
              <w:tc>
                <w:tcPr>
                  <w:tcW w:w="444" w:type="pct"/>
                  <w:tcBorders>
                    <w:tl2br w:val="nil"/>
                    <w:tr2bl w:val="nil"/>
                  </w:tcBorders>
                  <w:noWrap w:val="0"/>
                  <w:vAlign w:val="center"/>
                </w:tcPr>
                <w:p w14:paraId="793E558C">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w:t>
                  </w:r>
                </w:p>
              </w:tc>
              <w:tc>
                <w:tcPr>
                  <w:tcW w:w="503" w:type="pct"/>
                  <w:vMerge w:val="continue"/>
                  <w:tcBorders>
                    <w:tl2br w:val="nil"/>
                    <w:tr2bl w:val="nil"/>
                  </w:tcBorders>
                  <w:noWrap w:val="0"/>
                  <w:vAlign w:val="center"/>
                </w:tcPr>
                <w:p w14:paraId="2BD6C0A1">
                  <w:pPr>
                    <w:spacing w:line="300" w:lineRule="exact"/>
                    <w:jc w:val="center"/>
                    <w:rPr>
                      <w:rFonts w:hint="default" w:ascii="Times New Roman" w:hAnsi="Times New Roman" w:eastAsia="宋体" w:cs="Times New Roman"/>
                      <w:color w:val="auto"/>
                      <w:szCs w:val="21"/>
                      <w:highlight w:val="none"/>
                      <w:lang w:val="en-US" w:eastAsia="zh-CN"/>
                    </w:rPr>
                  </w:pPr>
                </w:p>
              </w:tc>
              <w:tc>
                <w:tcPr>
                  <w:tcW w:w="456" w:type="pct"/>
                  <w:vMerge w:val="continue"/>
                  <w:tcBorders>
                    <w:tl2br w:val="nil"/>
                    <w:tr2bl w:val="nil"/>
                  </w:tcBorders>
                  <w:noWrap w:val="0"/>
                  <w:vAlign w:val="center"/>
                </w:tcPr>
                <w:p w14:paraId="38132A8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568" w:type="pct"/>
                  <w:vMerge w:val="continue"/>
                  <w:tcBorders>
                    <w:tl2br w:val="nil"/>
                    <w:tr2bl w:val="nil"/>
                  </w:tcBorders>
                  <w:noWrap w:val="0"/>
                  <w:vAlign w:val="center"/>
                </w:tcPr>
                <w:p w14:paraId="28DA6887">
                  <w:pPr>
                    <w:spacing w:line="300" w:lineRule="exact"/>
                    <w:jc w:val="center"/>
                    <w:rPr>
                      <w:rFonts w:hint="default" w:ascii="Times New Roman" w:hAnsi="Times New Roman" w:eastAsia="宋体" w:cs="Times New Roman"/>
                      <w:color w:val="auto"/>
                      <w:szCs w:val="21"/>
                      <w:highlight w:val="none"/>
                      <w:lang w:val="en-US" w:eastAsia="zh-CN"/>
                    </w:rPr>
                  </w:pPr>
                </w:p>
              </w:tc>
              <w:tc>
                <w:tcPr>
                  <w:tcW w:w="449" w:type="pct"/>
                  <w:vMerge w:val="continue"/>
                  <w:tcBorders>
                    <w:tl2br w:val="nil"/>
                    <w:tr2bl w:val="nil"/>
                  </w:tcBorders>
                  <w:noWrap w:val="0"/>
                  <w:vAlign w:val="center"/>
                </w:tcPr>
                <w:p w14:paraId="58547F59">
                  <w:pPr>
                    <w:spacing w:line="300" w:lineRule="exact"/>
                    <w:jc w:val="center"/>
                    <w:rPr>
                      <w:rFonts w:hint="eastAsia" w:ascii="Times New Roman" w:hAnsi="Times New Roman" w:eastAsia="宋体" w:cs="Times New Roman"/>
                      <w:color w:val="auto"/>
                      <w:szCs w:val="21"/>
                      <w:highlight w:val="none"/>
                      <w:lang w:val="en-US" w:eastAsia="zh-CN"/>
                    </w:rPr>
                  </w:pPr>
                </w:p>
              </w:tc>
              <w:tc>
                <w:tcPr>
                  <w:tcW w:w="491" w:type="pct"/>
                  <w:vMerge w:val="continue"/>
                  <w:tcBorders>
                    <w:tl2br w:val="nil"/>
                    <w:tr2bl w:val="nil"/>
                  </w:tcBorders>
                  <w:noWrap w:val="0"/>
                  <w:vAlign w:val="center"/>
                </w:tcPr>
                <w:p w14:paraId="481403A7">
                  <w:pPr>
                    <w:spacing w:line="300" w:lineRule="exact"/>
                    <w:jc w:val="center"/>
                    <w:rPr>
                      <w:rFonts w:hint="eastAsia" w:ascii="Times New Roman" w:hAnsi="Times New Roman" w:eastAsia="宋体" w:cs="Times New Roman"/>
                      <w:color w:val="auto"/>
                      <w:kern w:val="2"/>
                      <w:sz w:val="21"/>
                      <w:szCs w:val="21"/>
                      <w:highlight w:val="none"/>
                      <w:lang w:eastAsia="zh"/>
                    </w:rPr>
                  </w:pPr>
                </w:p>
              </w:tc>
              <w:tc>
                <w:tcPr>
                  <w:tcW w:w="493" w:type="pct"/>
                  <w:vMerge w:val="continue"/>
                  <w:tcBorders>
                    <w:tl2br w:val="nil"/>
                    <w:tr2bl w:val="nil"/>
                  </w:tcBorders>
                  <w:noWrap w:val="0"/>
                  <w:vAlign w:val="center"/>
                </w:tcPr>
                <w:p w14:paraId="0BAFFE4D">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530" w:type="pct"/>
                  <w:vMerge w:val="continue"/>
                  <w:tcBorders>
                    <w:tl2br w:val="nil"/>
                    <w:tr2bl w:val="nil"/>
                  </w:tcBorders>
                  <w:noWrap w:val="0"/>
                  <w:vAlign w:val="center"/>
                </w:tcPr>
                <w:p w14:paraId="19DE30F2">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427" w:type="pct"/>
                  <w:vMerge w:val="continue"/>
                  <w:tcBorders>
                    <w:tl2br w:val="nil"/>
                    <w:tr2bl w:val="nil"/>
                  </w:tcBorders>
                  <w:noWrap w:val="0"/>
                  <w:vAlign w:val="center"/>
                </w:tcPr>
                <w:p w14:paraId="06539C27">
                  <w:pPr>
                    <w:spacing w:line="300" w:lineRule="exact"/>
                    <w:jc w:val="center"/>
                    <w:rPr>
                      <w:rFonts w:hint="eastAsia" w:ascii="Times New Roman" w:hAnsi="Times New Roman" w:eastAsia="宋体" w:cs="Times New Roman"/>
                      <w:color w:val="auto"/>
                      <w:szCs w:val="21"/>
                      <w:highlight w:val="none"/>
                      <w:lang w:val="en-US" w:eastAsia="zh-CN"/>
                    </w:rPr>
                  </w:pPr>
                </w:p>
              </w:tc>
            </w:tr>
            <w:tr w14:paraId="51708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vMerge w:val="continue"/>
                  <w:tcBorders>
                    <w:tl2br w:val="nil"/>
                    <w:tr2bl w:val="nil"/>
                  </w:tcBorders>
                  <w:noWrap w:val="0"/>
                  <w:vAlign w:val="center"/>
                </w:tcPr>
                <w:p w14:paraId="2E1C8C13">
                  <w:pPr>
                    <w:spacing w:line="300" w:lineRule="exact"/>
                    <w:jc w:val="center"/>
                    <w:rPr>
                      <w:rFonts w:hint="eastAsia" w:ascii="Times New Roman" w:hAnsi="Times New Roman" w:eastAsia="宋体" w:cs="Times New Roman"/>
                      <w:color w:val="auto"/>
                      <w:szCs w:val="21"/>
                      <w:highlight w:val="none"/>
                      <w:lang w:val="en-US" w:eastAsia="zh-CN"/>
                    </w:rPr>
                  </w:pPr>
                </w:p>
              </w:tc>
              <w:tc>
                <w:tcPr>
                  <w:tcW w:w="444" w:type="pct"/>
                  <w:tcBorders>
                    <w:tl2br w:val="nil"/>
                    <w:tr2bl w:val="nil"/>
                  </w:tcBorders>
                  <w:noWrap w:val="0"/>
                  <w:vAlign w:val="center"/>
                </w:tcPr>
                <w:p w14:paraId="6B338D3E">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w:t>
                  </w:r>
                </w:p>
              </w:tc>
              <w:tc>
                <w:tcPr>
                  <w:tcW w:w="503" w:type="pct"/>
                  <w:vMerge w:val="continue"/>
                  <w:tcBorders>
                    <w:tl2br w:val="nil"/>
                    <w:tr2bl w:val="nil"/>
                  </w:tcBorders>
                  <w:noWrap w:val="0"/>
                  <w:vAlign w:val="center"/>
                </w:tcPr>
                <w:p w14:paraId="31FA512C">
                  <w:pPr>
                    <w:spacing w:line="300" w:lineRule="exact"/>
                    <w:jc w:val="center"/>
                    <w:rPr>
                      <w:rFonts w:hint="default" w:ascii="Times New Roman" w:hAnsi="Times New Roman" w:eastAsia="宋体" w:cs="Times New Roman"/>
                      <w:color w:val="auto"/>
                      <w:szCs w:val="21"/>
                      <w:highlight w:val="none"/>
                      <w:lang w:val="en-US" w:eastAsia="zh-CN"/>
                    </w:rPr>
                  </w:pPr>
                </w:p>
              </w:tc>
              <w:tc>
                <w:tcPr>
                  <w:tcW w:w="456" w:type="pct"/>
                  <w:vMerge w:val="continue"/>
                  <w:tcBorders>
                    <w:tl2br w:val="nil"/>
                    <w:tr2bl w:val="nil"/>
                  </w:tcBorders>
                  <w:noWrap w:val="0"/>
                  <w:vAlign w:val="center"/>
                </w:tcPr>
                <w:p w14:paraId="44F81D2D">
                  <w:pPr>
                    <w:spacing w:line="300" w:lineRule="exact"/>
                    <w:jc w:val="center"/>
                    <w:rPr>
                      <w:rFonts w:hint="default" w:ascii="Times New Roman" w:hAnsi="Times New Roman" w:eastAsia="宋体" w:cs="Times New Roman"/>
                      <w:color w:val="auto"/>
                      <w:szCs w:val="21"/>
                      <w:highlight w:val="none"/>
                      <w:lang w:val="en-US" w:eastAsia="zh-CN"/>
                    </w:rPr>
                  </w:pPr>
                </w:p>
              </w:tc>
              <w:tc>
                <w:tcPr>
                  <w:tcW w:w="568" w:type="pct"/>
                  <w:vMerge w:val="continue"/>
                  <w:tcBorders>
                    <w:tl2br w:val="nil"/>
                    <w:tr2bl w:val="nil"/>
                  </w:tcBorders>
                  <w:noWrap w:val="0"/>
                  <w:vAlign w:val="center"/>
                </w:tcPr>
                <w:p w14:paraId="4C5738BF">
                  <w:pPr>
                    <w:spacing w:line="300" w:lineRule="exact"/>
                    <w:jc w:val="center"/>
                    <w:rPr>
                      <w:rFonts w:hint="eastAsia" w:ascii="Times New Roman" w:hAnsi="Times New Roman" w:eastAsia="宋体" w:cs="Times New Roman"/>
                      <w:color w:val="auto"/>
                      <w:szCs w:val="21"/>
                      <w:highlight w:val="none"/>
                      <w:lang w:val="en-US" w:eastAsia="zh-CN"/>
                    </w:rPr>
                  </w:pPr>
                </w:p>
              </w:tc>
              <w:tc>
                <w:tcPr>
                  <w:tcW w:w="449" w:type="pct"/>
                  <w:vMerge w:val="continue"/>
                  <w:tcBorders>
                    <w:tl2br w:val="nil"/>
                    <w:tr2bl w:val="nil"/>
                  </w:tcBorders>
                  <w:noWrap w:val="0"/>
                  <w:vAlign w:val="center"/>
                </w:tcPr>
                <w:p w14:paraId="2AC4A6AA">
                  <w:pPr>
                    <w:spacing w:line="300" w:lineRule="exact"/>
                    <w:jc w:val="center"/>
                    <w:rPr>
                      <w:rFonts w:hint="eastAsia" w:ascii="Times New Roman" w:hAnsi="Times New Roman" w:eastAsia="宋体" w:cs="Times New Roman"/>
                      <w:color w:val="auto"/>
                      <w:szCs w:val="21"/>
                      <w:highlight w:val="none"/>
                      <w:lang w:val="en-US" w:eastAsia="zh-CN"/>
                    </w:rPr>
                  </w:pPr>
                </w:p>
              </w:tc>
              <w:tc>
                <w:tcPr>
                  <w:tcW w:w="491" w:type="pct"/>
                  <w:vMerge w:val="continue"/>
                  <w:tcBorders>
                    <w:tl2br w:val="nil"/>
                    <w:tr2bl w:val="nil"/>
                  </w:tcBorders>
                  <w:noWrap w:val="0"/>
                  <w:vAlign w:val="center"/>
                </w:tcPr>
                <w:p w14:paraId="633458A0">
                  <w:pPr>
                    <w:spacing w:line="300" w:lineRule="exact"/>
                    <w:jc w:val="center"/>
                    <w:rPr>
                      <w:rFonts w:hint="eastAsia" w:ascii="Times New Roman" w:hAnsi="Times New Roman" w:eastAsia="宋体" w:cs="Times New Roman"/>
                      <w:color w:val="auto"/>
                      <w:kern w:val="2"/>
                      <w:sz w:val="21"/>
                      <w:szCs w:val="21"/>
                      <w:highlight w:val="none"/>
                      <w:lang w:eastAsia="zh"/>
                    </w:rPr>
                  </w:pPr>
                </w:p>
              </w:tc>
              <w:tc>
                <w:tcPr>
                  <w:tcW w:w="493" w:type="pct"/>
                  <w:vMerge w:val="continue"/>
                  <w:tcBorders>
                    <w:tl2br w:val="nil"/>
                    <w:tr2bl w:val="nil"/>
                  </w:tcBorders>
                  <w:noWrap w:val="0"/>
                  <w:vAlign w:val="center"/>
                </w:tcPr>
                <w:p w14:paraId="6355FBE8">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530" w:type="pct"/>
                  <w:vMerge w:val="continue"/>
                  <w:tcBorders>
                    <w:tl2br w:val="nil"/>
                    <w:tr2bl w:val="nil"/>
                  </w:tcBorders>
                  <w:noWrap w:val="0"/>
                  <w:vAlign w:val="center"/>
                </w:tcPr>
                <w:p w14:paraId="6433D557">
                  <w:pPr>
                    <w:spacing w:line="300" w:lineRule="exact"/>
                    <w:jc w:val="center"/>
                    <w:rPr>
                      <w:rFonts w:hint="eastAsia" w:ascii="Times New Roman" w:hAnsi="Times New Roman" w:eastAsia="宋体" w:cs="Times New Roman"/>
                      <w:color w:val="auto"/>
                      <w:kern w:val="2"/>
                      <w:sz w:val="21"/>
                      <w:szCs w:val="21"/>
                      <w:highlight w:val="none"/>
                      <w:lang w:val="en-US" w:eastAsia="zh" w:bidi="ar-SA"/>
                    </w:rPr>
                  </w:pPr>
                </w:p>
              </w:tc>
              <w:tc>
                <w:tcPr>
                  <w:tcW w:w="427" w:type="pct"/>
                  <w:vMerge w:val="continue"/>
                  <w:tcBorders>
                    <w:tl2br w:val="nil"/>
                    <w:tr2bl w:val="nil"/>
                  </w:tcBorders>
                  <w:noWrap w:val="0"/>
                  <w:vAlign w:val="center"/>
                </w:tcPr>
                <w:p w14:paraId="11566827">
                  <w:pPr>
                    <w:spacing w:line="300" w:lineRule="exact"/>
                    <w:jc w:val="center"/>
                    <w:rPr>
                      <w:rFonts w:hint="eastAsia" w:ascii="Times New Roman" w:hAnsi="Times New Roman" w:eastAsia="宋体" w:cs="Times New Roman"/>
                      <w:color w:val="auto"/>
                      <w:szCs w:val="21"/>
                      <w:highlight w:val="none"/>
                      <w:lang w:val="en-US" w:eastAsia="zh-CN"/>
                    </w:rPr>
                  </w:pPr>
                </w:p>
              </w:tc>
            </w:tr>
          </w:tbl>
          <w:p w14:paraId="1D4D3E27">
            <w:pPr>
              <w:pStyle w:val="107"/>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baseline"/>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color w:val="auto"/>
                <w:kern w:val="2"/>
                <w:sz w:val="24"/>
                <w:szCs w:val="24"/>
                <w:highlight w:val="none"/>
                <w:lang w:eastAsia="zh"/>
              </w:rPr>
              <w:t>根据统计数据可知，</w:t>
            </w:r>
            <w:r>
              <w:rPr>
                <w:rFonts w:hint="eastAsia" w:ascii="Times New Roman" w:hAnsi="Times New Roman" w:eastAsia="宋体" w:cs="Times New Roman"/>
                <w:color w:val="auto"/>
                <w:kern w:val="2"/>
                <w:sz w:val="24"/>
                <w:szCs w:val="24"/>
                <w:highlight w:val="none"/>
                <w:lang w:val="en-US" w:eastAsia="zh-CN"/>
              </w:rPr>
              <w:t>现有</w:t>
            </w:r>
            <w:r>
              <w:rPr>
                <w:rFonts w:hint="eastAsia" w:ascii="Times New Roman" w:hAnsi="Times New Roman" w:eastAsia="宋体" w:cs="Times New Roman"/>
                <w:color w:val="auto"/>
                <w:kern w:val="2"/>
                <w:sz w:val="24"/>
                <w:szCs w:val="24"/>
                <w:highlight w:val="none"/>
                <w:lang w:eastAsia="zh"/>
              </w:rPr>
              <w:t>工程</w:t>
            </w:r>
            <w:r>
              <w:rPr>
                <w:rFonts w:hint="eastAsia" w:ascii="Times New Roman" w:hAnsi="Times New Roman" w:eastAsia="宋体" w:cs="Times New Roman"/>
                <w:color w:val="auto"/>
                <w:kern w:val="2"/>
                <w:sz w:val="24"/>
                <w:szCs w:val="24"/>
                <w:highlight w:val="none"/>
                <w:lang w:val="en-US" w:eastAsia="zh-CN"/>
              </w:rPr>
              <w:t>噪声监测可达到</w:t>
            </w:r>
            <w:r>
              <w:rPr>
                <w:color w:val="auto"/>
                <w:sz w:val="24"/>
                <w:highlight w:val="none"/>
                <w:lang w:val="zh-CN"/>
              </w:rPr>
              <w:t>《工业企业厂界环境噪声排放标准》（GB12348-2008）中2类标准</w:t>
            </w:r>
            <w:r>
              <w:rPr>
                <w:rFonts w:hint="eastAsia" w:ascii="Times New Roman" w:hAnsi="Times New Roman" w:eastAsia="宋体" w:cs="Times New Roman"/>
                <w:color w:val="auto"/>
                <w:kern w:val="2"/>
                <w:sz w:val="24"/>
                <w:szCs w:val="24"/>
                <w:highlight w:val="none"/>
                <w:lang w:val="en-US" w:eastAsia="zh-CN"/>
              </w:rPr>
              <w:t>的要求。</w:t>
            </w:r>
          </w:p>
          <w:p w14:paraId="0F830DE9">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center"/>
              <w:rPr>
                <w:rFonts w:hint="eastAsia"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（4）固体废物防治措施</w:t>
            </w:r>
          </w:p>
          <w:p w14:paraId="4764A567">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CN"/>
              </w:rPr>
            </w:pPr>
            <w:r>
              <w:rPr>
                <w:rFonts w:hint="eastAsia" w:ascii="Times New Roman" w:hAnsi="Times New Roman" w:eastAsia="黑体" w:cs="Times New Roman"/>
                <w:b w:val="0"/>
                <w:bCs w:val="0"/>
                <w:color w:val="auto"/>
                <w:kern w:val="2"/>
                <w:sz w:val="24"/>
                <w:szCs w:val="24"/>
                <w:highlight w:val="none"/>
                <w:lang w:val="en-US" w:eastAsia="zh"/>
              </w:rPr>
              <w:t>表</w:t>
            </w:r>
            <w:r>
              <w:rPr>
                <w:rFonts w:hint="eastAsia" w:ascii="Times New Roman" w:hAnsi="Times New Roman" w:eastAsia="黑体" w:cs="Times New Roman"/>
                <w:b w:val="0"/>
                <w:bCs w:val="0"/>
                <w:color w:val="auto"/>
                <w:kern w:val="2"/>
                <w:sz w:val="24"/>
                <w:szCs w:val="24"/>
                <w:highlight w:val="none"/>
                <w:lang w:val="en-US" w:eastAsia="zh-CN"/>
              </w:rPr>
              <w:t>2-22  现有工程固体废物种类及防治措施情况表</w:t>
            </w:r>
          </w:p>
          <w:p w14:paraId="101D7355">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jc w:val="right"/>
              <w:textAlignment w:val="auto"/>
              <w:rPr>
                <w:rFonts w:hint="default" w:ascii="Times New Roman" w:hAnsi="Times New Roman" w:eastAsia="黑体" w:cs="Times New Roman"/>
                <w:b w:val="0"/>
                <w:bCs w:val="0"/>
                <w:color w:val="auto"/>
                <w:kern w:val="2"/>
                <w:sz w:val="15"/>
                <w:szCs w:val="15"/>
                <w:highlight w:val="none"/>
                <w:lang w:val="en-US" w:eastAsia="zh-CN"/>
              </w:rPr>
            </w:pPr>
            <w:r>
              <w:rPr>
                <w:rFonts w:hint="default" w:ascii="Times New Roman" w:hAnsi="Times New Roman" w:eastAsia="黑体" w:cs="Times New Roman"/>
                <w:b w:val="0"/>
                <w:bCs w:val="0"/>
                <w:color w:val="auto"/>
                <w:kern w:val="2"/>
                <w:sz w:val="15"/>
                <w:szCs w:val="15"/>
                <w:highlight w:val="none"/>
                <w:lang w:val="en-US" w:eastAsia="zh-CN"/>
              </w:rPr>
              <w:t>单位：t/a</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3"/>
              <w:gridCol w:w="1352"/>
              <w:gridCol w:w="1100"/>
              <w:gridCol w:w="1444"/>
              <w:gridCol w:w="1013"/>
              <w:gridCol w:w="2787"/>
            </w:tblGrid>
            <w:tr w14:paraId="727B4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tcBorders>
                    <w:tl2br w:val="nil"/>
                    <w:tr2bl w:val="nil"/>
                  </w:tcBorders>
                  <w:noWrap w:val="0"/>
                  <w:vAlign w:val="center"/>
                </w:tcPr>
                <w:p w14:paraId="794E7CF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eastAsia="宋体" w:cs="宋体"/>
                      <w:b/>
                      <w:bCs/>
                      <w:color w:val="auto"/>
                      <w:kern w:val="0"/>
                      <w:sz w:val="21"/>
                      <w:szCs w:val="21"/>
                      <w:highlight w:val="none"/>
                      <w:lang w:val="en-US" w:eastAsia="zh" w:bidi="ar"/>
                    </w:rPr>
                  </w:pPr>
                  <w:r>
                    <w:rPr>
                      <w:rFonts w:hint="eastAsia" w:ascii="宋体" w:hAnsi="宋体" w:eastAsia="宋体" w:cs="宋体"/>
                      <w:b/>
                      <w:bCs/>
                      <w:color w:val="auto"/>
                      <w:kern w:val="0"/>
                      <w:sz w:val="21"/>
                      <w:szCs w:val="21"/>
                      <w:highlight w:val="none"/>
                      <w:lang w:val="en-US" w:eastAsia="zh" w:bidi="ar"/>
                    </w:rPr>
                    <w:t>分类</w:t>
                  </w:r>
                </w:p>
              </w:tc>
              <w:tc>
                <w:tcPr>
                  <w:tcW w:w="806" w:type="pct"/>
                  <w:tcBorders>
                    <w:tl2br w:val="nil"/>
                    <w:tr2bl w:val="nil"/>
                  </w:tcBorders>
                  <w:noWrap w:val="0"/>
                  <w:vAlign w:val="center"/>
                </w:tcPr>
                <w:p w14:paraId="6628679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eastAsia" w:ascii="Times New Roman" w:hAnsi="Times New Roman" w:eastAsia="宋体" w:cs="Times New Roman"/>
                      <w:b/>
                      <w:bCs/>
                      <w:color w:val="auto"/>
                      <w:kern w:val="0"/>
                      <w:sz w:val="21"/>
                      <w:szCs w:val="21"/>
                      <w:highlight w:val="none"/>
                      <w:lang w:val="en-US" w:eastAsia="zh" w:bidi="ar"/>
                    </w:rPr>
                  </w:pPr>
                  <w:r>
                    <w:rPr>
                      <w:rFonts w:hint="eastAsia" w:ascii="Times New Roman" w:hAnsi="Times New Roman" w:eastAsia="宋体" w:cs="Times New Roman"/>
                      <w:b/>
                      <w:bCs/>
                      <w:color w:val="auto"/>
                      <w:kern w:val="0"/>
                      <w:sz w:val="21"/>
                      <w:szCs w:val="21"/>
                      <w:highlight w:val="none"/>
                      <w:lang w:val="en-US" w:eastAsia="zh" w:bidi="ar"/>
                    </w:rPr>
                    <w:t>名称</w:t>
                  </w:r>
                </w:p>
              </w:tc>
              <w:tc>
                <w:tcPr>
                  <w:tcW w:w="656" w:type="pct"/>
                  <w:tcBorders>
                    <w:tl2br w:val="nil"/>
                    <w:tr2bl w:val="nil"/>
                  </w:tcBorders>
                  <w:noWrap w:val="0"/>
                  <w:vAlign w:val="center"/>
                </w:tcPr>
                <w:p w14:paraId="2FB7AB1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产生量</w:t>
                  </w:r>
                </w:p>
              </w:tc>
              <w:tc>
                <w:tcPr>
                  <w:tcW w:w="861" w:type="pct"/>
                  <w:tcBorders>
                    <w:tl2br w:val="nil"/>
                    <w:tr2bl w:val="nil"/>
                  </w:tcBorders>
                  <w:noWrap w:val="0"/>
                  <w:vAlign w:val="center"/>
                </w:tcPr>
                <w:p w14:paraId="597D14E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Times New Roman" w:hAnsi="Times New Roman" w:eastAsia="宋体" w:cs="Times New Roman"/>
                      <w:b/>
                      <w:bCs/>
                      <w:color w:val="auto"/>
                      <w:kern w:val="0"/>
                      <w:sz w:val="21"/>
                      <w:szCs w:val="21"/>
                      <w:highlight w:val="none"/>
                      <w:lang w:val="en-US" w:eastAsia="zh" w:bidi="ar"/>
                    </w:rPr>
                  </w:pPr>
                  <w:r>
                    <w:rPr>
                      <w:rFonts w:hint="eastAsia" w:ascii="Times New Roman" w:hAnsi="Times New Roman" w:eastAsia="宋体" w:cs="Times New Roman"/>
                      <w:b/>
                      <w:bCs/>
                      <w:color w:val="auto"/>
                      <w:kern w:val="0"/>
                      <w:sz w:val="21"/>
                      <w:szCs w:val="21"/>
                      <w:highlight w:val="none"/>
                      <w:lang w:val="en-US" w:eastAsia="zh" w:bidi="ar"/>
                    </w:rPr>
                    <w:t>综合利用量</w:t>
                  </w:r>
                </w:p>
              </w:tc>
              <w:tc>
                <w:tcPr>
                  <w:tcW w:w="604" w:type="pct"/>
                  <w:tcBorders>
                    <w:tl2br w:val="nil"/>
                    <w:tr2bl w:val="nil"/>
                  </w:tcBorders>
                  <w:noWrap w:val="0"/>
                  <w:vAlign w:val="center"/>
                </w:tcPr>
                <w:p w14:paraId="69E91C7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eastAsia" w:ascii="Times New Roman" w:hAnsi="Times New Roman" w:eastAsia="宋体" w:cs="Times New Roman"/>
                      <w:b/>
                      <w:bCs/>
                      <w:color w:val="auto"/>
                      <w:kern w:val="0"/>
                      <w:sz w:val="21"/>
                      <w:szCs w:val="21"/>
                      <w:highlight w:val="none"/>
                      <w:lang w:val="en-US" w:eastAsia="zh" w:bidi="ar"/>
                    </w:rPr>
                  </w:pPr>
                  <w:r>
                    <w:rPr>
                      <w:rFonts w:hint="eastAsia" w:ascii="Times New Roman" w:hAnsi="Times New Roman" w:eastAsia="宋体" w:cs="Times New Roman"/>
                      <w:b/>
                      <w:bCs/>
                      <w:color w:val="auto"/>
                      <w:kern w:val="0"/>
                      <w:sz w:val="21"/>
                      <w:szCs w:val="21"/>
                      <w:highlight w:val="none"/>
                      <w:lang w:val="en-US" w:eastAsia="zh" w:bidi="ar"/>
                    </w:rPr>
                    <w:t>处置量</w:t>
                  </w:r>
                </w:p>
              </w:tc>
              <w:tc>
                <w:tcPr>
                  <w:tcW w:w="1662" w:type="pct"/>
                  <w:tcBorders>
                    <w:tl2br w:val="nil"/>
                    <w:tr2bl w:val="nil"/>
                  </w:tcBorders>
                  <w:noWrap w:val="0"/>
                  <w:vAlign w:val="center"/>
                </w:tcPr>
                <w:p w14:paraId="05C419F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eastAsia" w:ascii="Times New Roman" w:hAnsi="Times New Roman" w:eastAsia="宋体" w:cs="Times New Roman"/>
                      <w:b/>
                      <w:bCs/>
                      <w:color w:val="auto"/>
                      <w:kern w:val="0"/>
                      <w:sz w:val="21"/>
                      <w:szCs w:val="21"/>
                      <w:highlight w:val="none"/>
                      <w:lang w:val="en-US" w:eastAsia="zh" w:bidi="ar"/>
                    </w:rPr>
                  </w:pPr>
                  <w:r>
                    <w:rPr>
                      <w:rFonts w:hint="eastAsia" w:ascii="Times New Roman" w:hAnsi="Times New Roman" w:eastAsia="宋体" w:cs="Times New Roman"/>
                      <w:b/>
                      <w:bCs/>
                      <w:color w:val="auto"/>
                      <w:kern w:val="0"/>
                      <w:sz w:val="21"/>
                      <w:szCs w:val="21"/>
                      <w:highlight w:val="none"/>
                      <w:lang w:val="en-US" w:eastAsia="zh" w:bidi="ar"/>
                    </w:rPr>
                    <w:t>综合利用或处置方式</w:t>
                  </w:r>
                </w:p>
              </w:tc>
            </w:tr>
            <w:tr w14:paraId="3C12B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restart"/>
                  <w:tcBorders>
                    <w:tl2br w:val="nil"/>
                    <w:tr2bl w:val="nil"/>
                  </w:tcBorders>
                  <w:noWrap w:val="0"/>
                  <w:vAlign w:val="center"/>
                </w:tcPr>
                <w:p w14:paraId="7BD24B7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eastAsia="宋体" w:cs="宋体"/>
                      <w:color w:val="auto"/>
                      <w:kern w:val="0"/>
                      <w:sz w:val="21"/>
                      <w:szCs w:val="21"/>
                      <w:highlight w:val="none"/>
                      <w:lang w:val="en-US" w:eastAsia="zh" w:bidi="ar"/>
                    </w:rPr>
                  </w:pPr>
                  <w:r>
                    <w:rPr>
                      <w:rFonts w:hint="eastAsia" w:ascii="宋体" w:hAnsi="宋体" w:eastAsia="宋体" w:cs="宋体"/>
                      <w:color w:val="auto"/>
                      <w:kern w:val="0"/>
                      <w:sz w:val="21"/>
                      <w:szCs w:val="21"/>
                      <w:highlight w:val="none"/>
                      <w:lang w:val="en-US" w:eastAsia="zh" w:bidi="ar"/>
                    </w:rPr>
                    <w:t>一般工业固废</w:t>
                  </w:r>
                </w:p>
              </w:tc>
              <w:tc>
                <w:tcPr>
                  <w:tcW w:w="806" w:type="pct"/>
                  <w:tcBorders>
                    <w:tl2br w:val="nil"/>
                    <w:tr2bl w:val="nil"/>
                  </w:tcBorders>
                  <w:shd w:val="clear" w:color="auto" w:fill="auto"/>
                  <w:noWrap w:val="0"/>
                  <w:vAlign w:val="center"/>
                </w:tcPr>
                <w:p w14:paraId="07EA42B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除尘</w:t>
                  </w:r>
                  <w:r>
                    <w:rPr>
                      <w:rFonts w:hint="default" w:ascii="Times New Roman" w:hAnsi="Times New Roman" w:eastAsia="宋体" w:cs="Times New Roman"/>
                      <w:color w:val="auto"/>
                      <w:sz w:val="21"/>
                      <w:szCs w:val="21"/>
                      <w:highlight w:val="none"/>
                      <w:lang w:val="en-US" w:eastAsia="zh-CN"/>
                    </w:rPr>
                    <w:t>灰</w:t>
                  </w:r>
                </w:p>
              </w:tc>
              <w:tc>
                <w:tcPr>
                  <w:tcW w:w="656" w:type="pct"/>
                  <w:tcBorders>
                    <w:tl2br w:val="nil"/>
                    <w:tr2bl w:val="nil"/>
                  </w:tcBorders>
                  <w:shd w:val="clear" w:color="auto" w:fill="auto"/>
                  <w:noWrap w:val="0"/>
                  <w:vAlign w:val="center"/>
                </w:tcPr>
                <w:p w14:paraId="07400AAA">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2"/>
                      <w:sz w:val="21"/>
                      <w:szCs w:val="21"/>
                      <w:highlight w:val="none"/>
                      <w:lang w:val="en-US" w:eastAsia="zh-CN" w:bidi="ar-SA"/>
                    </w:rPr>
                    <w:t>4.15</w:t>
                  </w:r>
                </w:p>
              </w:tc>
              <w:tc>
                <w:tcPr>
                  <w:tcW w:w="861" w:type="pct"/>
                  <w:tcBorders>
                    <w:tl2br w:val="nil"/>
                    <w:tr2bl w:val="nil"/>
                  </w:tcBorders>
                  <w:shd w:val="clear" w:color="auto" w:fill="auto"/>
                  <w:noWrap w:val="0"/>
                  <w:vAlign w:val="center"/>
                </w:tcPr>
                <w:p w14:paraId="5409F09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4.15</w:t>
                  </w:r>
                </w:p>
              </w:tc>
              <w:tc>
                <w:tcPr>
                  <w:tcW w:w="604" w:type="pct"/>
                  <w:tcBorders>
                    <w:tl2br w:val="nil"/>
                    <w:tr2bl w:val="nil"/>
                  </w:tcBorders>
                  <w:shd w:val="clear" w:color="auto" w:fill="auto"/>
                  <w:noWrap w:val="0"/>
                  <w:vAlign w:val="center"/>
                </w:tcPr>
                <w:p w14:paraId="5B7754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 w:bidi="ar"/>
                    </w:rPr>
                    <w:t>/</w:t>
                  </w:r>
                </w:p>
              </w:tc>
              <w:tc>
                <w:tcPr>
                  <w:tcW w:w="1662" w:type="pct"/>
                  <w:vMerge w:val="restart"/>
                  <w:tcBorders>
                    <w:tl2br w:val="nil"/>
                    <w:tr2bl w:val="nil"/>
                  </w:tcBorders>
                  <w:noWrap w:val="0"/>
                  <w:vAlign w:val="center"/>
                </w:tcPr>
                <w:p w14:paraId="6887DE2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8"/>
                      <w:kern w:val="2"/>
                      <w:sz w:val="21"/>
                      <w:szCs w:val="21"/>
                      <w:highlight w:val="none"/>
                      <w:vertAlign w:val="baseline"/>
                      <w:lang w:val="en-US" w:eastAsia="zh-CN" w:bidi="ar-SA"/>
                    </w:rPr>
                  </w:pPr>
                  <w:r>
                    <w:rPr>
                      <w:rFonts w:hint="eastAsia" w:cs="Times New Roman"/>
                      <w:bCs/>
                      <w:color w:val="auto"/>
                      <w:spacing w:val="8"/>
                      <w:kern w:val="2"/>
                      <w:sz w:val="21"/>
                      <w:szCs w:val="21"/>
                      <w:highlight w:val="none"/>
                      <w:vertAlign w:val="baseline"/>
                      <w:lang w:val="en-US" w:eastAsia="zh-CN" w:bidi="ar-SA"/>
                    </w:rPr>
                    <w:t>回用</w:t>
                  </w:r>
                </w:p>
              </w:tc>
            </w:tr>
            <w:tr w14:paraId="41873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continue"/>
                  <w:tcBorders>
                    <w:tl2br w:val="nil"/>
                    <w:tr2bl w:val="nil"/>
                  </w:tcBorders>
                  <w:noWrap w:val="0"/>
                  <w:vAlign w:val="center"/>
                </w:tcPr>
                <w:p w14:paraId="2006B53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eastAsia="宋体" w:cs="宋体"/>
                      <w:color w:val="auto"/>
                      <w:kern w:val="0"/>
                      <w:sz w:val="21"/>
                      <w:szCs w:val="21"/>
                      <w:highlight w:val="none"/>
                      <w:lang w:val="en-US" w:eastAsia="zh" w:bidi="ar"/>
                    </w:rPr>
                  </w:pPr>
                </w:p>
              </w:tc>
              <w:tc>
                <w:tcPr>
                  <w:tcW w:w="806" w:type="pct"/>
                  <w:tcBorders>
                    <w:tl2br w:val="nil"/>
                    <w:tr2bl w:val="nil"/>
                  </w:tcBorders>
                  <w:noWrap w:val="0"/>
                  <w:vAlign w:val="center"/>
                </w:tcPr>
                <w:p w14:paraId="36E8E6A0">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sz w:val="21"/>
                      <w:szCs w:val="21"/>
                      <w:highlight w:val="none"/>
                      <w:lang w:val="en-US" w:eastAsia="zh-CN"/>
                    </w:rPr>
                    <w:t>废砖坯</w:t>
                  </w:r>
                </w:p>
              </w:tc>
              <w:tc>
                <w:tcPr>
                  <w:tcW w:w="656" w:type="pct"/>
                  <w:tcBorders>
                    <w:tl2br w:val="nil"/>
                    <w:tr2bl w:val="nil"/>
                  </w:tcBorders>
                  <w:noWrap w:val="0"/>
                  <w:vAlign w:val="center"/>
                </w:tcPr>
                <w:p w14:paraId="18809B2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138.8</w:t>
                  </w:r>
                </w:p>
              </w:tc>
              <w:tc>
                <w:tcPr>
                  <w:tcW w:w="861" w:type="pct"/>
                  <w:tcBorders>
                    <w:tl2br w:val="nil"/>
                    <w:tr2bl w:val="nil"/>
                  </w:tcBorders>
                  <w:noWrap w:val="0"/>
                  <w:vAlign w:val="center"/>
                </w:tcPr>
                <w:p w14:paraId="789A6538">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0"/>
                      <w:sz w:val="21"/>
                      <w:szCs w:val="21"/>
                      <w:highlight w:val="none"/>
                      <w:lang w:val="en-US" w:eastAsia="zh-CN" w:bidi="ar"/>
                    </w:rPr>
                    <w:t>138.8</w:t>
                  </w:r>
                </w:p>
              </w:tc>
              <w:tc>
                <w:tcPr>
                  <w:tcW w:w="604" w:type="pct"/>
                  <w:tcBorders>
                    <w:tl2br w:val="nil"/>
                    <w:tr2bl w:val="nil"/>
                  </w:tcBorders>
                  <w:noWrap w:val="0"/>
                  <w:vAlign w:val="center"/>
                </w:tcPr>
                <w:p w14:paraId="00AFBCB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0"/>
                      <w:sz w:val="21"/>
                      <w:szCs w:val="21"/>
                      <w:highlight w:val="none"/>
                      <w:lang w:val="en-US" w:eastAsia="zh-CN" w:bidi="ar"/>
                    </w:rPr>
                    <w:t>/</w:t>
                  </w:r>
                </w:p>
              </w:tc>
              <w:tc>
                <w:tcPr>
                  <w:tcW w:w="1662" w:type="pct"/>
                  <w:vMerge w:val="continue"/>
                  <w:tcBorders>
                    <w:tl2br w:val="nil"/>
                    <w:tr2bl w:val="nil"/>
                  </w:tcBorders>
                  <w:noWrap w:val="0"/>
                  <w:vAlign w:val="center"/>
                </w:tcPr>
                <w:p w14:paraId="6DBADAA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spacing w:val="8"/>
                      <w:kern w:val="2"/>
                      <w:sz w:val="21"/>
                      <w:szCs w:val="21"/>
                      <w:highlight w:val="none"/>
                      <w:vertAlign w:val="baseline"/>
                      <w:lang w:val="en-US" w:eastAsia="zh" w:bidi="ar-SA"/>
                    </w:rPr>
                  </w:pPr>
                </w:p>
              </w:tc>
            </w:tr>
            <w:tr w14:paraId="5A52E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continue"/>
                  <w:tcBorders>
                    <w:tl2br w:val="nil"/>
                    <w:tr2bl w:val="nil"/>
                  </w:tcBorders>
                  <w:noWrap w:val="0"/>
                  <w:vAlign w:val="center"/>
                </w:tcPr>
                <w:p w14:paraId="38D40C4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eastAsia="宋体" w:cs="宋体"/>
                      <w:color w:val="auto"/>
                      <w:kern w:val="0"/>
                      <w:sz w:val="21"/>
                      <w:szCs w:val="21"/>
                      <w:highlight w:val="none"/>
                      <w:lang w:val="en-US" w:eastAsia="zh" w:bidi="ar"/>
                    </w:rPr>
                  </w:pPr>
                </w:p>
              </w:tc>
              <w:tc>
                <w:tcPr>
                  <w:tcW w:w="806" w:type="pct"/>
                  <w:tcBorders>
                    <w:tl2br w:val="nil"/>
                    <w:tr2bl w:val="nil"/>
                  </w:tcBorders>
                  <w:noWrap w:val="0"/>
                  <w:vAlign w:val="center"/>
                </w:tcPr>
                <w:p w14:paraId="4C30D4EE">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sz w:val="21"/>
                      <w:szCs w:val="21"/>
                      <w:highlight w:val="none"/>
                      <w:lang w:val="en-US" w:eastAsia="zh-CN"/>
                    </w:rPr>
                    <w:t>不合格品</w:t>
                  </w:r>
                </w:p>
              </w:tc>
              <w:tc>
                <w:tcPr>
                  <w:tcW w:w="656" w:type="pct"/>
                  <w:tcBorders>
                    <w:tl2br w:val="nil"/>
                    <w:tr2bl w:val="nil"/>
                  </w:tcBorders>
                  <w:noWrap w:val="0"/>
                  <w:vAlign w:val="center"/>
                </w:tcPr>
                <w:p w14:paraId="19B5865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356</w:t>
                  </w:r>
                </w:p>
              </w:tc>
              <w:tc>
                <w:tcPr>
                  <w:tcW w:w="861" w:type="pct"/>
                  <w:tcBorders>
                    <w:tl2br w:val="nil"/>
                    <w:tr2bl w:val="nil"/>
                  </w:tcBorders>
                  <w:noWrap w:val="0"/>
                  <w:vAlign w:val="center"/>
                </w:tcPr>
                <w:p w14:paraId="04432428">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i w:val="0"/>
                      <w:iCs w:val="0"/>
                      <w:color w:val="auto"/>
                      <w:kern w:val="0"/>
                      <w:sz w:val="21"/>
                      <w:szCs w:val="21"/>
                      <w:highlight w:val="none"/>
                      <w:u w:val="none"/>
                      <w:lang w:val="en-US" w:eastAsia="zh-CN" w:bidi="ar"/>
                    </w:rPr>
                    <w:t>356</w:t>
                  </w:r>
                </w:p>
              </w:tc>
              <w:tc>
                <w:tcPr>
                  <w:tcW w:w="604" w:type="pct"/>
                  <w:tcBorders>
                    <w:tl2br w:val="nil"/>
                    <w:tr2bl w:val="nil"/>
                  </w:tcBorders>
                  <w:noWrap w:val="0"/>
                  <w:vAlign w:val="center"/>
                </w:tcPr>
                <w:p w14:paraId="79E5DDB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0"/>
                      <w:sz w:val="21"/>
                      <w:szCs w:val="21"/>
                      <w:highlight w:val="none"/>
                      <w:lang w:val="en-US" w:eastAsia="zh" w:bidi="ar"/>
                    </w:rPr>
                    <w:t>/</w:t>
                  </w:r>
                </w:p>
              </w:tc>
              <w:tc>
                <w:tcPr>
                  <w:tcW w:w="1662" w:type="pct"/>
                  <w:vMerge w:val="continue"/>
                  <w:tcBorders>
                    <w:tl2br w:val="nil"/>
                    <w:tr2bl w:val="nil"/>
                  </w:tcBorders>
                  <w:noWrap w:val="0"/>
                  <w:vAlign w:val="center"/>
                </w:tcPr>
                <w:p w14:paraId="1150BFD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501DE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continue"/>
                  <w:tcBorders>
                    <w:tl2br w:val="nil"/>
                    <w:tr2bl w:val="nil"/>
                  </w:tcBorders>
                  <w:noWrap w:val="0"/>
                  <w:vAlign w:val="center"/>
                </w:tcPr>
                <w:p w14:paraId="5D23222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eastAsia="宋体" w:cs="宋体"/>
                      <w:color w:val="auto"/>
                      <w:kern w:val="0"/>
                      <w:sz w:val="21"/>
                      <w:szCs w:val="21"/>
                      <w:highlight w:val="none"/>
                      <w:lang w:val="en-US" w:eastAsia="zh" w:bidi="ar"/>
                    </w:rPr>
                  </w:pPr>
                </w:p>
              </w:tc>
              <w:tc>
                <w:tcPr>
                  <w:tcW w:w="806" w:type="pct"/>
                  <w:tcBorders>
                    <w:tl2br w:val="nil"/>
                    <w:tr2bl w:val="nil"/>
                  </w:tcBorders>
                  <w:noWrap w:val="0"/>
                  <w:vAlign w:val="center"/>
                </w:tcPr>
                <w:p w14:paraId="03CE1DDD">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Cs/>
                      <w:color w:val="auto"/>
                      <w:spacing w:val="8"/>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脱硫废渣</w:t>
                  </w:r>
                </w:p>
              </w:tc>
              <w:tc>
                <w:tcPr>
                  <w:tcW w:w="656" w:type="pct"/>
                  <w:tcBorders>
                    <w:tl2br w:val="nil"/>
                    <w:tr2bl w:val="nil"/>
                  </w:tcBorders>
                  <w:noWrap w:val="0"/>
                  <w:vAlign w:val="center"/>
                </w:tcPr>
                <w:p w14:paraId="3BE87BF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Cs w:val="21"/>
                      <w:highlight w:val="none"/>
                      <w:lang w:val="en-US" w:eastAsia="zh-CN"/>
                    </w:rPr>
                    <w:t>189.42</w:t>
                  </w:r>
                </w:p>
              </w:tc>
              <w:tc>
                <w:tcPr>
                  <w:tcW w:w="861" w:type="pct"/>
                  <w:tcBorders>
                    <w:tl2br w:val="nil"/>
                    <w:tr2bl w:val="nil"/>
                  </w:tcBorders>
                  <w:noWrap w:val="0"/>
                  <w:vAlign w:val="center"/>
                </w:tcPr>
                <w:p w14:paraId="45A1F41E">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szCs w:val="21"/>
                      <w:highlight w:val="none"/>
                      <w:lang w:val="en-US" w:eastAsia="zh-CN"/>
                    </w:rPr>
                    <w:t>189.42</w:t>
                  </w:r>
                </w:p>
              </w:tc>
              <w:tc>
                <w:tcPr>
                  <w:tcW w:w="604" w:type="pct"/>
                  <w:tcBorders>
                    <w:tl2br w:val="nil"/>
                    <w:tr2bl w:val="nil"/>
                  </w:tcBorders>
                  <w:noWrap w:val="0"/>
                  <w:vAlign w:val="center"/>
                </w:tcPr>
                <w:p w14:paraId="4457A69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 w:bidi="ar"/>
                    </w:rPr>
                    <w:t>/</w:t>
                  </w:r>
                </w:p>
              </w:tc>
              <w:tc>
                <w:tcPr>
                  <w:tcW w:w="1662" w:type="pct"/>
                  <w:tcBorders>
                    <w:tl2br w:val="nil"/>
                    <w:tr2bl w:val="nil"/>
                  </w:tcBorders>
                  <w:noWrap w:val="0"/>
                  <w:vAlign w:val="center"/>
                </w:tcPr>
                <w:p w14:paraId="75D5814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作为建材原料外售综合利用</w:t>
                  </w:r>
                </w:p>
              </w:tc>
            </w:tr>
            <w:tr w14:paraId="27BD5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restart"/>
                  <w:tcBorders>
                    <w:tl2br w:val="nil"/>
                    <w:tr2bl w:val="nil"/>
                  </w:tcBorders>
                  <w:noWrap w:val="0"/>
                  <w:vAlign w:val="center"/>
                </w:tcPr>
                <w:p w14:paraId="4C49DB2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危险废物</w:t>
                  </w:r>
                </w:p>
              </w:tc>
              <w:tc>
                <w:tcPr>
                  <w:tcW w:w="806" w:type="pct"/>
                  <w:tcBorders>
                    <w:tl2br w:val="nil"/>
                    <w:tr2bl w:val="nil"/>
                  </w:tcBorders>
                  <w:noWrap w:val="0"/>
                  <w:vAlign w:val="center"/>
                </w:tcPr>
                <w:p w14:paraId="09A7FD38">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sz w:val="21"/>
                      <w:szCs w:val="21"/>
                      <w:highlight w:val="none"/>
                    </w:rPr>
                    <w:t>废矿物油</w:t>
                  </w:r>
                </w:p>
              </w:tc>
              <w:tc>
                <w:tcPr>
                  <w:tcW w:w="656" w:type="pct"/>
                  <w:tcBorders>
                    <w:tl2br w:val="nil"/>
                    <w:tr2bl w:val="nil"/>
                  </w:tcBorders>
                  <w:noWrap w:val="0"/>
                  <w:vAlign w:val="center"/>
                </w:tcPr>
                <w:p w14:paraId="65D41EF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kern w:val="0"/>
                      <w:sz w:val="21"/>
                      <w:szCs w:val="21"/>
                      <w:highlight w:val="none"/>
                      <w:lang w:val="en-US" w:eastAsia="zh-CN" w:bidi="ar"/>
                    </w:rPr>
                    <w:t>0.4</w:t>
                  </w:r>
                </w:p>
              </w:tc>
              <w:tc>
                <w:tcPr>
                  <w:tcW w:w="861" w:type="pct"/>
                  <w:tcBorders>
                    <w:tl2br w:val="nil"/>
                    <w:tr2bl w:val="nil"/>
                  </w:tcBorders>
                  <w:noWrap w:val="0"/>
                  <w:vAlign w:val="center"/>
                </w:tcPr>
                <w:p w14:paraId="6EDE58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0"/>
                      <w:sz w:val="21"/>
                      <w:szCs w:val="21"/>
                      <w:highlight w:val="none"/>
                      <w:lang w:val="en-US" w:eastAsia="zh" w:bidi="ar"/>
                    </w:rPr>
                    <w:t>/</w:t>
                  </w:r>
                </w:p>
              </w:tc>
              <w:tc>
                <w:tcPr>
                  <w:tcW w:w="604" w:type="pct"/>
                  <w:tcBorders>
                    <w:tl2br w:val="nil"/>
                    <w:tr2bl w:val="nil"/>
                  </w:tcBorders>
                  <w:noWrap w:val="0"/>
                  <w:vAlign w:val="center"/>
                </w:tcPr>
                <w:p w14:paraId="0B0D584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kern w:val="0"/>
                      <w:sz w:val="21"/>
                      <w:szCs w:val="21"/>
                      <w:highlight w:val="none"/>
                      <w:lang w:val="en-US" w:eastAsia="zh-CN" w:bidi="ar"/>
                    </w:rPr>
                    <w:t>0.4</w:t>
                  </w:r>
                </w:p>
              </w:tc>
              <w:tc>
                <w:tcPr>
                  <w:tcW w:w="1662" w:type="pct"/>
                  <w:vMerge w:val="restart"/>
                  <w:tcBorders>
                    <w:tl2br w:val="nil"/>
                    <w:tr2bl w:val="nil"/>
                  </w:tcBorders>
                  <w:noWrap w:val="0"/>
                  <w:vAlign w:val="center"/>
                </w:tcPr>
                <w:p w14:paraId="01018EC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 w:bidi="ar"/>
                    </w:rPr>
                  </w:pPr>
                  <w:r>
                    <w:rPr>
                      <w:rFonts w:hint="eastAsia" w:ascii="Times New Roman" w:hAnsi="Times New Roman" w:eastAsia="宋体" w:cs="Times New Roman"/>
                      <w:color w:val="auto"/>
                      <w:kern w:val="0"/>
                      <w:sz w:val="21"/>
                      <w:szCs w:val="21"/>
                      <w:highlight w:val="none"/>
                      <w:lang w:val="en-US" w:eastAsia="zh" w:bidi="ar"/>
                    </w:rPr>
                    <w:t>委托长治市佳和美环保科技有限公司处理</w:t>
                  </w:r>
                </w:p>
              </w:tc>
            </w:tr>
            <w:tr w14:paraId="37C2E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vMerge w:val="continue"/>
                  <w:tcBorders>
                    <w:tl2br w:val="nil"/>
                    <w:tr2bl w:val="nil"/>
                  </w:tcBorders>
                  <w:noWrap w:val="0"/>
                  <w:vAlign w:val="center"/>
                </w:tcPr>
                <w:p w14:paraId="328230C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宋体" w:hAnsi="宋体" w:cs="宋体"/>
                      <w:color w:val="auto"/>
                      <w:kern w:val="0"/>
                      <w:sz w:val="21"/>
                      <w:szCs w:val="21"/>
                      <w:highlight w:val="none"/>
                      <w:lang w:val="en-US" w:eastAsia="zh-CN" w:bidi="ar"/>
                    </w:rPr>
                  </w:pPr>
                </w:p>
              </w:tc>
              <w:tc>
                <w:tcPr>
                  <w:tcW w:w="806" w:type="pct"/>
                  <w:tcBorders>
                    <w:tl2br w:val="nil"/>
                    <w:tr2bl w:val="nil"/>
                  </w:tcBorders>
                  <w:noWrap w:val="0"/>
                  <w:vAlign w:val="center"/>
                </w:tcPr>
                <w:p w14:paraId="49411B3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Cs/>
                      <w:color w:val="auto"/>
                      <w:spacing w:val="8"/>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废油桶</w:t>
                  </w:r>
                </w:p>
              </w:tc>
              <w:tc>
                <w:tcPr>
                  <w:tcW w:w="656" w:type="pct"/>
                  <w:tcBorders>
                    <w:tl2br w:val="nil"/>
                    <w:tr2bl w:val="nil"/>
                  </w:tcBorders>
                  <w:noWrap w:val="0"/>
                  <w:vAlign w:val="center"/>
                </w:tcPr>
                <w:p w14:paraId="7CFE6044">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861" w:type="pct"/>
                  <w:tcBorders>
                    <w:tl2br w:val="nil"/>
                    <w:tr2bl w:val="nil"/>
                  </w:tcBorders>
                  <w:noWrap w:val="0"/>
                  <w:vAlign w:val="center"/>
                </w:tcPr>
                <w:p w14:paraId="6AD3656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04" w:type="pct"/>
                  <w:tcBorders>
                    <w:tl2br w:val="nil"/>
                    <w:tr2bl w:val="nil"/>
                  </w:tcBorders>
                  <w:noWrap w:val="0"/>
                  <w:vAlign w:val="center"/>
                </w:tcPr>
                <w:p w14:paraId="50A3634A">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1662" w:type="pct"/>
                  <w:vMerge w:val="continue"/>
                  <w:tcBorders>
                    <w:tl2br w:val="nil"/>
                    <w:tr2bl w:val="nil"/>
                  </w:tcBorders>
                  <w:noWrap w:val="0"/>
                  <w:vAlign w:val="center"/>
                </w:tcPr>
                <w:p w14:paraId="4D249A5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 w:bidi="ar"/>
                    </w:rPr>
                  </w:pPr>
                </w:p>
              </w:tc>
            </w:tr>
            <w:tr w14:paraId="5B309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8" w:type="pct"/>
                  <w:tcBorders>
                    <w:tl2br w:val="nil"/>
                    <w:tr2bl w:val="nil"/>
                  </w:tcBorders>
                  <w:noWrap w:val="0"/>
                  <w:vAlign w:val="center"/>
                </w:tcPr>
                <w:p w14:paraId="7638C2D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生活垃圾</w:t>
                  </w:r>
                </w:p>
              </w:tc>
              <w:tc>
                <w:tcPr>
                  <w:tcW w:w="806" w:type="pct"/>
                  <w:tcBorders>
                    <w:tl2br w:val="nil"/>
                    <w:tr2bl w:val="nil"/>
                  </w:tcBorders>
                  <w:noWrap w:val="0"/>
                  <w:vAlign w:val="center"/>
                </w:tcPr>
                <w:p w14:paraId="7D16302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生活垃圾</w:t>
                  </w:r>
                </w:p>
              </w:tc>
              <w:tc>
                <w:tcPr>
                  <w:tcW w:w="656" w:type="pct"/>
                  <w:tcBorders>
                    <w:tl2br w:val="nil"/>
                    <w:tr2bl w:val="nil"/>
                  </w:tcBorders>
                  <w:noWrap w:val="0"/>
                  <w:vAlign w:val="center"/>
                </w:tcPr>
                <w:p w14:paraId="4D8E333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2.1</w:t>
                  </w:r>
                </w:p>
              </w:tc>
              <w:tc>
                <w:tcPr>
                  <w:tcW w:w="861" w:type="pct"/>
                  <w:tcBorders>
                    <w:tl2br w:val="nil"/>
                    <w:tr2bl w:val="nil"/>
                  </w:tcBorders>
                  <w:noWrap w:val="0"/>
                  <w:vAlign w:val="center"/>
                </w:tcPr>
                <w:p w14:paraId="4D997AA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 w:bidi="ar"/>
                    </w:rPr>
                    <w:t>/</w:t>
                  </w:r>
                </w:p>
              </w:tc>
              <w:tc>
                <w:tcPr>
                  <w:tcW w:w="604" w:type="pct"/>
                  <w:tcBorders>
                    <w:tl2br w:val="nil"/>
                    <w:tr2bl w:val="nil"/>
                  </w:tcBorders>
                  <w:noWrap w:val="0"/>
                  <w:vAlign w:val="center"/>
                </w:tcPr>
                <w:p w14:paraId="59694B2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2.1</w:t>
                  </w:r>
                </w:p>
              </w:tc>
              <w:tc>
                <w:tcPr>
                  <w:tcW w:w="1662" w:type="pct"/>
                  <w:tcBorders>
                    <w:tl2br w:val="nil"/>
                    <w:tr2bl w:val="nil"/>
                  </w:tcBorders>
                  <w:noWrap w:val="0"/>
                  <w:vAlign w:val="center"/>
                </w:tcPr>
                <w:p w14:paraId="09A6F22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定期清运至环卫部门指定地点，由环卫部门统一处置</w:t>
                  </w:r>
                </w:p>
              </w:tc>
            </w:tr>
          </w:tbl>
          <w:p w14:paraId="0BAED10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center"/>
              <w:rPr>
                <w:rFonts w:ascii="Times New Roman" w:hAnsi="Times New Roman"/>
                <w:color w:val="auto"/>
                <w:sz w:val="24"/>
                <w:highlight w:val="none"/>
              </w:rPr>
            </w:pPr>
            <w:r>
              <w:rPr>
                <w:rFonts w:hint="eastAsia" w:ascii="Times New Roman" w:hAnsi="Times New Roman" w:eastAsia="宋体" w:cs="Times New Roman"/>
                <w:color w:val="auto"/>
                <w:kern w:val="2"/>
                <w:sz w:val="24"/>
                <w:szCs w:val="24"/>
                <w:highlight w:val="none"/>
                <w:lang w:val="en-US" w:eastAsia="zh-CN"/>
              </w:rPr>
              <w:t>根据现场调查，现有厂区分区防渗，其中危险废物贮存</w:t>
            </w:r>
            <w:r>
              <w:rPr>
                <w:rFonts w:hint="eastAsia" w:cs="Times New Roman"/>
                <w:color w:val="auto"/>
                <w:kern w:val="2"/>
                <w:sz w:val="24"/>
                <w:szCs w:val="24"/>
                <w:highlight w:val="none"/>
                <w:lang w:val="en-US" w:eastAsia="zh-CN"/>
              </w:rPr>
              <w:t>点</w:t>
            </w:r>
            <w:r>
              <w:rPr>
                <w:rFonts w:hint="eastAsia" w:ascii="Times New Roman" w:hAnsi="Times New Roman" w:eastAsia="宋体" w:cs="Times New Roman"/>
                <w:color w:val="auto"/>
                <w:kern w:val="2"/>
                <w:sz w:val="24"/>
                <w:szCs w:val="24"/>
                <w:highlight w:val="none"/>
                <w:lang w:val="en-US" w:eastAsia="zh-CN"/>
              </w:rPr>
              <w:t>进行重点防渗，危险废物贮存</w:t>
            </w:r>
            <w:r>
              <w:rPr>
                <w:rFonts w:hint="eastAsia" w:cs="Times New Roman"/>
                <w:color w:val="auto"/>
                <w:kern w:val="2"/>
                <w:sz w:val="24"/>
                <w:szCs w:val="24"/>
                <w:highlight w:val="none"/>
                <w:lang w:val="en-US" w:eastAsia="zh-CN"/>
              </w:rPr>
              <w:t>点</w:t>
            </w:r>
            <w:r>
              <w:rPr>
                <w:rFonts w:hint="eastAsia" w:ascii="Times New Roman" w:hAnsi="Times New Roman" w:eastAsia="宋体" w:cs="Times New Roman"/>
                <w:color w:val="auto"/>
                <w:kern w:val="2"/>
                <w:sz w:val="24"/>
                <w:szCs w:val="24"/>
                <w:highlight w:val="none"/>
                <w:lang w:val="en-US" w:eastAsia="zh-CN"/>
              </w:rPr>
              <w:t>建立有贮存设施环境管理制度，建立台账等措施。现有</w:t>
            </w:r>
            <w:r>
              <w:rPr>
                <w:rFonts w:hint="eastAsia" w:ascii="Times New Roman" w:hAnsi="Times New Roman" w:eastAsia="宋体" w:cs="Times New Roman"/>
                <w:color w:val="auto"/>
                <w:kern w:val="2"/>
                <w:sz w:val="24"/>
                <w:szCs w:val="24"/>
                <w:highlight w:val="none"/>
                <w:lang w:eastAsia="zh"/>
              </w:rPr>
              <w:t>工程</w:t>
            </w:r>
            <w:r>
              <w:rPr>
                <w:rFonts w:hint="eastAsia" w:ascii="Times New Roman" w:hAnsi="Times New Roman" w:eastAsia="宋体" w:cs="Times New Roman"/>
                <w:color w:val="auto"/>
                <w:kern w:val="2"/>
                <w:sz w:val="24"/>
                <w:szCs w:val="24"/>
                <w:highlight w:val="none"/>
                <w:lang w:val="en-US" w:eastAsia="zh-CN"/>
              </w:rPr>
              <w:t>建设有1座15m</w:t>
            </w:r>
            <w:r>
              <w:rPr>
                <w:rFonts w:hint="eastAsia" w:ascii="Times New Roman" w:hAnsi="Times New Roman" w:eastAsia="宋体" w:cs="Times New Roman"/>
                <w:color w:val="auto"/>
                <w:kern w:val="2"/>
                <w:sz w:val="24"/>
                <w:szCs w:val="24"/>
                <w:highlight w:val="none"/>
                <w:vertAlign w:val="superscript"/>
                <w:lang w:val="en-US" w:eastAsia="zh-CN"/>
              </w:rPr>
              <w:t>3</w:t>
            </w:r>
            <w:r>
              <w:rPr>
                <w:rFonts w:hint="eastAsia" w:ascii="Times New Roman" w:hAnsi="Times New Roman" w:eastAsia="宋体" w:cs="Times New Roman"/>
                <w:color w:val="auto"/>
                <w:kern w:val="2"/>
                <w:sz w:val="24"/>
                <w:szCs w:val="24"/>
                <w:highlight w:val="none"/>
                <w:lang w:val="en-US" w:eastAsia="zh-CN"/>
              </w:rPr>
              <w:t>的</w:t>
            </w:r>
            <w:r>
              <w:rPr>
                <w:rFonts w:hint="eastAsia" w:cs="Times New Roman"/>
                <w:color w:val="auto"/>
                <w:kern w:val="2"/>
                <w:sz w:val="24"/>
                <w:szCs w:val="24"/>
                <w:highlight w:val="none"/>
                <w:lang w:val="en-US" w:eastAsia="zh-CN"/>
              </w:rPr>
              <w:t>危废贮存点</w:t>
            </w:r>
            <w:r>
              <w:rPr>
                <w:rFonts w:hint="eastAsia" w:ascii="Times New Roman" w:hAnsi="Times New Roman" w:eastAsia="宋体" w:cs="Times New Roman"/>
                <w:color w:val="auto"/>
                <w:kern w:val="2"/>
                <w:sz w:val="24"/>
                <w:szCs w:val="24"/>
                <w:highlight w:val="none"/>
                <w:lang w:val="en-US" w:eastAsia="zh-CN"/>
              </w:rPr>
              <w:t>，产生的危险废物暂存于</w:t>
            </w:r>
            <w:r>
              <w:rPr>
                <w:rFonts w:hint="eastAsia" w:cs="Times New Roman"/>
                <w:color w:val="auto"/>
                <w:kern w:val="2"/>
                <w:sz w:val="24"/>
                <w:szCs w:val="24"/>
                <w:highlight w:val="none"/>
                <w:lang w:val="en-US" w:eastAsia="zh-CN"/>
              </w:rPr>
              <w:t>危废贮存点</w:t>
            </w:r>
            <w:r>
              <w:rPr>
                <w:rFonts w:hint="eastAsia" w:ascii="Times New Roman" w:hAnsi="Times New Roman" w:eastAsia="宋体" w:cs="Times New Roman"/>
                <w:color w:val="auto"/>
                <w:kern w:val="2"/>
                <w:sz w:val="24"/>
                <w:szCs w:val="24"/>
                <w:highlight w:val="none"/>
                <w:lang w:val="en-US" w:eastAsia="zh-CN"/>
              </w:rPr>
              <w:t>中，定期交由</w:t>
            </w:r>
            <w:r>
              <w:rPr>
                <w:rFonts w:hint="eastAsia" w:cs="Times New Roman"/>
                <w:color w:val="auto"/>
                <w:kern w:val="2"/>
                <w:sz w:val="24"/>
                <w:szCs w:val="24"/>
                <w:highlight w:val="none"/>
                <w:lang w:val="en-US" w:eastAsia="zh-CN"/>
              </w:rPr>
              <w:t>长治市佳和美环保科技有限公司</w:t>
            </w:r>
            <w:r>
              <w:rPr>
                <w:rFonts w:hint="eastAsia" w:ascii="Times New Roman" w:hAnsi="Times New Roman" w:eastAsia="宋体" w:cs="Times New Roman"/>
                <w:color w:val="auto"/>
                <w:kern w:val="2"/>
                <w:sz w:val="24"/>
                <w:szCs w:val="24"/>
                <w:highlight w:val="none"/>
                <w:lang w:val="en-US" w:eastAsia="zh-CN"/>
              </w:rPr>
              <w:t>处理。</w:t>
            </w:r>
          </w:p>
          <w:p w14:paraId="7834B105">
            <w:pPr>
              <w:keepNext w:val="0"/>
              <w:keepLines w:val="0"/>
              <w:pageBreakBefore w:val="0"/>
              <w:widowControl/>
              <w:suppressLineNumbers w:val="0"/>
              <w:kinsoku/>
              <w:wordWrap/>
              <w:overflowPunct/>
              <w:topLinePunct w:val="0"/>
              <w:autoSpaceDE/>
              <w:autoSpaceDN/>
              <w:bidi w:val="0"/>
              <w:adjustRightInd/>
              <w:snapToGrid/>
              <w:spacing w:line="480" w:lineRule="exact"/>
              <w:ind w:firstLine="482" w:firstLineChars="200"/>
              <w:jc w:val="left"/>
              <w:textAlignment w:val="auto"/>
              <w:rPr>
                <w:bCs/>
                <w:color w:val="auto"/>
                <w:szCs w:val="21"/>
                <w:highlight w:val="none"/>
              </w:rPr>
            </w:pPr>
            <w:r>
              <w:rPr>
                <w:rFonts w:hint="default" w:ascii="Times New Roman" w:hAnsi="Times New Roman" w:eastAsia="宋体" w:cs="Times New Roman"/>
                <w:b/>
                <w:bCs/>
                <w:color w:val="auto"/>
                <w:kern w:val="2"/>
                <w:sz w:val="24"/>
                <w:szCs w:val="24"/>
                <w:highlight w:val="none"/>
                <w:lang w:val="en-US" w:eastAsia="zh-CN" w:bidi="ar-SA"/>
              </w:rPr>
              <w:t>2.11现有工程存在的问题及整改措施</w:t>
            </w:r>
          </w:p>
          <w:p w14:paraId="2A7A230E">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项目现有工程环境问题及整改措施见下表。</w:t>
            </w:r>
          </w:p>
          <w:p w14:paraId="12694F4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CN"/>
              </w:rPr>
            </w:pPr>
            <w:r>
              <w:rPr>
                <w:rFonts w:hint="default" w:ascii="Times New Roman" w:hAnsi="Times New Roman" w:eastAsia="黑体" w:cs="Times New Roman"/>
                <w:b w:val="0"/>
                <w:bCs w:val="0"/>
                <w:color w:val="auto"/>
                <w:kern w:val="2"/>
                <w:sz w:val="24"/>
                <w:szCs w:val="24"/>
                <w:highlight w:val="none"/>
                <w:lang w:val="en-US" w:eastAsia="zh-CN"/>
              </w:rPr>
              <w:t>表</w:t>
            </w:r>
            <w:r>
              <w:rPr>
                <w:rFonts w:hint="eastAsia" w:ascii="Times New Roman" w:hAnsi="Times New Roman" w:eastAsia="黑体" w:cs="Times New Roman"/>
                <w:b w:val="0"/>
                <w:bCs w:val="0"/>
                <w:color w:val="auto"/>
                <w:kern w:val="2"/>
                <w:sz w:val="24"/>
                <w:szCs w:val="24"/>
                <w:highlight w:val="none"/>
                <w:lang w:val="en-US" w:eastAsia="zh-CN"/>
              </w:rPr>
              <w:t>2-23</w:t>
            </w:r>
            <w:r>
              <w:rPr>
                <w:rFonts w:hint="default" w:ascii="Times New Roman" w:hAnsi="Times New Roman" w:eastAsia="黑体" w:cs="Times New Roman"/>
                <w:b w:val="0"/>
                <w:bCs w:val="0"/>
                <w:color w:val="auto"/>
                <w:kern w:val="2"/>
                <w:sz w:val="24"/>
                <w:szCs w:val="24"/>
                <w:highlight w:val="none"/>
                <w:lang w:val="en-US" w:eastAsia="zh-CN"/>
              </w:rPr>
              <w:t xml:space="preserve">  现有工程环境问题及整改措施</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878"/>
              <w:gridCol w:w="2818"/>
              <w:gridCol w:w="1945"/>
            </w:tblGrid>
            <w:tr w14:paraId="64A46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 w:type="pct"/>
                  <w:tcBorders>
                    <w:tl2br w:val="nil"/>
                    <w:tr2bl w:val="nil"/>
                  </w:tcBorders>
                  <w:noWrap w:val="0"/>
                  <w:vAlign w:val="center"/>
                </w:tcPr>
                <w:p w14:paraId="6B97CC57">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716" w:type="pct"/>
                  <w:tcBorders>
                    <w:tl2br w:val="nil"/>
                    <w:tr2bl w:val="nil"/>
                  </w:tcBorders>
                  <w:noWrap w:val="0"/>
                  <w:vAlign w:val="center"/>
                </w:tcPr>
                <w:p w14:paraId="03C22387">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b/>
                      <w:bCs/>
                      <w:color w:val="auto"/>
                      <w:kern w:val="0"/>
                      <w:sz w:val="21"/>
                      <w:szCs w:val="21"/>
                      <w:highlight w:val="none"/>
                      <w:lang w:eastAsia="zh"/>
                    </w:rPr>
                  </w:pPr>
                  <w:r>
                    <w:rPr>
                      <w:rFonts w:hint="default" w:ascii="Times New Roman" w:hAnsi="Times New Roman" w:eastAsia="宋体" w:cs="Times New Roman"/>
                      <w:b/>
                      <w:bCs/>
                      <w:color w:val="auto"/>
                      <w:kern w:val="0"/>
                      <w:sz w:val="21"/>
                      <w:szCs w:val="21"/>
                      <w:highlight w:val="none"/>
                      <w:lang w:eastAsia="zh"/>
                    </w:rPr>
                    <w:t>主要环境问题</w:t>
                  </w:r>
                </w:p>
              </w:tc>
              <w:tc>
                <w:tcPr>
                  <w:tcW w:w="1680" w:type="pct"/>
                  <w:tcBorders>
                    <w:tl2br w:val="nil"/>
                    <w:tr2bl w:val="nil"/>
                  </w:tcBorders>
                  <w:noWrap w:val="0"/>
                  <w:vAlign w:val="center"/>
                </w:tcPr>
                <w:p w14:paraId="2162DA66">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b/>
                      <w:bCs/>
                      <w:color w:val="auto"/>
                      <w:kern w:val="0"/>
                      <w:sz w:val="21"/>
                      <w:szCs w:val="21"/>
                      <w:highlight w:val="none"/>
                      <w:lang w:eastAsia="zh"/>
                    </w:rPr>
                  </w:pPr>
                  <w:r>
                    <w:rPr>
                      <w:rFonts w:hint="default" w:ascii="Times New Roman" w:hAnsi="Times New Roman" w:eastAsia="宋体" w:cs="Times New Roman"/>
                      <w:b/>
                      <w:bCs/>
                      <w:color w:val="auto"/>
                      <w:kern w:val="0"/>
                      <w:sz w:val="21"/>
                      <w:szCs w:val="21"/>
                      <w:highlight w:val="none"/>
                      <w:lang w:eastAsia="zh"/>
                    </w:rPr>
                    <w:t>“以新带老”措施</w:t>
                  </w:r>
                </w:p>
              </w:tc>
              <w:tc>
                <w:tcPr>
                  <w:tcW w:w="1159" w:type="pct"/>
                  <w:tcBorders>
                    <w:tl2br w:val="nil"/>
                    <w:tr2bl w:val="nil"/>
                  </w:tcBorders>
                  <w:noWrap w:val="0"/>
                  <w:vAlign w:val="center"/>
                </w:tcPr>
                <w:p w14:paraId="278240F8">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完成时限</w:t>
                  </w:r>
                </w:p>
              </w:tc>
            </w:tr>
            <w:tr w14:paraId="419A9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 w:type="pct"/>
                  <w:tcBorders>
                    <w:tl2br w:val="nil"/>
                    <w:tr2bl w:val="nil"/>
                  </w:tcBorders>
                  <w:noWrap w:val="0"/>
                  <w:vAlign w:val="center"/>
                </w:tcPr>
                <w:p w14:paraId="37ABCAEA">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0" w:firstLineChars="0"/>
                    <w:jc w:val="center"/>
                    <w:textAlignment w:val="bottom"/>
                    <w:rPr>
                      <w:rFonts w:hint="default" w:ascii="Times New Roman" w:hAnsi="Times New Roman" w:eastAsia="宋体" w:cs="Times New Roman"/>
                      <w:color w:val="auto"/>
                      <w:kern w:val="0"/>
                      <w:sz w:val="21"/>
                      <w:szCs w:val="21"/>
                      <w:highlight w:val="none"/>
                      <w:lang w:eastAsia="zh"/>
                    </w:rPr>
                  </w:pPr>
                  <w:r>
                    <w:rPr>
                      <w:rFonts w:hint="default" w:ascii="Times New Roman" w:hAnsi="Times New Roman" w:eastAsia="宋体" w:cs="Times New Roman"/>
                      <w:color w:val="auto"/>
                      <w:kern w:val="0"/>
                      <w:sz w:val="21"/>
                      <w:szCs w:val="21"/>
                      <w:highlight w:val="none"/>
                      <w:lang w:eastAsia="zh"/>
                    </w:rPr>
                    <w:t>1</w:t>
                  </w:r>
                </w:p>
              </w:tc>
              <w:tc>
                <w:tcPr>
                  <w:tcW w:w="1716" w:type="pct"/>
                  <w:tcBorders>
                    <w:tl2br w:val="nil"/>
                    <w:tr2bl w:val="nil"/>
                  </w:tcBorders>
                  <w:shd w:val="clear" w:color="auto" w:fill="auto"/>
                  <w:noWrap w:val="0"/>
                  <w:vAlign w:val="center"/>
                </w:tcPr>
                <w:p w14:paraId="0675504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皮带输送机</w:t>
                  </w:r>
                  <w:r>
                    <w:rPr>
                      <w:rFonts w:hint="eastAsia" w:cs="Times New Roman"/>
                      <w:color w:val="auto"/>
                      <w:kern w:val="0"/>
                      <w:sz w:val="21"/>
                      <w:szCs w:val="21"/>
                      <w:highlight w:val="none"/>
                      <w:lang w:val="en-US" w:eastAsia="zh-CN" w:bidi="ar"/>
                    </w:rPr>
                    <w:t>部分</w:t>
                  </w:r>
                  <w:r>
                    <w:rPr>
                      <w:rFonts w:hint="default" w:ascii="Times New Roman" w:hAnsi="Times New Roman" w:eastAsia="宋体" w:cs="Times New Roman"/>
                      <w:color w:val="auto"/>
                      <w:kern w:val="0"/>
                      <w:sz w:val="21"/>
                      <w:szCs w:val="21"/>
                      <w:highlight w:val="none"/>
                      <w:lang w:val="en-US" w:eastAsia="zh-CN" w:bidi="ar"/>
                    </w:rPr>
                    <w:t>未封闭</w:t>
                  </w:r>
                </w:p>
              </w:tc>
              <w:tc>
                <w:tcPr>
                  <w:tcW w:w="1680" w:type="pct"/>
                  <w:tcBorders>
                    <w:tl2br w:val="nil"/>
                    <w:tr2bl w:val="nil"/>
                  </w:tcBorders>
                  <w:shd w:val="clear" w:color="auto" w:fill="auto"/>
                  <w:noWrap w:val="0"/>
                  <w:vAlign w:val="center"/>
                </w:tcPr>
                <w:p w14:paraId="425DE73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 w:bidi="ar"/>
                    </w:rPr>
                  </w:pPr>
                  <w:r>
                    <w:rPr>
                      <w:rFonts w:hint="default" w:ascii="Times New Roman" w:hAnsi="Times New Roman" w:eastAsia="宋体" w:cs="Times New Roman"/>
                      <w:color w:val="auto"/>
                      <w:kern w:val="0"/>
                      <w:sz w:val="21"/>
                      <w:szCs w:val="21"/>
                      <w:highlight w:val="none"/>
                      <w:lang w:val="en-US" w:eastAsia="zh-CN" w:bidi="ar"/>
                    </w:rPr>
                    <w:t>皮带输送机全封闭</w:t>
                  </w:r>
                </w:p>
              </w:tc>
              <w:tc>
                <w:tcPr>
                  <w:tcW w:w="1159" w:type="pct"/>
                  <w:tcBorders>
                    <w:tl2br w:val="nil"/>
                    <w:tr2bl w:val="nil"/>
                  </w:tcBorders>
                  <w:shd w:val="clear" w:color="auto" w:fill="auto"/>
                  <w:noWrap w:val="0"/>
                  <w:vAlign w:val="center"/>
                </w:tcPr>
                <w:p w14:paraId="69BEAC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竣工环保验收前</w:t>
                  </w:r>
                </w:p>
              </w:tc>
            </w:tr>
            <w:tr w14:paraId="66C84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 w:type="pct"/>
                  <w:tcBorders>
                    <w:tl2br w:val="nil"/>
                    <w:tr2bl w:val="nil"/>
                  </w:tcBorders>
                  <w:noWrap w:val="0"/>
                  <w:vAlign w:val="center"/>
                </w:tcPr>
                <w:p w14:paraId="67EC70F1">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716" w:type="pct"/>
                  <w:tcBorders>
                    <w:tl2br w:val="nil"/>
                    <w:tr2bl w:val="nil"/>
                  </w:tcBorders>
                  <w:noWrap w:val="0"/>
                  <w:vAlign w:val="center"/>
                </w:tcPr>
                <w:p w14:paraId="509B176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危废贮存点门口未设置拦截措施</w:t>
                  </w:r>
                </w:p>
              </w:tc>
              <w:tc>
                <w:tcPr>
                  <w:tcW w:w="1680" w:type="pct"/>
                  <w:tcBorders>
                    <w:tl2br w:val="nil"/>
                    <w:tr2bl w:val="nil"/>
                  </w:tcBorders>
                  <w:noWrap w:val="0"/>
                  <w:vAlign w:val="center"/>
                </w:tcPr>
                <w:p w14:paraId="0B10E85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在危废贮存点设置拦截措施</w:t>
                  </w:r>
                </w:p>
              </w:tc>
              <w:tc>
                <w:tcPr>
                  <w:tcW w:w="1159" w:type="pct"/>
                  <w:tcBorders>
                    <w:tl2br w:val="nil"/>
                    <w:tr2bl w:val="nil"/>
                  </w:tcBorders>
                  <w:noWrap w:val="0"/>
                  <w:vAlign w:val="center"/>
                </w:tcPr>
                <w:p w14:paraId="7DD2BF1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竣工环保验收前</w:t>
                  </w:r>
                </w:p>
              </w:tc>
            </w:tr>
            <w:tr w14:paraId="5DEB6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 w:type="pct"/>
                  <w:tcBorders>
                    <w:tl2br w:val="nil"/>
                    <w:tr2bl w:val="nil"/>
                  </w:tcBorders>
                  <w:noWrap w:val="0"/>
                  <w:vAlign w:val="center"/>
                </w:tcPr>
                <w:p w14:paraId="4B87CE6A">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c>
                <w:tcPr>
                  <w:tcW w:w="1716" w:type="pct"/>
                  <w:tcBorders>
                    <w:tl2br w:val="nil"/>
                    <w:tr2bl w:val="nil"/>
                  </w:tcBorders>
                  <w:noWrap w:val="0"/>
                  <w:vAlign w:val="center"/>
                </w:tcPr>
                <w:p w14:paraId="08CB398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危废贮存点标识标牌张贴不规范</w:t>
                  </w:r>
                </w:p>
              </w:tc>
              <w:tc>
                <w:tcPr>
                  <w:tcW w:w="1680" w:type="pct"/>
                  <w:tcBorders>
                    <w:tl2br w:val="nil"/>
                    <w:tr2bl w:val="nil"/>
                  </w:tcBorders>
                  <w:noWrap w:val="0"/>
                  <w:vAlign w:val="center"/>
                </w:tcPr>
                <w:p w14:paraId="376FEEF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按照规范张贴危废贮存点标识标牌</w:t>
                  </w:r>
                </w:p>
              </w:tc>
              <w:tc>
                <w:tcPr>
                  <w:tcW w:w="1159" w:type="pct"/>
                  <w:tcBorders>
                    <w:tl2br w:val="nil"/>
                    <w:tr2bl w:val="nil"/>
                  </w:tcBorders>
                  <w:noWrap w:val="0"/>
                  <w:vAlign w:val="center"/>
                </w:tcPr>
                <w:p w14:paraId="7D475A2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竣工环保验收前</w:t>
                  </w:r>
                </w:p>
              </w:tc>
            </w:tr>
            <w:tr w14:paraId="268E0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3" w:type="pct"/>
                  <w:tcBorders>
                    <w:tl2br w:val="nil"/>
                    <w:tr2bl w:val="nil"/>
                  </w:tcBorders>
                  <w:noWrap w:val="0"/>
                  <w:vAlign w:val="center"/>
                </w:tcPr>
                <w:p w14:paraId="5E67E3E4">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20" w:lineRule="exact"/>
                    <w:ind w:left="0" w:leftChars="0" w:right="0" w:firstLine="0" w:firstLineChars="0"/>
                    <w:jc w:val="center"/>
                    <w:textAlignment w:val="bottom"/>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1716" w:type="pct"/>
                  <w:tcBorders>
                    <w:tl2br w:val="nil"/>
                    <w:tr2bl w:val="nil"/>
                  </w:tcBorders>
                  <w:noWrap w:val="0"/>
                  <w:vAlign w:val="center"/>
                </w:tcPr>
                <w:p w14:paraId="34A276F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初期雨水池容积不满足厂区初期雨水收集</w:t>
                  </w:r>
                </w:p>
              </w:tc>
              <w:tc>
                <w:tcPr>
                  <w:tcW w:w="1680" w:type="pct"/>
                  <w:tcBorders>
                    <w:tl2br w:val="nil"/>
                    <w:tr2bl w:val="nil"/>
                  </w:tcBorders>
                  <w:noWrap w:val="0"/>
                  <w:vAlign w:val="center"/>
                </w:tcPr>
                <w:p w14:paraId="344E6F6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扩建初期雨水池</w:t>
                  </w:r>
                </w:p>
              </w:tc>
              <w:tc>
                <w:tcPr>
                  <w:tcW w:w="1159" w:type="pct"/>
                  <w:tcBorders>
                    <w:tl2br w:val="nil"/>
                    <w:tr2bl w:val="nil"/>
                  </w:tcBorders>
                  <w:noWrap w:val="0"/>
                  <w:vAlign w:val="center"/>
                </w:tcPr>
                <w:p w14:paraId="23AD4A5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竣工环保验收前</w:t>
                  </w:r>
                </w:p>
              </w:tc>
            </w:tr>
          </w:tbl>
          <w:p w14:paraId="55650FAC">
            <w:pPr>
              <w:pStyle w:val="30"/>
              <w:rPr>
                <w:bCs/>
                <w:color w:val="auto"/>
                <w:szCs w:val="21"/>
              </w:rPr>
            </w:pPr>
          </w:p>
        </w:tc>
      </w:tr>
    </w:tbl>
    <w:p w14:paraId="68803F01">
      <w:pPr>
        <w:pStyle w:val="20"/>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724DB0D">
      <w:pPr>
        <w:pStyle w:val="2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70"/>
      </w:tblGrid>
      <w:tr w14:paraId="56824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0" w:type="dxa"/>
            <w:tcBorders>
              <w:tl2br w:val="nil"/>
              <w:tr2bl w:val="nil"/>
            </w:tcBorders>
            <w:vAlign w:val="center"/>
          </w:tcPr>
          <w:p w14:paraId="6BF46274">
            <w:pPr>
              <w:adjustRightInd w:val="0"/>
              <w:snapToGrid w:val="0"/>
              <w:jc w:val="center"/>
              <w:rPr>
                <w:b/>
                <w:bCs/>
                <w:kern w:val="0"/>
                <w:sz w:val="24"/>
                <w:szCs w:val="24"/>
              </w:rPr>
            </w:pPr>
            <w:r>
              <w:rPr>
                <w:b/>
                <w:bCs/>
                <w:kern w:val="0"/>
                <w:sz w:val="24"/>
                <w:szCs w:val="24"/>
              </w:rPr>
              <w:t>区域</w:t>
            </w:r>
          </w:p>
          <w:p w14:paraId="1971E917">
            <w:pPr>
              <w:adjustRightInd w:val="0"/>
              <w:snapToGrid w:val="0"/>
              <w:jc w:val="center"/>
              <w:rPr>
                <w:b/>
                <w:bCs/>
                <w:kern w:val="0"/>
                <w:sz w:val="24"/>
                <w:szCs w:val="24"/>
              </w:rPr>
            </w:pPr>
            <w:r>
              <w:rPr>
                <w:b/>
                <w:bCs/>
                <w:kern w:val="0"/>
                <w:sz w:val="24"/>
                <w:szCs w:val="24"/>
              </w:rPr>
              <w:t>环境</w:t>
            </w:r>
          </w:p>
          <w:p w14:paraId="4207CF07">
            <w:pPr>
              <w:adjustRightInd w:val="0"/>
              <w:snapToGrid w:val="0"/>
              <w:jc w:val="center"/>
              <w:rPr>
                <w:b/>
                <w:bCs/>
                <w:kern w:val="0"/>
                <w:sz w:val="24"/>
                <w:szCs w:val="24"/>
              </w:rPr>
            </w:pPr>
            <w:r>
              <w:rPr>
                <w:b/>
                <w:bCs/>
                <w:kern w:val="0"/>
                <w:sz w:val="24"/>
                <w:szCs w:val="24"/>
              </w:rPr>
              <w:t>质量</w:t>
            </w:r>
          </w:p>
          <w:p w14:paraId="409E17CF">
            <w:pPr>
              <w:adjustRightInd w:val="0"/>
              <w:snapToGrid w:val="0"/>
              <w:jc w:val="center"/>
              <w:rPr>
                <w:b/>
                <w:bCs/>
                <w:kern w:val="0"/>
                <w:sz w:val="24"/>
                <w:szCs w:val="24"/>
              </w:rPr>
            </w:pPr>
            <w:r>
              <w:rPr>
                <w:b/>
                <w:bCs/>
                <w:kern w:val="0"/>
                <w:sz w:val="24"/>
                <w:szCs w:val="24"/>
              </w:rPr>
              <w:t>现状</w:t>
            </w:r>
          </w:p>
        </w:tc>
        <w:tc>
          <w:tcPr>
            <w:tcW w:w="8570" w:type="dxa"/>
            <w:tcBorders>
              <w:tl2br w:val="nil"/>
              <w:tr2bl w:val="nil"/>
            </w:tcBorders>
            <w:vAlign w:val="center"/>
          </w:tcPr>
          <w:p w14:paraId="1A47FB59">
            <w:pPr>
              <w:keepNext w:val="0"/>
              <w:keepLines w:val="0"/>
              <w:pageBreakBefore w:val="0"/>
              <w:widowControl w:val="0"/>
              <w:kinsoku/>
              <w:wordWrap/>
              <w:overflowPunct/>
              <w:topLinePunct w:val="0"/>
              <w:autoSpaceDE/>
              <w:autoSpaceDN/>
              <w:bidi w:val="0"/>
              <w:adjustRightInd/>
              <w:spacing w:line="480" w:lineRule="exact"/>
              <w:ind w:firstLine="482" w:firstLineChars="200"/>
              <w:textAlignment w:val="auto"/>
              <w:rPr>
                <w:kern w:val="0"/>
                <w:szCs w:val="21"/>
              </w:rPr>
            </w:pPr>
            <w:r>
              <w:rPr>
                <w:rFonts w:hint="eastAsia"/>
                <w:b/>
                <w:bCs/>
                <w:sz w:val="24"/>
                <w:lang w:val="en-US" w:eastAsia="zh-CN"/>
              </w:rPr>
              <w:t>略</w:t>
            </w:r>
          </w:p>
        </w:tc>
      </w:tr>
      <w:tr w14:paraId="5FDE8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20" w:type="dxa"/>
            <w:tcBorders>
              <w:tl2br w:val="nil"/>
              <w:tr2bl w:val="nil"/>
            </w:tcBorders>
            <w:vAlign w:val="center"/>
          </w:tcPr>
          <w:p w14:paraId="5FC6CC78">
            <w:pPr>
              <w:adjustRightInd w:val="0"/>
              <w:snapToGrid w:val="0"/>
              <w:jc w:val="center"/>
              <w:rPr>
                <w:b/>
                <w:bCs/>
                <w:kern w:val="0"/>
                <w:sz w:val="24"/>
                <w:szCs w:val="24"/>
              </w:rPr>
            </w:pPr>
            <w:r>
              <w:rPr>
                <w:b/>
                <w:bCs/>
                <w:kern w:val="0"/>
                <w:sz w:val="24"/>
                <w:szCs w:val="24"/>
              </w:rPr>
              <w:t>环境</w:t>
            </w:r>
          </w:p>
          <w:p w14:paraId="689F0151">
            <w:pPr>
              <w:adjustRightInd w:val="0"/>
              <w:snapToGrid w:val="0"/>
              <w:jc w:val="center"/>
              <w:rPr>
                <w:b/>
                <w:bCs/>
                <w:kern w:val="0"/>
                <w:sz w:val="24"/>
                <w:szCs w:val="24"/>
              </w:rPr>
            </w:pPr>
            <w:r>
              <w:rPr>
                <w:b/>
                <w:bCs/>
                <w:kern w:val="0"/>
                <w:sz w:val="24"/>
                <w:szCs w:val="24"/>
              </w:rPr>
              <w:t>保护</w:t>
            </w:r>
          </w:p>
          <w:p w14:paraId="37026594">
            <w:pPr>
              <w:adjustRightInd w:val="0"/>
              <w:snapToGrid w:val="0"/>
              <w:jc w:val="center"/>
              <w:rPr>
                <w:b/>
                <w:bCs/>
                <w:kern w:val="0"/>
                <w:sz w:val="24"/>
                <w:szCs w:val="24"/>
              </w:rPr>
            </w:pPr>
            <w:r>
              <w:rPr>
                <w:b/>
                <w:bCs/>
                <w:kern w:val="0"/>
                <w:sz w:val="24"/>
                <w:szCs w:val="24"/>
              </w:rPr>
              <w:t>目标</w:t>
            </w:r>
          </w:p>
        </w:tc>
        <w:tc>
          <w:tcPr>
            <w:tcW w:w="8570" w:type="dxa"/>
            <w:tcBorders>
              <w:tl2br w:val="nil"/>
              <w:tr2bl w:val="nil"/>
            </w:tcBorders>
            <w:vAlign w:val="center"/>
          </w:tcPr>
          <w:p w14:paraId="375E6DA7">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b/>
                <w:bCs/>
                <w:color w:val="000000"/>
                <w:sz w:val="24"/>
              </w:rPr>
            </w:pPr>
            <w:r>
              <w:rPr>
                <w:rFonts w:hint="eastAsia"/>
                <w:b/>
                <w:bCs/>
                <w:color w:val="000000"/>
                <w:sz w:val="24"/>
                <w:lang w:val="en-US" w:eastAsia="zh-CN"/>
              </w:rPr>
              <w:t>3.3</w:t>
            </w:r>
            <w:r>
              <w:rPr>
                <w:b/>
                <w:bCs/>
                <w:color w:val="000000"/>
                <w:sz w:val="24"/>
              </w:rPr>
              <w:t>大气环境</w:t>
            </w:r>
          </w:p>
          <w:p w14:paraId="5E77690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000000"/>
                <w:sz w:val="24"/>
              </w:rPr>
            </w:pPr>
            <w:r>
              <w:rPr>
                <w:rFonts w:hint="eastAsia"/>
                <w:color w:val="000000"/>
                <w:sz w:val="24"/>
              </w:rPr>
              <w:t>根据现场踏勘，距离项目最近的大气环境保护目标为项目</w:t>
            </w:r>
            <w:r>
              <w:rPr>
                <w:rFonts w:hint="eastAsia"/>
                <w:color w:val="000000"/>
                <w:sz w:val="24"/>
                <w:lang w:val="en-US" w:eastAsia="zh-CN"/>
              </w:rPr>
              <w:t>前苏村和后苏村</w:t>
            </w:r>
            <w:r>
              <w:rPr>
                <w:rFonts w:hint="eastAsia"/>
                <w:color w:val="000000"/>
                <w:sz w:val="24"/>
              </w:rPr>
              <w:t>。除此，项目边界外500m范围内无其他自然保护区、风景名胜区、居住区、文化区和农村地区中人群较集中的区域等保护目标</w:t>
            </w:r>
            <w:r>
              <w:rPr>
                <w:rFonts w:hint="eastAsia"/>
                <w:color w:val="000000"/>
                <w:sz w:val="24"/>
                <w:lang w:eastAsia="zh-CN"/>
              </w:rPr>
              <w:t>，见表3</w:t>
            </w:r>
            <w:r>
              <w:rPr>
                <w:rFonts w:hint="eastAsia"/>
                <w:color w:val="000000"/>
                <w:sz w:val="24"/>
                <w:lang w:val="en-US" w:eastAsia="zh-CN"/>
              </w:rPr>
              <w:t>-4</w:t>
            </w:r>
            <w:r>
              <w:rPr>
                <w:color w:val="000000"/>
                <w:sz w:val="24"/>
              </w:rPr>
              <w:t>。</w:t>
            </w:r>
          </w:p>
          <w:p w14:paraId="72620A25">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CN"/>
              </w:rPr>
            </w:pPr>
            <w:r>
              <w:rPr>
                <w:rFonts w:hint="default" w:ascii="Times New Roman" w:hAnsi="Times New Roman" w:eastAsia="黑体" w:cs="Times New Roman"/>
                <w:b w:val="0"/>
                <w:bCs w:val="0"/>
                <w:color w:val="auto"/>
                <w:kern w:val="2"/>
                <w:sz w:val="24"/>
                <w:szCs w:val="24"/>
                <w:highlight w:val="none"/>
                <w:lang w:val="en-US" w:eastAsia="zh-CN"/>
              </w:rPr>
              <w:t>表</w:t>
            </w:r>
            <w:r>
              <w:rPr>
                <w:rFonts w:hint="eastAsia" w:ascii="Times New Roman" w:hAnsi="Times New Roman" w:eastAsia="黑体" w:cs="Times New Roman"/>
                <w:b w:val="0"/>
                <w:bCs w:val="0"/>
                <w:color w:val="auto"/>
                <w:kern w:val="2"/>
                <w:sz w:val="24"/>
                <w:szCs w:val="24"/>
                <w:highlight w:val="none"/>
                <w:lang w:val="en-US" w:eastAsia="zh-CN"/>
              </w:rPr>
              <w:t>3-4</w:t>
            </w:r>
            <w:r>
              <w:rPr>
                <w:rFonts w:hint="default" w:ascii="Times New Roman" w:hAnsi="Times New Roman" w:eastAsia="黑体" w:cs="Times New Roman"/>
                <w:b w:val="0"/>
                <w:bCs w:val="0"/>
                <w:color w:val="auto"/>
                <w:kern w:val="2"/>
                <w:sz w:val="24"/>
                <w:szCs w:val="24"/>
                <w:highlight w:val="none"/>
                <w:lang w:val="en-US" w:eastAsia="zh-CN"/>
              </w:rPr>
              <w:t xml:space="preserve">  环境空气保护目标表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521"/>
              <w:gridCol w:w="1426"/>
              <w:gridCol w:w="768"/>
              <w:gridCol w:w="823"/>
              <w:gridCol w:w="898"/>
              <w:gridCol w:w="661"/>
              <w:gridCol w:w="968"/>
            </w:tblGrid>
            <w:tr w14:paraId="0DA1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pct"/>
                  <w:vMerge w:val="restart"/>
                  <w:tcBorders>
                    <w:top w:val="single" w:color="auto" w:sz="12" w:space="0"/>
                  </w:tcBorders>
                  <w:noWrap w:val="0"/>
                  <w:vAlign w:val="center"/>
                </w:tcPr>
                <w:p w14:paraId="06E1B0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保护目标</w:t>
                  </w:r>
                </w:p>
                <w:p w14:paraId="1BF7AD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765" w:type="pct"/>
                  <w:gridSpan w:val="2"/>
                  <w:tcBorders>
                    <w:top w:val="single" w:color="auto" w:sz="12" w:space="0"/>
                  </w:tcBorders>
                  <w:noWrap w:val="0"/>
                  <w:vAlign w:val="center"/>
                </w:tcPr>
                <w:p w14:paraId="721237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坐标/</w:t>
                  </w:r>
                  <w:r>
                    <w:rPr>
                      <w:rFonts w:hint="eastAsia" w:cs="Times New Roman"/>
                      <w:b/>
                      <w:bCs/>
                      <w:color w:val="auto"/>
                      <w:sz w:val="21"/>
                      <w:szCs w:val="21"/>
                      <w:highlight w:val="none"/>
                      <w:lang w:val="en-US" w:eastAsia="zh-CN"/>
                    </w:rPr>
                    <w:t>m</w:t>
                  </w:r>
                </w:p>
              </w:tc>
              <w:tc>
                <w:tcPr>
                  <w:tcW w:w="460" w:type="pct"/>
                  <w:vMerge w:val="restart"/>
                  <w:tcBorders>
                    <w:top w:val="single" w:color="auto" w:sz="12" w:space="0"/>
                  </w:tcBorders>
                  <w:noWrap w:val="0"/>
                  <w:vAlign w:val="center"/>
                </w:tcPr>
                <w:p w14:paraId="674B44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493" w:type="pct"/>
                  <w:vMerge w:val="restart"/>
                  <w:tcBorders>
                    <w:top w:val="single" w:color="auto" w:sz="12" w:space="0"/>
                  </w:tcBorders>
                  <w:noWrap w:val="0"/>
                  <w:vAlign w:val="center"/>
                </w:tcPr>
                <w:p w14:paraId="4687A2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保护内容</w:t>
                  </w:r>
                </w:p>
              </w:tc>
              <w:tc>
                <w:tcPr>
                  <w:tcW w:w="538" w:type="pct"/>
                  <w:vMerge w:val="restart"/>
                  <w:tcBorders>
                    <w:top w:val="single" w:color="auto" w:sz="12" w:space="0"/>
                  </w:tcBorders>
                  <w:noWrap w:val="0"/>
                  <w:vAlign w:val="center"/>
                </w:tcPr>
                <w:p w14:paraId="76ADA6F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环境功能区</w:t>
                  </w:r>
                </w:p>
              </w:tc>
              <w:tc>
                <w:tcPr>
                  <w:tcW w:w="396" w:type="pct"/>
                  <w:vMerge w:val="restart"/>
                  <w:tcBorders>
                    <w:top w:val="single" w:color="auto" w:sz="12" w:space="0"/>
                  </w:tcBorders>
                  <w:noWrap w:val="0"/>
                  <w:vAlign w:val="center"/>
                </w:tcPr>
                <w:p w14:paraId="457D3B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相对方位</w:t>
                  </w:r>
                </w:p>
              </w:tc>
              <w:tc>
                <w:tcPr>
                  <w:tcW w:w="580" w:type="pct"/>
                  <w:vMerge w:val="restart"/>
                  <w:tcBorders>
                    <w:top w:val="single" w:color="auto" w:sz="12" w:space="0"/>
                    <w:right w:val="nil"/>
                  </w:tcBorders>
                  <w:noWrap w:val="0"/>
                  <w:vAlign w:val="center"/>
                </w:tcPr>
                <w:p w14:paraId="47EFC5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距边界距离/m</w:t>
                  </w:r>
                </w:p>
              </w:tc>
            </w:tr>
            <w:tr w14:paraId="54EF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pct"/>
                  <w:vMerge w:val="continue"/>
                  <w:tcBorders>
                    <w:left w:val="nil"/>
                  </w:tcBorders>
                  <w:noWrap w:val="0"/>
                  <w:vAlign w:val="center"/>
                </w:tcPr>
                <w:p w14:paraId="2749BAC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911" w:type="pct"/>
                  <w:noWrap w:val="0"/>
                  <w:vAlign w:val="center"/>
                </w:tcPr>
                <w:p w14:paraId="2618FC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X</w:t>
                  </w:r>
                </w:p>
              </w:tc>
              <w:tc>
                <w:tcPr>
                  <w:tcW w:w="853" w:type="pct"/>
                  <w:noWrap w:val="0"/>
                  <w:vAlign w:val="center"/>
                </w:tcPr>
                <w:p w14:paraId="3008DA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Y</w:t>
                  </w:r>
                </w:p>
              </w:tc>
              <w:tc>
                <w:tcPr>
                  <w:tcW w:w="460" w:type="pct"/>
                  <w:vMerge w:val="continue"/>
                  <w:noWrap w:val="0"/>
                  <w:vAlign w:val="center"/>
                </w:tcPr>
                <w:p w14:paraId="6A831E0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493" w:type="pct"/>
                  <w:vMerge w:val="continue"/>
                  <w:noWrap w:val="0"/>
                  <w:vAlign w:val="center"/>
                </w:tcPr>
                <w:p w14:paraId="5C4239C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538" w:type="pct"/>
                  <w:vMerge w:val="continue"/>
                  <w:noWrap w:val="0"/>
                  <w:vAlign w:val="center"/>
                </w:tcPr>
                <w:p w14:paraId="0FE4765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396" w:type="pct"/>
                  <w:vMerge w:val="continue"/>
                  <w:noWrap w:val="0"/>
                  <w:vAlign w:val="center"/>
                </w:tcPr>
                <w:p w14:paraId="4C9DC37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580" w:type="pct"/>
                  <w:vMerge w:val="continue"/>
                  <w:tcBorders>
                    <w:right w:val="nil"/>
                  </w:tcBorders>
                  <w:noWrap w:val="0"/>
                  <w:vAlign w:val="center"/>
                </w:tcPr>
                <w:p w14:paraId="0CAAE03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r>
            <w:tr w14:paraId="7BA8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pct"/>
                  <w:tcBorders>
                    <w:left w:val="nil"/>
                  </w:tcBorders>
                  <w:noWrap w:val="0"/>
                  <w:vAlign w:val="center"/>
                </w:tcPr>
                <w:p w14:paraId="5CA057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前苏村</w:t>
                  </w:r>
                </w:p>
              </w:tc>
              <w:tc>
                <w:tcPr>
                  <w:tcW w:w="911" w:type="pct"/>
                  <w:noWrap w:val="0"/>
                  <w:vAlign w:val="center"/>
                </w:tcPr>
                <w:p w14:paraId="63878B9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113.012828140</w:t>
                  </w:r>
                </w:p>
              </w:tc>
              <w:tc>
                <w:tcPr>
                  <w:tcW w:w="853" w:type="pct"/>
                  <w:noWrap w:val="0"/>
                  <w:vAlign w:val="center"/>
                </w:tcPr>
                <w:p w14:paraId="31AB81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36.376368284</w:t>
                  </w:r>
                </w:p>
              </w:tc>
              <w:tc>
                <w:tcPr>
                  <w:tcW w:w="460" w:type="pct"/>
                  <w:noWrap w:val="0"/>
                  <w:vAlign w:val="center"/>
                </w:tcPr>
                <w:p w14:paraId="4868EA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村庄</w:t>
                  </w:r>
                </w:p>
              </w:tc>
              <w:tc>
                <w:tcPr>
                  <w:tcW w:w="493" w:type="pct"/>
                  <w:noWrap w:val="0"/>
                  <w:vAlign w:val="center"/>
                </w:tcPr>
                <w:p w14:paraId="62A394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人</w:t>
                  </w:r>
                </w:p>
              </w:tc>
              <w:tc>
                <w:tcPr>
                  <w:tcW w:w="538" w:type="pct"/>
                  <w:noWrap w:val="0"/>
                  <w:vAlign w:val="center"/>
                </w:tcPr>
                <w:p w14:paraId="33B55D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396" w:type="pct"/>
                  <w:noWrap w:val="0"/>
                  <w:vAlign w:val="center"/>
                </w:tcPr>
                <w:p w14:paraId="3AE054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N</w:t>
                  </w:r>
                </w:p>
              </w:tc>
              <w:tc>
                <w:tcPr>
                  <w:tcW w:w="580" w:type="pct"/>
                  <w:tcBorders>
                    <w:right w:val="nil"/>
                  </w:tcBorders>
                  <w:noWrap w:val="0"/>
                  <w:vAlign w:val="center"/>
                </w:tcPr>
                <w:p w14:paraId="16BCF3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r>
            <w:tr w14:paraId="7BFE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pct"/>
                  <w:tcBorders>
                    <w:left w:val="nil"/>
                    <w:bottom w:val="single" w:color="auto" w:sz="12" w:space="0"/>
                  </w:tcBorders>
                  <w:noWrap w:val="0"/>
                  <w:vAlign w:val="center"/>
                </w:tcPr>
                <w:p w14:paraId="757FCF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后苏村</w:t>
                  </w:r>
                </w:p>
              </w:tc>
              <w:tc>
                <w:tcPr>
                  <w:tcW w:w="911" w:type="pct"/>
                  <w:tcBorders>
                    <w:bottom w:val="single" w:color="auto" w:sz="12" w:space="0"/>
                  </w:tcBorders>
                  <w:shd w:val="clear" w:color="auto" w:fill="auto"/>
                  <w:noWrap w:val="0"/>
                  <w:vAlign w:val="center"/>
                </w:tcPr>
                <w:p w14:paraId="1227BB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113.009094505</w:t>
                  </w:r>
                </w:p>
              </w:tc>
              <w:tc>
                <w:tcPr>
                  <w:tcW w:w="853" w:type="pct"/>
                  <w:tcBorders>
                    <w:bottom w:val="single" w:color="auto" w:sz="12" w:space="0"/>
                  </w:tcBorders>
                  <w:shd w:val="clear" w:color="auto" w:fill="auto"/>
                  <w:noWrap w:val="0"/>
                  <w:vAlign w:val="center"/>
                </w:tcPr>
                <w:p w14:paraId="236C15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36.379415273</w:t>
                  </w:r>
                </w:p>
              </w:tc>
              <w:tc>
                <w:tcPr>
                  <w:tcW w:w="460" w:type="pct"/>
                  <w:tcBorders>
                    <w:bottom w:val="single" w:color="auto" w:sz="12" w:space="0"/>
                  </w:tcBorders>
                  <w:noWrap w:val="0"/>
                  <w:vAlign w:val="center"/>
                </w:tcPr>
                <w:p w14:paraId="59B97C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村庄</w:t>
                  </w:r>
                </w:p>
              </w:tc>
              <w:tc>
                <w:tcPr>
                  <w:tcW w:w="493" w:type="pct"/>
                  <w:tcBorders>
                    <w:bottom w:val="single" w:color="auto" w:sz="12" w:space="0"/>
                  </w:tcBorders>
                  <w:noWrap w:val="0"/>
                  <w:vAlign w:val="center"/>
                </w:tcPr>
                <w:p w14:paraId="00B906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r>
                    <w:rPr>
                      <w:rFonts w:hint="default" w:ascii="Times New Roman" w:hAnsi="Times New Roman" w:cs="Times New Roman"/>
                      <w:color w:val="auto"/>
                      <w:sz w:val="21"/>
                      <w:szCs w:val="21"/>
                      <w:highlight w:val="none"/>
                    </w:rPr>
                    <w:t>人</w:t>
                  </w:r>
                </w:p>
              </w:tc>
              <w:tc>
                <w:tcPr>
                  <w:tcW w:w="538" w:type="pct"/>
                  <w:tcBorders>
                    <w:bottom w:val="single" w:color="auto" w:sz="12" w:space="0"/>
                  </w:tcBorders>
                  <w:noWrap w:val="0"/>
                  <w:vAlign w:val="center"/>
                </w:tcPr>
                <w:p w14:paraId="1CE70E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396" w:type="pct"/>
                  <w:tcBorders>
                    <w:bottom w:val="single" w:color="auto" w:sz="12" w:space="0"/>
                  </w:tcBorders>
                  <w:noWrap w:val="0"/>
                  <w:vAlign w:val="center"/>
                </w:tcPr>
                <w:p w14:paraId="5B3B231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NW</w:t>
                  </w:r>
                </w:p>
              </w:tc>
              <w:tc>
                <w:tcPr>
                  <w:tcW w:w="580" w:type="pct"/>
                  <w:tcBorders>
                    <w:bottom w:val="single" w:color="auto" w:sz="12" w:space="0"/>
                    <w:right w:val="nil"/>
                  </w:tcBorders>
                  <w:noWrap w:val="0"/>
                  <w:vAlign w:val="center"/>
                </w:tcPr>
                <w:p w14:paraId="58C125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460</w:t>
                  </w:r>
                </w:p>
              </w:tc>
            </w:tr>
          </w:tbl>
          <w:p w14:paraId="796772C5">
            <w:pPr>
              <w:keepNext w:val="0"/>
              <w:keepLines w:val="0"/>
              <w:pageBreakBefore w:val="0"/>
              <w:widowControl w:val="0"/>
              <w:kinsoku/>
              <w:wordWrap/>
              <w:overflowPunct/>
              <w:topLinePunct w:val="0"/>
              <w:autoSpaceDE/>
              <w:autoSpaceDN/>
              <w:bidi w:val="0"/>
              <w:snapToGrid/>
              <w:spacing w:line="480" w:lineRule="exact"/>
              <w:ind w:left="0" w:right="0" w:firstLine="482" w:firstLineChars="200"/>
              <w:jc w:val="left"/>
              <w:rPr>
                <w:b/>
                <w:bCs/>
                <w:color w:val="000000"/>
                <w:sz w:val="24"/>
              </w:rPr>
            </w:pPr>
            <w:r>
              <w:rPr>
                <w:rFonts w:hint="eastAsia"/>
                <w:b/>
                <w:bCs/>
                <w:color w:val="000000"/>
                <w:sz w:val="24"/>
                <w:lang w:val="en-US" w:eastAsia="zh-CN"/>
              </w:rPr>
              <w:t>3.4</w:t>
            </w:r>
            <w:r>
              <w:rPr>
                <w:b/>
                <w:bCs/>
                <w:color w:val="000000"/>
                <w:sz w:val="24"/>
              </w:rPr>
              <w:t>声环境</w:t>
            </w:r>
          </w:p>
          <w:p w14:paraId="34AA2763">
            <w:pPr>
              <w:pStyle w:val="29"/>
              <w:keepNext w:val="0"/>
              <w:keepLines w:val="0"/>
              <w:pageBreakBefore w:val="0"/>
              <w:widowControl w:val="0"/>
              <w:kinsoku/>
              <w:wordWrap/>
              <w:overflowPunct/>
              <w:topLinePunct w:val="0"/>
              <w:autoSpaceDE/>
              <w:autoSpaceDN/>
              <w:bidi w:val="0"/>
              <w:snapToGrid/>
              <w:spacing w:line="480" w:lineRule="exact"/>
              <w:ind w:left="0" w:right="0" w:firstLine="480" w:firstLineChars="200"/>
              <w:textAlignment w:val="baseline"/>
            </w:pPr>
            <w:r>
              <w:rPr>
                <w:color w:val="000000"/>
                <w:sz w:val="24"/>
              </w:rPr>
              <w:t>本项目厂界外50米范围内的</w:t>
            </w:r>
            <w:r>
              <w:rPr>
                <w:rFonts w:hint="eastAsia"/>
                <w:color w:val="000000"/>
                <w:sz w:val="24"/>
              </w:rPr>
              <w:t>无</w:t>
            </w:r>
            <w:r>
              <w:rPr>
                <w:color w:val="000000"/>
                <w:sz w:val="24"/>
              </w:rPr>
              <w:t>声环境保护目标。</w:t>
            </w:r>
          </w:p>
        </w:tc>
      </w:tr>
      <w:tr w14:paraId="4EC56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20" w:type="dxa"/>
            <w:tcBorders>
              <w:tl2br w:val="nil"/>
              <w:tr2bl w:val="nil"/>
            </w:tcBorders>
            <w:vAlign w:val="center"/>
          </w:tcPr>
          <w:p w14:paraId="34D519F1">
            <w:pPr>
              <w:adjustRightInd w:val="0"/>
              <w:snapToGrid w:val="0"/>
              <w:jc w:val="center"/>
              <w:rPr>
                <w:b/>
                <w:bCs/>
                <w:kern w:val="0"/>
                <w:sz w:val="24"/>
                <w:szCs w:val="24"/>
              </w:rPr>
            </w:pPr>
            <w:r>
              <w:rPr>
                <w:rFonts w:hint="default" w:ascii="Times New Roman" w:hAnsi="Times New Roman" w:cs="Times New Roman"/>
                <w:b/>
                <w:bCs/>
                <w:color w:val="auto"/>
                <w:sz w:val="24"/>
                <w:szCs w:val="24"/>
                <w:highlight w:val="none"/>
              </w:rPr>
              <w:t>污染物排放控制标准</w:t>
            </w:r>
          </w:p>
        </w:tc>
        <w:tc>
          <w:tcPr>
            <w:tcW w:w="8570" w:type="dxa"/>
            <w:tcBorders>
              <w:tl2br w:val="nil"/>
              <w:tr2bl w:val="nil"/>
            </w:tcBorders>
            <w:vAlign w:val="center"/>
          </w:tcPr>
          <w:p w14:paraId="34398B2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baseline"/>
              <w:rPr>
                <w:rFonts w:hint="default" w:ascii="Times New Roman" w:hAnsi="Times New Roman" w:eastAsia="宋体" w:cs="Times New Roman"/>
                <w:color w:val="auto"/>
                <w:sz w:val="24"/>
                <w:szCs w:val="20"/>
                <w:highlight w:val="none"/>
                <w:lang w:val="en-US" w:eastAsia="zh-CN"/>
              </w:rPr>
            </w:pPr>
            <w:r>
              <w:rPr>
                <w:rFonts w:hint="default" w:ascii="Times New Roman" w:hAnsi="Times New Roman" w:cs="Times New Roman"/>
                <w:b/>
                <w:bCs/>
                <w:color w:val="auto"/>
                <w:sz w:val="24"/>
                <w:szCs w:val="20"/>
                <w:highlight w:val="none"/>
              </w:rPr>
              <w:t>3.</w:t>
            </w:r>
            <w:r>
              <w:rPr>
                <w:rFonts w:hint="default" w:ascii="Times New Roman" w:hAnsi="Times New Roman" w:cs="Times New Roman"/>
                <w:b/>
                <w:bCs/>
                <w:color w:val="auto"/>
                <w:sz w:val="24"/>
                <w:szCs w:val="20"/>
                <w:highlight w:val="none"/>
                <w:lang w:val="en-US" w:eastAsia="zh-CN"/>
              </w:rPr>
              <w:t>5</w:t>
            </w:r>
            <w:r>
              <w:rPr>
                <w:rFonts w:hint="default" w:ascii="Times New Roman" w:hAnsi="Times New Roman" w:cs="Times New Roman"/>
                <w:b/>
                <w:bCs/>
                <w:color w:val="auto"/>
                <w:sz w:val="24"/>
                <w:szCs w:val="20"/>
                <w:highlight w:val="none"/>
              </w:rPr>
              <w:t>废气</w:t>
            </w:r>
          </w:p>
          <w:p w14:paraId="7E31F86C">
            <w:pPr>
              <w:keepNext w:val="0"/>
              <w:keepLines w:val="0"/>
              <w:pageBreakBefore w:val="0"/>
              <w:widowControl w:val="0"/>
              <w:kinsoku/>
              <w:wordWrap/>
              <w:overflowPunct/>
              <w:topLinePunct w:val="0"/>
              <w:autoSpaceDE/>
              <w:autoSpaceDN/>
              <w:bidi w:val="0"/>
              <w:adjustRightInd/>
              <w:snapToGrid/>
              <w:spacing w:before="32" w:beforeLines="10" w:afterLines="0" w:line="480" w:lineRule="exact"/>
              <w:ind w:firstLine="480" w:firstLineChars="200"/>
              <w:jc w:val="both"/>
              <w:textAlignment w:val="auto"/>
              <w:rPr>
                <w:rFonts w:hint="eastAsia"/>
                <w:bCs/>
                <w:sz w:val="24"/>
                <w:lang w:val="en-US" w:eastAsia="zh-CN"/>
              </w:rPr>
            </w:pPr>
            <w:r>
              <w:rPr>
                <w:rFonts w:hint="eastAsia"/>
                <w:bCs/>
                <w:sz w:val="24"/>
                <w:lang w:val="en-US" w:eastAsia="zh-CN"/>
              </w:rPr>
              <w:t>本项目运营期原料制备过程（给料、破碎、筛分、搅拌）中产生的粉尘及隧道窑废气、石灰仓废气排放标准执行《砖瓦工业大气污染物排放标准》（GB29620-2013）表2及其修改单中相关要求；厂界无组织废气执行《砖瓦工业大气污染物排放标准》（GB29620-2013）表3及修改单中规定的限值，见下表。</w:t>
            </w:r>
          </w:p>
          <w:p w14:paraId="3EDE9EE9">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CN"/>
              </w:rPr>
            </w:pPr>
            <w:r>
              <w:rPr>
                <w:rFonts w:hint="eastAsia" w:ascii="Times New Roman" w:hAnsi="Times New Roman" w:eastAsia="黑体" w:cs="Times New Roman"/>
                <w:b w:val="0"/>
                <w:bCs w:val="0"/>
                <w:color w:val="auto"/>
                <w:kern w:val="2"/>
                <w:sz w:val="24"/>
                <w:szCs w:val="24"/>
                <w:highlight w:val="none"/>
                <w:lang w:val="en-US" w:eastAsia="zh-CN"/>
              </w:rPr>
              <w:t>表3-5  废气排放执行标准限值</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832"/>
              <w:gridCol w:w="979"/>
              <w:gridCol w:w="877"/>
              <w:gridCol w:w="1240"/>
              <w:gridCol w:w="981"/>
              <w:gridCol w:w="1442"/>
            </w:tblGrid>
            <w:tr w14:paraId="223DE8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96" w:type="pct"/>
                  <w:vMerge w:val="restart"/>
                  <w:tcBorders>
                    <w:tl2br w:val="nil"/>
                    <w:tr2bl w:val="nil"/>
                  </w:tcBorders>
                  <w:shd w:val="clear" w:color="auto" w:fill="auto"/>
                  <w:vAlign w:val="center"/>
                </w:tcPr>
                <w:p w14:paraId="746A08F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生产过程</w:t>
                  </w:r>
                </w:p>
              </w:tc>
              <w:tc>
                <w:tcPr>
                  <w:tcW w:w="2440" w:type="pct"/>
                  <w:gridSpan w:val="4"/>
                  <w:tcBorders>
                    <w:tl2br w:val="nil"/>
                    <w:tr2bl w:val="nil"/>
                  </w:tcBorders>
                  <w:shd w:val="clear" w:color="auto" w:fill="auto"/>
                  <w:vAlign w:val="center"/>
                </w:tcPr>
                <w:p w14:paraId="64D1743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最高允许排放浓度(mg/m³)</w:t>
                  </w:r>
                </w:p>
              </w:tc>
              <w:tc>
                <w:tcPr>
                  <w:tcW w:w="863" w:type="pct"/>
                  <w:vMerge w:val="restart"/>
                  <w:tcBorders>
                    <w:tl2br w:val="nil"/>
                    <w:tr2bl w:val="nil"/>
                  </w:tcBorders>
                  <w:shd w:val="clear" w:color="auto" w:fill="auto"/>
                  <w:vAlign w:val="center"/>
                </w:tcPr>
                <w:p w14:paraId="18F19CE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监控位置</w:t>
                  </w:r>
                </w:p>
              </w:tc>
            </w:tr>
            <w:tr w14:paraId="4C459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96" w:type="pct"/>
                  <w:vMerge w:val="continue"/>
                  <w:tcBorders>
                    <w:tl2br w:val="nil"/>
                    <w:tr2bl w:val="nil"/>
                  </w:tcBorders>
                  <w:shd w:val="clear" w:color="auto" w:fill="auto"/>
                  <w:vAlign w:val="center"/>
                </w:tcPr>
                <w:p w14:paraId="4830502A">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b/>
                      <w:bCs/>
                      <w:i w:val="0"/>
                      <w:iCs w:val="0"/>
                      <w:color w:val="000000"/>
                      <w:sz w:val="21"/>
                      <w:szCs w:val="21"/>
                      <w:u w:val="none"/>
                    </w:rPr>
                  </w:pPr>
                </w:p>
              </w:tc>
              <w:tc>
                <w:tcPr>
                  <w:tcW w:w="586" w:type="pct"/>
                  <w:tcBorders>
                    <w:tl2br w:val="nil"/>
                    <w:tr2bl w:val="nil"/>
                  </w:tcBorders>
                  <w:shd w:val="clear" w:color="auto" w:fill="auto"/>
                  <w:vAlign w:val="center"/>
                </w:tcPr>
                <w:p w14:paraId="04C8F46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颗粒物</w:t>
                  </w:r>
                </w:p>
              </w:tc>
              <w:tc>
                <w:tcPr>
                  <w:tcW w:w="525" w:type="pct"/>
                  <w:tcBorders>
                    <w:tl2br w:val="nil"/>
                    <w:tr2bl w:val="nil"/>
                  </w:tcBorders>
                  <w:shd w:val="clear" w:color="auto" w:fill="auto"/>
                  <w:vAlign w:val="center"/>
                </w:tcPr>
                <w:p w14:paraId="576135B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SO</w:t>
                  </w:r>
                  <w:r>
                    <w:rPr>
                      <w:rStyle w:val="111"/>
                      <w:rFonts w:hint="default" w:ascii="Times New Roman" w:hAnsi="Times New Roman" w:eastAsia="宋体" w:cs="Times New Roman"/>
                      <w:b/>
                      <w:bCs/>
                      <w:sz w:val="21"/>
                      <w:szCs w:val="21"/>
                      <w:lang w:val="en-US" w:eastAsia="zh-CN" w:bidi="ar"/>
                    </w:rPr>
                    <w:t>₂</w:t>
                  </w:r>
                </w:p>
              </w:tc>
              <w:tc>
                <w:tcPr>
                  <w:tcW w:w="742" w:type="pct"/>
                  <w:tcBorders>
                    <w:tl2br w:val="nil"/>
                    <w:tr2bl w:val="nil"/>
                  </w:tcBorders>
                  <w:shd w:val="clear" w:color="auto" w:fill="auto"/>
                  <w:vAlign w:val="center"/>
                </w:tcPr>
                <w:p w14:paraId="5FCDA7E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氮氧化物</w:t>
                  </w:r>
                </w:p>
              </w:tc>
              <w:tc>
                <w:tcPr>
                  <w:tcW w:w="586" w:type="pct"/>
                  <w:tcBorders>
                    <w:tl2br w:val="nil"/>
                    <w:tr2bl w:val="nil"/>
                  </w:tcBorders>
                  <w:shd w:val="clear" w:color="auto" w:fill="auto"/>
                  <w:vAlign w:val="center"/>
                </w:tcPr>
                <w:p w14:paraId="7C14404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Style w:val="110"/>
                      <w:rFonts w:hint="default" w:ascii="Times New Roman" w:hAnsi="Times New Roman" w:eastAsia="宋体" w:cs="Times New Roman"/>
                      <w:b/>
                      <w:bCs/>
                      <w:sz w:val="21"/>
                      <w:szCs w:val="21"/>
                      <w:lang w:val="en-US" w:eastAsia="zh-CN" w:bidi="ar"/>
                    </w:rPr>
                    <w:t>氟化物</w:t>
                  </w:r>
                </w:p>
              </w:tc>
              <w:tc>
                <w:tcPr>
                  <w:tcW w:w="863" w:type="pct"/>
                  <w:vMerge w:val="continue"/>
                  <w:tcBorders>
                    <w:tl2br w:val="nil"/>
                    <w:tr2bl w:val="nil"/>
                  </w:tcBorders>
                  <w:shd w:val="clear" w:color="auto" w:fill="auto"/>
                  <w:vAlign w:val="center"/>
                </w:tcPr>
                <w:p w14:paraId="2131C619">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000000"/>
                      <w:sz w:val="21"/>
                      <w:szCs w:val="21"/>
                      <w:u w:val="none"/>
                    </w:rPr>
                  </w:pPr>
                </w:p>
              </w:tc>
            </w:tr>
            <w:tr w14:paraId="7554A7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96" w:type="pct"/>
                  <w:tcBorders>
                    <w:tl2br w:val="nil"/>
                    <w:tr2bl w:val="nil"/>
                  </w:tcBorders>
                  <w:shd w:val="clear" w:color="auto" w:fill="auto"/>
                  <w:vAlign w:val="center"/>
                </w:tcPr>
                <w:p w14:paraId="21157D8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原料燃料破碎及制备成型</w:t>
                  </w:r>
                </w:p>
              </w:tc>
              <w:tc>
                <w:tcPr>
                  <w:tcW w:w="586" w:type="pct"/>
                  <w:tcBorders>
                    <w:tl2br w:val="nil"/>
                    <w:tr2bl w:val="nil"/>
                  </w:tcBorders>
                  <w:shd w:val="clear" w:color="auto" w:fill="auto"/>
                  <w:vAlign w:val="center"/>
                </w:tcPr>
                <w:p w14:paraId="07BB01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25" w:type="pct"/>
                  <w:tcBorders>
                    <w:tl2br w:val="nil"/>
                    <w:tr2bl w:val="nil"/>
                  </w:tcBorders>
                  <w:shd w:val="clear" w:color="auto" w:fill="auto"/>
                  <w:vAlign w:val="center"/>
                </w:tcPr>
                <w:p w14:paraId="7F0FD2B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w:t>
                  </w:r>
                </w:p>
              </w:tc>
              <w:tc>
                <w:tcPr>
                  <w:tcW w:w="742" w:type="pct"/>
                  <w:tcBorders>
                    <w:tl2br w:val="nil"/>
                    <w:tr2bl w:val="nil"/>
                  </w:tcBorders>
                  <w:shd w:val="clear" w:color="auto" w:fill="auto"/>
                  <w:vAlign w:val="center"/>
                </w:tcPr>
                <w:p w14:paraId="50FE882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w:t>
                  </w:r>
                </w:p>
              </w:tc>
              <w:tc>
                <w:tcPr>
                  <w:tcW w:w="586" w:type="pct"/>
                  <w:tcBorders>
                    <w:tl2br w:val="nil"/>
                    <w:tr2bl w:val="nil"/>
                  </w:tcBorders>
                  <w:shd w:val="clear" w:color="auto" w:fill="auto"/>
                  <w:vAlign w:val="center"/>
                </w:tcPr>
                <w:p w14:paraId="6BA470B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w:t>
                  </w:r>
                </w:p>
              </w:tc>
              <w:tc>
                <w:tcPr>
                  <w:tcW w:w="863" w:type="pct"/>
                  <w:vMerge w:val="restart"/>
                  <w:tcBorders>
                    <w:tl2br w:val="nil"/>
                    <w:tr2bl w:val="nil"/>
                  </w:tcBorders>
                  <w:shd w:val="clear" w:color="auto" w:fill="auto"/>
                  <w:vAlign w:val="center"/>
                </w:tcPr>
                <w:p w14:paraId="36B14A2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车间或生产设施排气筒</w:t>
                  </w:r>
                </w:p>
              </w:tc>
            </w:tr>
            <w:tr w14:paraId="384A8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96" w:type="pct"/>
                  <w:tcBorders>
                    <w:tl2br w:val="nil"/>
                    <w:tr2bl w:val="nil"/>
                  </w:tcBorders>
                  <w:shd w:val="clear" w:color="auto" w:fill="auto"/>
                  <w:vAlign w:val="center"/>
                </w:tcPr>
                <w:p w14:paraId="45857D4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Style w:val="110"/>
                      <w:rFonts w:hint="default" w:ascii="Times New Roman" w:hAnsi="Times New Roman" w:eastAsia="宋体" w:cs="Times New Roman"/>
                      <w:sz w:val="21"/>
                      <w:szCs w:val="21"/>
                      <w:lang w:val="en-US" w:eastAsia="zh-CN" w:bidi="ar"/>
                    </w:rPr>
                    <w:t>人工干燥及焙烧</w:t>
                  </w:r>
                </w:p>
              </w:tc>
              <w:tc>
                <w:tcPr>
                  <w:tcW w:w="586" w:type="pct"/>
                  <w:tcBorders>
                    <w:tl2br w:val="nil"/>
                    <w:tr2bl w:val="nil"/>
                  </w:tcBorders>
                  <w:shd w:val="clear" w:color="auto" w:fill="auto"/>
                  <w:vAlign w:val="center"/>
                </w:tcPr>
                <w:p w14:paraId="0DDC022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25" w:type="pct"/>
                  <w:tcBorders>
                    <w:tl2br w:val="nil"/>
                    <w:tr2bl w:val="nil"/>
                  </w:tcBorders>
                  <w:shd w:val="clear" w:color="auto" w:fill="auto"/>
                  <w:vAlign w:val="center"/>
                </w:tcPr>
                <w:p w14:paraId="3D7FC53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42" w:type="pct"/>
                  <w:tcBorders>
                    <w:tl2br w:val="nil"/>
                    <w:tr2bl w:val="nil"/>
                  </w:tcBorders>
                  <w:shd w:val="clear" w:color="auto" w:fill="auto"/>
                  <w:vAlign w:val="center"/>
                </w:tcPr>
                <w:p w14:paraId="701BFFA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86" w:type="pct"/>
                  <w:tcBorders>
                    <w:tl2br w:val="nil"/>
                    <w:tr2bl w:val="nil"/>
                  </w:tcBorders>
                  <w:shd w:val="clear" w:color="auto" w:fill="auto"/>
                  <w:vAlign w:val="center"/>
                </w:tcPr>
                <w:p w14:paraId="4E2DD9A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63" w:type="pct"/>
                  <w:vMerge w:val="continue"/>
                  <w:tcBorders>
                    <w:tl2br w:val="nil"/>
                    <w:tr2bl w:val="nil"/>
                  </w:tcBorders>
                  <w:shd w:val="clear" w:color="auto" w:fill="auto"/>
                  <w:vAlign w:val="center"/>
                </w:tcPr>
                <w:p w14:paraId="3B32363D">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000000"/>
                      <w:sz w:val="21"/>
                      <w:szCs w:val="21"/>
                      <w:u w:val="none"/>
                    </w:rPr>
                  </w:pPr>
                </w:p>
              </w:tc>
            </w:tr>
          </w:tbl>
          <w:p w14:paraId="06B1B175">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黑体" w:cs="Times New Roman"/>
                <w:b w:val="0"/>
                <w:bCs w:val="0"/>
                <w:color w:val="auto"/>
                <w:kern w:val="2"/>
                <w:sz w:val="24"/>
                <w:szCs w:val="24"/>
                <w:highlight w:val="none"/>
                <w:lang w:val="en-US" w:eastAsia="zh-CN"/>
              </w:rPr>
            </w:pPr>
            <w:r>
              <w:rPr>
                <w:rFonts w:hint="eastAsia" w:ascii="Times New Roman" w:hAnsi="Times New Roman" w:eastAsia="黑体" w:cs="Times New Roman"/>
                <w:b w:val="0"/>
                <w:bCs w:val="0"/>
                <w:color w:val="auto"/>
                <w:kern w:val="2"/>
                <w:sz w:val="24"/>
                <w:szCs w:val="24"/>
                <w:highlight w:val="none"/>
                <w:lang w:val="en-US" w:eastAsia="zh-CN"/>
              </w:rPr>
              <w:t>表3-6  边界废气排放执行标准限值</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49"/>
              <w:gridCol w:w="2456"/>
              <w:gridCol w:w="1419"/>
              <w:gridCol w:w="1379"/>
              <w:gridCol w:w="1549"/>
            </w:tblGrid>
            <w:tr w14:paraId="27823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927" w:type="pct"/>
                  <w:vMerge w:val="restart"/>
                  <w:tcBorders>
                    <w:tl2br w:val="nil"/>
                    <w:tr2bl w:val="nil"/>
                  </w:tcBorders>
                  <w:shd w:val="clear" w:color="auto" w:fill="auto"/>
                  <w:vAlign w:val="center"/>
                </w:tcPr>
                <w:p w14:paraId="53A082A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生产过程</w:t>
                  </w:r>
                </w:p>
              </w:tc>
              <w:tc>
                <w:tcPr>
                  <w:tcW w:w="3144" w:type="pct"/>
                  <w:gridSpan w:val="3"/>
                  <w:tcBorders>
                    <w:tl2br w:val="nil"/>
                    <w:tr2bl w:val="nil"/>
                  </w:tcBorders>
                  <w:shd w:val="clear" w:color="auto" w:fill="auto"/>
                  <w:vAlign w:val="center"/>
                </w:tcPr>
                <w:p w14:paraId="3877645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浓度限制</w:t>
                  </w:r>
                </w:p>
              </w:tc>
              <w:tc>
                <w:tcPr>
                  <w:tcW w:w="927" w:type="pct"/>
                  <w:vMerge w:val="restart"/>
                  <w:tcBorders>
                    <w:tl2br w:val="nil"/>
                    <w:tr2bl w:val="nil"/>
                  </w:tcBorders>
                  <w:shd w:val="clear" w:color="auto" w:fill="auto"/>
                  <w:vAlign w:val="center"/>
                </w:tcPr>
                <w:p w14:paraId="2ACD43E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监控位置</w:t>
                  </w:r>
                </w:p>
              </w:tc>
            </w:tr>
            <w:tr w14:paraId="035807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27" w:type="pct"/>
                  <w:vMerge w:val="continue"/>
                  <w:tcBorders>
                    <w:tl2br w:val="nil"/>
                    <w:tr2bl w:val="nil"/>
                  </w:tcBorders>
                  <w:shd w:val="clear" w:color="auto" w:fill="auto"/>
                  <w:vAlign w:val="center"/>
                </w:tcPr>
                <w:p w14:paraId="7020D24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b/>
                      <w:bCs/>
                      <w:i w:val="0"/>
                      <w:iCs w:val="0"/>
                      <w:color w:val="000000"/>
                      <w:sz w:val="21"/>
                      <w:szCs w:val="21"/>
                      <w:u w:val="none"/>
                    </w:rPr>
                  </w:pPr>
                </w:p>
              </w:tc>
              <w:tc>
                <w:tcPr>
                  <w:tcW w:w="1470" w:type="pct"/>
                  <w:tcBorders>
                    <w:tl2br w:val="nil"/>
                    <w:tr2bl w:val="nil"/>
                  </w:tcBorders>
                  <w:shd w:val="clear" w:color="auto" w:fill="auto"/>
                  <w:vAlign w:val="center"/>
                </w:tcPr>
                <w:p w14:paraId="5814720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总悬浮颗粒物</w:t>
                  </w:r>
                </w:p>
              </w:tc>
              <w:tc>
                <w:tcPr>
                  <w:tcW w:w="849" w:type="pct"/>
                  <w:tcBorders>
                    <w:tl2br w:val="nil"/>
                    <w:tr2bl w:val="nil"/>
                  </w:tcBorders>
                  <w:shd w:val="clear" w:color="auto" w:fill="auto"/>
                  <w:vAlign w:val="center"/>
                </w:tcPr>
                <w:p w14:paraId="3F6ABA5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SO₂</w:t>
                  </w:r>
                </w:p>
              </w:tc>
              <w:tc>
                <w:tcPr>
                  <w:tcW w:w="824" w:type="pct"/>
                  <w:tcBorders>
                    <w:tl2br w:val="nil"/>
                    <w:tr2bl w:val="nil"/>
                  </w:tcBorders>
                  <w:shd w:val="clear" w:color="auto" w:fill="auto"/>
                  <w:vAlign w:val="center"/>
                </w:tcPr>
                <w:p w14:paraId="74CB230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氟化物</w:t>
                  </w:r>
                </w:p>
              </w:tc>
              <w:tc>
                <w:tcPr>
                  <w:tcW w:w="927" w:type="pct"/>
                  <w:vMerge w:val="continue"/>
                  <w:tcBorders>
                    <w:tl2br w:val="nil"/>
                    <w:tr2bl w:val="nil"/>
                  </w:tcBorders>
                  <w:shd w:val="clear" w:color="auto" w:fill="auto"/>
                  <w:vAlign w:val="center"/>
                </w:tcPr>
                <w:p w14:paraId="43D4C7C3">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000000"/>
                      <w:sz w:val="21"/>
                      <w:szCs w:val="21"/>
                      <w:u w:val="none"/>
                    </w:rPr>
                  </w:pPr>
                </w:p>
              </w:tc>
            </w:tr>
            <w:tr w14:paraId="502580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97" w:hRule="atLeast"/>
                <w:jc w:val="center"/>
              </w:trPr>
              <w:tc>
                <w:tcPr>
                  <w:tcW w:w="927" w:type="pct"/>
                  <w:tcBorders>
                    <w:tl2br w:val="nil"/>
                    <w:tr2bl w:val="nil"/>
                  </w:tcBorders>
                  <w:shd w:val="clear" w:color="auto" w:fill="auto"/>
                  <w:vAlign w:val="center"/>
                </w:tcPr>
                <w:p w14:paraId="22F950A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1470" w:type="pct"/>
                  <w:tcBorders>
                    <w:tl2br w:val="nil"/>
                    <w:tr2bl w:val="nil"/>
                  </w:tcBorders>
                  <w:shd w:val="clear" w:color="auto" w:fill="auto"/>
                  <w:vAlign w:val="center"/>
                </w:tcPr>
                <w:p w14:paraId="74C97A7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49" w:type="pct"/>
                  <w:tcBorders>
                    <w:tl2br w:val="nil"/>
                    <w:tr2bl w:val="nil"/>
                  </w:tcBorders>
                  <w:shd w:val="clear" w:color="auto" w:fill="auto"/>
                  <w:vAlign w:val="center"/>
                </w:tcPr>
                <w:p w14:paraId="2BB043A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24" w:type="pct"/>
                  <w:tcBorders>
                    <w:tl2br w:val="nil"/>
                    <w:tr2bl w:val="nil"/>
                  </w:tcBorders>
                  <w:shd w:val="clear" w:color="auto" w:fill="auto"/>
                  <w:vAlign w:val="center"/>
                </w:tcPr>
                <w:p w14:paraId="358A2D3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927" w:type="pct"/>
                  <w:tcBorders>
                    <w:tl2br w:val="nil"/>
                    <w:tr2bl w:val="nil"/>
                  </w:tcBorders>
                  <w:shd w:val="clear" w:color="auto" w:fill="auto"/>
                  <w:vAlign w:val="center"/>
                </w:tcPr>
                <w:p w14:paraId="3F42BE4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r>
          </w:tbl>
          <w:p w14:paraId="07DEBAC1">
            <w:pPr>
              <w:keepNext w:val="0"/>
              <w:keepLines w:val="0"/>
              <w:pageBreakBefore w:val="0"/>
              <w:widowControl w:val="0"/>
              <w:kinsoku/>
              <w:wordWrap/>
              <w:overflowPunct/>
              <w:topLinePunct w:val="0"/>
              <w:autoSpaceDE/>
              <w:autoSpaceDN/>
              <w:bidi w:val="0"/>
              <w:adjustRightInd/>
              <w:snapToGrid/>
              <w:spacing w:before="32" w:beforeLines="10" w:afterLines="0" w:line="480" w:lineRule="exact"/>
              <w:ind w:firstLine="480" w:firstLineChars="200"/>
              <w:jc w:val="both"/>
              <w:textAlignment w:val="auto"/>
              <w:rPr>
                <w:rFonts w:hint="default" w:ascii="Times New Roman" w:hAnsi="Times New Roman" w:eastAsia="Times New Roman" w:cs="Times New Roman"/>
                <w:color w:val="auto"/>
                <w:sz w:val="24"/>
                <w:szCs w:val="24"/>
              </w:rPr>
            </w:pPr>
            <w:r>
              <w:rPr>
                <w:rFonts w:hint="eastAsia" w:cs="Times New Roman"/>
                <w:color w:val="auto"/>
                <w:sz w:val="24"/>
                <w:szCs w:val="24"/>
                <w:lang w:val="en-US" w:eastAsia="zh-CN"/>
              </w:rPr>
              <w:t>根据</w:t>
            </w:r>
            <w:r>
              <w:rPr>
                <w:rFonts w:hint="default" w:ascii="Times New Roman" w:hAnsi="Times New Roman" w:cs="Times New Roman"/>
                <w:color w:val="auto"/>
                <w:sz w:val="24"/>
                <w:szCs w:val="24"/>
              </w:rPr>
              <w:t>《长治市人民政府办公室关于印发长治市大气和水污染物排放管控要求的通知》（长政办规〔2023〕1号）砖瓦行业管控要求</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本项目污染物氮氧化物、二氧化硫、颗粒物有组织排放浓度</w:t>
            </w:r>
            <w:r>
              <w:rPr>
                <w:rFonts w:hint="eastAsia" w:cs="Times New Roman"/>
                <w:color w:val="auto"/>
                <w:sz w:val="24"/>
                <w:szCs w:val="24"/>
                <w:lang w:val="en-US" w:eastAsia="zh-CN"/>
              </w:rPr>
              <w:t>从严要求</w:t>
            </w:r>
            <w:r>
              <w:rPr>
                <w:rFonts w:hint="default" w:ascii="Times New Roman" w:hAnsi="Times New Roman" w:cs="Times New Roman"/>
                <w:color w:val="auto"/>
                <w:sz w:val="24"/>
                <w:szCs w:val="24"/>
              </w:rPr>
              <w:t>执行《长治市人民政府办公室关于印发长治市大气和水污染物排放管控要求的通知》（长政办规〔2023〕1号）砖瓦行业管控要求；氟化物执行长治市大气污染防治工作领导组办公室文件“关于印发长治市工业炉窑专项整治实施方案的通知”（长气防办〔2019〕8号）推荐的《建材工业大气污染物排放标准》（DB37/2373-2018）表2砖瓦工业重点控制区排放限值。</w:t>
            </w:r>
          </w:p>
          <w:p w14:paraId="4AA0DA89">
            <w:pPr>
              <w:keepNext w:val="0"/>
              <w:keepLines w:val="0"/>
              <w:pageBreakBefore w:val="0"/>
              <w:widowControl w:val="0"/>
              <w:kinsoku/>
              <w:wordWrap/>
              <w:overflowPunct/>
              <w:topLinePunct w:val="0"/>
              <w:autoSpaceDE/>
              <w:autoSpaceDN/>
              <w:bidi w:val="0"/>
              <w:adjustRightInd/>
              <w:snapToGrid/>
              <w:spacing w:beforeLines="0" w:afterLines="0" w:line="48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氟化物无组织排放浓度执行《建材工业大气污染物排放标准》（DB37/2373-2018）表3砖瓦行业排放限值。</w:t>
            </w:r>
          </w:p>
          <w:p w14:paraId="2EC247F8">
            <w:pPr>
              <w:keepNext w:val="0"/>
              <w:keepLines w:val="0"/>
              <w:pageBreakBefore w:val="0"/>
              <w:widowControl w:val="0"/>
              <w:kinsoku/>
              <w:wordWrap/>
              <w:overflowPunct/>
              <w:topLinePunct w:val="0"/>
              <w:autoSpaceDE/>
              <w:autoSpaceDN/>
              <w:bidi w:val="0"/>
              <w:adjustRightInd/>
              <w:snapToGrid/>
              <w:spacing w:beforeLines="0" w:afterLines="0" w:line="48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本次评价参考《烧结砖瓦工业大气污染物治理设施技术要求》(GB/T42264-2022)中“表4脱硝系统有关参数要求”，采取SNCR脱硝方式，氨逃逸浓度≤3mg/m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0A9CA2EE">
            <w:pPr>
              <w:keepNext w:val="0"/>
              <w:keepLines w:val="0"/>
              <w:pageBreakBefore w:val="0"/>
              <w:widowControl w:val="0"/>
              <w:kinsoku/>
              <w:wordWrap/>
              <w:overflowPunct/>
              <w:topLinePunct w:val="0"/>
              <w:autoSpaceDE/>
              <w:autoSpaceDN/>
              <w:bidi w:val="0"/>
              <w:adjustRightInd/>
              <w:spacing w:beforeLines="0" w:afterLines="0" w:line="48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具体排放标准，见表</w:t>
            </w:r>
            <w:r>
              <w:rPr>
                <w:rFonts w:hint="eastAsia" w:ascii="Times New Roman" w:hAnsi="Times New Roman" w:cs="Times New Roman"/>
                <w:color w:val="auto"/>
                <w:sz w:val="24"/>
                <w:szCs w:val="24"/>
                <w:lang w:val="en-US" w:eastAsia="zh-CN"/>
              </w:rPr>
              <w:t>3-</w:t>
            </w:r>
            <w:r>
              <w:rPr>
                <w:rFonts w:hint="eastAsia" w:cs="Times New Roman"/>
                <w:color w:val="auto"/>
                <w:sz w:val="24"/>
                <w:szCs w:val="24"/>
                <w:lang w:val="en-US" w:eastAsia="zh-CN"/>
              </w:rPr>
              <w:t>7</w:t>
            </w:r>
            <w:r>
              <w:rPr>
                <w:rFonts w:hint="default"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3-</w:t>
            </w:r>
            <w:r>
              <w:rPr>
                <w:rFonts w:hint="eastAsia" w:cs="Times New Roman"/>
                <w:color w:val="auto"/>
                <w:sz w:val="24"/>
                <w:szCs w:val="24"/>
                <w:lang w:val="en-US" w:eastAsia="zh-CN"/>
              </w:rPr>
              <w:t>8</w:t>
            </w:r>
            <w:r>
              <w:rPr>
                <w:rFonts w:hint="default" w:ascii="Times New Roman" w:hAnsi="Times New Roman" w:cs="Times New Roman"/>
                <w:color w:val="auto"/>
                <w:sz w:val="24"/>
                <w:szCs w:val="24"/>
              </w:rPr>
              <w:t>。</w:t>
            </w:r>
          </w:p>
          <w:p w14:paraId="6A39CEA2">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4"/>
                <w:szCs w:val="24"/>
                <w:highlight w:val="none"/>
                <w:lang w:val="en-US" w:eastAsia="zh-CN"/>
              </w:rPr>
            </w:pPr>
            <w:r>
              <w:rPr>
                <w:rFonts w:hint="default" w:ascii="Times New Roman" w:hAnsi="Times New Roman" w:eastAsia="黑体" w:cs="Times New Roman"/>
                <w:b w:val="0"/>
                <w:bCs w:val="0"/>
                <w:color w:val="auto"/>
                <w:kern w:val="2"/>
                <w:sz w:val="24"/>
                <w:szCs w:val="24"/>
                <w:highlight w:val="none"/>
                <w:lang w:val="en-US" w:eastAsia="zh-CN"/>
              </w:rPr>
              <w:t>表3-</w:t>
            </w:r>
            <w:r>
              <w:rPr>
                <w:rFonts w:hint="eastAsia" w:eastAsia="黑体" w:cs="Times New Roman"/>
                <w:b w:val="0"/>
                <w:bCs w:val="0"/>
                <w:color w:val="auto"/>
                <w:kern w:val="2"/>
                <w:sz w:val="24"/>
                <w:szCs w:val="24"/>
                <w:highlight w:val="none"/>
                <w:lang w:val="en-US" w:eastAsia="zh-CN"/>
              </w:rPr>
              <w:t>7</w:t>
            </w:r>
            <w:r>
              <w:rPr>
                <w:rFonts w:hint="default" w:ascii="Times New Roman" w:hAnsi="Times New Roman" w:eastAsia="黑体" w:cs="Times New Roman"/>
                <w:b w:val="0"/>
                <w:bCs w:val="0"/>
                <w:color w:val="auto"/>
                <w:kern w:val="2"/>
                <w:sz w:val="24"/>
                <w:szCs w:val="24"/>
                <w:highlight w:val="none"/>
                <w:lang w:val="en-US" w:eastAsia="zh-CN"/>
              </w:rPr>
              <w:t xml:space="preserve">  本项目有组织废气污染物排放浓度限值表</w:t>
            </w:r>
          </w:p>
          <w:p w14:paraId="4C4505FD">
            <w:pPr>
              <w:pStyle w:val="92"/>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单位：mg/m</w:t>
            </w:r>
            <w:r>
              <w:rPr>
                <w:rFonts w:hint="default" w:ascii="Times New Roman" w:hAnsi="Times New Roman" w:eastAsia="宋体" w:cs="Times New Roman"/>
                <w:b/>
                <w:color w:val="auto"/>
                <w:sz w:val="15"/>
                <w:szCs w:val="15"/>
                <w:vertAlign w:val="superscript"/>
              </w:rPr>
              <w:t>3</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763"/>
              <w:gridCol w:w="1953"/>
              <w:gridCol w:w="1132"/>
              <w:gridCol w:w="2833"/>
            </w:tblGrid>
            <w:tr w14:paraId="402B1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noWrap w:val="0"/>
                  <w:vAlign w:val="center"/>
                </w:tcPr>
                <w:p w14:paraId="392BB3DA">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工业</w:t>
                  </w:r>
                </w:p>
              </w:tc>
              <w:tc>
                <w:tcPr>
                  <w:tcW w:w="1056" w:type="pct"/>
                  <w:tcBorders>
                    <w:tl2br w:val="nil"/>
                    <w:tr2bl w:val="nil"/>
                  </w:tcBorders>
                  <w:noWrap w:val="0"/>
                  <w:vAlign w:val="center"/>
                </w:tcPr>
                <w:p w14:paraId="007826F3">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受控工艺或设备</w:t>
                  </w:r>
                </w:p>
              </w:tc>
              <w:tc>
                <w:tcPr>
                  <w:tcW w:w="1170" w:type="pct"/>
                  <w:tcBorders>
                    <w:tl2br w:val="nil"/>
                    <w:tr2bl w:val="nil"/>
                  </w:tcBorders>
                  <w:noWrap w:val="0"/>
                  <w:vAlign w:val="center"/>
                </w:tcPr>
                <w:p w14:paraId="3FACC10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678" w:type="pct"/>
                  <w:tcBorders>
                    <w:tl2br w:val="nil"/>
                    <w:tr2bl w:val="nil"/>
                  </w:tcBorders>
                  <w:noWrap w:val="0"/>
                  <w:vAlign w:val="center"/>
                </w:tcPr>
                <w:p w14:paraId="45337917">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cs="Times New Roman"/>
                      <w:b/>
                      <w:bCs/>
                      <w:color w:val="auto"/>
                      <w:sz w:val="21"/>
                      <w:szCs w:val="21"/>
                    </w:rPr>
                    <w:t>浓度限值</w:t>
                  </w:r>
                </w:p>
              </w:tc>
              <w:tc>
                <w:tcPr>
                  <w:tcW w:w="1697" w:type="pct"/>
                  <w:tcBorders>
                    <w:tl2br w:val="nil"/>
                    <w:tr2bl w:val="nil"/>
                  </w:tcBorders>
                  <w:noWrap w:val="0"/>
                  <w:vAlign w:val="center"/>
                </w:tcPr>
                <w:p w14:paraId="13F7B371">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39471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noWrap w:val="0"/>
                  <w:vAlign w:val="center"/>
                </w:tcPr>
                <w:p w14:paraId="1DAC1307">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砖瓦</w:t>
                  </w:r>
                </w:p>
              </w:tc>
              <w:tc>
                <w:tcPr>
                  <w:tcW w:w="1056" w:type="pct"/>
                  <w:tcBorders>
                    <w:tl2br w:val="nil"/>
                    <w:tr2bl w:val="nil"/>
                  </w:tcBorders>
                  <w:noWrap w:val="0"/>
                  <w:vAlign w:val="center"/>
                </w:tcPr>
                <w:p w14:paraId="2529059B">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破碎、成型</w:t>
                  </w:r>
                </w:p>
              </w:tc>
              <w:tc>
                <w:tcPr>
                  <w:tcW w:w="1170" w:type="pct"/>
                  <w:tcBorders>
                    <w:tl2br w:val="nil"/>
                    <w:tr2bl w:val="nil"/>
                  </w:tcBorders>
                  <w:noWrap w:val="0"/>
                  <w:vAlign w:val="center"/>
                </w:tcPr>
                <w:p w14:paraId="229AC549">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678" w:type="pct"/>
                  <w:tcBorders>
                    <w:tl2br w:val="nil"/>
                    <w:tr2bl w:val="nil"/>
                  </w:tcBorders>
                  <w:noWrap w:val="0"/>
                  <w:vAlign w:val="center"/>
                </w:tcPr>
                <w:p w14:paraId="2A41E3D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97" w:type="pct"/>
                  <w:vMerge w:val="restart"/>
                  <w:tcBorders>
                    <w:tl2br w:val="nil"/>
                    <w:tr2bl w:val="nil"/>
                  </w:tcBorders>
                  <w:noWrap w:val="0"/>
                  <w:vAlign w:val="center"/>
                </w:tcPr>
                <w:p w14:paraId="36F2A0C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《长治市人民政府办公室关于印发长治市大气和水污染物排放管控要求的通知》（长政办规〔2023〕1号）</w:t>
                  </w:r>
                </w:p>
              </w:tc>
            </w:tr>
            <w:tr w14:paraId="13783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noWrap w:val="0"/>
                  <w:vAlign w:val="center"/>
                </w:tcPr>
                <w:p w14:paraId="2034EA8E">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056" w:type="pct"/>
                  <w:vMerge w:val="restart"/>
                  <w:tcBorders>
                    <w:tl2br w:val="nil"/>
                    <w:tr2bl w:val="nil"/>
                  </w:tcBorders>
                  <w:noWrap w:val="0"/>
                  <w:vAlign w:val="center"/>
                </w:tcPr>
                <w:p w14:paraId="33FFF09B">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窑炉（基准含氧量18%）</w:t>
                  </w:r>
                </w:p>
              </w:tc>
              <w:tc>
                <w:tcPr>
                  <w:tcW w:w="1170" w:type="pct"/>
                  <w:tcBorders>
                    <w:tl2br w:val="nil"/>
                    <w:tr2bl w:val="nil"/>
                  </w:tcBorders>
                  <w:noWrap w:val="0"/>
                  <w:vAlign w:val="center"/>
                </w:tcPr>
                <w:p w14:paraId="4A56587D">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678" w:type="pct"/>
                  <w:tcBorders>
                    <w:tl2br w:val="nil"/>
                    <w:tr2bl w:val="nil"/>
                  </w:tcBorders>
                  <w:noWrap w:val="0"/>
                  <w:vAlign w:val="center"/>
                </w:tcPr>
                <w:p w14:paraId="66319F6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97" w:type="pct"/>
                  <w:vMerge w:val="continue"/>
                  <w:tcBorders>
                    <w:tl2br w:val="nil"/>
                    <w:tr2bl w:val="nil"/>
                  </w:tcBorders>
                  <w:noWrap w:val="0"/>
                  <w:vAlign w:val="center"/>
                </w:tcPr>
                <w:p w14:paraId="4D5E637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r>
            <w:tr w14:paraId="41F8C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noWrap w:val="0"/>
                  <w:vAlign w:val="center"/>
                </w:tcPr>
                <w:p w14:paraId="04C04B33">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056" w:type="pct"/>
                  <w:vMerge w:val="continue"/>
                  <w:tcBorders>
                    <w:tl2br w:val="nil"/>
                    <w:tr2bl w:val="nil"/>
                  </w:tcBorders>
                  <w:noWrap w:val="0"/>
                  <w:vAlign w:val="center"/>
                </w:tcPr>
                <w:p w14:paraId="67A07B76">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170" w:type="pct"/>
                  <w:tcBorders>
                    <w:tl2br w:val="nil"/>
                    <w:tr2bl w:val="nil"/>
                  </w:tcBorders>
                  <w:noWrap w:val="0"/>
                  <w:vAlign w:val="center"/>
                </w:tcPr>
                <w:p w14:paraId="64FB63F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w:t>
                  </w:r>
                </w:p>
              </w:tc>
              <w:tc>
                <w:tcPr>
                  <w:tcW w:w="678" w:type="pct"/>
                  <w:tcBorders>
                    <w:tl2br w:val="nil"/>
                    <w:tr2bl w:val="nil"/>
                  </w:tcBorders>
                  <w:noWrap w:val="0"/>
                  <w:vAlign w:val="center"/>
                </w:tcPr>
                <w:p w14:paraId="3D36D6FC">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697" w:type="pct"/>
                  <w:vMerge w:val="continue"/>
                  <w:tcBorders>
                    <w:tl2br w:val="nil"/>
                    <w:tr2bl w:val="nil"/>
                  </w:tcBorders>
                  <w:noWrap w:val="0"/>
                  <w:vAlign w:val="center"/>
                </w:tcPr>
                <w:p w14:paraId="3884BCA9">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r>
            <w:tr w14:paraId="19E7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noWrap w:val="0"/>
                  <w:vAlign w:val="center"/>
                </w:tcPr>
                <w:p w14:paraId="0375B00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056" w:type="pct"/>
                  <w:vMerge w:val="continue"/>
                  <w:tcBorders>
                    <w:tl2br w:val="nil"/>
                    <w:tr2bl w:val="nil"/>
                  </w:tcBorders>
                  <w:noWrap w:val="0"/>
                  <w:vAlign w:val="center"/>
                </w:tcPr>
                <w:p w14:paraId="21B9471D">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170" w:type="pct"/>
                  <w:tcBorders>
                    <w:tl2br w:val="nil"/>
                    <w:tr2bl w:val="nil"/>
                  </w:tcBorders>
                  <w:noWrap w:val="0"/>
                  <w:vAlign w:val="center"/>
                </w:tcPr>
                <w:p w14:paraId="382A8016">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678" w:type="pct"/>
                  <w:tcBorders>
                    <w:tl2br w:val="nil"/>
                    <w:tr2bl w:val="nil"/>
                  </w:tcBorders>
                  <w:noWrap w:val="0"/>
                  <w:vAlign w:val="center"/>
                </w:tcPr>
                <w:p w14:paraId="65594B1D">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50</w:t>
                  </w:r>
                </w:p>
              </w:tc>
              <w:tc>
                <w:tcPr>
                  <w:tcW w:w="1697" w:type="pct"/>
                  <w:vMerge w:val="continue"/>
                  <w:tcBorders>
                    <w:tl2br w:val="nil"/>
                    <w:tr2bl w:val="nil"/>
                  </w:tcBorders>
                  <w:noWrap w:val="0"/>
                  <w:vAlign w:val="center"/>
                </w:tcPr>
                <w:p w14:paraId="0CABDE8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r>
            <w:tr w14:paraId="02CD1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97" w:type="pct"/>
                  <w:vMerge w:val="continue"/>
                  <w:tcBorders>
                    <w:tl2br w:val="nil"/>
                    <w:tr2bl w:val="nil"/>
                  </w:tcBorders>
                  <w:noWrap w:val="0"/>
                  <w:vAlign w:val="center"/>
                </w:tcPr>
                <w:p w14:paraId="512656CD">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056" w:type="pct"/>
                  <w:vMerge w:val="continue"/>
                  <w:tcBorders>
                    <w:tl2br w:val="nil"/>
                    <w:tr2bl w:val="nil"/>
                  </w:tcBorders>
                  <w:noWrap w:val="0"/>
                  <w:vAlign w:val="center"/>
                </w:tcPr>
                <w:p w14:paraId="27EA5F07">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p>
              </w:tc>
              <w:tc>
                <w:tcPr>
                  <w:tcW w:w="1170" w:type="pct"/>
                  <w:tcBorders>
                    <w:tl2br w:val="nil"/>
                    <w:tr2bl w:val="nil"/>
                  </w:tcBorders>
                  <w:noWrap w:val="0"/>
                  <w:vAlign w:val="center"/>
                </w:tcPr>
                <w:p w14:paraId="22275E08">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氟化物（以总F计）</w:t>
                  </w:r>
                </w:p>
              </w:tc>
              <w:tc>
                <w:tcPr>
                  <w:tcW w:w="678" w:type="pct"/>
                  <w:tcBorders>
                    <w:tl2br w:val="nil"/>
                    <w:tr2bl w:val="nil"/>
                  </w:tcBorders>
                  <w:noWrap w:val="0"/>
                  <w:vAlign w:val="center"/>
                </w:tcPr>
                <w:p w14:paraId="7B5E8F8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97" w:type="pct"/>
                  <w:tcBorders>
                    <w:tl2br w:val="nil"/>
                    <w:tr2bl w:val="nil"/>
                  </w:tcBorders>
                  <w:noWrap w:val="0"/>
                  <w:vAlign w:val="center"/>
                </w:tcPr>
                <w:p w14:paraId="5B62754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《建材工业大气污染物排放标准》（DB37/2373-2018）</w:t>
                  </w:r>
                </w:p>
              </w:tc>
            </w:tr>
          </w:tbl>
          <w:p w14:paraId="6EDCA837">
            <w:pPr>
              <w:pStyle w:val="92"/>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表3-</w:t>
            </w:r>
            <w:r>
              <w:rPr>
                <w:rFonts w:hint="eastAsia" w:ascii="Times New Roman" w:hAnsi="Times New Roman" w:eastAsia="黑体" w:cs="Times New Roman"/>
                <w:b w:val="0"/>
                <w:bCs w:val="0"/>
                <w:color w:val="auto"/>
                <w:kern w:val="2"/>
                <w:sz w:val="24"/>
                <w:szCs w:val="24"/>
                <w:highlight w:val="none"/>
                <w:lang w:val="en-US" w:eastAsia="zh-CN" w:bidi="ar-SA"/>
              </w:rPr>
              <w:t>8</w:t>
            </w:r>
            <w:r>
              <w:rPr>
                <w:rFonts w:hint="default" w:ascii="Times New Roman" w:hAnsi="Times New Roman" w:eastAsia="黑体" w:cs="Times New Roman"/>
                <w:b w:val="0"/>
                <w:bCs w:val="0"/>
                <w:color w:val="auto"/>
                <w:kern w:val="2"/>
                <w:sz w:val="24"/>
                <w:szCs w:val="24"/>
                <w:highlight w:val="none"/>
                <w:lang w:val="en-US" w:eastAsia="zh-CN" w:bidi="ar-SA"/>
              </w:rPr>
              <w:t xml:space="preserve">  本项目无组织废气污染物排放浓度限值表</w:t>
            </w:r>
          </w:p>
          <w:p w14:paraId="59D72DCF">
            <w:pPr>
              <w:pStyle w:val="92"/>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单位：mg/m</w:t>
            </w:r>
            <w:r>
              <w:rPr>
                <w:rFonts w:hint="default" w:ascii="Times New Roman" w:hAnsi="Times New Roman" w:eastAsia="宋体" w:cs="Times New Roman"/>
                <w:b/>
                <w:color w:val="auto"/>
                <w:sz w:val="15"/>
                <w:szCs w:val="15"/>
                <w:vertAlign w:val="superscript"/>
              </w:rPr>
              <w:t>3</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53"/>
              <w:gridCol w:w="1683"/>
              <w:gridCol w:w="1446"/>
              <w:gridCol w:w="4565"/>
            </w:tblGrid>
            <w:tr w14:paraId="3F5C4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91" w:type="pct"/>
                  <w:tcBorders>
                    <w:tl2br w:val="nil"/>
                    <w:tr2bl w:val="nil"/>
                  </w:tcBorders>
                  <w:noWrap w:val="0"/>
                  <w:vAlign w:val="center"/>
                </w:tcPr>
                <w:p w14:paraId="7A76990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b/>
                      <w:bCs/>
                      <w:color w:val="auto"/>
                      <w:sz w:val="21"/>
                      <w:szCs w:val="21"/>
                    </w:rPr>
                  </w:pPr>
                  <w:r>
                    <w:rPr>
                      <w:rFonts w:hint="eastAsia" w:ascii="Times New Roman" w:hAnsi="Times New Roman"/>
                      <w:b/>
                      <w:bCs/>
                      <w:color w:val="auto"/>
                      <w:sz w:val="21"/>
                      <w:szCs w:val="21"/>
                    </w:rPr>
                    <w:t>行业</w:t>
                  </w:r>
                </w:p>
              </w:tc>
              <w:tc>
                <w:tcPr>
                  <w:tcW w:w="1008" w:type="pct"/>
                  <w:tcBorders>
                    <w:tl2br w:val="nil"/>
                    <w:tr2bl w:val="nil"/>
                  </w:tcBorders>
                  <w:noWrap w:val="0"/>
                  <w:vAlign w:val="center"/>
                </w:tcPr>
                <w:p w14:paraId="3259EA0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b/>
                      <w:bCs/>
                      <w:color w:val="auto"/>
                      <w:sz w:val="21"/>
                      <w:szCs w:val="21"/>
                    </w:rPr>
                  </w:pPr>
                  <w:r>
                    <w:rPr>
                      <w:rFonts w:hint="eastAsia" w:ascii="Times New Roman" w:hAnsi="Times New Roman"/>
                      <w:b/>
                      <w:bCs/>
                      <w:color w:val="auto"/>
                      <w:sz w:val="21"/>
                      <w:szCs w:val="21"/>
                    </w:rPr>
                    <w:t>污染物项目</w:t>
                  </w:r>
                </w:p>
              </w:tc>
              <w:tc>
                <w:tcPr>
                  <w:tcW w:w="866" w:type="pct"/>
                  <w:tcBorders>
                    <w:tl2br w:val="nil"/>
                    <w:tr2bl w:val="nil"/>
                  </w:tcBorders>
                  <w:noWrap w:val="0"/>
                  <w:vAlign w:val="center"/>
                </w:tcPr>
                <w:p w14:paraId="0F4A37B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b/>
                      <w:bCs/>
                      <w:color w:val="auto"/>
                      <w:sz w:val="21"/>
                      <w:szCs w:val="21"/>
                    </w:rPr>
                  </w:pPr>
                  <w:r>
                    <w:rPr>
                      <w:rFonts w:hint="eastAsia" w:ascii="Times New Roman" w:hAnsi="Times New Roman"/>
                      <w:b/>
                      <w:bCs/>
                      <w:color w:val="auto"/>
                      <w:sz w:val="21"/>
                      <w:szCs w:val="21"/>
                    </w:rPr>
                    <w:t>浓度限值</w:t>
                  </w:r>
                </w:p>
              </w:tc>
              <w:tc>
                <w:tcPr>
                  <w:tcW w:w="2733" w:type="pct"/>
                  <w:tcBorders>
                    <w:tl2br w:val="nil"/>
                    <w:tr2bl w:val="nil"/>
                  </w:tcBorders>
                  <w:noWrap w:val="0"/>
                  <w:vAlign w:val="center"/>
                </w:tcPr>
                <w:p w14:paraId="37C8406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b/>
                      <w:bCs/>
                      <w:color w:val="auto"/>
                      <w:sz w:val="21"/>
                      <w:szCs w:val="21"/>
                    </w:rPr>
                  </w:pPr>
                  <w:r>
                    <w:rPr>
                      <w:rFonts w:hint="eastAsia" w:ascii="Times New Roman" w:hAnsi="Times New Roman"/>
                      <w:b/>
                      <w:bCs/>
                      <w:color w:val="auto"/>
                      <w:sz w:val="21"/>
                      <w:szCs w:val="21"/>
                    </w:rPr>
                    <w:t>执行标准</w:t>
                  </w:r>
                </w:p>
              </w:tc>
            </w:tr>
            <w:tr w14:paraId="1D626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91" w:type="pct"/>
                  <w:vMerge w:val="restart"/>
                  <w:tcBorders>
                    <w:tl2br w:val="nil"/>
                    <w:tr2bl w:val="nil"/>
                  </w:tcBorders>
                  <w:noWrap w:val="0"/>
                  <w:vAlign w:val="center"/>
                </w:tcPr>
                <w:p w14:paraId="772D3B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砖瓦</w:t>
                  </w:r>
                </w:p>
              </w:tc>
              <w:tc>
                <w:tcPr>
                  <w:tcW w:w="1008" w:type="pct"/>
                  <w:tcBorders>
                    <w:tl2br w:val="nil"/>
                    <w:tr2bl w:val="nil"/>
                  </w:tcBorders>
                  <w:noWrap w:val="0"/>
                  <w:vAlign w:val="center"/>
                </w:tcPr>
                <w:p w14:paraId="087E757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颗粒物</w:t>
                  </w:r>
                </w:p>
              </w:tc>
              <w:tc>
                <w:tcPr>
                  <w:tcW w:w="866" w:type="pct"/>
                  <w:tcBorders>
                    <w:tl2br w:val="nil"/>
                    <w:tr2bl w:val="nil"/>
                  </w:tcBorders>
                  <w:noWrap w:val="0"/>
                  <w:vAlign w:val="center"/>
                </w:tcPr>
                <w:p w14:paraId="54DB81C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1.0</w:t>
                  </w:r>
                </w:p>
              </w:tc>
              <w:tc>
                <w:tcPr>
                  <w:tcW w:w="2733" w:type="pct"/>
                  <w:vMerge w:val="restart"/>
                  <w:tcBorders>
                    <w:tl2br w:val="nil"/>
                    <w:tr2bl w:val="nil"/>
                  </w:tcBorders>
                  <w:noWrap w:val="0"/>
                  <w:vAlign w:val="center"/>
                </w:tcPr>
                <w:p w14:paraId="00FF9EC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《长治市人民政府办公室关于印发长治市大气和水污染物排放管控要求的通知》（长政办规〔2023〕1号）</w:t>
                  </w:r>
                </w:p>
              </w:tc>
            </w:tr>
            <w:tr w14:paraId="18465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91" w:type="pct"/>
                  <w:vMerge w:val="continue"/>
                  <w:tcBorders>
                    <w:tl2br w:val="nil"/>
                    <w:tr2bl w:val="nil"/>
                  </w:tcBorders>
                  <w:noWrap w:val="0"/>
                  <w:vAlign w:val="center"/>
                </w:tcPr>
                <w:p w14:paraId="442FB56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p>
              </w:tc>
              <w:tc>
                <w:tcPr>
                  <w:tcW w:w="1008" w:type="pct"/>
                  <w:tcBorders>
                    <w:tl2br w:val="nil"/>
                    <w:tr2bl w:val="nil"/>
                  </w:tcBorders>
                  <w:noWrap w:val="0"/>
                  <w:vAlign w:val="center"/>
                </w:tcPr>
                <w:p w14:paraId="755B04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二氧化硫</w:t>
                  </w:r>
                </w:p>
              </w:tc>
              <w:tc>
                <w:tcPr>
                  <w:tcW w:w="866" w:type="pct"/>
                  <w:tcBorders>
                    <w:tl2br w:val="nil"/>
                    <w:tr2bl w:val="nil"/>
                  </w:tcBorders>
                  <w:noWrap w:val="0"/>
                  <w:vAlign w:val="center"/>
                </w:tcPr>
                <w:p w14:paraId="46D6019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Times New Roman"/>
                      <w:color w:val="auto"/>
                      <w:sz w:val="21"/>
                      <w:szCs w:val="21"/>
                    </w:rPr>
                  </w:pPr>
                  <w:r>
                    <w:rPr>
                      <w:rFonts w:hint="eastAsia" w:ascii="Times New Roman" w:hAnsi="Times New Roman"/>
                      <w:color w:val="auto"/>
                      <w:sz w:val="21"/>
                      <w:szCs w:val="21"/>
                    </w:rPr>
                    <w:t>0.4</w:t>
                  </w:r>
                </w:p>
              </w:tc>
              <w:tc>
                <w:tcPr>
                  <w:tcW w:w="2733" w:type="pct"/>
                  <w:vMerge w:val="continue"/>
                  <w:tcBorders>
                    <w:tl2br w:val="nil"/>
                    <w:tr2bl w:val="nil"/>
                  </w:tcBorders>
                  <w:noWrap w:val="0"/>
                  <w:vAlign w:val="center"/>
                </w:tcPr>
                <w:p w14:paraId="45833BA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p>
              </w:tc>
            </w:tr>
            <w:tr w14:paraId="16DA7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91" w:type="pct"/>
                  <w:vMerge w:val="continue"/>
                  <w:tcBorders>
                    <w:tl2br w:val="nil"/>
                    <w:tr2bl w:val="nil"/>
                  </w:tcBorders>
                  <w:noWrap w:val="0"/>
                  <w:vAlign w:val="center"/>
                </w:tcPr>
                <w:p w14:paraId="6396AFB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p>
              </w:tc>
              <w:tc>
                <w:tcPr>
                  <w:tcW w:w="1008" w:type="pct"/>
                  <w:tcBorders>
                    <w:tl2br w:val="nil"/>
                    <w:tr2bl w:val="nil"/>
                  </w:tcBorders>
                  <w:noWrap w:val="0"/>
                  <w:vAlign w:val="center"/>
                </w:tcPr>
                <w:p w14:paraId="6E87FB0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Times New Roman"/>
                      <w:color w:val="auto"/>
                      <w:sz w:val="21"/>
                      <w:szCs w:val="21"/>
                    </w:rPr>
                  </w:pPr>
                  <w:r>
                    <w:rPr>
                      <w:rFonts w:hint="eastAsia" w:ascii="Times New Roman" w:hAnsi="Times New Roman"/>
                      <w:color w:val="auto"/>
                      <w:sz w:val="21"/>
                      <w:szCs w:val="21"/>
                    </w:rPr>
                    <w:t>氮氧化物</w:t>
                  </w:r>
                </w:p>
              </w:tc>
              <w:tc>
                <w:tcPr>
                  <w:tcW w:w="866" w:type="pct"/>
                  <w:tcBorders>
                    <w:tl2br w:val="nil"/>
                    <w:tr2bl w:val="nil"/>
                  </w:tcBorders>
                  <w:noWrap w:val="0"/>
                  <w:vAlign w:val="center"/>
                </w:tcPr>
                <w:p w14:paraId="461B547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Times New Roman"/>
                      <w:color w:val="auto"/>
                      <w:sz w:val="21"/>
                      <w:szCs w:val="21"/>
                    </w:rPr>
                  </w:pPr>
                  <w:r>
                    <w:rPr>
                      <w:rFonts w:hint="eastAsia" w:ascii="Times New Roman" w:hAnsi="Times New Roman"/>
                      <w:color w:val="auto"/>
                      <w:sz w:val="21"/>
                      <w:szCs w:val="21"/>
                    </w:rPr>
                    <w:t>0.12</w:t>
                  </w:r>
                </w:p>
              </w:tc>
              <w:tc>
                <w:tcPr>
                  <w:tcW w:w="2733" w:type="pct"/>
                  <w:vMerge w:val="continue"/>
                  <w:tcBorders>
                    <w:tl2br w:val="nil"/>
                    <w:tr2bl w:val="nil"/>
                  </w:tcBorders>
                  <w:noWrap w:val="0"/>
                  <w:vAlign w:val="center"/>
                </w:tcPr>
                <w:p w14:paraId="046B738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jc w:val="left"/>
                    <w:textAlignment w:val="auto"/>
                    <w:rPr>
                      <w:rFonts w:hint="eastAsia" w:ascii="Times New Roman" w:hAnsi="Times New Roman"/>
                      <w:color w:val="auto"/>
                      <w:sz w:val="21"/>
                      <w:szCs w:val="21"/>
                    </w:rPr>
                  </w:pPr>
                </w:p>
              </w:tc>
            </w:tr>
            <w:tr w14:paraId="4386B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91" w:type="pct"/>
                  <w:vMerge w:val="continue"/>
                  <w:tcBorders>
                    <w:tl2br w:val="nil"/>
                    <w:tr2bl w:val="nil"/>
                  </w:tcBorders>
                  <w:noWrap w:val="0"/>
                  <w:vAlign w:val="center"/>
                </w:tcPr>
                <w:p w14:paraId="74F041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p>
              </w:tc>
              <w:tc>
                <w:tcPr>
                  <w:tcW w:w="1008" w:type="pct"/>
                  <w:tcBorders>
                    <w:tl2br w:val="nil"/>
                    <w:tr2bl w:val="nil"/>
                  </w:tcBorders>
                  <w:noWrap w:val="0"/>
                  <w:vAlign w:val="center"/>
                </w:tcPr>
                <w:p w14:paraId="3B66832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Times New Roman"/>
                      <w:color w:val="auto"/>
                      <w:sz w:val="21"/>
                      <w:szCs w:val="21"/>
                    </w:rPr>
                  </w:pPr>
                  <w:r>
                    <w:rPr>
                      <w:rFonts w:hint="eastAsia" w:ascii="Times New Roman" w:hAnsi="Times New Roman"/>
                      <w:color w:val="auto"/>
                      <w:sz w:val="21"/>
                      <w:szCs w:val="21"/>
                    </w:rPr>
                    <w:t>氟化物</w:t>
                  </w:r>
                </w:p>
              </w:tc>
              <w:tc>
                <w:tcPr>
                  <w:tcW w:w="866" w:type="pct"/>
                  <w:tcBorders>
                    <w:tl2br w:val="nil"/>
                    <w:tr2bl w:val="nil"/>
                  </w:tcBorders>
                  <w:noWrap w:val="0"/>
                  <w:vAlign w:val="center"/>
                </w:tcPr>
                <w:p w14:paraId="21E56AB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Times New Roman"/>
                      <w:color w:val="auto"/>
                      <w:sz w:val="21"/>
                      <w:szCs w:val="21"/>
                    </w:rPr>
                  </w:pPr>
                  <w:r>
                    <w:rPr>
                      <w:rFonts w:hint="eastAsia" w:ascii="Times New Roman" w:hAnsi="Times New Roman"/>
                      <w:color w:val="auto"/>
                      <w:sz w:val="21"/>
                      <w:szCs w:val="21"/>
                    </w:rPr>
                    <w:t>0.02</w:t>
                  </w:r>
                </w:p>
              </w:tc>
              <w:tc>
                <w:tcPr>
                  <w:tcW w:w="2733" w:type="pct"/>
                  <w:tcBorders>
                    <w:tl2br w:val="nil"/>
                    <w:tr2bl w:val="nil"/>
                  </w:tcBorders>
                  <w:noWrap w:val="0"/>
                  <w:vAlign w:val="center"/>
                </w:tcPr>
                <w:p w14:paraId="39F4C67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《建材工业大气污染物排放标准》（DB37/2373-2018）表3砖瓦行业排放限值</w:t>
                  </w:r>
                </w:p>
              </w:tc>
            </w:tr>
          </w:tbl>
          <w:p w14:paraId="33EC43BA">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baseline"/>
              <w:rPr>
                <w:rFonts w:hint="eastAsia"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3.6噪声</w:t>
            </w:r>
          </w:p>
          <w:p w14:paraId="555674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highlight w:val="none"/>
                <w:lang w:val="zh-CN"/>
              </w:rPr>
            </w:pPr>
            <w:r>
              <w:rPr>
                <w:rFonts w:hint="eastAsia"/>
                <w:color w:val="auto"/>
                <w:sz w:val="24"/>
                <w:highlight w:val="none"/>
                <w:lang w:val="zh-CN"/>
              </w:rPr>
              <w:t>运营期</w:t>
            </w:r>
            <w:r>
              <w:rPr>
                <w:rFonts w:hint="eastAsia"/>
                <w:color w:val="auto"/>
                <w:sz w:val="24"/>
                <w:highlight w:val="none"/>
                <w:lang w:val="en-US" w:eastAsia="zh-CN"/>
              </w:rPr>
              <w:t>厂界</w:t>
            </w:r>
            <w:r>
              <w:rPr>
                <w:rFonts w:hint="eastAsia"/>
                <w:color w:val="auto"/>
                <w:sz w:val="24"/>
                <w:highlight w:val="none"/>
                <w:lang w:val="zh-CN"/>
              </w:rPr>
              <w:t>噪声执行《工业企业厂界环境噪声排放标准》（GB12348-2008）中</w:t>
            </w:r>
            <w:r>
              <w:rPr>
                <w:rFonts w:hint="eastAsia"/>
                <w:color w:val="auto"/>
                <w:sz w:val="24"/>
                <w:highlight w:val="none"/>
                <w:lang w:val="en-US" w:eastAsia="zh-CN"/>
              </w:rPr>
              <w:t>2</w:t>
            </w:r>
            <w:r>
              <w:rPr>
                <w:rFonts w:hint="eastAsia"/>
                <w:color w:val="auto"/>
                <w:sz w:val="24"/>
                <w:highlight w:val="none"/>
                <w:lang w:val="zh-CN"/>
              </w:rPr>
              <w:t>类标准，表</w:t>
            </w:r>
            <w:r>
              <w:rPr>
                <w:rFonts w:hint="eastAsia"/>
                <w:color w:val="auto"/>
                <w:sz w:val="24"/>
                <w:highlight w:val="none"/>
                <w:lang w:val="en-US" w:eastAsia="zh-CN"/>
              </w:rPr>
              <w:t>3-9</w:t>
            </w:r>
            <w:r>
              <w:rPr>
                <w:rFonts w:hint="eastAsia"/>
                <w:color w:val="auto"/>
                <w:sz w:val="24"/>
                <w:highlight w:val="none"/>
                <w:lang w:val="zh-CN"/>
              </w:rPr>
              <w:t>。</w:t>
            </w:r>
          </w:p>
          <w:p w14:paraId="68CCCB22">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 xml:space="preserve">3-9 </w:t>
            </w:r>
            <w:r>
              <w:rPr>
                <w:rFonts w:hint="default" w:ascii="Times New Roman" w:hAnsi="Times New Roman" w:eastAsia="黑体" w:cs="Times New Roman"/>
                <w:b w:val="0"/>
                <w:bCs w:val="0"/>
                <w:color w:val="auto"/>
                <w:kern w:val="2"/>
                <w:sz w:val="24"/>
                <w:szCs w:val="24"/>
                <w:highlight w:val="none"/>
                <w:lang w:val="en-US" w:eastAsia="zh-CN" w:bidi="ar-SA"/>
              </w:rPr>
              <w:t xml:space="preserve"> 《工业企业厂界环境噪声排放标准》（GB12348-2008）</w:t>
            </w:r>
          </w:p>
          <w:p w14:paraId="499E558E">
            <w:pPr>
              <w:pStyle w:val="92"/>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单位：dB（A）</w:t>
            </w:r>
          </w:p>
          <w:tbl>
            <w:tblPr>
              <w:tblStyle w:val="23"/>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089"/>
              <w:gridCol w:w="2087"/>
              <w:gridCol w:w="2087"/>
            </w:tblGrid>
            <w:tr w14:paraId="789F2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250" w:type="pct"/>
                  <w:tcBorders>
                    <w:tl2br w:val="nil"/>
                    <w:tr2bl w:val="nil"/>
                  </w:tcBorders>
                  <w:noWrap w:val="0"/>
                  <w:vAlign w:val="center"/>
                </w:tcPr>
                <w:p w14:paraId="0DCE99A4">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项目厂界</w:t>
                  </w:r>
                </w:p>
              </w:tc>
              <w:tc>
                <w:tcPr>
                  <w:tcW w:w="1250" w:type="pct"/>
                  <w:tcBorders>
                    <w:tl2br w:val="nil"/>
                    <w:tr2bl w:val="nil"/>
                  </w:tcBorders>
                  <w:noWrap w:val="0"/>
                  <w:vAlign w:val="center"/>
                </w:tcPr>
                <w:p w14:paraId="572DCFC9">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类别</w:t>
                  </w:r>
                </w:p>
              </w:tc>
              <w:tc>
                <w:tcPr>
                  <w:tcW w:w="1249" w:type="pct"/>
                  <w:tcBorders>
                    <w:tl2br w:val="nil"/>
                    <w:tr2bl w:val="nil"/>
                  </w:tcBorders>
                  <w:noWrap w:val="0"/>
                  <w:vAlign w:val="center"/>
                </w:tcPr>
                <w:p w14:paraId="763A717A">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昼间</w:t>
                  </w:r>
                </w:p>
              </w:tc>
              <w:tc>
                <w:tcPr>
                  <w:tcW w:w="1249" w:type="pct"/>
                  <w:tcBorders>
                    <w:tl2br w:val="nil"/>
                    <w:tr2bl w:val="nil"/>
                  </w:tcBorders>
                  <w:noWrap w:val="0"/>
                  <w:vAlign w:val="center"/>
                </w:tcPr>
                <w:p w14:paraId="03ACA1FB">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夜间</w:t>
                  </w:r>
                </w:p>
              </w:tc>
            </w:tr>
            <w:tr w14:paraId="4EF34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tcBorders>
                    <w:tl2br w:val="nil"/>
                    <w:tr2bl w:val="nil"/>
                  </w:tcBorders>
                  <w:noWrap w:val="0"/>
                  <w:vAlign w:val="center"/>
                </w:tcPr>
                <w:p w14:paraId="0888F372">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w:t>
                  </w:r>
                </w:p>
              </w:tc>
              <w:tc>
                <w:tcPr>
                  <w:tcW w:w="1250" w:type="pct"/>
                  <w:tcBorders>
                    <w:tl2br w:val="nil"/>
                    <w:tr2bl w:val="nil"/>
                  </w:tcBorders>
                  <w:noWrap w:val="0"/>
                  <w:vAlign w:val="center"/>
                </w:tcPr>
                <w:p w14:paraId="30CF0D7C">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类</w:t>
                  </w:r>
                </w:p>
              </w:tc>
              <w:tc>
                <w:tcPr>
                  <w:tcW w:w="1249" w:type="pct"/>
                  <w:tcBorders>
                    <w:tl2br w:val="nil"/>
                    <w:tr2bl w:val="nil"/>
                  </w:tcBorders>
                  <w:noWrap w:val="0"/>
                  <w:vAlign w:val="center"/>
                </w:tcPr>
                <w:p w14:paraId="07DF4855">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249" w:type="pct"/>
                  <w:tcBorders>
                    <w:tl2br w:val="nil"/>
                    <w:tr2bl w:val="nil"/>
                  </w:tcBorders>
                  <w:noWrap w:val="0"/>
                  <w:vAlign w:val="center"/>
                </w:tcPr>
                <w:p w14:paraId="73AE0CEA">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bl>
          <w:p w14:paraId="35B5137D">
            <w:pPr>
              <w:keepNext w:val="0"/>
              <w:keepLines w:val="0"/>
              <w:pageBreakBefore w:val="0"/>
              <w:widowControl w:val="0"/>
              <w:kinsoku/>
              <w:wordWrap/>
              <w:overflowPunct/>
              <w:topLinePunct w:val="0"/>
              <w:autoSpaceDE/>
              <w:autoSpaceDN/>
              <w:bidi w:val="0"/>
              <w:adjustRightInd/>
              <w:snapToGrid/>
              <w:spacing w:line="480" w:lineRule="exact"/>
              <w:ind w:left="0" w:right="0" w:firstLine="482" w:firstLineChars="200"/>
              <w:jc w:val="both"/>
              <w:textAlignment w:val="baseline"/>
              <w:rPr>
                <w:rFonts w:hint="eastAsia" w:ascii="Times New Roman" w:hAnsi="Times New Roman" w:eastAsia="宋体" w:cs="Times New Roman"/>
                <w:b/>
                <w:bCs/>
                <w:color w:val="auto"/>
                <w:sz w:val="24"/>
                <w:szCs w:val="20"/>
                <w:highlight w:val="none"/>
                <w:lang w:val="en-US" w:eastAsia="zh-CN"/>
              </w:rPr>
            </w:pPr>
            <w:r>
              <w:rPr>
                <w:rFonts w:hint="eastAsia" w:ascii="Times New Roman" w:hAnsi="Times New Roman" w:eastAsia="宋体" w:cs="Times New Roman"/>
                <w:b/>
                <w:bCs/>
                <w:color w:val="auto"/>
                <w:sz w:val="24"/>
                <w:szCs w:val="20"/>
                <w:highlight w:val="none"/>
                <w:lang w:val="en-US" w:eastAsia="zh-CN"/>
              </w:rPr>
              <w:t>3.7固体废物</w:t>
            </w:r>
          </w:p>
          <w:p w14:paraId="08EBA494">
            <w:pPr>
              <w:pStyle w:val="29"/>
              <w:keepNext w:val="0"/>
              <w:keepLines w:val="0"/>
              <w:pageBreakBefore w:val="0"/>
              <w:widowControl w:val="0"/>
              <w:kinsoku/>
              <w:wordWrap/>
              <w:overflowPunct/>
              <w:topLinePunct w:val="0"/>
              <w:autoSpaceDE/>
              <w:autoSpaceDN/>
              <w:bidi w:val="0"/>
              <w:snapToGrid/>
              <w:spacing w:line="480" w:lineRule="exact"/>
              <w:ind w:left="0" w:right="0" w:firstLine="480" w:firstLineChars="200"/>
              <w:jc w:val="both"/>
              <w:textAlignment w:val="baseline"/>
            </w:pPr>
            <w:r>
              <w:rPr>
                <w:rFonts w:hint="default" w:ascii="Times New Roman" w:hAnsi="Times New Roman" w:eastAsia="宋体" w:cs="Times New Roman"/>
                <w:color w:val="auto"/>
                <w:sz w:val="24"/>
                <w:highlight w:val="none"/>
                <w:lang w:val="zh-CN"/>
              </w:rPr>
              <w:t>一般工业固体废弃物贮存执行《一般工业固体废物贮存和填埋污染控制标准》（GB18599-2020）；危险废物贮存执行《危险废物贮存污染控制标准》（GB18597-2023）</w:t>
            </w:r>
            <w:r>
              <w:rPr>
                <w:rFonts w:hint="default"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val="zh-CN"/>
              </w:rPr>
              <w:t>《危险废物识别标志设置技术规范》（HJ1276-2022）。</w:t>
            </w:r>
          </w:p>
        </w:tc>
      </w:tr>
      <w:tr w14:paraId="35D1E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dxa"/>
            <w:tcBorders>
              <w:tl2br w:val="nil"/>
              <w:tr2bl w:val="nil"/>
            </w:tcBorders>
            <w:vAlign w:val="center"/>
          </w:tcPr>
          <w:p w14:paraId="4C790132">
            <w:pPr>
              <w:adjustRightInd w:val="0"/>
              <w:snapToGrid w:val="0"/>
              <w:jc w:val="center"/>
              <w:rPr>
                <w:b/>
                <w:bCs/>
                <w:kern w:val="0"/>
                <w:sz w:val="24"/>
                <w:szCs w:val="24"/>
              </w:rPr>
            </w:pPr>
            <w:r>
              <w:rPr>
                <w:b/>
                <w:bCs/>
                <w:kern w:val="0"/>
                <w:sz w:val="24"/>
                <w:szCs w:val="24"/>
              </w:rPr>
              <w:t>总量</w:t>
            </w:r>
          </w:p>
          <w:p w14:paraId="592FC436">
            <w:pPr>
              <w:adjustRightInd w:val="0"/>
              <w:snapToGrid w:val="0"/>
              <w:jc w:val="center"/>
              <w:rPr>
                <w:b/>
                <w:bCs/>
                <w:kern w:val="0"/>
                <w:sz w:val="24"/>
                <w:szCs w:val="24"/>
              </w:rPr>
            </w:pPr>
            <w:r>
              <w:rPr>
                <w:b/>
                <w:bCs/>
                <w:kern w:val="0"/>
                <w:sz w:val="24"/>
                <w:szCs w:val="24"/>
              </w:rPr>
              <w:t>控制</w:t>
            </w:r>
          </w:p>
          <w:p w14:paraId="18873EC9">
            <w:pPr>
              <w:adjustRightInd w:val="0"/>
              <w:snapToGrid w:val="0"/>
              <w:jc w:val="center"/>
              <w:rPr>
                <w:b/>
                <w:bCs/>
                <w:kern w:val="0"/>
                <w:sz w:val="24"/>
                <w:szCs w:val="24"/>
              </w:rPr>
            </w:pPr>
            <w:r>
              <w:rPr>
                <w:b/>
                <w:bCs/>
                <w:kern w:val="0"/>
                <w:sz w:val="24"/>
                <w:szCs w:val="24"/>
              </w:rPr>
              <w:t>指标</w:t>
            </w:r>
          </w:p>
        </w:tc>
        <w:tc>
          <w:tcPr>
            <w:tcW w:w="8570" w:type="dxa"/>
            <w:tcBorders>
              <w:tl2br w:val="nil"/>
              <w:tr2bl w:val="nil"/>
            </w:tcBorders>
            <w:vAlign w:val="center"/>
          </w:tcPr>
          <w:p w14:paraId="4F31D167">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cs="Times New Roman"/>
                <w:color w:val="auto"/>
                <w:kern w:val="10"/>
                <w:sz w:val="24"/>
                <w:highlight w:val="none"/>
                <w:lang w:eastAsia="zh-CN"/>
              </w:rPr>
            </w:pPr>
            <w:r>
              <w:rPr>
                <w:rFonts w:hint="default" w:ascii="Times New Roman" w:hAnsi="Times New Roman" w:cs="Times New Roman"/>
                <w:color w:val="auto"/>
                <w:kern w:val="10"/>
                <w:sz w:val="24"/>
                <w:highlight w:val="none"/>
              </w:rPr>
              <w:t>根据山西省生态环境厅“关于印发《建设项目主要污染物排放总量指标核定办法》的通知”</w:t>
            </w:r>
            <w:r>
              <w:rPr>
                <w:rFonts w:hint="default" w:ascii="Times New Roman" w:hAnsi="Times New Roman" w:cs="Times New Roman"/>
                <w:color w:val="auto"/>
                <w:kern w:val="10"/>
                <w:sz w:val="24"/>
                <w:highlight w:val="none"/>
                <w:lang w:eastAsia="zh-CN"/>
              </w:rPr>
              <w:t>（</w:t>
            </w:r>
            <w:r>
              <w:rPr>
                <w:rFonts w:hint="default" w:ascii="Times New Roman" w:hAnsi="Times New Roman" w:cs="Times New Roman"/>
                <w:color w:val="auto"/>
                <w:kern w:val="10"/>
                <w:sz w:val="24"/>
                <w:highlight w:val="none"/>
              </w:rPr>
              <w:t>晋环规〔2023〕1号</w:t>
            </w:r>
            <w:r>
              <w:rPr>
                <w:rFonts w:hint="default" w:ascii="Times New Roman" w:hAnsi="Times New Roman" w:cs="Times New Roman"/>
                <w:color w:val="auto"/>
                <w:kern w:val="10"/>
                <w:sz w:val="24"/>
                <w:highlight w:val="none"/>
                <w:lang w:eastAsia="zh-CN"/>
              </w:rPr>
              <w:t>）</w:t>
            </w:r>
            <w:r>
              <w:rPr>
                <w:rFonts w:hint="default" w:ascii="Times New Roman" w:hAnsi="Times New Roman" w:cs="Times New Roman"/>
                <w:color w:val="auto"/>
                <w:kern w:val="10"/>
                <w:sz w:val="24"/>
                <w:highlight w:val="none"/>
              </w:rPr>
              <w:t>文件，</w:t>
            </w:r>
            <w:r>
              <w:rPr>
                <w:rFonts w:hint="default" w:ascii="Times New Roman" w:hAnsi="Times New Roman" w:cs="Times New Roman"/>
                <w:color w:val="auto"/>
                <w:kern w:val="10"/>
                <w:sz w:val="24"/>
                <w:highlight w:val="none"/>
                <w:lang w:eastAsia="zh-CN"/>
              </w:rPr>
              <w:t>“</w:t>
            </w:r>
            <w:r>
              <w:rPr>
                <w:rFonts w:hint="default" w:ascii="Times New Roman" w:hAnsi="Times New Roman" w:cs="Times New Roman"/>
                <w:color w:val="auto"/>
                <w:kern w:val="10"/>
                <w:sz w:val="24"/>
                <w:highlight w:val="none"/>
              </w:rPr>
              <w:t>第三条</w:t>
            </w:r>
            <w:r>
              <w:rPr>
                <w:rFonts w:hint="default" w:ascii="Times New Roman" w:hAnsi="Times New Roman" w:cs="Times New Roman"/>
                <w:color w:val="auto"/>
                <w:kern w:val="10"/>
                <w:sz w:val="24"/>
                <w:highlight w:val="none"/>
                <w:lang w:val="en-US" w:eastAsia="zh-CN"/>
              </w:rPr>
              <w:t xml:space="preserve"> </w:t>
            </w:r>
            <w:r>
              <w:rPr>
                <w:rFonts w:hint="default" w:ascii="Times New Roman" w:hAnsi="Times New Roman" w:cs="Times New Roman"/>
                <w:color w:val="auto"/>
                <w:kern w:val="10"/>
                <w:sz w:val="24"/>
                <w:highlight w:val="none"/>
              </w:rPr>
              <w:t>本办法适用范围为纳入固定污染源排污许可分类管理名录行业范围的建设项目新增主要污染物排放总量指标的审核与管理</w:t>
            </w:r>
            <w:r>
              <w:rPr>
                <w:rFonts w:hint="default" w:ascii="Times New Roman" w:hAnsi="Times New Roman" w:cs="Times New Roman"/>
                <w:color w:val="auto"/>
                <w:kern w:val="10"/>
                <w:sz w:val="24"/>
                <w:highlight w:val="none"/>
                <w:lang w:eastAsia="zh-CN"/>
              </w:rPr>
              <w:t>”。</w:t>
            </w:r>
          </w:p>
          <w:p w14:paraId="4A589182">
            <w:pPr>
              <w:keepNext w:val="0"/>
              <w:keepLines w:val="0"/>
              <w:pageBreakBefore w:val="0"/>
              <w:widowControl/>
              <w:suppressLineNumbers w:val="0"/>
              <w:kinsoku w:val="0"/>
              <w:wordWrap/>
              <w:overflowPunct/>
              <w:topLinePunct w:val="0"/>
              <w:autoSpaceDE w:val="0"/>
              <w:autoSpaceDN w:val="0"/>
              <w:bidi w:val="0"/>
              <w:adjustRightInd/>
              <w:snapToGrid/>
              <w:spacing w:line="52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本项目纳入固定污染源排污许可分类管理名录行业范围，故需要申请总量</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改</w:t>
            </w:r>
            <w:r>
              <w:rPr>
                <w:rFonts w:hint="default" w:ascii="Times New Roman" w:hAnsi="Times New Roman" w:eastAsia="宋体" w:cs="Times New Roman"/>
                <w:color w:val="auto"/>
                <w:sz w:val="24"/>
                <w:szCs w:val="24"/>
                <w:highlight w:val="none"/>
                <w:lang w:val="en-US" w:eastAsia="zh-CN"/>
              </w:rPr>
              <w:t>扩建后颗粒物</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en-US" w:eastAsia="zh-CN"/>
              </w:rPr>
              <w:t>排放量为</w:t>
            </w:r>
            <w:r>
              <w:rPr>
                <w:rFonts w:hint="eastAsia" w:ascii="Times New Roman" w:hAnsi="Times New Roman" w:eastAsia="宋体" w:cs="Times New Roman"/>
                <w:color w:val="auto"/>
                <w:sz w:val="24"/>
                <w:szCs w:val="24"/>
                <w:highlight w:val="none"/>
                <w:lang w:val="en-US" w:eastAsia="zh-CN"/>
              </w:rPr>
              <w:t>17.65</w:t>
            </w:r>
            <w:r>
              <w:rPr>
                <w:rFonts w:hint="default" w:ascii="Times New Roman" w:hAnsi="Times New Roman" w:eastAsia="宋体" w:cs="Times New Roman"/>
                <w:color w:val="auto"/>
                <w:sz w:val="24"/>
                <w:szCs w:val="24"/>
                <w:highlight w:val="none"/>
                <w:lang w:val="en-US" w:eastAsia="zh-CN"/>
              </w:rPr>
              <w:t>t/a、氮氧化物</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en-US" w:eastAsia="zh-CN"/>
              </w:rPr>
              <w:t>排放量为</w:t>
            </w:r>
            <w:r>
              <w:rPr>
                <w:rFonts w:hint="eastAsia" w:ascii="Times New Roman" w:hAnsi="Times New Roman" w:eastAsia="宋体" w:cs="Times New Roman"/>
                <w:color w:val="auto"/>
                <w:sz w:val="24"/>
                <w:szCs w:val="24"/>
                <w:highlight w:val="none"/>
                <w:lang w:val="en-US" w:eastAsia="zh-CN"/>
              </w:rPr>
              <w:t>44.88</w:t>
            </w:r>
            <w:r>
              <w:rPr>
                <w:rFonts w:hint="default" w:ascii="Times New Roman" w:hAnsi="Times New Roman" w:eastAsia="宋体" w:cs="Times New Roman"/>
                <w:color w:val="auto"/>
                <w:sz w:val="24"/>
                <w:szCs w:val="24"/>
                <w:highlight w:val="none"/>
                <w:lang w:val="en-US" w:eastAsia="zh-CN"/>
              </w:rPr>
              <w:t>t/a、二氧化硫</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en-US" w:eastAsia="zh-CN"/>
              </w:rPr>
              <w:t>排放量</w:t>
            </w:r>
            <w:r>
              <w:rPr>
                <w:rFonts w:hint="eastAsia" w:ascii="Times New Roman" w:hAnsi="Times New Roman" w:eastAsia="宋体" w:cs="Times New Roman"/>
                <w:color w:val="auto"/>
                <w:sz w:val="24"/>
                <w:szCs w:val="24"/>
                <w:highlight w:val="none"/>
                <w:lang w:val="en-US" w:eastAsia="zh-CN"/>
              </w:rPr>
              <w:t>13.87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颗粒物无组织排放量为2.462t/a，</w:t>
            </w:r>
            <w:r>
              <w:rPr>
                <w:rFonts w:hint="default" w:ascii="Times New Roman" w:hAnsi="Times New Roman" w:eastAsia="宋体" w:cs="Times New Roman"/>
                <w:color w:val="auto"/>
                <w:sz w:val="24"/>
                <w:szCs w:val="24"/>
                <w:highlight w:val="none"/>
                <w:lang w:val="en-US" w:eastAsia="zh-CN"/>
              </w:rPr>
              <w:t>现有项目总量为颗粒物</w:t>
            </w:r>
            <w:r>
              <w:rPr>
                <w:rFonts w:hint="eastAsia" w:ascii="Times New Roman" w:hAnsi="Times New Roman" w:eastAsia="宋体" w:cs="Times New Roman"/>
                <w:color w:val="auto"/>
                <w:sz w:val="24"/>
                <w:szCs w:val="24"/>
                <w:highlight w:val="none"/>
                <w:lang w:val="en-US" w:eastAsia="zh-CN"/>
              </w:rPr>
              <w:t>128</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氮氧化物14.688t/a，</w:t>
            </w:r>
            <w:r>
              <w:rPr>
                <w:rFonts w:hint="default" w:ascii="Times New Roman" w:hAnsi="Times New Roman" w:eastAsia="宋体" w:cs="Times New Roman"/>
                <w:color w:val="auto"/>
                <w:sz w:val="24"/>
                <w:szCs w:val="24"/>
                <w:highlight w:val="none"/>
                <w:lang w:val="en-US" w:eastAsia="zh-CN"/>
              </w:rPr>
              <w:t>二氧化硫</w:t>
            </w:r>
            <w:r>
              <w:rPr>
                <w:rFonts w:hint="eastAsia" w:ascii="Times New Roman" w:hAnsi="Times New Roman" w:eastAsia="宋体" w:cs="Times New Roman"/>
                <w:color w:val="auto"/>
                <w:sz w:val="24"/>
                <w:szCs w:val="24"/>
                <w:highlight w:val="none"/>
                <w:lang w:val="en-US" w:eastAsia="zh-CN"/>
              </w:rPr>
              <w:t>12.64</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本次工程项目</w:t>
            </w:r>
            <w:r>
              <w:rPr>
                <w:rFonts w:hint="default" w:ascii="Times New Roman" w:hAnsi="Times New Roman" w:eastAsia="宋体" w:cs="Times New Roman"/>
                <w:color w:val="auto"/>
                <w:kern w:val="0"/>
                <w:sz w:val="24"/>
                <w:szCs w:val="24"/>
                <w:highlight w:val="none"/>
                <w:lang w:val="en-US" w:eastAsia="zh-CN"/>
              </w:rPr>
              <w:t>需核定的总量控制指标</w:t>
            </w:r>
            <w:r>
              <w:rPr>
                <w:rFonts w:hint="default" w:ascii="Times New Roman" w:hAnsi="Times New Roman" w:eastAsia="宋体" w:cs="Times New Roman"/>
                <w:color w:val="auto"/>
                <w:sz w:val="24"/>
                <w:szCs w:val="24"/>
                <w:highlight w:val="none"/>
                <w:lang w:val="en-US" w:eastAsia="zh-CN"/>
              </w:rPr>
              <w:t>为氮氧化物</w:t>
            </w:r>
            <w:r>
              <w:rPr>
                <w:rFonts w:hint="eastAsia" w:ascii="Times New Roman" w:hAnsi="Times New Roman" w:eastAsia="宋体" w:cs="Times New Roman"/>
                <w:color w:val="auto"/>
                <w:sz w:val="24"/>
                <w:szCs w:val="24"/>
                <w:highlight w:val="none"/>
                <w:lang w:val="en-US" w:eastAsia="zh-CN"/>
              </w:rPr>
              <w:t>30.192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二氧化硫</w:t>
            </w:r>
            <w:r>
              <w:rPr>
                <w:rFonts w:hint="eastAsia" w:ascii="Times New Roman" w:hAnsi="Times New Roman" w:eastAsia="宋体" w:cs="Times New Roman"/>
                <w:color w:val="auto"/>
                <w:sz w:val="24"/>
                <w:szCs w:val="24"/>
                <w:highlight w:val="none"/>
                <w:lang w:val="en-US" w:eastAsia="zh-CN"/>
              </w:rPr>
              <w:t>1.23</w:t>
            </w:r>
            <w:r>
              <w:rPr>
                <w:rFonts w:hint="default" w:ascii="Times New Roman" w:hAnsi="Times New Roman" w:eastAsia="宋体" w:cs="Times New Roman"/>
                <w:color w:val="auto"/>
                <w:sz w:val="24"/>
                <w:szCs w:val="24"/>
                <w:highlight w:val="none"/>
                <w:lang w:val="en-US" w:eastAsia="zh-CN"/>
              </w:rPr>
              <w:t>t/a。</w:t>
            </w:r>
          </w:p>
          <w:p w14:paraId="14A2F55D">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 xml:space="preserve">表3-10  </w:t>
            </w:r>
            <w:r>
              <w:rPr>
                <w:rFonts w:hint="default" w:ascii="Times New Roman" w:hAnsi="Times New Roman" w:eastAsia="黑体" w:cs="Times New Roman"/>
                <w:b w:val="0"/>
                <w:bCs w:val="0"/>
                <w:color w:val="auto"/>
                <w:kern w:val="2"/>
                <w:sz w:val="24"/>
                <w:szCs w:val="24"/>
                <w:highlight w:val="none"/>
                <w:lang w:val="en-US" w:eastAsia="zh-CN" w:bidi="ar-SA"/>
              </w:rPr>
              <w:t>总量申请指标表</w:t>
            </w:r>
          </w:p>
          <w:p w14:paraId="203BC2A9">
            <w:pPr>
              <w:pStyle w:val="92"/>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单位：t/a</w:t>
            </w:r>
          </w:p>
          <w:tbl>
            <w:tblPr>
              <w:tblStyle w:val="24"/>
              <w:tblpPr w:leftFromText="180" w:rightFromText="180" w:vertAnchor="text" w:tblpXSpec="center" w:tblpY="1"/>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03"/>
              <w:gridCol w:w="1317"/>
              <w:gridCol w:w="1499"/>
              <w:gridCol w:w="1532"/>
            </w:tblGrid>
            <w:tr w14:paraId="0BBDA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6" w:type="pct"/>
                  <w:tcBorders>
                    <w:tl2br w:val="nil"/>
                    <w:tr2bl w:val="nil"/>
                  </w:tcBorders>
                  <w:noWrap w:val="0"/>
                  <w:vAlign w:val="center"/>
                </w:tcPr>
                <w:p w14:paraId="5F56F6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总量控制因子</w:t>
                  </w:r>
                </w:p>
              </w:tc>
              <w:tc>
                <w:tcPr>
                  <w:tcW w:w="788" w:type="pct"/>
                  <w:tcBorders>
                    <w:tl2br w:val="nil"/>
                    <w:tr2bl w:val="nil"/>
                  </w:tcBorders>
                  <w:noWrap w:val="0"/>
                  <w:vAlign w:val="center"/>
                </w:tcPr>
                <w:p w14:paraId="5E13CB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颗粒物</w:t>
                  </w:r>
                </w:p>
              </w:tc>
              <w:tc>
                <w:tcPr>
                  <w:tcW w:w="897" w:type="pct"/>
                  <w:tcBorders>
                    <w:tl2br w:val="nil"/>
                    <w:tr2bl w:val="nil"/>
                  </w:tcBorders>
                  <w:noWrap w:val="0"/>
                  <w:vAlign w:val="center"/>
                </w:tcPr>
                <w:p w14:paraId="2650B3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氮氧化物</w:t>
                  </w:r>
                </w:p>
              </w:tc>
              <w:tc>
                <w:tcPr>
                  <w:tcW w:w="917" w:type="pct"/>
                  <w:tcBorders>
                    <w:tl2br w:val="nil"/>
                    <w:tr2bl w:val="nil"/>
                  </w:tcBorders>
                  <w:noWrap w:val="0"/>
                  <w:vAlign w:val="center"/>
                </w:tcPr>
                <w:p w14:paraId="44B88E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二氧化硫</w:t>
                  </w:r>
                </w:p>
              </w:tc>
            </w:tr>
            <w:tr w14:paraId="2F644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2" w:type="dxa"/>
                  <w:tcBorders>
                    <w:tl2br w:val="nil"/>
                    <w:tr2bl w:val="nil"/>
                  </w:tcBorders>
                  <w:noWrap w:val="0"/>
                  <w:vAlign w:val="center"/>
                </w:tcPr>
                <w:p w14:paraId="0E99FA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改</w:t>
                  </w:r>
                  <w:r>
                    <w:rPr>
                      <w:rFonts w:hint="default" w:ascii="Times New Roman" w:hAnsi="Times New Roman" w:eastAsia="宋体" w:cs="Times New Roman"/>
                      <w:color w:val="auto"/>
                      <w:kern w:val="0"/>
                      <w:sz w:val="21"/>
                      <w:szCs w:val="21"/>
                      <w:highlight w:val="none"/>
                      <w:lang w:val="en-US" w:eastAsia="zh-CN"/>
                    </w:rPr>
                    <w:t>扩建后全厂污染物</w:t>
                  </w:r>
                  <w:r>
                    <w:rPr>
                      <w:rFonts w:hint="eastAsia" w:ascii="Times New Roman" w:hAnsi="Times New Roman" w:eastAsia="宋体" w:cs="Times New Roman"/>
                      <w:color w:val="auto"/>
                      <w:kern w:val="0"/>
                      <w:sz w:val="21"/>
                      <w:szCs w:val="21"/>
                      <w:highlight w:val="none"/>
                      <w:lang w:val="en-US" w:eastAsia="zh-CN"/>
                    </w:rPr>
                    <w:t>有组织</w:t>
                  </w:r>
                  <w:r>
                    <w:rPr>
                      <w:rFonts w:hint="default" w:ascii="Times New Roman" w:hAnsi="Times New Roman" w:eastAsia="宋体" w:cs="Times New Roman"/>
                      <w:color w:val="auto"/>
                      <w:kern w:val="0"/>
                      <w:sz w:val="21"/>
                      <w:szCs w:val="21"/>
                      <w:highlight w:val="none"/>
                      <w:lang w:val="en-US" w:eastAsia="zh-CN"/>
                    </w:rPr>
                    <w:t>排放量</w:t>
                  </w:r>
                </w:p>
              </w:tc>
              <w:tc>
                <w:tcPr>
                  <w:tcW w:w="1283" w:type="dxa"/>
                  <w:tcBorders>
                    <w:tl2br w:val="nil"/>
                    <w:tr2bl w:val="nil"/>
                  </w:tcBorders>
                  <w:noWrap w:val="0"/>
                  <w:vAlign w:val="center"/>
                </w:tcPr>
                <w:p w14:paraId="641FDE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17.65</w:t>
                  </w:r>
                </w:p>
              </w:tc>
              <w:tc>
                <w:tcPr>
                  <w:tcW w:w="1461" w:type="dxa"/>
                  <w:tcBorders>
                    <w:tl2br w:val="nil"/>
                    <w:tr2bl w:val="nil"/>
                  </w:tcBorders>
                  <w:noWrap w:val="0"/>
                  <w:vAlign w:val="center"/>
                </w:tcPr>
                <w:p w14:paraId="7768B2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snapToGrid w:val="0"/>
                      <w:color w:val="auto"/>
                      <w:kern w:val="0"/>
                      <w:sz w:val="21"/>
                      <w:szCs w:val="21"/>
                      <w:lang w:val="en-US" w:eastAsia="zh-CN" w:bidi="ar"/>
                    </w:rPr>
                    <w:t>44.88</w:t>
                  </w:r>
                </w:p>
              </w:tc>
              <w:tc>
                <w:tcPr>
                  <w:tcW w:w="1493" w:type="dxa"/>
                  <w:tcBorders>
                    <w:tl2br w:val="nil"/>
                    <w:tr2bl w:val="nil"/>
                  </w:tcBorders>
                  <w:noWrap w:val="0"/>
                  <w:vAlign w:val="center"/>
                </w:tcPr>
                <w:p w14:paraId="3F5EAD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snapToGrid w:val="0"/>
                      <w:color w:val="auto"/>
                      <w:kern w:val="0"/>
                      <w:sz w:val="21"/>
                      <w:szCs w:val="21"/>
                      <w:lang w:val="en-US" w:eastAsia="zh-CN" w:bidi="ar"/>
                    </w:rPr>
                    <w:t>13.87</w:t>
                  </w:r>
                </w:p>
              </w:tc>
            </w:tr>
            <w:tr w14:paraId="0F788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2" w:type="dxa"/>
                  <w:tcBorders>
                    <w:tl2br w:val="nil"/>
                    <w:tr2bl w:val="nil"/>
                  </w:tcBorders>
                  <w:noWrap w:val="0"/>
                  <w:vAlign w:val="center"/>
                </w:tcPr>
                <w:p w14:paraId="2F510D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改扩建后全厂污染物无组织排放量</w:t>
                  </w:r>
                </w:p>
              </w:tc>
              <w:tc>
                <w:tcPr>
                  <w:tcW w:w="1283" w:type="dxa"/>
                  <w:tcBorders>
                    <w:tl2br w:val="nil"/>
                    <w:tr2bl w:val="nil"/>
                  </w:tcBorders>
                  <w:noWrap w:val="0"/>
                  <w:vAlign w:val="center"/>
                </w:tcPr>
                <w:p w14:paraId="11F4DA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2.462</w:t>
                  </w:r>
                </w:p>
              </w:tc>
              <w:tc>
                <w:tcPr>
                  <w:tcW w:w="1461" w:type="dxa"/>
                  <w:tcBorders>
                    <w:tl2br w:val="nil"/>
                    <w:tr2bl w:val="nil"/>
                  </w:tcBorders>
                  <w:noWrap w:val="0"/>
                  <w:vAlign w:val="center"/>
                </w:tcPr>
                <w:p w14:paraId="78CDC2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lang w:val="en-US" w:eastAsia="zh-CN" w:bidi="ar"/>
                    </w:rPr>
                    <w:t>/</w:t>
                  </w:r>
                </w:p>
              </w:tc>
              <w:tc>
                <w:tcPr>
                  <w:tcW w:w="1493" w:type="dxa"/>
                  <w:tcBorders>
                    <w:tl2br w:val="nil"/>
                    <w:tr2bl w:val="nil"/>
                  </w:tcBorders>
                  <w:noWrap w:val="0"/>
                  <w:vAlign w:val="center"/>
                </w:tcPr>
                <w:p w14:paraId="19148E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lang w:val="en-US" w:eastAsia="zh-CN" w:bidi="ar"/>
                    </w:rPr>
                    <w:t>/</w:t>
                  </w:r>
                </w:p>
              </w:tc>
            </w:tr>
            <w:tr w14:paraId="4806B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2" w:type="dxa"/>
                  <w:tcBorders>
                    <w:tl2br w:val="nil"/>
                    <w:tr2bl w:val="nil"/>
                  </w:tcBorders>
                  <w:noWrap w:val="0"/>
                  <w:vAlign w:val="center"/>
                </w:tcPr>
                <w:p w14:paraId="760CE6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现有已核定总量</w:t>
                  </w: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lang w:val="en-US" w:eastAsia="zh-CN"/>
                    </w:rPr>
                    <w:t>屯环发</w:t>
                  </w:r>
                  <w:r>
                    <w:rPr>
                      <w:rFonts w:hint="eastAsia" w:ascii="Times New Roman" w:hAnsi="Times New Roman" w:eastAsia="宋体" w:cs="Times New Roman"/>
                      <w:b w:val="0"/>
                      <w:bCs/>
                      <w:color w:val="auto"/>
                      <w:sz w:val="21"/>
                      <w:szCs w:val="21"/>
                      <w:highlight w:val="none"/>
                      <w:vertAlign w:val="baseline"/>
                      <w:lang w:val="en-US" w:eastAsia="zh-CN"/>
                    </w:rPr>
                    <w:t>〔2008〕16号）</w:t>
                  </w:r>
                </w:p>
              </w:tc>
              <w:tc>
                <w:tcPr>
                  <w:tcW w:w="1283" w:type="dxa"/>
                  <w:tcBorders>
                    <w:tl2br w:val="nil"/>
                    <w:tr2bl w:val="nil"/>
                  </w:tcBorders>
                  <w:noWrap w:val="0"/>
                  <w:vAlign w:val="center"/>
                </w:tcPr>
                <w:p w14:paraId="3FEA51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128</w:t>
                  </w:r>
                </w:p>
              </w:tc>
              <w:tc>
                <w:tcPr>
                  <w:tcW w:w="1461" w:type="dxa"/>
                  <w:tcBorders>
                    <w:tl2br w:val="nil"/>
                    <w:tr2bl w:val="nil"/>
                  </w:tcBorders>
                  <w:noWrap w:val="0"/>
                  <w:vAlign w:val="center"/>
                </w:tcPr>
                <w:p w14:paraId="7028D7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w:t>
                  </w:r>
                </w:p>
              </w:tc>
              <w:tc>
                <w:tcPr>
                  <w:tcW w:w="1493" w:type="dxa"/>
                  <w:tcBorders>
                    <w:tl2br w:val="nil"/>
                    <w:tr2bl w:val="nil"/>
                  </w:tcBorders>
                  <w:noWrap w:val="0"/>
                  <w:vAlign w:val="center"/>
                </w:tcPr>
                <w:p w14:paraId="2216CD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12.64</w:t>
                  </w:r>
                </w:p>
              </w:tc>
            </w:tr>
            <w:tr w14:paraId="0C2A2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2" w:type="dxa"/>
                  <w:tcBorders>
                    <w:tl2br w:val="nil"/>
                    <w:tr2bl w:val="nil"/>
                  </w:tcBorders>
                  <w:noWrap w:val="0"/>
                  <w:vAlign w:val="center"/>
                </w:tcPr>
                <w:p w14:paraId="2A4A2A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现有已核定总量</w:t>
                  </w:r>
                  <w:r>
                    <w:rPr>
                      <w:rFonts w:hint="eastAsia" w:ascii="Times New Roman" w:hAnsi="Times New Roman" w:eastAsia="宋体" w:cs="Times New Roman"/>
                      <w:b w:val="0"/>
                      <w:bCs/>
                      <w:color w:val="auto"/>
                      <w:sz w:val="21"/>
                      <w:szCs w:val="21"/>
                      <w:highlight w:val="none"/>
                      <w:vertAlign w:val="baseline"/>
                      <w:lang w:val="en-US" w:eastAsia="zh-CN"/>
                    </w:rPr>
                    <w:t>（屯环函〔2023〕20号）</w:t>
                  </w:r>
                </w:p>
              </w:tc>
              <w:tc>
                <w:tcPr>
                  <w:tcW w:w="1283" w:type="dxa"/>
                  <w:tcBorders>
                    <w:tl2br w:val="nil"/>
                    <w:tr2bl w:val="nil"/>
                  </w:tcBorders>
                  <w:noWrap w:val="0"/>
                  <w:vAlign w:val="center"/>
                </w:tcPr>
                <w:p w14:paraId="5DBE4A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1.41</w:t>
                  </w:r>
                </w:p>
              </w:tc>
              <w:tc>
                <w:tcPr>
                  <w:tcW w:w="1461" w:type="dxa"/>
                  <w:tcBorders>
                    <w:tl2br w:val="nil"/>
                    <w:tr2bl w:val="nil"/>
                  </w:tcBorders>
                  <w:noWrap w:val="0"/>
                  <w:vAlign w:val="center"/>
                </w:tcPr>
                <w:p w14:paraId="57CC6C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14.688</w:t>
                  </w:r>
                </w:p>
              </w:tc>
              <w:tc>
                <w:tcPr>
                  <w:tcW w:w="1493" w:type="dxa"/>
                  <w:tcBorders>
                    <w:tl2br w:val="nil"/>
                    <w:tr2bl w:val="nil"/>
                  </w:tcBorders>
                  <w:noWrap w:val="0"/>
                  <w:vAlign w:val="center"/>
                </w:tcPr>
                <w:p w14:paraId="02D61A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3.405</w:t>
                  </w:r>
                </w:p>
              </w:tc>
            </w:tr>
            <w:tr w14:paraId="3DFFF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2" w:type="dxa"/>
                  <w:tcBorders>
                    <w:tl2br w:val="nil"/>
                    <w:tr2bl w:val="nil"/>
                  </w:tcBorders>
                  <w:noWrap w:val="0"/>
                  <w:vAlign w:val="center"/>
                </w:tcPr>
                <w:p w14:paraId="3C8A5C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需核定的总量控制指标</w:t>
                  </w:r>
                </w:p>
              </w:tc>
              <w:tc>
                <w:tcPr>
                  <w:tcW w:w="1283" w:type="dxa"/>
                  <w:tcBorders>
                    <w:tl2br w:val="nil"/>
                    <w:tr2bl w:val="nil"/>
                  </w:tcBorders>
                  <w:noWrap w:val="0"/>
                  <w:vAlign w:val="center"/>
                </w:tcPr>
                <w:p w14:paraId="449794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461" w:type="dxa"/>
                  <w:tcBorders>
                    <w:tl2br w:val="nil"/>
                    <w:tr2bl w:val="nil"/>
                  </w:tcBorders>
                  <w:noWrap w:val="0"/>
                  <w:vAlign w:val="center"/>
                </w:tcPr>
                <w:p w14:paraId="1F8F8C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30.192</w:t>
                  </w:r>
                </w:p>
              </w:tc>
              <w:tc>
                <w:tcPr>
                  <w:tcW w:w="1493" w:type="dxa"/>
                  <w:tcBorders>
                    <w:tl2br w:val="nil"/>
                    <w:tr2bl w:val="nil"/>
                  </w:tcBorders>
                  <w:noWrap w:val="0"/>
                  <w:vAlign w:val="center"/>
                </w:tcPr>
                <w:p w14:paraId="1EC0D9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1.23</w:t>
                  </w:r>
                </w:p>
              </w:tc>
            </w:tr>
          </w:tbl>
          <w:p w14:paraId="363CB1B1">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长治市生态环境局屯留分局于2025年</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月1</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日以“屯环函[202</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lang w:val="en-US" w:eastAsia="zh-CN"/>
              </w:rPr>
              <w:t>号”下发了《长治市生态环境局屯留分局关于屯留县圣烨建材有限公司煤矸石砖技改项目大气污染物排放总量控制指标的核定意见》，原则同意本项目申请的新增二氧化硫排放总量：</w:t>
            </w:r>
            <w:r>
              <w:rPr>
                <w:rFonts w:hint="eastAsia" w:cs="Times New Roman"/>
                <w:color w:val="auto"/>
                <w:sz w:val="24"/>
                <w:szCs w:val="24"/>
                <w:highlight w:val="none"/>
                <w:lang w:val="en-US" w:eastAsia="zh-CN"/>
              </w:rPr>
              <w:t>1.23</w:t>
            </w:r>
            <w:r>
              <w:rPr>
                <w:rFonts w:hint="eastAsia" w:ascii="Times New Roman" w:hAnsi="Times New Roman" w:eastAsia="宋体" w:cs="Times New Roman"/>
                <w:color w:val="auto"/>
                <w:sz w:val="24"/>
                <w:szCs w:val="24"/>
                <w:highlight w:val="none"/>
                <w:lang w:val="en-US" w:eastAsia="zh-CN"/>
              </w:rPr>
              <w:t>吨/年</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氮氧化物排放总量：</w:t>
            </w:r>
            <w:r>
              <w:rPr>
                <w:rFonts w:hint="eastAsia" w:cs="Times New Roman"/>
                <w:color w:val="auto"/>
                <w:sz w:val="24"/>
                <w:szCs w:val="24"/>
                <w:highlight w:val="none"/>
                <w:lang w:val="en-US" w:eastAsia="zh-CN"/>
              </w:rPr>
              <w:t>30.192</w:t>
            </w:r>
            <w:r>
              <w:rPr>
                <w:rFonts w:hint="eastAsia" w:ascii="Times New Roman" w:hAnsi="Times New Roman" w:eastAsia="宋体" w:cs="Times New Roman"/>
                <w:color w:val="auto"/>
                <w:sz w:val="24"/>
                <w:szCs w:val="24"/>
                <w:highlight w:val="none"/>
                <w:lang w:val="en-US" w:eastAsia="zh-CN"/>
              </w:rPr>
              <w:t>吨/年。氨氧化物置换量：</w:t>
            </w:r>
            <w:r>
              <w:rPr>
                <w:rFonts w:hint="eastAsia" w:cs="Times New Roman"/>
                <w:color w:val="auto"/>
                <w:sz w:val="24"/>
                <w:szCs w:val="24"/>
                <w:highlight w:val="none"/>
                <w:lang w:val="en-US" w:eastAsia="zh-CN"/>
              </w:rPr>
              <w:t>30.192</w:t>
            </w:r>
            <w:r>
              <w:rPr>
                <w:rFonts w:hint="eastAsia" w:ascii="Times New Roman" w:hAnsi="Times New Roman" w:eastAsia="宋体" w:cs="Times New Roman"/>
                <w:color w:val="auto"/>
                <w:sz w:val="24"/>
                <w:szCs w:val="24"/>
                <w:highlight w:val="none"/>
                <w:lang w:val="en-US" w:eastAsia="zh-CN"/>
              </w:rPr>
              <w:t>吨/年，应严格执行排污权交易制度，通过排污权交易解决。</w:t>
            </w:r>
          </w:p>
          <w:p w14:paraId="20C26A47">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4E54B9DC">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1483764A">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5C541EC4">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1C673A6D">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386D9FF9">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4E7FAFD7">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43029811">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597809B8">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6348C7D2">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0432E899">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4B771FC9">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2CD2135E">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0B2BA4D2">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3085A2F1">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5BE078B4">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009C1530">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7575B2B8">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66F7F52D">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5FE41884">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p w14:paraId="4C253F4E">
            <w:pPr>
              <w:keepNext w:val="0"/>
              <w:keepLines w:val="0"/>
              <w:pageBreakBefore w:val="0"/>
              <w:widowControl/>
              <w:suppressLineNumbers w:val="0"/>
              <w:kinsoku w:val="0"/>
              <w:wordWrap/>
              <w:overflowPunct/>
              <w:topLinePunct w:val="0"/>
              <w:autoSpaceDE w:val="0"/>
              <w:autoSpaceDN w:val="0"/>
              <w:bidi w:val="0"/>
              <w:adjustRightInd/>
              <w:snapToGrid/>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p>
        </w:tc>
      </w:tr>
    </w:tbl>
    <w:p w14:paraId="284FACF8">
      <w:pPr>
        <w:pStyle w:val="20"/>
        <w:jc w:val="center"/>
        <w:outlineLvl w:val="0"/>
        <w:rPr>
          <w:rFonts w:ascii="Times New Roman" w:hAnsi="Times New Roman" w:eastAsia="黑体"/>
          <w:snapToGrid w:val="0"/>
          <w:sz w:val="30"/>
          <w:szCs w:val="30"/>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E13B71C">
      <w:pPr>
        <w:pStyle w:val="20"/>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四、主要环境影响和保护措施</w:t>
      </w:r>
    </w:p>
    <w:tbl>
      <w:tblPr>
        <w:tblStyle w:val="23"/>
        <w:tblpPr w:leftFromText="180" w:rightFromText="180" w:vertAnchor="text" w:tblpXSpec="center" w:tblpY="1"/>
        <w:tblOverlap w:val="never"/>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9"/>
        <w:gridCol w:w="8592"/>
      </w:tblGrid>
      <w:tr w14:paraId="775B8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9" w:hRule="atLeast"/>
          <w:jc w:val="center"/>
        </w:trPr>
        <w:tc>
          <w:tcPr>
            <w:tcW w:w="389" w:type="dxa"/>
            <w:tcBorders>
              <w:tl2br w:val="nil"/>
              <w:tr2bl w:val="nil"/>
            </w:tcBorders>
            <w:tcMar>
              <w:left w:w="28" w:type="dxa"/>
              <w:right w:w="28" w:type="dxa"/>
            </w:tcMar>
            <w:vAlign w:val="center"/>
          </w:tcPr>
          <w:p w14:paraId="7600E2A1">
            <w:pPr>
              <w:pStyle w:val="20"/>
              <w:adjustRightInd w:val="0"/>
              <w:snapToGrid w:val="0"/>
              <w:spacing w:before="0" w:beforeAutospacing="0" w:after="0" w:afterAutospacing="0"/>
              <w:jc w:val="center"/>
              <w:rPr>
                <w:rFonts w:ascii="Times New Roman" w:hAnsi="Times New Roman"/>
                <w:b/>
                <w:bCs/>
                <w:color w:val="auto"/>
                <w:kern w:val="2"/>
                <w:sz w:val="24"/>
                <w:szCs w:val="24"/>
              </w:rPr>
            </w:pPr>
            <w:r>
              <w:rPr>
                <w:rFonts w:ascii="Times New Roman" w:hAnsi="Times New Roman"/>
                <w:b/>
                <w:bCs/>
                <w:color w:val="auto"/>
                <w:kern w:val="2"/>
                <w:sz w:val="24"/>
                <w:szCs w:val="24"/>
              </w:rPr>
              <w:t>施工</w:t>
            </w:r>
          </w:p>
          <w:p w14:paraId="4318A31B">
            <w:pPr>
              <w:pStyle w:val="20"/>
              <w:adjustRightInd w:val="0"/>
              <w:snapToGrid w:val="0"/>
              <w:spacing w:before="0" w:beforeAutospacing="0" w:after="0" w:afterAutospacing="0"/>
              <w:jc w:val="center"/>
              <w:rPr>
                <w:rFonts w:ascii="Times New Roman" w:hAnsi="Times New Roman"/>
                <w:b/>
                <w:bCs/>
                <w:color w:val="auto"/>
                <w:kern w:val="2"/>
                <w:sz w:val="24"/>
                <w:szCs w:val="24"/>
              </w:rPr>
            </w:pPr>
            <w:r>
              <w:rPr>
                <w:rFonts w:ascii="Times New Roman" w:hAnsi="Times New Roman"/>
                <w:b/>
                <w:bCs/>
                <w:color w:val="auto"/>
                <w:kern w:val="2"/>
                <w:sz w:val="24"/>
                <w:szCs w:val="24"/>
              </w:rPr>
              <w:t>期环</w:t>
            </w:r>
          </w:p>
          <w:p w14:paraId="40207E4E">
            <w:pPr>
              <w:pStyle w:val="20"/>
              <w:adjustRightInd w:val="0"/>
              <w:snapToGrid w:val="0"/>
              <w:spacing w:before="0" w:beforeAutospacing="0" w:after="0" w:afterAutospacing="0"/>
              <w:jc w:val="center"/>
              <w:rPr>
                <w:rFonts w:ascii="Times New Roman" w:hAnsi="Times New Roman"/>
                <w:b/>
                <w:bCs/>
                <w:color w:val="auto"/>
                <w:kern w:val="2"/>
                <w:sz w:val="24"/>
                <w:szCs w:val="24"/>
              </w:rPr>
            </w:pPr>
            <w:r>
              <w:rPr>
                <w:rFonts w:ascii="Times New Roman" w:hAnsi="Times New Roman"/>
                <w:b/>
                <w:bCs/>
                <w:color w:val="auto"/>
                <w:kern w:val="2"/>
                <w:sz w:val="24"/>
                <w:szCs w:val="24"/>
              </w:rPr>
              <w:t>境保</w:t>
            </w:r>
          </w:p>
          <w:p w14:paraId="657EA417">
            <w:pPr>
              <w:pStyle w:val="20"/>
              <w:adjustRightInd w:val="0"/>
              <w:snapToGrid w:val="0"/>
              <w:spacing w:before="0" w:beforeAutospacing="0" w:after="0" w:afterAutospacing="0"/>
              <w:jc w:val="center"/>
              <w:rPr>
                <w:rFonts w:ascii="Times New Roman" w:hAnsi="Times New Roman"/>
                <w:b/>
                <w:bCs/>
                <w:color w:val="auto"/>
                <w:kern w:val="2"/>
                <w:sz w:val="24"/>
                <w:szCs w:val="24"/>
              </w:rPr>
            </w:pPr>
            <w:r>
              <w:rPr>
                <w:rFonts w:ascii="Times New Roman" w:hAnsi="Times New Roman"/>
                <w:b/>
                <w:bCs/>
                <w:color w:val="auto"/>
                <w:kern w:val="2"/>
                <w:sz w:val="24"/>
                <w:szCs w:val="24"/>
              </w:rPr>
              <w:t>护措</w:t>
            </w:r>
          </w:p>
          <w:p w14:paraId="1A4A777C">
            <w:pPr>
              <w:pStyle w:val="2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b/>
                <w:bCs/>
                <w:color w:val="auto"/>
                <w:kern w:val="2"/>
                <w:sz w:val="24"/>
                <w:szCs w:val="24"/>
              </w:rPr>
              <w:t>施</w:t>
            </w:r>
          </w:p>
        </w:tc>
        <w:tc>
          <w:tcPr>
            <w:tcW w:w="8592" w:type="dxa"/>
            <w:tcBorders>
              <w:tl2br w:val="nil"/>
              <w:tr2bl w:val="nil"/>
            </w:tcBorders>
            <w:vAlign w:val="center"/>
          </w:tcPr>
          <w:p w14:paraId="2316CDE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本项目不新增场地，在原址进行</w:t>
            </w:r>
            <w:r>
              <w:rPr>
                <w:rFonts w:hint="eastAsia" w:cs="Times New Roman"/>
                <w:color w:val="auto"/>
                <w:sz w:val="24"/>
                <w:szCs w:val="24"/>
                <w:highlight w:val="none"/>
                <w:lang w:val="en-US" w:eastAsia="zh-CN"/>
              </w:rPr>
              <w:t>改</w:t>
            </w:r>
            <w:r>
              <w:rPr>
                <w:rFonts w:hint="eastAsia" w:ascii="Times New Roman" w:hAnsi="Times New Roman" w:eastAsia="宋体" w:cs="Times New Roman"/>
                <w:color w:val="auto"/>
                <w:sz w:val="24"/>
                <w:szCs w:val="24"/>
                <w:highlight w:val="none"/>
                <w:lang w:val="en-US" w:eastAsia="zh-CN"/>
              </w:rPr>
              <w:t>建，施工期主要是环保设备及部分生产设备的安装，以及隧道窑改造等，</w:t>
            </w:r>
            <w:r>
              <w:rPr>
                <w:rFonts w:hint="default" w:ascii="Times New Roman" w:hAnsi="Times New Roman" w:eastAsia="宋体" w:cs="Times New Roman"/>
                <w:color w:val="auto"/>
                <w:sz w:val="24"/>
                <w:szCs w:val="24"/>
                <w:highlight w:val="none"/>
                <w:lang w:val="en-US" w:eastAsia="zh-CN"/>
              </w:rPr>
              <w:t>采取的环保措施如下：</w:t>
            </w:r>
          </w:p>
          <w:p w14:paraId="7F97747A">
            <w:pPr>
              <w:keepNext w:val="0"/>
              <w:keepLines w:val="0"/>
              <w:pageBreakBefore w:val="0"/>
              <w:widowControl w:val="0"/>
              <w:kinsoku/>
              <w:wordWrap/>
              <w:overflowPunct/>
              <w:topLinePunct w:val="0"/>
              <w:autoSpaceDE/>
              <w:autoSpaceDN/>
              <w:bidi w:val="0"/>
              <w:spacing w:line="480" w:lineRule="exact"/>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1、施工期废气防治措施</w:t>
            </w:r>
          </w:p>
          <w:p w14:paraId="62A11A2B">
            <w:pPr>
              <w:keepNext w:val="0"/>
              <w:keepLines w:val="0"/>
              <w:pageBreakBefore w:val="0"/>
              <w:widowControl w:val="0"/>
              <w:kinsoku/>
              <w:wordWrap/>
              <w:overflowPunct/>
              <w:topLinePunct w:val="0"/>
              <w:autoSpaceDE/>
              <w:autoSpaceDN/>
              <w:bidi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（1）扬尘防治措施</w:t>
            </w:r>
          </w:p>
          <w:p w14:paraId="115B0F6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我省2022-2023年水环境、空气质量再提升和土壤、地下水污染防治行动计划的通知》（晋政办发【2022】95号），要求强化扬尘精细化管控。严格落实建筑施工扬尘“六个百分之百”，将防治扬尘污染费用纳入工程造价，吸尘式机械化湿式清扫作业，加大对城市主要市政道路清扫频次，有效提高城市道路清洁水平。严格城市渣土运输车辆管理，严查未按规定时间和路线行驶、沿途抛洒、随意倾倒等违法行为；本项目在施工过程中应当遵循上述通知的要求，认真做好施工期环境保护工作。建筑施工单位必须于开工前15日内向所辖区内环保部门如实申报排放污染物的种类、数量等，并依据建设项目环境保护管理规定的要求，向社会公示项目建设期间环境保护措施，经环保部门审查许可后，方可开工建设。</w:t>
            </w:r>
          </w:p>
          <w:p w14:paraId="5DABAEE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A、施工工地百分百围挡</w:t>
            </w:r>
          </w:p>
          <w:p w14:paraId="2EC454A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单位必须加强施工区的规划管理，严格控制施工作业范围，不得超范围作业。施工现场设置高度不低于1.8m的施工围挡（墙），墙体坚固、稳定、清洁美观，围挡下方设置不低于20cm高的防溢座以防止粉尘流失。并设置施工标志牌，标明当地环境保护主管部门的污染举报电话。</w:t>
            </w:r>
          </w:p>
          <w:p w14:paraId="006D3F5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B、物料堆放百分百覆盖</w:t>
            </w:r>
          </w:p>
          <w:p w14:paraId="1E24D0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施工物料应集中堆放，尽量减少扬尘对周围环境的影响。每一块独立裸露地面都采取覆盖措施，覆盖措施包括：钢板、防尘网（布）、绿化、化学抑尘剂，或达到同等效率的覆盖措施。</w:t>
            </w:r>
          </w:p>
          <w:p w14:paraId="1197F6D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所有砂石、灰土、等易扬尘物料都必须以不透水的隔尘布完全覆盖或放置在顶部和四周均有遮蔽的范围内，防尘布或遮蔽装置的完好率必须100%，小批量且在8小时之内投入使用的物料除外。</w:t>
            </w:r>
          </w:p>
          <w:p w14:paraId="133CF73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施工弃方及时清运，避免大风天气对周围环境空气造成污染。</w:t>
            </w:r>
          </w:p>
          <w:p w14:paraId="55563C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C、出入车辆百分百冲洗</w:t>
            </w:r>
          </w:p>
          <w:p w14:paraId="5178923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输车辆驶出工地前，应对车轮、车身、车槽帮等部位进行清理或清洗以保证车辆清洁上路；洗车喷嘴静水压不低于0.5Mpa；洗车污水经处理后重复使用，回用率不得低于90%，回用水水质良好，悬浮物浓度不应大于150mg/L。</w:t>
            </w:r>
          </w:p>
          <w:p w14:paraId="7026D99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D、施工场地路面百分百硬化</w:t>
            </w:r>
          </w:p>
          <w:p w14:paraId="0635B50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施工场所内车行道路必须全部硬化，任何时候行车道路上不能有明显的尘土，道路清扫时都必须采取洒水措施。</w:t>
            </w:r>
          </w:p>
          <w:p w14:paraId="5717E83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E、工地百分百湿法作业</w:t>
            </w:r>
          </w:p>
          <w:p w14:paraId="7C08903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施工场地应定时洒水，以防止浮沉颗粒，在大风日还应适当增加洒水次数避免物料及土方堆存起尘。</w:t>
            </w:r>
          </w:p>
          <w:p w14:paraId="0C2C0C2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F、运输车辆百分百密闭</w:t>
            </w:r>
          </w:p>
          <w:p w14:paraId="3355369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输车辆应采取密闭措施并确保正常使用。渣土车辆安装卫星定位系统，并接入交通运输部联网联控平台。本项目采用的建筑垃圾运输车辆也应采取密闭措施，不得洒落。依法严查渣土运输车辆未按照规定时间和路线行驶、沿途抛洒、随意倾倒等行为。</w:t>
            </w:r>
          </w:p>
          <w:p w14:paraId="711C8C6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除此“六个百分之百”环境规范管理要求之外，施工单位必须对工程物料及土方运输车辆作出限制性规定，施工期间工地不能现场搅拌混凝土及进行砂浆拌和，水泥混凝土、沥青混凝土、砂浆等均由搅拌站供给，采用密闭罐车运输至场内，由于施工道路扬尘量与车辆的行驶速度有关，速度越快，扬尘量越大，因此，在施工场地对施工车辆必须实施限速行驶，施工期间还应加强环境管理、项目建设单位应严格按照有关规定，向当地环保主管部门提供施工扬尘污染防治方案，以减少施工期扬尘对周围环境的影响。</w:t>
            </w:r>
          </w:p>
          <w:p w14:paraId="2E13391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采取以上措施后，降尘效率以70%计，总之，本工程施工期应严格按照以上的措施执行。只要合理规划、科学管理，施工活动不会对场地周围居民造成明显影响，而且随着施工活动的结束，这些污染也将消失。</w:t>
            </w:r>
          </w:p>
          <w:p w14:paraId="166C015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（2）施工机械与车辆尾气</w:t>
            </w:r>
          </w:p>
          <w:p w14:paraId="25818C4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①施工现场应合理布置运输车辆的行驶路线，配合有关部门搞好施工期间周围道路的交通组织，保证行驶速度，减少怠速时间，以减少机动车尾气排放；</w:t>
            </w:r>
          </w:p>
          <w:p w14:paraId="3F93DA6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②对燃柴油机的大型运输车辆和推土机需要安装尾气净化器，尾气应达标排放；</w:t>
            </w:r>
          </w:p>
          <w:p w14:paraId="3ABFC62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③加强对施工机械，运输车辆的维修保养，禁止运输车辆超载；不得使用劣质燃料。</w:t>
            </w:r>
          </w:p>
          <w:p w14:paraId="25B067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存在的主要废气污染源来自装修过程中板材切割、材料搬运，以及设备安装时打孔等产生的扬尘。项目装修所用板材等材料较少，且持续时间比较短暂，废气排放量较少，装修时尽可能关闭门窗，减少过程中扬尘对外环境的影响。</w:t>
            </w:r>
          </w:p>
          <w:p w14:paraId="7DBFCF8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施工期</w:t>
            </w:r>
            <w:r>
              <w:rPr>
                <w:rFonts w:hint="default" w:ascii="Times New Roman" w:hAnsi="Times New Roman" w:eastAsia="宋体" w:cs="Times New Roman"/>
                <w:b/>
                <w:bCs/>
                <w:color w:val="auto"/>
                <w:sz w:val="24"/>
                <w:szCs w:val="24"/>
                <w:highlight w:val="none"/>
                <w:lang w:val="en-US" w:eastAsia="zh-CN"/>
              </w:rPr>
              <w:t>废水防治措施</w:t>
            </w:r>
          </w:p>
          <w:p w14:paraId="37BE2B2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）施工废水</w:t>
            </w:r>
          </w:p>
          <w:p w14:paraId="31B074B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施工期间主要为砂浆配制过程用水及机械、车辆冲洗用水，生产废水的排放主要由设备冲洗及施工中的跑、冒、滴、漏、溢流产生，仅含有少量混砂，不含其它杂质，这类废水在施工现场设</w:t>
            </w:r>
            <w:r>
              <w:rPr>
                <w:rFonts w:hint="default" w:ascii="Times New Roman" w:hAnsi="Times New Roman" w:eastAsia="宋体" w:cs="Times New Roman"/>
                <w:color w:val="auto"/>
                <w:sz w:val="24"/>
                <w:szCs w:val="24"/>
                <w:highlight w:val="none"/>
                <w:lang w:val="en-US" w:eastAsia="zh-CN"/>
              </w:rPr>
              <w:t>3m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临时沉淀池收集后回用。</w:t>
            </w:r>
          </w:p>
          <w:p w14:paraId="38FEFB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）施工人员生活污水</w:t>
            </w:r>
          </w:p>
          <w:p w14:paraId="724831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施工人员生活污水水质简单，利用厂区内</w:t>
            </w:r>
            <w:r>
              <w:rPr>
                <w:rFonts w:hint="eastAsia" w:cs="Times New Roman"/>
                <w:color w:val="auto"/>
                <w:sz w:val="24"/>
                <w:szCs w:val="24"/>
                <w:highlight w:val="none"/>
                <w:lang w:val="en-US" w:eastAsia="zh-CN"/>
              </w:rPr>
              <w:t>化粪池</w:t>
            </w:r>
            <w:r>
              <w:rPr>
                <w:rFonts w:hint="eastAsia" w:ascii="Times New Roman" w:hAnsi="Times New Roman" w:eastAsia="宋体" w:cs="Times New Roman"/>
                <w:color w:val="auto"/>
                <w:sz w:val="24"/>
                <w:szCs w:val="24"/>
                <w:highlight w:val="none"/>
                <w:lang w:val="en-US" w:eastAsia="zh-CN"/>
              </w:rPr>
              <w:t>，定期清掏外运，确保生活污水不外排。</w:t>
            </w:r>
          </w:p>
          <w:p w14:paraId="0474A09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因此，施工期废水均不外排，对周围环境及地表水环境不会造成影响</w:t>
            </w:r>
            <w:r>
              <w:rPr>
                <w:rFonts w:hint="default" w:ascii="Times New Roman" w:hAnsi="Times New Roman" w:eastAsia="宋体" w:cs="Times New Roman"/>
                <w:color w:val="auto"/>
                <w:sz w:val="24"/>
                <w:szCs w:val="24"/>
                <w:highlight w:val="none"/>
                <w:lang w:val="en-US" w:eastAsia="zh-CN"/>
              </w:rPr>
              <w:t>。</w:t>
            </w:r>
          </w:p>
          <w:p w14:paraId="4325BC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施工期</w:t>
            </w:r>
            <w:r>
              <w:rPr>
                <w:rFonts w:hint="default" w:ascii="Times New Roman" w:hAnsi="Times New Roman" w:eastAsia="宋体" w:cs="Times New Roman"/>
                <w:b/>
                <w:bCs/>
                <w:color w:val="auto"/>
                <w:sz w:val="24"/>
                <w:szCs w:val="24"/>
                <w:highlight w:val="none"/>
                <w:lang w:val="en-US" w:eastAsia="zh-CN"/>
              </w:rPr>
              <w:t>噪声防治措施</w:t>
            </w:r>
          </w:p>
          <w:p w14:paraId="7D077E1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（1）施工单位应使用低噪声机械设备，如选择液压机械取代燃油机械等，并及时维修保养，严格按操作规程使用各类机械。</w:t>
            </w:r>
          </w:p>
          <w:p w14:paraId="3A5A0E2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（2）合理安排施工时间，晚10:00以后至次日早晨6:00禁止使用产生噪声的机械设备；由于工艺或工程进度要求需在夜间施工时，需事先征得环保部门的同意，并树立公告牌向周边居民说明情况。</w:t>
            </w:r>
          </w:p>
          <w:p w14:paraId="1725B01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（3）合理安排施工，防止高噪声设备同时进行施工。</w:t>
            </w:r>
          </w:p>
          <w:p w14:paraId="428125F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（4）运输车辆严格按照规定行驶路线行走，行驶线路要尽量绕开居住区，路过噪声敏感目标时减速慢行并禁止鸣笛。</w:t>
            </w:r>
          </w:p>
          <w:p w14:paraId="451F759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（5）为避免局部地区声级过高，在同一施工点不要安排大量施工机械，尽量将强噪声设备分散安排，应量避免同时运转，同时相对固定的机械设备尽量入棚操作。</w:t>
            </w:r>
          </w:p>
          <w:p w14:paraId="11ECB46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施工期</w:t>
            </w:r>
            <w:r>
              <w:rPr>
                <w:rFonts w:hint="default" w:ascii="Times New Roman" w:hAnsi="Times New Roman" w:eastAsia="宋体" w:cs="Times New Roman"/>
                <w:b/>
                <w:bCs/>
                <w:color w:val="auto"/>
                <w:sz w:val="24"/>
                <w:szCs w:val="24"/>
                <w:highlight w:val="none"/>
                <w:lang w:val="en-US" w:eastAsia="zh-CN"/>
              </w:rPr>
              <w:t>固体废物防治措施</w:t>
            </w:r>
          </w:p>
          <w:p w14:paraId="46EEA09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（1）施工人员产生的生活垃圾在施工现场集中收集后，保障施工人员有一个清洁卫生的工作和生活环境，如设置带盖垃圾桶，生活垃圾收集后定期送黎城生活垃圾填埋场集中处理，禁止乱堆乱放。</w:t>
            </w:r>
          </w:p>
          <w:p w14:paraId="405C0D4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（2）施工过程产生的建筑垃圾及弃土要加强管理分类堆放。首先应考虑回收利用，不可回收利用建筑垃圾及弃土要集中堆放及时清理，送当地指定的建筑垃圾处理场处置，不得随意倾倒影响环境。</w:t>
            </w:r>
          </w:p>
          <w:p w14:paraId="49B84B33">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综上所述，施工期大气、废水、噪声、固体废弃物的影响在时空的作用上均很有限施工结束后，此类影响立即消失。故施工期的环境影响是短期的、轻微的和小范围的。</w:t>
            </w:r>
          </w:p>
          <w:p w14:paraId="3CDE6B93">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0ED834D9">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37A98AA1">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6C584301">
            <w:pPr>
              <w:pStyle w:val="31"/>
              <w:rPr>
                <w:rFonts w:hint="default" w:ascii="Times New Roman" w:hAnsi="Times New Roman" w:eastAsia="宋体" w:cs="Times New Roman"/>
                <w:color w:val="auto"/>
                <w:sz w:val="24"/>
                <w:szCs w:val="24"/>
                <w:highlight w:val="none"/>
                <w:lang w:val="en-US" w:eastAsia="zh-CN"/>
              </w:rPr>
            </w:pPr>
          </w:p>
          <w:p w14:paraId="15EA0851">
            <w:pPr>
              <w:pStyle w:val="12"/>
              <w:rPr>
                <w:rFonts w:hint="default" w:ascii="Times New Roman" w:hAnsi="Times New Roman" w:eastAsia="宋体" w:cs="Times New Roman"/>
                <w:color w:val="auto"/>
                <w:sz w:val="24"/>
                <w:szCs w:val="24"/>
                <w:highlight w:val="none"/>
                <w:lang w:val="en-US" w:eastAsia="zh-CN"/>
              </w:rPr>
            </w:pPr>
          </w:p>
          <w:p w14:paraId="57058257">
            <w:pPr>
              <w:rPr>
                <w:rFonts w:hint="default"/>
                <w:lang w:val="en-US" w:eastAsia="zh-CN"/>
              </w:rPr>
            </w:pPr>
          </w:p>
          <w:p w14:paraId="77FD916F">
            <w:pPr>
              <w:rPr>
                <w:rFonts w:hint="default" w:ascii="Times New Roman" w:hAnsi="Times New Roman" w:eastAsia="宋体" w:cs="Times New Roman"/>
                <w:color w:val="auto"/>
                <w:sz w:val="24"/>
                <w:szCs w:val="24"/>
                <w:highlight w:val="none"/>
                <w:lang w:val="en-US" w:eastAsia="zh-CN"/>
              </w:rPr>
            </w:pPr>
          </w:p>
          <w:p w14:paraId="026FBE71">
            <w:pPr>
              <w:pStyle w:val="31"/>
              <w:rPr>
                <w:rFonts w:hint="default"/>
                <w:lang w:val="en-US" w:eastAsia="zh-CN"/>
              </w:rPr>
            </w:pPr>
          </w:p>
          <w:p w14:paraId="37CD665C">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41F02608">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6E3E9B21">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63029F5F">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5792416D">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4994E8C2">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55C1A511">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3A2D9E15">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p w14:paraId="27CA267E">
            <w:pPr>
              <w:keepNext w:val="0"/>
              <w:keepLines w:val="0"/>
              <w:pageBreakBefore w:val="0"/>
              <w:widowControl w:val="0"/>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p>
        </w:tc>
      </w:tr>
      <w:tr w14:paraId="1BD69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89" w:type="dxa"/>
            <w:tcBorders>
              <w:tl2br w:val="nil"/>
              <w:tr2bl w:val="nil"/>
            </w:tcBorders>
            <w:tcMar>
              <w:left w:w="28" w:type="dxa"/>
              <w:right w:w="28" w:type="dxa"/>
            </w:tcMar>
            <w:vAlign w:val="center"/>
          </w:tcPr>
          <w:p w14:paraId="03E01CD5">
            <w:pPr>
              <w:adjustRightInd w:val="0"/>
              <w:snapToGrid w:val="0"/>
              <w:jc w:val="center"/>
              <w:rPr>
                <w:b/>
                <w:bCs w:val="0"/>
                <w:color w:val="auto"/>
                <w:sz w:val="24"/>
                <w:szCs w:val="24"/>
              </w:rPr>
            </w:pPr>
            <w:r>
              <w:rPr>
                <w:b/>
                <w:bCs w:val="0"/>
                <w:color w:val="auto"/>
                <w:sz w:val="24"/>
                <w:szCs w:val="24"/>
              </w:rPr>
              <w:t>运营</w:t>
            </w:r>
          </w:p>
          <w:p w14:paraId="410FA435">
            <w:pPr>
              <w:adjustRightInd w:val="0"/>
              <w:snapToGrid w:val="0"/>
              <w:jc w:val="center"/>
              <w:rPr>
                <w:b/>
                <w:bCs w:val="0"/>
                <w:color w:val="auto"/>
                <w:sz w:val="24"/>
                <w:szCs w:val="24"/>
              </w:rPr>
            </w:pPr>
            <w:r>
              <w:rPr>
                <w:b/>
                <w:bCs w:val="0"/>
                <w:color w:val="auto"/>
                <w:sz w:val="24"/>
                <w:szCs w:val="24"/>
              </w:rPr>
              <w:t>期环</w:t>
            </w:r>
          </w:p>
          <w:p w14:paraId="4656E4CB">
            <w:pPr>
              <w:adjustRightInd w:val="0"/>
              <w:snapToGrid w:val="0"/>
              <w:jc w:val="center"/>
              <w:rPr>
                <w:b/>
                <w:bCs w:val="0"/>
                <w:color w:val="auto"/>
                <w:sz w:val="24"/>
                <w:szCs w:val="24"/>
              </w:rPr>
            </w:pPr>
            <w:r>
              <w:rPr>
                <w:b/>
                <w:bCs w:val="0"/>
                <w:color w:val="auto"/>
                <w:sz w:val="24"/>
                <w:szCs w:val="24"/>
              </w:rPr>
              <w:t>境影</w:t>
            </w:r>
          </w:p>
          <w:p w14:paraId="087BC87C">
            <w:pPr>
              <w:adjustRightInd w:val="0"/>
              <w:snapToGrid w:val="0"/>
              <w:jc w:val="center"/>
              <w:rPr>
                <w:b/>
                <w:bCs w:val="0"/>
                <w:color w:val="auto"/>
                <w:sz w:val="24"/>
                <w:szCs w:val="24"/>
              </w:rPr>
            </w:pPr>
            <w:r>
              <w:rPr>
                <w:b/>
                <w:bCs w:val="0"/>
                <w:color w:val="auto"/>
                <w:sz w:val="24"/>
                <w:szCs w:val="24"/>
              </w:rPr>
              <w:t>响和</w:t>
            </w:r>
          </w:p>
          <w:p w14:paraId="5EA0375D">
            <w:pPr>
              <w:adjustRightInd w:val="0"/>
              <w:snapToGrid w:val="0"/>
              <w:jc w:val="center"/>
              <w:rPr>
                <w:b/>
                <w:bCs w:val="0"/>
                <w:color w:val="auto"/>
                <w:sz w:val="24"/>
                <w:szCs w:val="24"/>
              </w:rPr>
            </w:pPr>
            <w:r>
              <w:rPr>
                <w:b/>
                <w:bCs w:val="0"/>
                <w:color w:val="auto"/>
                <w:sz w:val="24"/>
                <w:szCs w:val="24"/>
              </w:rPr>
              <w:t>保护</w:t>
            </w:r>
          </w:p>
          <w:p w14:paraId="2E57E81F">
            <w:pPr>
              <w:adjustRightInd w:val="0"/>
              <w:snapToGrid w:val="0"/>
              <w:jc w:val="center"/>
              <w:rPr>
                <w:bCs/>
                <w:color w:val="auto"/>
                <w:szCs w:val="21"/>
              </w:rPr>
            </w:pPr>
            <w:r>
              <w:rPr>
                <w:b/>
                <w:bCs w:val="0"/>
                <w:color w:val="auto"/>
                <w:sz w:val="24"/>
                <w:szCs w:val="24"/>
              </w:rPr>
              <w:t>措施</w:t>
            </w:r>
          </w:p>
        </w:tc>
        <w:tc>
          <w:tcPr>
            <w:tcW w:w="8592" w:type="dxa"/>
            <w:tcBorders>
              <w:tl2br w:val="nil"/>
              <w:tr2bl w:val="nil"/>
            </w:tcBorders>
            <w:vAlign w:val="center"/>
          </w:tcPr>
          <w:p w14:paraId="73469C9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4.1废气</w:t>
            </w:r>
          </w:p>
          <w:p w14:paraId="083CFF9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4.1.1废气污染源产生排放情况</w:t>
            </w:r>
          </w:p>
          <w:p w14:paraId="50134FE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
                <w:bCs/>
                <w:color w:val="auto"/>
                <w:spacing w:val="-3"/>
                <w:sz w:val="24"/>
                <w:szCs w:val="24"/>
                <w:highlight w:val="none"/>
              </w:rPr>
            </w:pPr>
            <w:r>
              <w:rPr>
                <w:rFonts w:hint="eastAsia" w:ascii="Times New Roman" w:hAnsi="Times New Roman" w:eastAsia="宋体" w:cs="Times New Roman"/>
                <w:color w:val="auto"/>
                <w:sz w:val="24"/>
                <w:highlight w:val="none"/>
                <w:lang w:val="en-US" w:eastAsia="zh-CN"/>
              </w:rPr>
              <w:t>见表4-1。</w:t>
            </w:r>
          </w:p>
          <w:p w14:paraId="750826FA">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 w:bidi="ar-SA"/>
              </w:rPr>
            </w:pPr>
            <w:r>
              <w:rPr>
                <w:rFonts w:hint="default" w:ascii="Times New Roman" w:hAnsi="Times New Roman" w:eastAsia="黑体" w:cs="Times New Roman"/>
                <w:b w:val="0"/>
                <w:bCs w:val="0"/>
                <w:color w:val="auto"/>
                <w:kern w:val="2"/>
                <w:sz w:val="24"/>
                <w:szCs w:val="24"/>
                <w:highlight w:val="none"/>
                <w:lang w:val="en-US" w:eastAsia="zh" w:bidi="ar-SA"/>
              </w:rPr>
              <w:t>表4-1</w:t>
            </w:r>
            <w:r>
              <w:rPr>
                <w:rFonts w:hint="default" w:ascii="Times New Roman" w:hAnsi="Times New Roman" w:eastAsia="黑体" w:cs="Times New Roman"/>
                <w:b w:val="0"/>
                <w:bCs w:val="0"/>
                <w:color w:val="auto"/>
                <w:kern w:val="2"/>
                <w:sz w:val="24"/>
                <w:szCs w:val="24"/>
                <w:highlight w:val="none"/>
                <w:lang w:val="en-US" w:eastAsia="zh-CN" w:bidi="ar-SA"/>
              </w:rPr>
              <w:t xml:space="preserve">  </w:t>
            </w:r>
            <w:r>
              <w:rPr>
                <w:rFonts w:hint="default" w:ascii="Times New Roman" w:hAnsi="Times New Roman" w:eastAsia="黑体" w:cs="Times New Roman"/>
                <w:b w:val="0"/>
                <w:bCs w:val="0"/>
                <w:color w:val="auto"/>
                <w:kern w:val="2"/>
                <w:sz w:val="24"/>
                <w:szCs w:val="24"/>
                <w:highlight w:val="none"/>
                <w:lang w:val="en-US" w:eastAsia="zh" w:bidi="ar-SA"/>
              </w:rPr>
              <w:t>废气污染源产生排放情况表</w:t>
            </w:r>
          </w:p>
          <w:p w14:paraId="569D4EE4">
            <w:pPr>
              <w:keepNext w:val="0"/>
              <w:keepLines w:val="0"/>
              <w:pageBreakBefore w:val="0"/>
              <w:widowControl w:val="0"/>
              <w:kinsoku/>
              <w:wordWrap/>
              <w:overflowPunct/>
              <w:topLinePunct w:val="0"/>
              <w:bidi w:val="0"/>
              <w:adjustRightInd w:val="0"/>
              <w:snapToGrid w:val="0"/>
              <w:spacing w:line="25" w:lineRule="exact"/>
              <w:rPr>
                <w:rFonts w:hint="default" w:ascii="Times New Roman" w:hAnsi="Times New Roman" w:cs="Times New Roman"/>
                <w:color w:val="auto"/>
                <w:highlight w:val="none"/>
              </w:rPr>
            </w:pPr>
          </w:p>
          <w:tbl>
            <w:tblPr>
              <w:tblStyle w:val="9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6"/>
              <w:gridCol w:w="1935"/>
              <w:gridCol w:w="1132"/>
              <w:gridCol w:w="1023"/>
              <w:gridCol w:w="1009"/>
              <w:gridCol w:w="55"/>
              <w:gridCol w:w="1065"/>
              <w:gridCol w:w="1169"/>
            </w:tblGrid>
            <w:tr w14:paraId="046AEAD0">
              <w:trPr>
                <w:trHeight w:val="340" w:hRule="atLeast"/>
              </w:trPr>
              <w:tc>
                <w:tcPr>
                  <w:tcW w:w="1744" w:type="pct"/>
                  <w:gridSpan w:val="2"/>
                  <w:tcBorders>
                    <w:tl2br w:val="nil"/>
                    <w:tr2bl w:val="nil"/>
                  </w:tcBorders>
                  <w:noWrap w:val="0"/>
                  <w:vAlign w:val="center"/>
                </w:tcPr>
                <w:p w14:paraId="535AC899">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2"/>
                      <w:sz w:val="21"/>
                      <w:szCs w:val="21"/>
                      <w:highlight w:val="none"/>
                    </w:rPr>
                    <w:t>污染源名称</w:t>
                  </w:r>
                </w:p>
              </w:tc>
              <w:tc>
                <w:tcPr>
                  <w:tcW w:w="2557" w:type="pct"/>
                  <w:gridSpan w:val="5"/>
                  <w:tcBorders>
                    <w:tl2br w:val="nil"/>
                    <w:tr2bl w:val="nil"/>
                  </w:tcBorders>
                  <w:noWrap w:val="0"/>
                  <w:vAlign w:val="center"/>
                </w:tcPr>
                <w:p w14:paraId="185C38D3">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2"/>
                      <w:sz w:val="21"/>
                      <w:szCs w:val="21"/>
                      <w:highlight w:val="none"/>
                      <w:lang w:val="en-US" w:eastAsia="zh-CN"/>
                    </w:rPr>
                    <w:t>隧道</w:t>
                  </w:r>
                  <w:r>
                    <w:rPr>
                      <w:rFonts w:hint="default" w:ascii="Times New Roman" w:hAnsi="Times New Roman" w:cs="Times New Roman"/>
                      <w:b/>
                      <w:bCs/>
                      <w:color w:val="auto"/>
                      <w:spacing w:val="-2"/>
                      <w:sz w:val="21"/>
                      <w:szCs w:val="21"/>
                      <w:highlight w:val="none"/>
                    </w:rPr>
                    <w:t>窑</w:t>
                  </w:r>
                </w:p>
              </w:tc>
              <w:tc>
                <w:tcPr>
                  <w:tcW w:w="697" w:type="pct"/>
                  <w:tcBorders>
                    <w:tl2br w:val="nil"/>
                    <w:tr2bl w:val="nil"/>
                  </w:tcBorders>
                  <w:noWrap w:val="0"/>
                  <w:vAlign w:val="center"/>
                </w:tcPr>
                <w:p w14:paraId="5251228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b/>
                      <w:bCs/>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原料堆存、装卸粉尘</w:t>
                  </w:r>
                </w:p>
              </w:tc>
            </w:tr>
            <w:tr w14:paraId="27F0A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7DE3AF4C">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污染物种类</w:t>
                  </w:r>
                </w:p>
              </w:tc>
              <w:tc>
                <w:tcPr>
                  <w:tcW w:w="675" w:type="pct"/>
                  <w:tcBorders>
                    <w:tl2br w:val="nil"/>
                    <w:tr2bl w:val="nil"/>
                  </w:tcBorders>
                  <w:noWrap w:val="0"/>
                  <w:vAlign w:val="center"/>
                </w:tcPr>
                <w:p w14:paraId="02D8CDE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5"/>
                      <w:sz w:val="21"/>
                      <w:szCs w:val="21"/>
                      <w:highlight w:val="none"/>
                    </w:rPr>
                    <w:t>SO</w:t>
                  </w:r>
                  <w:r>
                    <w:rPr>
                      <w:rFonts w:hint="default" w:ascii="Times New Roman" w:hAnsi="Times New Roman" w:eastAsia="Times New Roman" w:cs="Times New Roman"/>
                      <w:color w:val="auto"/>
                      <w:spacing w:val="-5"/>
                      <w:position w:val="-2"/>
                      <w:sz w:val="21"/>
                      <w:szCs w:val="21"/>
                      <w:highlight w:val="none"/>
                      <w:vertAlign w:val="subscript"/>
                    </w:rPr>
                    <w:t>2</w:t>
                  </w:r>
                </w:p>
              </w:tc>
              <w:tc>
                <w:tcPr>
                  <w:tcW w:w="610" w:type="pct"/>
                  <w:tcBorders>
                    <w:tl2br w:val="nil"/>
                    <w:tr2bl w:val="nil"/>
                  </w:tcBorders>
                  <w:noWrap w:val="0"/>
                  <w:vAlign w:val="center"/>
                </w:tcPr>
                <w:p w14:paraId="72C24DE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NO</w:t>
                  </w:r>
                  <w:r>
                    <w:rPr>
                      <w:rFonts w:hint="default" w:ascii="Times New Roman" w:hAnsi="Times New Roman" w:eastAsia="Times New Roman" w:cs="Times New Roman"/>
                      <w:color w:val="auto"/>
                      <w:position w:val="-2"/>
                      <w:sz w:val="21"/>
                      <w:szCs w:val="21"/>
                      <w:highlight w:val="none"/>
                    </w:rPr>
                    <w:t>x</w:t>
                  </w:r>
                </w:p>
              </w:tc>
              <w:tc>
                <w:tcPr>
                  <w:tcW w:w="602" w:type="pct"/>
                  <w:tcBorders>
                    <w:tl2br w:val="nil"/>
                    <w:tr2bl w:val="nil"/>
                  </w:tcBorders>
                  <w:noWrap w:val="0"/>
                  <w:vAlign w:val="center"/>
                </w:tcPr>
                <w:p w14:paraId="26DDDED7">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颗粒物</w:t>
                  </w:r>
                </w:p>
              </w:tc>
              <w:tc>
                <w:tcPr>
                  <w:tcW w:w="668" w:type="pct"/>
                  <w:gridSpan w:val="2"/>
                  <w:tcBorders>
                    <w:tl2br w:val="nil"/>
                    <w:tr2bl w:val="nil"/>
                  </w:tcBorders>
                  <w:noWrap w:val="0"/>
                  <w:vAlign w:val="center"/>
                </w:tcPr>
                <w:p w14:paraId="5B2E026C">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氟化物</w:t>
                  </w:r>
                </w:p>
              </w:tc>
              <w:tc>
                <w:tcPr>
                  <w:tcW w:w="697" w:type="pct"/>
                  <w:tcBorders>
                    <w:tl2br w:val="nil"/>
                    <w:tr2bl w:val="nil"/>
                  </w:tcBorders>
                  <w:noWrap w:val="0"/>
                  <w:vAlign w:val="center"/>
                </w:tcPr>
                <w:p w14:paraId="754CC70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r>
            <w:tr w14:paraId="57DAD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2409EF40">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排放方式</w:t>
                  </w:r>
                </w:p>
              </w:tc>
              <w:tc>
                <w:tcPr>
                  <w:tcW w:w="2557" w:type="pct"/>
                  <w:gridSpan w:val="5"/>
                  <w:tcBorders>
                    <w:tl2br w:val="nil"/>
                    <w:tr2bl w:val="nil"/>
                  </w:tcBorders>
                  <w:noWrap w:val="0"/>
                  <w:vAlign w:val="center"/>
                </w:tcPr>
                <w:p w14:paraId="695E5F24">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0"/>
                      <w:sz w:val="21"/>
                      <w:szCs w:val="21"/>
                      <w:highlight w:val="none"/>
                    </w:rPr>
                    <w:t>有组织</w:t>
                  </w:r>
                </w:p>
              </w:tc>
              <w:tc>
                <w:tcPr>
                  <w:tcW w:w="697" w:type="pct"/>
                  <w:tcBorders>
                    <w:tl2br w:val="nil"/>
                    <w:tr2bl w:val="nil"/>
                  </w:tcBorders>
                  <w:noWrap w:val="0"/>
                  <w:vAlign w:val="center"/>
                </w:tcPr>
                <w:p w14:paraId="5876088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p>
              </w:tc>
            </w:tr>
            <w:tr w14:paraId="560CA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75E46D07">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废气量（</w:t>
                  </w:r>
                  <w:r>
                    <w:rPr>
                      <w:rFonts w:hint="default" w:ascii="Times New Roman" w:hAnsi="Times New Roman" w:eastAsia="Times New Roman" w:cs="Times New Roman"/>
                      <w:color w:val="auto"/>
                      <w:spacing w:val="-1"/>
                      <w:sz w:val="21"/>
                      <w:szCs w:val="21"/>
                      <w:highlight w:val="none"/>
                    </w:rPr>
                    <w:t>Nm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eastAsia="Times New Roman" w:cs="Times New Roman"/>
                      <w:color w:val="auto"/>
                      <w:spacing w:val="-1"/>
                      <w:sz w:val="21"/>
                      <w:szCs w:val="21"/>
                      <w:highlight w:val="none"/>
                    </w:rPr>
                    <w:t>/h</w:t>
                  </w:r>
                  <w:r>
                    <w:rPr>
                      <w:rFonts w:hint="default" w:ascii="Times New Roman" w:hAnsi="Times New Roman" w:cs="Times New Roman"/>
                      <w:color w:val="auto"/>
                      <w:spacing w:val="-1"/>
                      <w:sz w:val="21"/>
                      <w:szCs w:val="21"/>
                      <w:highlight w:val="none"/>
                    </w:rPr>
                    <w:t>）</w:t>
                  </w:r>
                </w:p>
              </w:tc>
              <w:tc>
                <w:tcPr>
                  <w:tcW w:w="2557" w:type="pct"/>
                  <w:gridSpan w:val="5"/>
                  <w:tcBorders>
                    <w:tl2br w:val="nil"/>
                    <w:tr2bl w:val="nil"/>
                  </w:tcBorders>
                  <w:noWrap w:val="0"/>
                  <w:vAlign w:val="center"/>
                </w:tcPr>
                <w:p w14:paraId="5E16BFD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21111</w:t>
                  </w:r>
                  <w:r>
                    <w:rPr>
                      <w:rFonts w:hint="default" w:ascii="Times New Roman" w:hAnsi="Times New Roman" w:cs="Times New Roman"/>
                      <w:b w:val="0"/>
                      <w:bCs w:val="0"/>
                      <w:color w:val="auto"/>
                      <w:sz w:val="21"/>
                      <w:szCs w:val="21"/>
                      <w:highlight w:val="none"/>
                      <w:lang w:val="en-US" w:eastAsia="zh-CN"/>
                    </w:rPr>
                    <w:t>1</w:t>
                  </w:r>
                </w:p>
              </w:tc>
              <w:tc>
                <w:tcPr>
                  <w:tcW w:w="697" w:type="pct"/>
                  <w:tcBorders>
                    <w:tl2br w:val="nil"/>
                    <w:tr2bl w:val="nil"/>
                  </w:tcBorders>
                  <w:noWrap w:val="0"/>
                  <w:vAlign w:val="center"/>
                </w:tcPr>
                <w:p w14:paraId="6613736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A851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5F821AB1">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污染物</w:t>
                  </w:r>
                  <w:r>
                    <w:rPr>
                      <w:rFonts w:hint="default" w:ascii="Times New Roman" w:hAnsi="Times New Roman" w:cs="Times New Roman"/>
                      <w:color w:val="auto"/>
                      <w:spacing w:val="-3"/>
                      <w:sz w:val="21"/>
                      <w:szCs w:val="21"/>
                      <w:highlight w:val="none"/>
                    </w:rPr>
                    <w:t>产生情况</w:t>
                  </w:r>
                </w:p>
              </w:tc>
              <w:tc>
                <w:tcPr>
                  <w:tcW w:w="1155" w:type="pct"/>
                  <w:tcBorders>
                    <w:tl2br w:val="nil"/>
                    <w:tr2bl w:val="nil"/>
                  </w:tcBorders>
                  <w:noWrap w:val="0"/>
                  <w:vAlign w:val="center"/>
                </w:tcPr>
                <w:p w14:paraId="3BC64C31">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浓度（</w:t>
                  </w:r>
                  <w:r>
                    <w:rPr>
                      <w:rFonts w:hint="default" w:ascii="Times New Roman" w:hAnsi="Times New Roman" w:eastAsia="Times New Roman" w:cs="Times New Roman"/>
                      <w:color w:val="auto"/>
                      <w:spacing w:val="-2"/>
                      <w:sz w:val="21"/>
                      <w:szCs w:val="21"/>
                      <w:highlight w:val="none"/>
                    </w:rPr>
                    <w:t>mg/m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048123F0">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83.07</w:t>
                  </w:r>
                </w:p>
              </w:tc>
              <w:tc>
                <w:tcPr>
                  <w:tcW w:w="610" w:type="pct"/>
                  <w:tcBorders>
                    <w:tl2br w:val="nil"/>
                    <w:tr2bl w:val="nil"/>
                  </w:tcBorders>
                  <w:noWrap w:val="0"/>
                  <w:vAlign w:val="center"/>
                </w:tcPr>
                <w:p w14:paraId="1CA31A61">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53.75</w:t>
                  </w:r>
                </w:p>
              </w:tc>
              <w:tc>
                <w:tcPr>
                  <w:tcW w:w="602" w:type="pct"/>
                  <w:tcBorders>
                    <w:tl2br w:val="nil"/>
                    <w:tr2bl w:val="nil"/>
                  </w:tcBorders>
                  <w:noWrap w:val="0"/>
                  <w:vAlign w:val="center"/>
                </w:tcPr>
                <w:p w14:paraId="61EB7B8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42.81</w:t>
                  </w:r>
                </w:p>
              </w:tc>
              <w:tc>
                <w:tcPr>
                  <w:tcW w:w="668" w:type="pct"/>
                  <w:gridSpan w:val="2"/>
                  <w:tcBorders>
                    <w:tl2br w:val="nil"/>
                    <w:tr2bl w:val="nil"/>
                  </w:tcBorders>
                  <w:noWrap w:val="0"/>
                  <w:vAlign w:val="center"/>
                </w:tcPr>
                <w:p w14:paraId="661F77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9.01</w:t>
                  </w:r>
                </w:p>
              </w:tc>
              <w:tc>
                <w:tcPr>
                  <w:tcW w:w="697" w:type="pct"/>
                  <w:tcBorders>
                    <w:tl2br w:val="nil"/>
                    <w:tr2bl w:val="nil"/>
                  </w:tcBorders>
                  <w:noWrap w:val="0"/>
                  <w:vAlign w:val="center"/>
                </w:tcPr>
                <w:p w14:paraId="03C980C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D09D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0CA3C9B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6114DD7A">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产生量（</w:t>
                  </w:r>
                  <w:r>
                    <w:rPr>
                      <w:rFonts w:hint="default" w:ascii="Times New Roman" w:hAnsi="Times New Roman" w:eastAsia="Times New Roman" w:cs="Times New Roman"/>
                      <w:color w:val="auto"/>
                      <w:spacing w:val="-1"/>
                      <w:sz w:val="21"/>
                      <w:szCs w:val="21"/>
                      <w:highlight w:val="none"/>
                    </w:rPr>
                    <w:t>kg/h</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5D11FA5E">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17.52</w:t>
                  </w:r>
                </w:p>
              </w:tc>
              <w:tc>
                <w:tcPr>
                  <w:tcW w:w="610" w:type="pct"/>
                  <w:tcBorders>
                    <w:tl2br w:val="nil"/>
                    <w:tr2bl w:val="nil"/>
                  </w:tcBorders>
                  <w:noWrap w:val="0"/>
                  <w:vAlign w:val="center"/>
                </w:tcPr>
                <w:p w14:paraId="497CF411">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11.33</w:t>
                  </w:r>
                </w:p>
              </w:tc>
              <w:tc>
                <w:tcPr>
                  <w:tcW w:w="602" w:type="pct"/>
                  <w:tcBorders>
                    <w:tl2br w:val="nil"/>
                    <w:tr2bl w:val="nil"/>
                  </w:tcBorders>
                  <w:noWrap w:val="0"/>
                  <w:vAlign w:val="center"/>
                </w:tcPr>
                <w:p w14:paraId="11B7B01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9.03</w:t>
                  </w:r>
                </w:p>
              </w:tc>
              <w:tc>
                <w:tcPr>
                  <w:tcW w:w="668" w:type="pct"/>
                  <w:gridSpan w:val="2"/>
                  <w:tcBorders>
                    <w:tl2br w:val="nil"/>
                    <w:tr2bl w:val="nil"/>
                  </w:tcBorders>
                  <w:noWrap w:val="0"/>
                  <w:vAlign w:val="center"/>
                </w:tcPr>
                <w:p w14:paraId="29EC54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1.90</w:t>
                  </w:r>
                </w:p>
              </w:tc>
              <w:tc>
                <w:tcPr>
                  <w:tcW w:w="697" w:type="pct"/>
                  <w:tcBorders>
                    <w:tl2br w:val="nil"/>
                    <w:tr2bl w:val="nil"/>
                  </w:tcBorders>
                  <w:noWrap w:val="0"/>
                  <w:vAlign w:val="center"/>
                </w:tcPr>
                <w:p w14:paraId="4974601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vertAlign w:val="baseline"/>
                      <w:lang w:val="en-US" w:eastAsia="zh-CN" w:bidi="ar"/>
                    </w:rPr>
                    <w:t>59.72</w:t>
                  </w:r>
                </w:p>
              </w:tc>
            </w:tr>
            <w:tr w14:paraId="608C0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700C9D3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35FCC2E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产生量（</w:t>
                  </w:r>
                  <w:r>
                    <w:rPr>
                      <w:rFonts w:hint="default" w:ascii="Times New Roman" w:hAnsi="Times New Roman" w:cs="Times New Roman"/>
                      <w:color w:val="auto"/>
                      <w:spacing w:val="-1"/>
                      <w:sz w:val="21"/>
                      <w:szCs w:val="21"/>
                      <w:highlight w:val="none"/>
                      <w:lang w:val="en-US" w:eastAsia="zh-CN"/>
                    </w:rPr>
                    <w:t>t</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cs="Times New Roman"/>
                      <w:color w:val="auto"/>
                      <w:spacing w:val="-1"/>
                      <w:sz w:val="21"/>
                      <w:szCs w:val="21"/>
                      <w:highlight w:val="none"/>
                      <w:lang w:val="en-US" w:eastAsia="zh-CN"/>
                    </w:rPr>
                    <w:t>a</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4F67E9FE">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b w:val="0"/>
                      <w:bCs w:val="0"/>
                      <w:color w:val="auto"/>
                      <w:sz w:val="21"/>
                      <w:szCs w:val="21"/>
                      <w:highlight w:val="none"/>
                      <w:vertAlign w:val="baseline"/>
                      <w:lang w:val="en-US" w:eastAsia="zh-CN"/>
                    </w:rPr>
                    <w:t>138.72</w:t>
                  </w:r>
                </w:p>
              </w:tc>
              <w:tc>
                <w:tcPr>
                  <w:tcW w:w="610" w:type="pct"/>
                  <w:tcBorders>
                    <w:tl2br w:val="nil"/>
                    <w:tr2bl w:val="nil"/>
                  </w:tcBorders>
                  <w:noWrap w:val="0"/>
                  <w:vAlign w:val="center"/>
                </w:tcPr>
                <w:p w14:paraId="230B8EEA">
                  <w:pPr>
                    <w:pStyle w:val="3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89.76</w:t>
                  </w:r>
                </w:p>
              </w:tc>
              <w:tc>
                <w:tcPr>
                  <w:tcW w:w="602" w:type="pct"/>
                  <w:tcBorders>
                    <w:tl2br w:val="nil"/>
                    <w:tr2bl w:val="nil"/>
                  </w:tcBorders>
                  <w:noWrap w:val="0"/>
                  <w:vAlign w:val="center"/>
                </w:tcPr>
                <w:p w14:paraId="17924C7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71.5</w:t>
                  </w:r>
                </w:p>
              </w:tc>
              <w:tc>
                <w:tcPr>
                  <w:tcW w:w="668" w:type="pct"/>
                  <w:gridSpan w:val="2"/>
                  <w:tcBorders>
                    <w:tl2br w:val="nil"/>
                    <w:tr2bl w:val="nil"/>
                  </w:tcBorders>
                  <w:noWrap w:val="0"/>
                  <w:vAlign w:val="center"/>
                </w:tcPr>
                <w:p w14:paraId="5D45413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15.05</w:t>
                  </w:r>
                </w:p>
              </w:tc>
              <w:tc>
                <w:tcPr>
                  <w:tcW w:w="697" w:type="pct"/>
                  <w:tcBorders>
                    <w:tl2br w:val="nil"/>
                    <w:tr2bl w:val="nil"/>
                  </w:tcBorders>
                  <w:noWrap w:val="0"/>
                  <w:vAlign w:val="center"/>
                </w:tcPr>
                <w:p w14:paraId="1969F38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vertAlign w:val="baseline"/>
                      <w:lang w:val="en-US" w:eastAsia="zh-CN" w:bidi="ar"/>
                    </w:rPr>
                    <w:t>473</w:t>
                  </w:r>
                </w:p>
              </w:tc>
            </w:tr>
            <w:tr w14:paraId="3ADFC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7DFCA1B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1A4B005E">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核算方法</w:t>
                  </w:r>
                </w:p>
              </w:tc>
              <w:tc>
                <w:tcPr>
                  <w:tcW w:w="675" w:type="pct"/>
                  <w:tcBorders>
                    <w:tl2br w:val="nil"/>
                    <w:tr2bl w:val="nil"/>
                  </w:tcBorders>
                  <w:noWrap w:val="0"/>
                  <w:vAlign w:val="center"/>
                </w:tcPr>
                <w:p w14:paraId="007FB82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物料核算法</w:t>
                  </w:r>
                </w:p>
              </w:tc>
              <w:tc>
                <w:tcPr>
                  <w:tcW w:w="610" w:type="pct"/>
                  <w:tcBorders>
                    <w:tl2br w:val="nil"/>
                    <w:tr2bl w:val="nil"/>
                  </w:tcBorders>
                  <w:noWrap w:val="0"/>
                  <w:vAlign w:val="center"/>
                </w:tcPr>
                <w:p w14:paraId="5EB2AFF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系数法</w:t>
                  </w:r>
                </w:p>
              </w:tc>
              <w:tc>
                <w:tcPr>
                  <w:tcW w:w="602" w:type="pct"/>
                  <w:tcBorders>
                    <w:tl2br w:val="nil"/>
                    <w:tr2bl w:val="nil"/>
                  </w:tcBorders>
                  <w:noWrap w:val="0"/>
                  <w:vAlign w:val="center"/>
                </w:tcPr>
                <w:p w14:paraId="2FC4B45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系数法</w:t>
                  </w:r>
                </w:p>
              </w:tc>
              <w:tc>
                <w:tcPr>
                  <w:tcW w:w="668" w:type="pct"/>
                  <w:gridSpan w:val="2"/>
                  <w:tcBorders>
                    <w:tl2br w:val="nil"/>
                    <w:tr2bl w:val="nil"/>
                  </w:tcBorders>
                  <w:noWrap w:val="0"/>
                  <w:vAlign w:val="center"/>
                </w:tcPr>
                <w:p w14:paraId="5403E30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物料核算法</w:t>
                  </w:r>
                </w:p>
              </w:tc>
              <w:tc>
                <w:tcPr>
                  <w:tcW w:w="697" w:type="pct"/>
                  <w:tcBorders>
                    <w:tl2br w:val="nil"/>
                    <w:tr2bl w:val="nil"/>
                  </w:tcBorders>
                  <w:noWrap w:val="0"/>
                  <w:vAlign w:val="center"/>
                </w:tcPr>
                <w:p w14:paraId="622F543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r>
            <w:tr w14:paraId="4AFD8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3B5636E1">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污染防治措施</w:t>
                  </w:r>
                </w:p>
              </w:tc>
              <w:tc>
                <w:tcPr>
                  <w:tcW w:w="1155" w:type="pct"/>
                  <w:tcBorders>
                    <w:tl2br w:val="nil"/>
                    <w:tr2bl w:val="nil"/>
                  </w:tcBorders>
                  <w:noWrap w:val="0"/>
                  <w:vAlign w:val="center"/>
                </w:tcPr>
                <w:p w14:paraId="07516DB8">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治理设施</w:t>
                  </w:r>
                </w:p>
              </w:tc>
              <w:tc>
                <w:tcPr>
                  <w:tcW w:w="2557" w:type="pct"/>
                  <w:gridSpan w:val="5"/>
                  <w:tcBorders>
                    <w:tl2br w:val="nil"/>
                    <w:tr2bl w:val="nil"/>
                  </w:tcBorders>
                  <w:noWrap w:val="0"/>
                  <w:vAlign w:val="center"/>
                </w:tcPr>
                <w:p w14:paraId="1C0AF39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 w:val="0"/>
                      <w:bCs w:val="0"/>
                      <w:color w:val="auto"/>
                      <w:sz w:val="21"/>
                      <w:szCs w:val="21"/>
                      <w:highlight w:val="none"/>
                      <w:vertAlign w:val="baseline"/>
                      <w:lang w:val="en-US" w:eastAsia="zh-CN"/>
                    </w:rPr>
                    <w:t>SNCR脱硝+双碱法脱硫+湿电除尘器</w:t>
                  </w:r>
                </w:p>
              </w:tc>
              <w:tc>
                <w:tcPr>
                  <w:tcW w:w="697" w:type="pct"/>
                  <w:tcBorders>
                    <w:tl2br w:val="nil"/>
                    <w:tr2bl w:val="nil"/>
                  </w:tcBorders>
                  <w:noWrap w:val="0"/>
                  <w:vAlign w:val="center"/>
                </w:tcPr>
                <w:p w14:paraId="71DFD26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bidi="ar-SA"/>
                    </w:rPr>
                    <w:t>全封闭+喷雾抑尘设施</w:t>
                  </w:r>
                </w:p>
              </w:tc>
            </w:tr>
            <w:tr w14:paraId="5E30A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0FE8679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5A60CC1B">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收集效率（</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cs="Times New Roman"/>
                      <w:color w:val="auto"/>
                      <w:spacing w:val="-3"/>
                      <w:sz w:val="21"/>
                      <w:szCs w:val="21"/>
                      <w:highlight w:val="none"/>
                    </w:rPr>
                    <w:t>）</w:t>
                  </w:r>
                </w:p>
              </w:tc>
              <w:tc>
                <w:tcPr>
                  <w:tcW w:w="2557" w:type="pct"/>
                  <w:gridSpan w:val="5"/>
                  <w:tcBorders>
                    <w:tl2br w:val="nil"/>
                    <w:tr2bl w:val="nil"/>
                  </w:tcBorders>
                  <w:noWrap w:val="0"/>
                  <w:vAlign w:val="center"/>
                </w:tcPr>
                <w:p w14:paraId="2DF9008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p>
              </w:tc>
              <w:tc>
                <w:tcPr>
                  <w:tcW w:w="697" w:type="pct"/>
                  <w:tcBorders>
                    <w:tl2br w:val="nil"/>
                    <w:tr2bl w:val="nil"/>
                  </w:tcBorders>
                  <w:noWrap w:val="0"/>
                  <w:vAlign w:val="center"/>
                </w:tcPr>
                <w:p w14:paraId="20086F4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95B2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3960DC4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335B467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处理效率（</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57D775A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610" w:type="pct"/>
                  <w:tcBorders>
                    <w:tl2br w:val="nil"/>
                    <w:tr2bl w:val="nil"/>
                  </w:tcBorders>
                  <w:noWrap w:val="0"/>
                  <w:vAlign w:val="center"/>
                </w:tcPr>
                <w:p w14:paraId="544F906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02" w:type="pct"/>
                  <w:tcBorders>
                    <w:tl2br w:val="nil"/>
                    <w:tr2bl w:val="nil"/>
                  </w:tcBorders>
                  <w:noWrap w:val="0"/>
                  <w:vAlign w:val="center"/>
                </w:tcPr>
                <w:p w14:paraId="05C2208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5</w:t>
                  </w:r>
                </w:p>
              </w:tc>
              <w:tc>
                <w:tcPr>
                  <w:tcW w:w="668" w:type="pct"/>
                  <w:gridSpan w:val="2"/>
                  <w:tcBorders>
                    <w:tl2br w:val="nil"/>
                    <w:tr2bl w:val="nil"/>
                  </w:tcBorders>
                  <w:noWrap w:val="0"/>
                  <w:vAlign w:val="center"/>
                </w:tcPr>
                <w:p w14:paraId="714F864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697" w:type="pct"/>
                  <w:tcBorders>
                    <w:tl2br w:val="nil"/>
                    <w:tr2bl w:val="nil"/>
                  </w:tcBorders>
                  <w:noWrap w:val="0"/>
                  <w:vAlign w:val="center"/>
                </w:tcPr>
                <w:p w14:paraId="49D3AC1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74%、99%</w:t>
                  </w:r>
                </w:p>
              </w:tc>
            </w:tr>
            <w:tr w14:paraId="0EF9E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2FDFAB04">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污染物</w:t>
                  </w:r>
                  <w:r>
                    <w:rPr>
                      <w:rFonts w:hint="default" w:ascii="Times New Roman" w:hAnsi="Times New Roman" w:cs="Times New Roman"/>
                      <w:color w:val="auto"/>
                      <w:spacing w:val="-3"/>
                      <w:sz w:val="21"/>
                      <w:szCs w:val="21"/>
                      <w:highlight w:val="none"/>
                    </w:rPr>
                    <w:t>排放情况</w:t>
                  </w:r>
                </w:p>
              </w:tc>
              <w:tc>
                <w:tcPr>
                  <w:tcW w:w="1155" w:type="pct"/>
                  <w:tcBorders>
                    <w:tl2br w:val="nil"/>
                    <w:tr2bl w:val="nil"/>
                  </w:tcBorders>
                  <w:noWrap w:val="0"/>
                  <w:vAlign w:val="center"/>
                </w:tcPr>
                <w:p w14:paraId="5F88FB43">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浓度（</w:t>
                  </w:r>
                  <w:r>
                    <w:rPr>
                      <w:rFonts w:hint="default" w:ascii="Times New Roman" w:hAnsi="Times New Roman" w:eastAsia="Times New Roman" w:cs="Times New Roman"/>
                      <w:color w:val="auto"/>
                      <w:spacing w:val="-2"/>
                      <w:sz w:val="21"/>
                      <w:szCs w:val="21"/>
                      <w:highlight w:val="none"/>
                    </w:rPr>
                    <w:t>mg/m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12B839D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8.31</w:t>
                  </w:r>
                </w:p>
              </w:tc>
              <w:tc>
                <w:tcPr>
                  <w:tcW w:w="610" w:type="pct"/>
                  <w:tcBorders>
                    <w:tl2br w:val="nil"/>
                    <w:tr2bl w:val="nil"/>
                  </w:tcBorders>
                  <w:noWrap w:val="0"/>
                  <w:vAlign w:val="center"/>
                </w:tcPr>
                <w:p w14:paraId="78026C0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26.88</w:t>
                  </w:r>
                </w:p>
              </w:tc>
              <w:tc>
                <w:tcPr>
                  <w:tcW w:w="602" w:type="pct"/>
                  <w:tcBorders>
                    <w:tl2br w:val="nil"/>
                    <w:tr2bl w:val="nil"/>
                  </w:tcBorders>
                  <w:noWrap w:val="0"/>
                  <w:vAlign w:val="center"/>
                </w:tcPr>
                <w:p w14:paraId="61501BB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10</w:t>
                  </w:r>
                </w:p>
              </w:tc>
              <w:tc>
                <w:tcPr>
                  <w:tcW w:w="668" w:type="pct"/>
                  <w:gridSpan w:val="2"/>
                  <w:tcBorders>
                    <w:tl2br w:val="nil"/>
                    <w:tr2bl w:val="nil"/>
                  </w:tcBorders>
                  <w:noWrap w:val="0"/>
                  <w:vAlign w:val="center"/>
                </w:tcPr>
                <w:p w14:paraId="1EC64C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1.8</w:t>
                  </w:r>
                </w:p>
              </w:tc>
              <w:tc>
                <w:tcPr>
                  <w:tcW w:w="697" w:type="pct"/>
                  <w:tcBorders>
                    <w:tl2br w:val="nil"/>
                    <w:tr2bl w:val="nil"/>
                  </w:tcBorders>
                  <w:noWrap w:val="0"/>
                  <w:vAlign w:val="center"/>
                </w:tcPr>
                <w:p w14:paraId="5546034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07DC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36AD901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0FC9B556">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排放量（</w:t>
                  </w:r>
                  <w:r>
                    <w:rPr>
                      <w:rFonts w:hint="default" w:ascii="Times New Roman" w:hAnsi="Times New Roman" w:eastAsia="Times New Roman" w:cs="Times New Roman"/>
                      <w:color w:val="auto"/>
                      <w:spacing w:val="-1"/>
                      <w:sz w:val="21"/>
                      <w:szCs w:val="21"/>
                      <w:highlight w:val="none"/>
                    </w:rPr>
                    <w:t>kg/h</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4B7DF5D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bidi="ar-SA"/>
                    </w:rPr>
                    <w:t>1.75</w:t>
                  </w:r>
                </w:p>
              </w:tc>
              <w:tc>
                <w:tcPr>
                  <w:tcW w:w="610" w:type="pct"/>
                  <w:tcBorders>
                    <w:tl2br w:val="nil"/>
                    <w:tr2bl w:val="nil"/>
                  </w:tcBorders>
                  <w:noWrap w:val="0"/>
                  <w:vAlign w:val="center"/>
                </w:tcPr>
                <w:p w14:paraId="044BB99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5.67</w:t>
                  </w:r>
                </w:p>
              </w:tc>
              <w:tc>
                <w:tcPr>
                  <w:tcW w:w="602" w:type="pct"/>
                  <w:tcBorders>
                    <w:tl2br w:val="nil"/>
                    <w:tr2bl w:val="nil"/>
                  </w:tcBorders>
                  <w:noWrap w:val="0"/>
                  <w:vAlign w:val="center"/>
                </w:tcPr>
                <w:p w14:paraId="3D484B1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2.11</w:t>
                  </w:r>
                </w:p>
              </w:tc>
              <w:tc>
                <w:tcPr>
                  <w:tcW w:w="668" w:type="pct"/>
                  <w:gridSpan w:val="2"/>
                  <w:tcBorders>
                    <w:tl2br w:val="nil"/>
                    <w:tr2bl w:val="nil"/>
                  </w:tcBorders>
                  <w:noWrap w:val="0"/>
                  <w:vAlign w:val="center"/>
                </w:tcPr>
                <w:p w14:paraId="4C215B1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bidi="ar-SA"/>
                    </w:rPr>
                    <w:t>0.38</w:t>
                  </w:r>
                </w:p>
              </w:tc>
              <w:tc>
                <w:tcPr>
                  <w:tcW w:w="697" w:type="pct"/>
                  <w:tcBorders>
                    <w:tl2br w:val="nil"/>
                    <w:tr2bl w:val="nil"/>
                  </w:tcBorders>
                  <w:noWrap w:val="0"/>
                  <w:vAlign w:val="center"/>
                </w:tcPr>
                <w:p w14:paraId="0C2485E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bidi="ar"/>
                    </w:rPr>
                    <w:t>0.16</w:t>
                  </w:r>
                </w:p>
              </w:tc>
            </w:tr>
            <w:tr w14:paraId="56513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0B14AC6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6C76D324">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核算方法</w:t>
                  </w:r>
                </w:p>
              </w:tc>
              <w:tc>
                <w:tcPr>
                  <w:tcW w:w="675" w:type="pct"/>
                  <w:tcBorders>
                    <w:tl2br w:val="nil"/>
                    <w:tr2bl w:val="nil"/>
                  </w:tcBorders>
                  <w:noWrap w:val="0"/>
                  <w:vAlign w:val="center"/>
                </w:tcPr>
                <w:p w14:paraId="453D290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物料核算法</w:t>
                  </w:r>
                </w:p>
              </w:tc>
              <w:tc>
                <w:tcPr>
                  <w:tcW w:w="610" w:type="pct"/>
                  <w:tcBorders>
                    <w:tl2br w:val="nil"/>
                    <w:tr2bl w:val="nil"/>
                  </w:tcBorders>
                  <w:noWrap w:val="0"/>
                  <w:vAlign w:val="center"/>
                </w:tcPr>
                <w:p w14:paraId="3798A65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系数法</w:t>
                  </w:r>
                </w:p>
              </w:tc>
              <w:tc>
                <w:tcPr>
                  <w:tcW w:w="602" w:type="pct"/>
                  <w:tcBorders>
                    <w:tl2br w:val="nil"/>
                    <w:tr2bl w:val="nil"/>
                  </w:tcBorders>
                  <w:noWrap w:val="0"/>
                  <w:vAlign w:val="center"/>
                </w:tcPr>
                <w:p w14:paraId="12CA882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系数法</w:t>
                  </w:r>
                </w:p>
              </w:tc>
              <w:tc>
                <w:tcPr>
                  <w:tcW w:w="668" w:type="pct"/>
                  <w:gridSpan w:val="2"/>
                  <w:tcBorders>
                    <w:tl2br w:val="nil"/>
                    <w:tr2bl w:val="nil"/>
                  </w:tcBorders>
                  <w:noWrap w:val="0"/>
                  <w:vAlign w:val="center"/>
                </w:tcPr>
                <w:p w14:paraId="6A48229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物料核算法</w:t>
                  </w:r>
                </w:p>
              </w:tc>
              <w:tc>
                <w:tcPr>
                  <w:tcW w:w="697" w:type="pct"/>
                  <w:tcBorders>
                    <w:tl2br w:val="nil"/>
                    <w:tr2bl w:val="nil"/>
                  </w:tcBorders>
                  <w:noWrap w:val="0"/>
                  <w:vAlign w:val="center"/>
                </w:tcPr>
                <w:p w14:paraId="3C9D44F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r>
            <w:tr w14:paraId="662BE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5FCF8A8E">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年运行时间（</w:t>
                  </w:r>
                  <w:r>
                    <w:rPr>
                      <w:rFonts w:hint="default" w:ascii="Times New Roman" w:hAnsi="Times New Roman" w:eastAsia="Times New Roman" w:cs="Times New Roman"/>
                      <w:color w:val="auto"/>
                      <w:spacing w:val="-1"/>
                      <w:sz w:val="21"/>
                      <w:szCs w:val="21"/>
                      <w:highlight w:val="none"/>
                    </w:rPr>
                    <w:t>h/a</w:t>
                  </w:r>
                  <w:r>
                    <w:rPr>
                      <w:rFonts w:hint="default" w:ascii="Times New Roman" w:hAnsi="Times New Roman" w:cs="Times New Roman"/>
                      <w:color w:val="auto"/>
                      <w:spacing w:val="-1"/>
                      <w:sz w:val="21"/>
                      <w:szCs w:val="21"/>
                      <w:highlight w:val="none"/>
                    </w:rPr>
                    <w:t>）</w:t>
                  </w:r>
                </w:p>
              </w:tc>
              <w:tc>
                <w:tcPr>
                  <w:tcW w:w="2557" w:type="pct"/>
                  <w:gridSpan w:val="5"/>
                  <w:tcBorders>
                    <w:tl2br w:val="nil"/>
                    <w:tr2bl w:val="nil"/>
                  </w:tcBorders>
                  <w:noWrap w:val="0"/>
                  <w:vAlign w:val="center"/>
                </w:tcPr>
                <w:p w14:paraId="29C1F63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7920</w:t>
                  </w:r>
                </w:p>
              </w:tc>
              <w:tc>
                <w:tcPr>
                  <w:tcW w:w="697" w:type="pct"/>
                  <w:tcBorders>
                    <w:tl2br w:val="nil"/>
                    <w:tr2bl w:val="nil"/>
                  </w:tcBorders>
                  <w:noWrap w:val="0"/>
                  <w:vAlign w:val="center"/>
                </w:tcPr>
                <w:p w14:paraId="0831E2B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7920</w:t>
                  </w:r>
                </w:p>
              </w:tc>
            </w:tr>
            <w:tr w14:paraId="09880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7921B69F">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年排放量（</w:t>
                  </w:r>
                  <w:r>
                    <w:rPr>
                      <w:rFonts w:hint="default" w:ascii="Times New Roman" w:hAnsi="Times New Roman" w:eastAsia="Times New Roman" w:cs="Times New Roman"/>
                      <w:color w:val="auto"/>
                      <w:spacing w:val="-1"/>
                      <w:sz w:val="21"/>
                      <w:szCs w:val="21"/>
                      <w:highlight w:val="none"/>
                    </w:rPr>
                    <w:t>t/a</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4B4D63C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13.87</w:t>
                  </w:r>
                </w:p>
              </w:tc>
              <w:tc>
                <w:tcPr>
                  <w:tcW w:w="610" w:type="pct"/>
                  <w:tcBorders>
                    <w:tl2br w:val="nil"/>
                    <w:tr2bl w:val="nil"/>
                  </w:tcBorders>
                  <w:noWrap w:val="0"/>
                  <w:vAlign w:val="center"/>
                </w:tcPr>
                <w:p w14:paraId="5E09011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44.88</w:t>
                  </w:r>
                </w:p>
              </w:tc>
              <w:tc>
                <w:tcPr>
                  <w:tcW w:w="602" w:type="pct"/>
                  <w:tcBorders>
                    <w:tl2br w:val="nil"/>
                    <w:tr2bl w:val="nil"/>
                  </w:tcBorders>
                  <w:noWrap w:val="0"/>
                  <w:vAlign w:val="center"/>
                </w:tcPr>
                <w:p w14:paraId="3AB7589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16.7</w:t>
                  </w:r>
                </w:p>
              </w:tc>
              <w:tc>
                <w:tcPr>
                  <w:tcW w:w="668" w:type="pct"/>
                  <w:gridSpan w:val="2"/>
                  <w:tcBorders>
                    <w:tl2br w:val="nil"/>
                    <w:tr2bl w:val="nil"/>
                  </w:tcBorders>
                  <w:noWrap w:val="0"/>
                  <w:vAlign w:val="center"/>
                </w:tcPr>
                <w:p w14:paraId="66F5751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bidi="ar-SA"/>
                    </w:rPr>
                    <w:t>3.01</w:t>
                  </w:r>
                </w:p>
              </w:tc>
              <w:tc>
                <w:tcPr>
                  <w:tcW w:w="697" w:type="pct"/>
                  <w:tcBorders>
                    <w:tl2br w:val="nil"/>
                    <w:tr2bl w:val="nil"/>
                  </w:tcBorders>
                  <w:noWrap w:val="0"/>
                  <w:vAlign w:val="center"/>
                </w:tcPr>
                <w:p w14:paraId="657C08A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0"/>
                      <w:sz w:val="21"/>
                      <w:szCs w:val="21"/>
                      <w:highlight w:val="none"/>
                      <w:vertAlign w:val="baseline"/>
                      <w:lang w:val="en-US" w:eastAsia="zh-CN" w:bidi="ar"/>
                    </w:rPr>
                    <w:t>1.23</w:t>
                  </w:r>
                </w:p>
              </w:tc>
            </w:tr>
            <w:tr w14:paraId="5FC8F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46907ED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排放参数</w:t>
                  </w:r>
                  <w:r>
                    <w:rPr>
                      <w:rFonts w:hint="default" w:ascii="Times New Roman" w:hAnsi="Times New Roman" w:cs="Times New Roman"/>
                      <w:color w:val="auto"/>
                      <w:spacing w:val="-5"/>
                      <w:sz w:val="21"/>
                      <w:szCs w:val="21"/>
                      <w:highlight w:val="none"/>
                    </w:rPr>
                    <w:t>（有组织）</w:t>
                  </w:r>
                </w:p>
              </w:tc>
              <w:tc>
                <w:tcPr>
                  <w:tcW w:w="1155" w:type="pct"/>
                  <w:tcBorders>
                    <w:tl2br w:val="nil"/>
                    <w:tr2bl w:val="nil"/>
                  </w:tcBorders>
                  <w:noWrap w:val="0"/>
                  <w:vAlign w:val="center"/>
                </w:tcPr>
                <w:p w14:paraId="6648200F">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排气筒高度（</w:t>
                  </w:r>
                  <w:r>
                    <w:rPr>
                      <w:rFonts w:hint="default" w:ascii="Times New Roman" w:hAnsi="Times New Roman" w:eastAsia="Times New Roman" w:cs="Times New Roman"/>
                      <w:color w:val="auto"/>
                      <w:spacing w:val="-1"/>
                      <w:sz w:val="21"/>
                      <w:szCs w:val="21"/>
                      <w:highlight w:val="none"/>
                    </w:rPr>
                    <w:t>m</w:t>
                  </w:r>
                  <w:r>
                    <w:rPr>
                      <w:rFonts w:hint="default" w:ascii="Times New Roman" w:hAnsi="Times New Roman" w:cs="Times New Roman"/>
                      <w:color w:val="auto"/>
                      <w:spacing w:val="-1"/>
                      <w:sz w:val="21"/>
                      <w:szCs w:val="21"/>
                      <w:highlight w:val="none"/>
                    </w:rPr>
                    <w:t>）</w:t>
                  </w:r>
                </w:p>
              </w:tc>
              <w:tc>
                <w:tcPr>
                  <w:tcW w:w="2557" w:type="pct"/>
                  <w:gridSpan w:val="5"/>
                  <w:tcBorders>
                    <w:tl2br w:val="nil"/>
                    <w:tr2bl w:val="nil"/>
                  </w:tcBorders>
                  <w:noWrap w:val="0"/>
                  <w:vAlign w:val="center"/>
                </w:tcPr>
                <w:p w14:paraId="3C81ECB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c>
                <w:tcPr>
                  <w:tcW w:w="697" w:type="pct"/>
                  <w:tcBorders>
                    <w:tl2br w:val="nil"/>
                    <w:tr2bl w:val="nil"/>
                  </w:tcBorders>
                  <w:noWrap w:val="0"/>
                  <w:vAlign w:val="center"/>
                </w:tcPr>
                <w:p w14:paraId="58E5287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094B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4533831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511A7C7A">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出口内径（</w:t>
                  </w:r>
                  <w:r>
                    <w:rPr>
                      <w:rFonts w:hint="default" w:ascii="Times New Roman" w:hAnsi="Times New Roman" w:eastAsia="Times New Roman" w:cs="Times New Roman"/>
                      <w:color w:val="auto"/>
                      <w:spacing w:val="-4"/>
                      <w:sz w:val="21"/>
                      <w:szCs w:val="21"/>
                      <w:highlight w:val="none"/>
                    </w:rPr>
                    <w:t>m</w:t>
                  </w:r>
                  <w:r>
                    <w:rPr>
                      <w:rFonts w:hint="default" w:ascii="Times New Roman" w:hAnsi="Times New Roman" w:cs="Times New Roman"/>
                      <w:color w:val="auto"/>
                      <w:spacing w:val="-4"/>
                      <w:sz w:val="21"/>
                      <w:szCs w:val="21"/>
                      <w:highlight w:val="none"/>
                    </w:rPr>
                    <w:t>）</w:t>
                  </w:r>
                </w:p>
              </w:tc>
              <w:tc>
                <w:tcPr>
                  <w:tcW w:w="2557" w:type="pct"/>
                  <w:gridSpan w:val="5"/>
                  <w:tcBorders>
                    <w:tl2br w:val="nil"/>
                    <w:tr2bl w:val="nil"/>
                  </w:tcBorders>
                  <w:noWrap w:val="0"/>
                  <w:vAlign w:val="center"/>
                </w:tcPr>
                <w:p w14:paraId="2EE3BA0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97" w:type="pct"/>
                  <w:tcBorders>
                    <w:tl2br w:val="nil"/>
                    <w:tr2bl w:val="nil"/>
                  </w:tcBorders>
                  <w:noWrap w:val="0"/>
                  <w:vAlign w:val="center"/>
                </w:tcPr>
                <w:p w14:paraId="789807E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42A51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77FFCA2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56C6F92F">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3"/>
                      <w:sz w:val="21"/>
                      <w:szCs w:val="21"/>
                      <w:highlight w:val="none"/>
                    </w:rPr>
                    <w:t>排放温度(</w:t>
                  </w:r>
                  <w:r>
                    <w:rPr>
                      <w:rFonts w:hint="default" w:ascii="Times New Roman" w:hAnsi="Times New Roman" w:eastAsia="宋体" w:cs="Times New Roman"/>
                      <w:color w:val="auto"/>
                      <w:spacing w:val="13"/>
                      <w:sz w:val="21"/>
                      <w:szCs w:val="21"/>
                      <w:highlight w:val="none"/>
                    </w:rPr>
                    <w:t>℃</w:t>
                  </w:r>
                  <w:r>
                    <w:rPr>
                      <w:rFonts w:hint="default" w:ascii="Times New Roman" w:hAnsi="Times New Roman" w:cs="Times New Roman"/>
                      <w:color w:val="auto"/>
                      <w:spacing w:val="-4"/>
                      <w:sz w:val="21"/>
                      <w:szCs w:val="21"/>
                      <w:highlight w:val="none"/>
                    </w:rPr>
                    <w:t>）</w:t>
                  </w:r>
                </w:p>
              </w:tc>
              <w:tc>
                <w:tcPr>
                  <w:tcW w:w="2557" w:type="pct"/>
                  <w:gridSpan w:val="5"/>
                  <w:tcBorders>
                    <w:tl2br w:val="nil"/>
                    <w:tr2bl w:val="nil"/>
                  </w:tcBorders>
                  <w:noWrap w:val="0"/>
                  <w:vAlign w:val="center"/>
                </w:tcPr>
                <w:p w14:paraId="276B93E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70</w:t>
                  </w:r>
                </w:p>
              </w:tc>
              <w:tc>
                <w:tcPr>
                  <w:tcW w:w="697" w:type="pct"/>
                  <w:tcBorders>
                    <w:tl2br w:val="nil"/>
                    <w:tr2bl w:val="nil"/>
                  </w:tcBorders>
                  <w:noWrap w:val="0"/>
                  <w:vAlign w:val="center"/>
                </w:tcPr>
                <w:p w14:paraId="15DF987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55AE7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0D1F7456">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color w:val="auto"/>
                      <w:spacing w:val="-2"/>
                      <w:sz w:val="21"/>
                      <w:szCs w:val="21"/>
                      <w:highlight w:val="none"/>
                    </w:rPr>
                    <w:t>污染源名称</w:t>
                  </w:r>
                </w:p>
              </w:tc>
              <w:tc>
                <w:tcPr>
                  <w:tcW w:w="1286" w:type="pct"/>
                  <w:gridSpan w:val="2"/>
                  <w:tcBorders>
                    <w:tl2br w:val="nil"/>
                    <w:tr2bl w:val="nil"/>
                  </w:tcBorders>
                  <w:noWrap w:val="0"/>
                  <w:vAlign w:val="center"/>
                </w:tcPr>
                <w:p w14:paraId="499AC62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破碎筛分</w:t>
                  </w:r>
                </w:p>
              </w:tc>
              <w:tc>
                <w:tcPr>
                  <w:tcW w:w="635" w:type="pct"/>
                  <w:gridSpan w:val="2"/>
                  <w:tcBorders>
                    <w:tl2br w:val="nil"/>
                    <w:tr2bl w:val="nil"/>
                  </w:tcBorders>
                  <w:noWrap w:val="0"/>
                  <w:vAlign w:val="center"/>
                </w:tcPr>
                <w:p w14:paraId="7677A6F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道路运输</w:t>
                  </w:r>
                </w:p>
              </w:tc>
              <w:tc>
                <w:tcPr>
                  <w:tcW w:w="635" w:type="pct"/>
                  <w:tcBorders>
                    <w:tl2br w:val="nil"/>
                    <w:tr2bl w:val="nil"/>
                  </w:tcBorders>
                  <w:noWrap w:val="0"/>
                  <w:vAlign w:val="center"/>
                </w:tcPr>
                <w:p w14:paraId="1BFDEEF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石灰筒仓</w:t>
                  </w:r>
                </w:p>
              </w:tc>
              <w:tc>
                <w:tcPr>
                  <w:tcW w:w="697" w:type="pct"/>
                  <w:tcBorders>
                    <w:tl2br w:val="nil"/>
                    <w:tr2bl w:val="nil"/>
                  </w:tcBorders>
                  <w:noWrap w:val="0"/>
                  <w:vAlign w:val="center"/>
                </w:tcPr>
                <w:p w14:paraId="20686F8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皮带机输送</w:t>
                  </w:r>
                </w:p>
              </w:tc>
            </w:tr>
            <w:tr w14:paraId="2CD68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179D630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2"/>
                      <w:sz w:val="21"/>
                      <w:szCs w:val="21"/>
                      <w:highlight w:val="none"/>
                    </w:rPr>
                    <w:t>污染物种类</w:t>
                  </w:r>
                </w:p>
              </w:tc>
              <w:tc>
                <w:tcPr>
                  <w:tcW w:w="1286" w:type="pct"/>
                  <w:gridSpan w:val="2"/>
                  <w:tcBorders>
                    <w:tl2br w:val="nil"/>
                    <w:tr2bl w:val="nil"/>
                  </w:tcBorders>
                  <w:noWrap w:val="0"/>
                  <w:vAlign w:val="center"/>
                </w:tcPr>
                <w:p w14:paraId="7EF4807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颗粒物</w:t>
                  </w:r>
                </w:p>
              </w:tc>
              <w:tc>
                <w:tcPr>
                  <w:tcW w:w="635" w:type="pct"/>
                  <w:gridSpan w:val="2"/>
                  <w:tcBorders>
                    <w:tl2br w:val="nil"/>
                    <w:tr2bl w:val="nil"/>
                  </w:tcBorders>
                  <w:noWrap w:val="0"/>
                  <w:vAlign w:val="center"/>
                </w:tcPr>
                <w:p w14:paraId="167B27E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颗粒物</w:t>
                  </w:r>
                </w:p>
              </w:tc>
              <w:tc>
                <w:tcPr>
                  <w:tcW w:w="635" w:type="pct"/>
                  <w:tcBorders>
                    <w:tl2br w:val="nil"/>
                    <w:tr2bl w:val="nil"/>
                  </w:tcBorders>
                  <w:noWrap w:val="0"/>
                  <w:vAlign w:val="center"/>
                </w:tcPr>
                <w:p w14:paraId="5B4F86E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2"/>
                      <w:sz w:val="21"/>
                      <w:szCs w:val="21"/>
                      <w:highlight w:val="none"/>
                    </w:rPr>
                    <w:t>颗粒物</w:t>
                  </w:r>
                </w:p>
              </w:tc>
              <w:tc>
                <w:tcPr>
                  <w:tcW w:w="697" w:type="pct"/>
                  <w:tcBorders>
                    <w:tl2br w:val="nil"/>
                    <w:tr2bl w:val="nil"/>
                  </w:tcBorders>
                  <w:noWrap w:val="0"/>
                  <w:vAlign w:val="center"/>
                </w:tcPr>
                <w:p w14:paraId="50EE59A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颗粒物</w:t>
                  </w:r>
                </w:p>
              </w:tc>
            </w:tr>
            <w:tr w14:paraId="3181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0E81EB9C">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2"/>
                      <w:sz w:val="21"/>
                      <w:szCs w:val="21"/>
                      <w:highlight w:val="none"/>
                    </w:rPr>
                    <w:t>排放方式</w:t>
                  </w:r>
                </w:p>
              </w:tc>
              <w:tc>
                <w:tcPr>
                  <w:tcW w:w="675" w:type="pct"/>
                  <w:tcBorders>
                    <w:tl2br w:val="nil"/>
                    <w:tr2bl w:val="nil"/>
                  </w:tcBorders>
                  <w:noWrap w:val="0"/>
                  <w:vAlign w:val="center"/>
                </w:tcPr>
                <w:p w14:paraId="7A70BE5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0"/>
                      <w:sz w:val="21"/>
                      <w:szCs w:val="21"/>
                      <w:highlight w:val="none"/>
                    </w:rPr>
                    <w:t>有组织</w:t>
                  </w:r>
                </w:p>
              </w:tc>
              <w:tc>
                <w:tcPr>
                  <w:tcW w:w="610" w:type="pct"/>
                  <w:tcBorders>
                    <w:tl2br w:val="nil"/>
                    <w:tr2bl w:val="nil"/>
                  </w:tcBorders>
                  <w:noWrap w:val="0"/>
                  <w:vAlign w:val="center"/>
                </w:tcPr>
                <w:p w14:paraId="54C3C87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p>
              </w:tc>
              <w:tc>
                <w:tcPr>
                  <w:tcW w:w="635" w:type="pct"/>
                  <w:gridSpan w:val="2"/>
                  <w:tcBorders>
                    <w:tl2br w:val="nil"/>
                    <w:tr2bl w:val="nil"/>
                  </w:tcBorders>
                  <w:noWrap w:val="0"/>
                  <w:vAlign w:val="center"/>
                </w:tcPr>
                <w:p w14:paraId="4676B5D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p>
              </w:tc>
              <w:tc>
                <w:tcPr>
                  <w:tcW w:w="635" w:type="pct"/>
                  <w:tcBorders>
                    <w:tl2br w:val="nil"/>
                    <w:tr2bl w:val="nil"/>
                  </w:tcBorders>
                  <w:noWrap w:val="0"/>
                  <w:vAlign w:val="center"/>
                </w:tcPr>
                <w:p w14:paraId="6F34587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0"/>
                      <w:sz w:val="21"/>
                      <w:szCs w:val="21"/>
                      <w:highlight w:val="none"/>
                    </w:rPr>
                    <w:t>有组织</w:t>
                  </w:r>
                </w:p>
              </w:tc>
              <w:tc>
                <w:tcPr>
                  <w:tcW w:w="697" w:type="pct"/>
                  <w:tcBorders>
                    <w:tl2br w:val="nil"/>
                    <w:tr2bl w:val="nil"/>
                  </w:tcBorders>
                  <w:noWrap w:val="0"/>
                  <w:vAlign w:val="center"/>
                </w:tcPr>
                <w:p w14:paraId="71C49D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w:t>
                  </w:r>
                </w:p>
              </w:tc>
            </w:tr>
            <w:tr w14:paraId="65E97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03D1E712">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1"/>
                      <w:sz w:val="21"/>
                      <w:szCs w:val="21"/>
                      <w:highlight w:val="none"/>
                    </w:rPr>
                    <w:t>废气量（</w:t>
                  </w:r>
                  <w:r>
                    <w:rPr>
                      <w:rFonts w:hint="default" w:ascii="Times New Roman" w:hAnsi="Times New Roman" w:eastAsia="Times New Roman" w:cs="Times New Roman"/>
                      <w:color w:val="auto"/>
                      <w:spacing w:val="-1"/>
                      <w:sz w:val="21"/>
                      <w:szCs w:val="21"/>
                      <w:highlight w:val="none"/>
                    </w:rPr>
                    <w:t>Nm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eastAsia="Times New Roman" w:cs="Times New Roman"/>
                      <w:color w:val="auto"/>
                      <w:spacing w:val="-1"/>
                      <w:sz w:val="21"/>
                      <w:szCs w:val="21"/>
                      <w:highlight w:val="none"/>
                    </w:rPr>
                    <w:t>/h</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0D0B6EF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12000×2</w:t>
                  </w:r>
                </w:p>
              </w:tc>
              <w:tc>
                <w:tcPr>
                  <w:tcW w:w="610" w:type="pct"/>
                  <w:tcBorders>
                    <w:tl2br w:val="nil"/>
                    <w:tr2bl w:val="nil"/>
                  </w:tcBorders>
                  <w:noWrap w:val="0"/>
                  <w:vAlign w:val="center"/>
                </w:tcPr>
                <w:p w14:paraId="382FB1E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73F7247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358AF14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00</w:t>
                  </w:r>
                </w:p>
              </w:tc>
              <w:tc>
                <w:tcPr>
                  <w:tcW w:w="697" w:type="pct"/>
                  <w:tcBorders>
                    <w:tl2br w:val="nil"/>
                    <w:tr2bl w:val="nil"/>
                  </w:tcBorders>
                  <w:noWrap w:val="0"/>
                  <w:vAlign w:val="center"/>
                </w:tcPr>
                <w:p w14:paraId="4779AC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2CB41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26D7BD9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污染物</w:t>
                  </w:r>
                  <w:r>
                    <w:rPr>
                      <w:rFonts w:hint="default" w:ascii="Times New Roman" w:hAnsi="Times New Roman" w:cs="Times New Roman"/>
                      <w:color w:val="auto"/>
                      <w:spacing w:val="-3"/>
                      <w:sz w:val="21"/>
                      <w:szCs w:val="21"/>
                      <w:highlight w:val="none"/>
                    </w:rPr>
                    <w:t>产生情况</w:t>
                  </w:r>
                </w:p>
              </w:tc>
              <w:tc>
                <w:tcPr>
                  <w:tcW w:w="1155" w:type="pct"/>
                  <w:tcBorders>
                    <w:tl2br w:val="nil"/>
                    <w:tr2bl w:val="nil"/>
                  </w:tcBorders>
                  <w:noWrap w:val="0"/>
                  <w:vAlign w:val="center"/>
                </w:tcPr>
                <w:p w14:paraId="7EB9AB78">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2"/>
                      <w:sz w:val="21"/>
                      <w:szCs w:val="21"/>
                      <w:highlight w:val="none"/>
                    </w:rPr>
                    <w:t>浓度（</w:t>
                  </w:r>
                  <w:r>
                    <w:rPr>
                      <w:rFonts w:hint="default" w:ascii="Times New Roman" w:hAnsi="Times New Roman" w:eastAsia="Times New Roman" w:cs="Times New Roman"/>
                      <w:color w:val="auto"/>
                      <w:spacing w:val="-2"/>
                      <w:sz w:val="21"/>
                      <w:szCs w:val="21"/>
                      <w:highlight w:val="none"/>
                    </w:rPr>
                    <w:t>mg/m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5351C0C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285</w:t>
                  </w:r>
                </w:p>
              </w:tc>
              <w:tc>
                <w:tcPr>
                  <w:tcW w:w="610" w:type="pct"/>
                  <w:tcBorders>
                    <w:tl2br w:val="nil"/>
                    <w:tr2bl w:val="nil"/>
                  </w:tcBorders>
                  <w:noWrap w:val="0"/>
                  <w:vAlign w:val="center"/>
                </w:tcPr>
                <w:p w14:paraId="47DCCC1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6ED3411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017EDA5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5333</w:t>
                  </w:r>
                </w:p>
              </w:tc>
              <w:tc>
                <w:tcPr>
                  <w:tcW w:w="697" w:type="pct"/>
                  <w:tcBorders>
                    <w:tl2br w:val="nil"/>
                    <w:tr2bl w:val="nil"/>
                  </w:tcBorders>
                  <w:noWrap w:val="0"/>
                  <w:vAlign w:val="center"/>
                </w:tcPr>
                <w:p w14:paraId="7D0B43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059B7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6371FE7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1528A6C5">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1"/>
                      <w:sz w:val="21"/>
                      <w:szCs w:val="21"/>
                      <w:highlight w:val="none"/>
                    </w:rPr>
                    <w:t>产生量（</w:t>
                  </w:r>
                  <w:r>
                    <w:rPr>
                      <w:rFonts w:hint="default" w:ascii="Times New Roman" w:hAnsi="Times New Roman" w:eastAsia="Times New Roman" w:cs="Times New Roman"/>
                      <w:color w:val="auto"/>
                      <w:spacing w:val="-1"/>
                      <w:sz w:val="21"/>
                      <w:szCs w:val="21"/>
                      <w:highlight w:val="none"/>
                    </w:rPr>
                    <w:t>kg/h</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4367A24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3.37×2</w:t>
                  </w:r>
                </w:p>
              </w:tc>
              <w:tc>
                <w:tcPr>
                  <w:tcW w:w="610" w:type="pct"/>
                  <w:tcBorders>
                    <w:tl2br w:val="nil"/>
                    <w:tr2bl w:val="nil"/>
                  </w:tcBorders>
                  <w:noWrap w:val="0"/>
                  <w:vAlign w:val="center"/>
                </w:tcPr>
                <w:p w14:paraId="18E2C5C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0.34×2</w:t>
                  </w:r>
                </w:p>
              </w:tc>
              <w:tc>
                <w:tcPr>
                  <w:tcW w:w="635" w:type="pct"/>
                  <w:gridSpan w:val="2"/>
                  <w:tcBorders>
                    <w:tl2br w:val="nil"/>
                    <w:tr2bl w:val="nil"/>
                  </w:tcBorders>
                  <w:noWrap w:val="0"/>
                  <w:vAlign w:val="center"/>
                </w:tcPr>
                <w:p w14:paraId="46D4DE7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77B7167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697" w:type="pct"/>
                  <w:tcBorders>
                    <w:tl2br w:val="nil"/>
                    <w:tr2bl w:val="nil"/>
                  </w:tcBorders>
                  <w:noWrap w:val="0"/>
                  <w:vAlign w:val="center"/>
                </w:tcPr>
                <w:p w14:paraId="77FE544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33A1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2825DF2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2471BF13">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产生量（</w:t>
                  </w:r>
                  <w:r>
                    <w:rPr>
                      <w:rFonts w:hint="default" w:ascii="Times New Roman" w:hAnsi="Times New Roman" w:cs="Times New Roman"/>
                      <w:color w:val="auto"/>
                      <w:spacing w:val="-1"/>
                      <w:sz w:val="21"/>
                      <w:szCs w:val="21"/>
                      <w:highlight w:val="none"/>
                      <w:lang w:val="en-US" w:eastAsia="zh-CN"/>
                    </w:rPr>
                    <w:t>t</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cs="Times New Roman"/>
                      <w:color w:val="auto"/>
                      <w:spacing w:val="-1"/>
                      <w:sz w:val="21"/>
                      <w:szCs w:val="21"/>
                      <w:highlight w:val="none"/>
                      <w:lang w:val="en-US" w:eastAsia="zh-CN"/>
                    </w:rPr>
                    <w:t>a</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590DB3C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13.53×2</w:t>
                  </w:r>
                </w:p>
              </w:tc>
              <w:tc>
                <w:tcPr>
                  <w:tcW w:w="610" w:type="pct"/>
                  <w:tcBorders>
                    <w:tl2br w:val="nil"/>
                    <w:tr2bl w:val="nil"/>
                  </w:tcBorders>
                  <w:noWrap w:val="0"/>
                  <w:vAlign w:val="center"/>
                </w:tcPr>
                <w:p w14:paraId="4427AF3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1.353×2</w:t>
                  </w:r>
                </w:p>
              </w:tc>
              <w:tc>
                <w:tcPr>
                  <w:tcW w:w="635" w:type="pct"/>
                  <w:gridSpan w:val="2"/>
                  <w:tcBorders>
                    <w:tl2br w:val="nil"/>
                    <w:tr2bl w:val="nil"/>
                  </w:tcBorders>
                  <w:noWrap w:val="0"/>
                  <w:vAlign w:val="center"/>
                </w:tcPr>
                <w:p w14:paraId="7F9B42B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0.9</w:t>
                  </w:r>
                  <w:r>
                    <w:rPr>
                      <w:rFonts w:hint="default" w:ascii="Times New Roman" w:hAnsi="Times New Roman" w:cs="Times New Roman"/>
                      <w:b w:val="0"/>
                      <w:bCs w:val="0"/>
                      <w:color w:val="auto"/>
                      <w:kern w:val="2"/>
                      <w:sz w:val="21"/>
                      <w:szCs w:val="21"/>
                      <w:highlight w:val="none"/>
                      <w:lang w:val="en-US" w:eastAsia="zh-CN" w:bidi="ar-SA"/>
                    </w:rPr>
                    <w:t>9</w:t>
                  </w:r>
                </w:p>
              </w:tc>
              <w:tc>
                <w:tcPr>
                  <w:tcW w:w="635" w:type="pct"/>
                  <w:tcBorders>
                    <w:tl2br w:val="nil"/>
                    <w:tr2bl w:val="nil"/>
                  </w:tcBorders>
                  <w:noWrap w:val="0"/>
                  <w:vAlign w:val="center"/>
                </w:tcPr>
                <w:p w14:paraId="0555E00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0.048</w:t>
                  </w:r>
                </w:p>
              </w:tc>
              <w:tc>
                <w:tcPr>
                  <w:tcW w:w="697" w:type="pct"/>
                  <w:tcBorders>
                    <w:tl2br w:val="nil"/>
                    <w:tr2bl w:val="nil"/>
                  </w:tcBorders>
                  <w:noWrap w:val="0"/>
                  <w:vAlign w:val="center"/>
                </w:tcPr>
                <w:p w14:paraId="7CFDC55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6.93</w:t>
                  </w:r>
                </w:p>
              </w:tc>
            </w:tr>
            <w:tr w14:paraId="081CE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73EC964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3B1BA871">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3"/>
                      <w:sz w:val="21"/>
                      <w:szCs w:val="21"/>
                      <w:highlight w:val="none"/>
                    </w:rPr>
                    <w:t>核算方法</w:t>
                  </w:r>
                </w:p>
              </w:tc>
              <w:tc>
                <w:tcPr>
                  <w:tcW w:w="675" w:type="pct"/>
                  <w:tcBorders>
                    <w:tl2br w:val="nil"/>
                    <w:tr2bl w:val="nil"/>
                  </w:tcBorders>
                  <w:noWrap w:val="0"/>
                  <w:vAlign w:val="center"/>
                </w:tcPr>
                <w:p w14:paraId="2182D0A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系数法</w:t>
                  </w:r>
                </w:p>
              </w:tc>
              <w:tc>
                <w:tcPr>
                  <w:tcW w:w="610" w:type="pct"/>
                  <w:tcBorders>
                    <w:tl2br w:val="nil"/>
                    <w:tr2bl w:val="nil"/>
                  </w:tcBorders>
                  <w:noWrap w:val="0"/>
                  <w:vAlign w:val="center"/>
                </w:tcPr>
                <w:p w14:paraId="245054F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c>
                <w:tcPr>
                  <w:tcW w:w="635" w:type="pct"/>
                  <w:gridSpan w:val="2"/>
                  <w:tcBorders>
                    <w:tl2br w:val="nil"/>
                    <w:tr2bl w:val="nil"/>
                  </w:tcBorders>
                  <w:noWrap w:val="0"/>
                  <w:vAlign w:val="center"/>
                </w:tcPr>
                <w:p w14:paraId="696848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系数法</w:t>
                  </w:r>
                </w:p>
              </w:tc>
              <w:tc>
                <w:tcPr>
                  <w:tcW w:w="635" w:type="pct"/>
                  <w:tcBorders>
                    <w:tl2br w:val="nil"/>
                    <w:tr2bl w:val="nil"/>
                  </w:tcBorders>
                  <w:noWrap w:val="0"/>
                  <w:vAlign w:val="center"/>
                </w:tcPr>
                <w:p w14:paraId="64CD13B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系数法</w:t>
                  </w:r>
                </w:p>
              </w:tc>
              <w:tc>
                <w:tcPr>
                  <w:tcW w:w="697" w:type="pct"/>
                  <w:tcBorders>
                    <w:tl2br w:val="nil"/>
                    <w:tr2bl w:val="nil"/>
                  </w:tcBorders>
                  <w:noWrap w:val="0"/>
                  <w:vAlign w:val="center"/>
                </w:tcPr>
                <w:p w14:paraId="0BAF14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r>
            <w:tr w14:paraId="42D25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4C4E2D4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污染防治措施</w:t>
                  </w:r>
                </w:p>
              </w:tc>
              <w:tc>
                <w:tcPr>
                  <w:tcW w:w="1155" w:type="pct"/>
                  <w:tcBorders>
                    <w:tl2br w:val="nil"/>
                    <w:tr2bl w:val="nil"/>
                  </w:tcBorders>
                  <w:noWrap w:val="0"/>
                  <w:vAlign w:val="center"/>
                </w:tcPr>
                <w:p w14:paraId="719F8D53">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4"/>
                      <w:sz w:val="21"/>
                      <w:szCs w:val="21"/>
                      <w:highlight w:val="none"/>
                    </w:rPr>
                    <w:t>治理设施</w:t>
                  </w:r>
                </w:p>
              </w:tc>
              <w:tc>
                <w:tcPr>
                  <w:tcW w:w="675" w:type="pct"/>
                  <w:tcBorders>
                    <w:tl2br w:val="nil"/>
                    <w:tr2bl w:val="nil"/>
                  </w:tcBorders>
                  <w:noWrap w:val="0"/>
                  <w:vAlign w:val="center"/>
                </w:tcPr>
                <w:p w14:paraId="26D2CD0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val="en-US" w:eastAsia="zh-CN"/>
                    </w:rPr>
                    <w:t>布袋除尘器</w:t>
                  </w:r>
                </w:p>
              </w:tc>
              <w:tc>
                <w:tcPr>
                  <w:tcW w:w="610" w:type="pct"/>
                  <w:tcBorders>
                    <w:tl2br w:val="nil"/>
                    <w:tr2bl w:val="nil"/>
                  </w:tcBorders>
                  <w:noWrap w:val="0"/>
                  <w:vAlign w:val="center"/>
                </w:tcPr>
                <w:p w14:paraId="42BE21F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车间全封闭</w:t>
                  </w:r>
                </w:p>
              </w:tc>
              <w:tc>
                <w:tcPr>
                  <w:tcW w:w="635" w:type="pct"/>
                  <w:gridSpan w:val="2"/>
                  <w:tcBorders>
                    <w:tl2br w:val="nil"/>
                    <w:tr2bl w:val="nil"/>
                  </w:tcBorders>
                  <w:noWrap w:val="0"/>
                  <w:vAlign w:val="center"/>
                </w:tcPr>
                <w:p w14:paraId="21A9C3C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厂区内道路硬化，</w:t>
                  </w:r>
                  <w:r>
                    <w:rPr>
                      <w:rFonts w:hint="default" w:ascii="Times New Roman" w:hAnsi="Times New Roman" w:cs="Times New Roman"/>
                      <w:bCs/>
                      <w:color w:val="auto"/>
                      <w:kern w:val="2"/>
                      <w:sz w:val="21"/>
                      <w:szCs w:val="21"/>
                      <w:highlight w:val="none"/>
                      <w:lang w:val="en-US" w:eastAsia="zh-CN" w:bidi="ar-SA"/>
                    </w:rPr>
                    <w:t>洒水抑尘，设置</w:t>
                  </w:r>
                  <w:r>
                    <w:rPr>
                      <w:rFonts w:hint="default" w:ascii="Times New Roman" w:hAnsi="Times New Roman" w:cs="Times New Roman"/>
                      <w:color w:val="auto"/>
                      <w:sz w:val="21"/>
                      <w:szCs w:val="21"/>
                      <w:highlight w:val="none"/>
                      <w:lang w:val="en-US" w:eastAsia="zh-CN"/>
                    </w:rPr>
                    <w:t>洗车平台</w:t>
                  </w:r>
                </w:p>
              </w:tc>
              <w:tc>
                <w:tcPr>
                  <w:tcW w:w="635" w:type="pct"/>
                  <w:tcBorders>
                    <w:tl2br w:val="nil"/>
                    <w:tr2bl w:val="nil"/>
                  </w:tcBorders>
                  <w:noWrap w:val="0"/>
                  <w:vAlign w:val="center"/>
                </w:tcPr>
                <w:p w14:paraId="4B3178BD">
                  <w:pPr>
                    <w:keepNext w:val="0"/>
                    <w:keepLines w:val="0"/>
                    <w:pageBreakBefore w:val="0"/>
                    <w:widowControl/>
                    <w:suppressLineNumbers w:val="0"/>
                    <w:kinsoku/>
                    <w:wordWrap/>
                    <w:overflowPunct/>
                    <w:topLinePunct w:val="0"/>
                    <w:bidi w:val="0"/>
                    <w:adjustRightInd w:val="0"/>
                    <w:snapToGrid w:val="0"/>
                    <w:spacing w:line="240" w:lineRule="auto"/>
                    <w:jc w:val="left"/>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布袋除尘器</w:t>
                  </w:r>
                </w:p>
              </w:tc>
              <w:tc>
                <w:tcPr>
                  <w:tcW w:w="697" w:type="pct"/>
                  <w:tcBorders>
                    <w:tl2br w:val="nil"/>
                    <w:tr2bl w:val="nil"/>
                  </w:tcBorders>
                  <w:noWrap w:val="0"/>
                  <w:vAlign w:val="center"/>
                </w:tcPr>
                <w:p w14:paraId="2AD3B4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lang w:val="en-US" w:eastAsia="zh-CN" w:bidi="ar-SA"/>
                    </w:rPr>
                    <w:t>全封闭皮带</w:t>
                  </w:r>
                </w:p>
              </w:tc>
            </w:tr>
            <w:tr w14:paraId="66CA4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1583002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0333CCA0">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3"/>
                      <w:sz w:val="21"/>
                      <w:szCs w:val="21"/>
                      <w:highlight w:val="none"/>
                    </w:rPr>
                    <w:t>收集效率（</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cs="Times New Roman"/>
                      <w:color w:val="auto"/>
                      <w:spacing w:val="-3"/>
                      <w:sz w:val="21"/>
                      <w:szCs w:val="21"/>
                      <w:highlight w:val="none"/>
                    </w:rPr>
                    <w:t>）</w:t>
                  </w:r>
                </w:p>
              </w:tc>
              <w:tc>
                <w:tcPr>
                  <w:tcW w:w="675" w:type="pct"/>
                  <w:tcBorders>
                    <w:tl2br w:val="nil"/>
                    <w:tr2bl w:val="nil"/>
                  </w:tcBorders>
                  <w:noWrap w:val="0"/>
                  <w:vAlign w:val="center"/>
                </w:tcPr>
                <w:p w14:paraId="10D67CD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610" w:type="pct"/>
                  <w:tcBorders>
                    <w:tl2br w:val="nil"/>
                    <w:tr2bl w:val="nil"/>
                  </w:tcBorders>
                  <w:noWrap w:val="0"/>
                  <w:vAlign w:val="center"/>
                </w:tcPr>
                <w:p w14:paraId="742E9A4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41C64D5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58C937D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97" w:type="pct"/>
                  <w:tcBorders>
                    <w:tl2br w:val="nil"/>
                    <w:tr2bl w:val="nil"/>
                  </w:tcBorders>
                  <w:noWrap w:val="0"/>
                  <w:vAlign w:val="center"/>
                </w:tcPr>
                <w:p w14:paraId="022E61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73D69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4E1D322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4763F553">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2"/>
                      <w:sz w:val="21"/>
                      <w:szCs w:val="21"/>
                      <w:highlight w:val="none"/>
                    </w:rPr>
                    <w:t>处理效率（</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19C23EC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610" w:type="pct"/>
                  <w:tcBorders>
                    <w:tl2br w:val="nil"/>
                    <w:tr2bl w:val="nil"/>
                  </w:tcBorders>
                  <w:noWrap w:val="0"/>
                  <w:vAlign w:val="center"/>
                </w:tcPr>
                <w:p w14:paraId="36ECC08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80</w:t>
                  </w:r>
                </w:p>
              </w:tc>
              <w:tc>
                <w:tcPr>
                  <w:tcW w:w="635" w:type="pct"/>
                  <w:gridSpan w:val="2"/>
                  <w:tcBorders>
                    <w:tl2br w:val="nil"/>
                    <w:tr2bl w:val="nil"/>
                  </w:tcBorders>
                  <w:noWrap w:val="0"/>
                  <w:vAlign w:val="center"/>
                </w:tcPr>
                <w:p w14:paraId="0D31D82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635" w:type="pct"/>
                  <w:tcBorders>
                    <w:tl2br w:val="nil"/>
                    <w:tr2bl w:val="nil"/>
                  </w:tcBorders>
                  <w:noWrap w:val="0"/>
                  <w:vAlign w:val="center"/>
                </w:tcPr>
                <w:p w14:paraId="690DFA6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697" w:type="pct"/>
                  <w:tcBorders>
                    <w:tl2br w:val="nil"/>
                    <w:tr2bl w:val="nil"/>
                  </w:tcBorders>
                  <w:noWrap w:val="0"/>
                  <w:vAlign w:val="center"/>
                </w:tcPr>
                <w:p w14:paraId="7825152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0</w:t>
                  </w:r>
                </w:p>
              </w:tc>
            </w:tr>
            <w:tr w14:paraId="0FC14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583E355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污染物</w:t>
                  </w:r>
                  <w:r>
                    <w:rPr>
                      <w:rFonts w:hint="default" w:ascii="Times New Roman" w:hAnsi="Times New Roman" w:cs="Times New Roman"/>
                      <w:color w:val="auto"/>
                      <w:spacing w:val="-3"/>
                      <w:sz w:val="21"/>
                      <w:szCs w:val="21"/>
                      <w:highlight w:val="none"/>
                    </w:rPr>
                    <w:t>排放情况</w:t>
                  </w:r>
                </w:p>
              </w:tc>
              <w:tc>
                <w:tcPr>
                  <w:tcW w:w="1155" w:type="pct"/>
                  <w:tcBorders>
                    <w:tl2br w:val="nil"/>
                    <w:tr2bl w:val="nil"/>
                  </w:tcBorders>
                  <w:noWrap w:val="0"/>
                  <w:vAlign w:val="center"/>
                </w:tcPr>
                <w:p w14:paraId="6D6CCD8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2"/>
                      <w:sz w:val="21"/>
                      <w:szCs w:val="21"/>
                      <w:highlight w:val="none"/>
                    </w:rPr>
                    <w:t>浓度（</w:t>
                  </w:r>
                  <w:r>
                    <w:rPr>
                      <w:rFonts w:hint="default" w:ascii="Times New Roman" w:hAnsi="Times New Roman" w:eastAsia="Times New Roman" w:cs="Times New Roman"/>
                      <w:color w:val="auto"/>
                      <w:spacing w:val="-2"/>
                      <w:sz w:val="21"/>
                      <w:szCs w:val="21"/>
                      <w:highlight w:val="none"/>
                    </w:rPr>
                    <w:t>mg/m</w:t>
                  </w:r>
                  <w:r>
                    <w:rPr>
                      <w:rFonts w:hint="default" w:ascii="Times New Roman" w:hAnsi="Times New Roman" w:cs="Times New Roman"/>
                      <w:color w:val="auto"/>
                      <w:spacing w:val="-2"/>
                      <w:sz w:val="21"/>
                      <w:szCs w:val="21"/>
                      <w:highlight w:val="none"/>
                      <w:vertAlign w:val="superscript"/>
                      <w:lang w:val="en-US" w:eastAsia="zh-CN"/>
                    </w:rPr>
                    <w:t>3</w:t>
                  </w:r>
                  <w:r>
                    <w:rPr>
                      <w:rFonts w:hint="default" w:ascii="Times New Roman" w:hAnsi="Times New Roman" w:cs="Times New Roman"/>
                      <w:color w:val="auto"/>
                      <w:spacing w:val="-2"/>
                      <w:sz w:val="21"/>
                      <w:szCs w:val="21"/>
                      <w:highlight w:val="none"/>
                    </w:rPr>
                    <w:t>）</w:t>
                  </w:r>
                </w:p>
              </w:tc>
              <w:tc>
                <w:tcPr>
                  <w:tcW w:w="675" w:type="pct"/>
                  <w:tcBorders>
                    <w:tl2br w:val="nil"/>
                    <w:tr2bl w:val="nil"/>
                  </w:tcBorders>
                  <w:noWrap w:val="0"/>
                  <w:vAlign w:val="center"/>
                </w:tcPr>
                <w:p w14:paraId="14E0BA5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10" w:type="pct"/>
                  <w:tcBorders>
                    <w:tl2br w:val="nil"/>
                    <w:tr2bl w:val="nil"/>
                  </w:tcBorders>
                  <w:noWrap w:val="0"/>
                  <w:vAlign w:val="center"/>
                </w:tcPr>
                <w:p w14:paraId="614BE7F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0AF9D41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2AD9BBC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97" w:type="pct"/>
                  <w:tcBorders>
                    <w:tl2br w:val="nil"/>
                    <w:tr2bl w:val="nil"/>
                  </w:tcBorders>
                  <w:noWrap w:val="0"/>
                  <w:vAlign w:val="center"/>
                </w:tcPr>
                <w:p w14:paraId="3C56D2D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42936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5DEEEB0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64B9BC95">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1"/>
                      <w:sz w:val="21"/>
                      <w:szCs w:val="21"/>
                      <w:highlight w:val="none"/>
                    </w:rPr>
                    <w:t>排放量（</w:t>
                  </w:r>
                  <w:r>
                    <w:rPr>
                      <w:rFonts w:hint="default" w:ascii="Times New Roman" w:hAnsi="Times New Roman" w:eastAsia="Times New Roman" w:cs="Times New Roman"/>
                      <w:color w:val="auto"/>
                      <w:spacing w:val="-1"/>
                      <w:sz w:val="21"/>
                      <w:szCs w:val="21"/>
                      <w:highlight w:val="none"/>
                    </w:rPr>
                    <w:t>kg/h</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3CB2DF1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0.12×2</w:t>
                  </w:r>
                </w:p>
              </w:tc>
              <w:tc>
                <w:tcPr>
                  <w:tcW w:w="610" w:type="pct"/>
                  <w:tcBorders>
                    <w:tl2br w:val="nil"/>
                    <w:tr2bl w:val="nil"/>
                  </w:tcBorders>
                  <w:noWrap w:val="0"/>
                  <w:vAlign w:val="center"/>
                </w:tcPr>
                <w:p w14:paraId="3C6295C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0.07×2</w:t>
                  </w:r>
                </w:p>
              </w:tc>
              <w:tc>
                <w:tcPr>
                  <w:tcW w:w="635" w:type="pct"/>
                  <w:gridSpan w:val="2"/>
                  <w:tcBorders>
                    <w:tl2br w:val="nil"/>
                    <w:tr2bl w:val="nil"/>
                  </w:tcBorders>
                  <w:noWrap w:val="0"/>
                  <w:vAlign w:val="center"/>
                </w:tcPr>
                <w:p w14:paraId="1448E03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5956193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0.009</w:t>
                  </w:r>
                </w:p>
              </w:tc>
              <w:tc>
                <w:tcPr>
                  <w:tcW w:w="697" w:type="pct"/>
                  <w:tcBorders>
                    <w:tl2br w:val="nil"/>
                    <w:tr2bl w:val="nil"/>
                  </w:tcBorders>
                  <w:noWrap w:val="0"/>
                  <w:vAlign w:val="center"/>
                </w:tcPr>
                <w:p w14:paraId="5449500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B863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79659C6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405BA567">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3"/>
                      <w:sz w:val="21"/>
                      <w:szCs w:val="21"/>
                      <w:highlight w:val="none"/>
                    </w:rPr>
                    <w:t>核算方法</w:t>
                  </w:r>
                </w:p>
              </w:tc>
              <w:tc>
                <w:tcPr>
                  <w:tcW w:w="675" w:type="pct"/>
                  <w:tcBorders>
                    <w:tl2br w:val="nil"/>
                    <w:tr2bl w:val="nil"/>
                  </w:tcBorders>
                  <w:noWrap w:val="0"/>
                  <w:vAlign w:val="center"/>
                </w:tcPr>
                <w:p w14:paraId="374710B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系数法</w:t>
                  </w:r>
                </w:p>
              </w:tc>
              <w:tc>
                <w:tcPr>
                  <w:tcW w:w="610" w:type="pct"/>
                  <w:tcBorders>
                    <w:tl2br w:val="nil"/>
                    <w:tr2bl w:val="nil"/>
                  </w:tcBorders>
                  <w:noWrap w:val="0"/>
                  <w:vAlign w:val="center"/>
                </w:tcPr>
                <w:p w14:paraId="2184D7F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155EC39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c>
                <w:tcPr>
                  <w:tcW w:w="635" w:type="pct"/>
                  <w:tcBorders>
                    <w:tl2br w:val="nil"/>
                    <w:tr2bl w:val="nil"/>
                  </w:tcBorders>
                  <w:noWrap w:val="0"/>
                  <w:vAlign w:val="center"/>
                </w:tcPr>
                <w:p w14:paraId="7CF5C1B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系数法</w:t>
                  </w:r>
                </w:p>
              </w:tc>
              <w:tc>
                <w:tcPr>
                  <w:tcW w:w="697" w:type="pct"/>
                  <w:tcBorders>
                    <w:tl2br w:val="nil"/>
                    <w:tr2bl w:val="nil"/>
                  </w:tcBorders>
                  <w:noWrap w:val="0"/>
                  <w:vAlign w:val="center"/>
                </w:tcPr>
                <w:p w14:paraId="3A06081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系数法</w:t>
                  </w:r>
                </w:p>
              </w:tc>
            </w:tr>
            <w:tr w14:paraId="32250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466EBCAA">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color w:val="auto"/>
                      <w:spacing w:val="-1"/>
                      <w:sz w:val="21"/>
                      <w:szCs w:val="21"/>
                      <w:highlight w:val="none"/>
                    </w:rPr>
                    <w:t>年运行时间（</w:t>
                  </w:r>
                  <w:r>
                    <w:rPr>
                      <w:rFonts w:hint="default" w:ascii="Times New Roman" w:hAnsi="Times New Roman" w:eastAsia="Times New Roman" w:cs="Times New Roman"/>
                      <w:color w:val="auto"/>
                      <w:spacing w:val="-1"/>
                      <w:sz w:val="21"/>
                      <w:szCs w:val="21"/>
                      <w:highlight w:val="none"/>
                    </w:rPr>
                    <w:t>h/a</w:t>
                  </w:r>
                  <w:r>
                    <w:rPr>
                      <w:rFonts w:hint="default" w:ascii="Times New Roman" w:hAnsi="Times New Roman" w:cs="Times New Roman"/>
                      <w:color w:val="auto"/>
                      <w:spacing w:val="-1"/>
                      <w:sz w:val="21"/>
                      <w:szCs w:val="21"/>
                      <w:highlight w:val="none"/>
                    </w:rPr>
                    <w:t>）</w:t>
                  </w:r>
                </w:p>
              </w:tc>
              <w:tc>
                <w:tcPr>
                  <w:tcW w:w="1286" w:type="pct"/>
                  <w:gridSpan w:val="2"/>
                  <w:tcBorders>
                    <w:tl2br w:val="nil"/>
                    <w:tr2bl w:val="nil"/>
                  </w:tcBorders>
                  <w:noWrap w:val="0"/>
                  <w:vAlign w:val="center"/>
                </w:tcPr>
                <w:p w14:paraId="7E0FE6F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3960</w:t>
                  </w:r>
                </w:p>
              </w:tc>
              <w:tc>
                <w:tcPr>
                  <w:tcW w:w="635" w:type="pct"/>
                  <w:gridSpan w:val="2"/>
                  <w:tcBorders>
                    <w:tl2br w:val="nil"/>
                    <w:tr2bl w:val="nil"/>
                  </w:tcBorders>
                  <w:noWrap w:val="0"/>
                  <w:vAlign w:val="center"/>
                </w:tcPr>
                <w:p w14:paraId="5D2DED7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7812EB2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97" w:type="pct"/>
                  <w:tcBorders>
                    <w:tl2br w:val="nil"/>
                    <w:tr2bl w:val="nil"/>
                  </w:tcBorders>
                  <w:noWrap w:val="0"/>
                  <w:vAlign w:val="center"/>
                </w:tcPr>
                <w:p w14:paraId="3FC845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3960</w:t>
                  </w:r>
                </w:p>
              </w:tc>
            </w:tr>
            <w:tr w14:paraId="4F208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4" w:type="pct"/>
                  <w:gridSpan w:val="2"/>
                  <w:tcBorders>
                    <w:tl2br w:val="nil"/>
                    <w:tr2bl w:val="nil"/>
                  </w:tcBorders>
                  <w:noWrap w:val="0"/>
                  <w:vAlign w:val="center"/>
                </w:tcPr>
                <w:p w14:paraId="392C4F3A">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color w:val="auto"/>
                      <w:spacing w:val="-1"/>
                      <w:sz w:val="21"/>
                      <w:szCs w:val="21"/>
                      <w:highlight w:val="none"/>
                    </w:rPr>
                    <w:t>年排放量（</w:t>
                  </w:r>
                  <w:r>
                    <w:rPr>
                      <w:rFonts w:hint="default" w:ascii="Times New Roman" w:hAnsi="Times New Roman" w:eastAsia="Times New Roman" w:cs="Times New Roman"/>
                      <w:color w:val="auto"/>
                      <w:spacing w:val="-1"/>
                      <w:sz w:val="21"/>
                      <w:szCs w:val="21"/>
                      <w:highlight w:val="none"/>
                    </w:rPr>
                    <w:t>t/a</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1470297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0.475×2</w:t>
                  </w:r>
                </w:p>
              </w:tc>
              <w:tc>
                <w:tcPr>
                  <w:tcW w:w="610" w:type="pct"/>
                  <w:tcBorders>
                    <w:tl2br w:val="nil"/>
                    <w:tr2bl w:val="nil"/>
                  </w:tcBorders>
                  <w:noWrap w:val="0"/>
                  <w:vAlign w:val="center"/>
                </w:tcPr>
                <w:p w14:paraId="13B9198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0.271×2</w:t>
                  </w:r>
                </w:p>
              </w:tc>
              <w:tc>
                <w:tcPr>
                  <w:tcW w:w="635" w:type="pct"/>
                  <w:gridSpan w:val="2"/>
                  <w:tcBorders>
                    <w:tl2br w:val="nil"/>
                    <w:tr2bl w:val="nil"/>
                  </w:tcBorders>
                  <w:noWrap w:val="0"/>
                  <w:vAlign w:val="center"/>
                </w:tcPr>
                <w:p w14:paraId="5697AE8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20</w:t>
                  </w:r>
                </w:p>
              </w:tc>
              <w:tc>
                <w:tcPr>
                  <w:tcW w:w="635" w:type="pct"/>
                  <w:tcBorders>
                    <w:tl2br w:val="nil"/>
                    <w:tr2bl w:val="nil"/>
                  </w:tcBorders>
                  <w:noWrap w:val="0"/>
                  <w:vAlign w:val="center"/>
                </w:tcPr>
                <w:p w14:paraId="32ECC62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default" w:ascii="Times New Roman" w:hAnsi="Times New Roman" w:cs="Times New Roman"/>
                      <w:color w:val="auto"/>
                      <w:sz w:val="21"/>
                      <w:szCs w:val="21"/>
                      <w:highlight w:val="none"/>
                      <w:lang w:val="en-US" w:eastAsia="zh-CN"/>
                    </w:rPr>
                    <w:t>09</w:t>
                  </w:r>
                </w:p>
              </w:tc>
              <w:tc>
                <w:tcPr>
                  <w:tcW w:w="697" w:type="pct"/>
                  <w:tcBorders>
                    <w:tl2br w:val="nil"/>
                    <w:tr2bl w:val="nil"/>
                  </w:tcBorders>
                  <w:noWrap w:val="0"/>
                  <w:vAlign w:val="center"/>
                </w:tcPr>
                <w:p w14:paraId="6E47C8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0.69</w:t>
                  </w:r>
                </w:p>
              </w:tc>
            </w:tr>
            <w:tr w14:paraId="6B56E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tcBorders>
                    <w:tl2br w:val="nil"/>
                    <w:tr2bl w:val="nil"/>
                  </w:tcBorders>
                  <w:noWrap w:val="0"/>
                  <w:vAlign w:val="center"/>
                </w:tcPr>
                <w:p w14:paraId="554686E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排放参数</w:t>
                  </w:r>
                  <w:r>
                    <w:rPr>
                      <w:rFonts w:hint="default" w:ascii="Times New Roman" w:hAnsi="Times New Roman" w:cs="Times New Roman"/>
                      <w:color w:val="auto"/>
                      <w:spacing w:val="-5"/>
                      <w:sz w:val="21"/>
                      <w:szCs w:val="21"/>
                      <w:highlight w:val="none"/>
                    </w:rPr>
                    <w:t>（有组织）</w:t>
                  </w:r>
                </w:p>
              </w:tc>
              <w:tc>
                <w:tcPr>
                  <w:tcW w:w="1155" w:type="pct"/>
                  <w:tcBorders>
                    <w:tl2br w:val="nil"/>
                    <w:tr2bl w:val="nil"/>
                  </w:tcBorders>
                  <w:noWrap w:val="0"/>
                  <w:vAlign w:val="center"/>
                </w:tcPr>
                <w:p w14:paraId="2CD1E9EE">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1"/>
                      <w:sz w:val="21"/>
                      <w:szCs w:val="21"/>
                      <w:highlight w:val="none"/>
                    </w:rPr>
                    <w:t>排气筒高度（</w:t>
                  </w:r>
                  <w:r>
                    <w:rPr>
                      <w:rFonts w:hint="default" w:ascii="Times New Roman" w:hAnsi="Times New Roman" w:eastAsia="Times New Roman" w:cs="Times New Roman"/>
                      <w:color w:val="auto"/>
                      <w:spacing w:val="-1"/>
                      <w:sz w:val="21"/>
                      <w:szCs w:val="21"/>
                      <w:highlight w:val="none"/>
                    </w:rPr>
                    <w:t>m</w:t>
                  </w:r>
                  <w:r>
                    <w:rPr>
                      <w:rFonts w:hint="default" w:ascii="Times New Roman" w:hAnsi="Times New Roman" w:cs="Times New Roman"/>
                      <w:color w:val="auto"/>
                      <w:spacing w:val="-1"/>
                      <w:sz w:val="21"/>
                      <w:szCs w:val="21"/>
                      <w:highlight w:val="none"/>
                    </w:rPr>
                    <w:t>）</w:t>
                  </w:r>
                </w:p>
              </w:tc>
              <w:tc>
                <w:tcPr>
                  <w:tcW w:w="675" w:type="pct"/>
                  <w:tcBorders>
                    <w:tl2br w:val="nil"/>
                    <w:tr2bl w:val="nil"/>
                  </w:tcBorders>
                  <w:noWrap w:val="0"/>
                  <w:vAlign w:val="center"/>
                </w:tcPr>
                <w:p w14:paraId="3D197B1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610" w:type="pct"/>
                  <w:tcBorders>
                    <w:tl2br w:val="nil"/>
                    <w:tr2bl w:val="nil"/>
                  </w:tcBorders>
                  <w:noWrap w:val="0"/>
                  <w:vAlign w:val="center"/>
                </w:tcPr>
                <w:p w14:paraId="55BB337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1292960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052C31B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697" w:type="pct"/>
                  <w:tcBorders>
                    <w:tl2br w:val="nil"/>
                    <w:tr2bl w:val="nil"/>
                  </w:tcBorders>
                  <w:noWrap w:val="0"/>
                  <w:vAlign w:val="center"/>
                </w:tcPr>
                <w:p w14:paraId="4E7FE97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43536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6FDC1AF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38AF86F4">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4"/>
                      <w:sz w:val="21"/>
                      <w:szCs w:val="21"/>
                      <w:highlight w:val="none"/>
                    </w:rPr>
                    <w:t>出口内径（</w:t>
                  </w:r>
                  <w:r>
                    <w:rPr>
                      <w:rFonts w:hint="default" w:ascii="Times New Roman" w:hAnsi="Times New Roman" w:eastAsia="Times New Roman" w:cs="Times New Roman"/>
                      <w:color w:val="auto"/>
                      <w:spacing w:val="-4"/>
                      <w:sz w:val="21"/>
                      <w:szCs w:val="21"/>
                      <w:highlight w:val="none"/>
                    </w:rPr>
                    <w:t>m</w:t>
                  </w:r>
                  <w:r>
                    <w:rPr>
                      <w:rFonts w:hint="default" w:ascii="Times New Roman" w:hAnsi="Times New Roman" w:cs="Times New Roman"/>
                      <w:color w:val="auto"/>
                      <w:spacing w:val="-4"/>
                      <w:sz w:val="21"/>
                      <w:szCs w:val="21"/>
                      <w:highlight w:val="none"/>
                    </w:rPr>
                    <w:t>）</w:t>
                  </w:r>
                </w:p>
              </w:tc>
              <w:tc>
                <w:tcPr>
                  <w:tcW w:w="675" w:type="pct"/>
                  <w:tcBorders>
                    <w:tl2br w:val="nil"/>
                    <w:tr2bl w:val="nil"/>
                  </w:tcBorders>
                  <w:noWrap w:val="0"/>
                  <w:vAlign w:val="center"/>
                </w:tcPr>
                <w:p w14:paraId="0DCE607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610" w:type="pct"/>
                  <w:tcBorders>
                    <w:tl2br w:val="nil"/>
                    <w:tr2bl w:val="nil"/>
                  </w:tcBorders>
                  <w:noWrap w:val="0"/>
                  <w:vAlign w:val="center"/>
                </w:tcPr>
                <w:p w14:paraId="1511710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0C88CF9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071838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97" w:type="pct"/>
                  <w:tcBorders>
                    <w:tl2br w:val="nil"/>
                    <w:tr2bl w:val="nil"/>
                  </w:tcBorders>
                  <w:noWrap w:val="0"/>
                  <w:vAlign w:val="center"/>
                </w:tcPr>
                <w:p w14:paraId="2F512FA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04B66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tcBorders>
                    <w:tl2br w:val="nil"/>
                    <w:tr2bl w:val="nil"/>
                  </w:tcBorders>
                  <w:noWrap w:val="0"/>
                  <w:vAlign w:val="center"/>
                </w:tcPr>
                <w:p w14:paraId="0BA5744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1155" w:type="pct"/>
                  <w:tcBorders>
                    <w:tl2br w:val="nil"/>
                    <w:tr2bl w:val="nil"/>
                  </w:tcBorders>
                  <w:noWrap w:val="0"/>
                  <w:vAlign w:val="center"/>
                </w:tcPr>
                <w:p w14:paraId="5F172CFD">
                  <w:pPr>
                    <w:pStyle w:val="95"/>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13"/>
                      <w:sz w:val="21"/>
                      <w:szCs w:val="21"/>
                      <w:highlight w:val="none"/>
                    </w:rPr>
                  </w:pPr>
                  <w:r>
                    <w:rPr>
                      <w:rFonts w:hint="default" w:ascii="Times New Roman" w:hAnsi="Times New Roman" w:cs="Times New Roman"/>
                      <w:color w:val="auto"/>
                      <w:spacing w:val="13"/>
                      <w:sz w:val="21"/>
                      <w:szCs w:val="21"/>
                      <w:highlight w:val="none"/>
                    </w:rPr>
                    <w:t>排放温度(</w:t>
                  </w:r>
                  <w:r>
                    <w:rPr>
                      <w:rFonts w:hint="default" w:ascii="Times New Roman" w:hAnsi="Times New Roman" w:eastAsia="宋体" w:cs="Times New Roman"/>
                      <w:color w:val="auto"/>
                      <w:spacing w:val="13"/>
                      <w:sz w:val="21"/>
                      <w:szCs w:val="21"/>
                      <w:highlight w:val="none"/>
                    </w:rPr>
                    <w:t>℃</w:t>
                  </w:r>
                  <w:r>
                    <w:rPr>
                      <w:rFonts w:hint="default" w:ascii="Times New Roman" w:hAnsi="Times New Roman" w:cs="Times New Roman"/>
                      <w:color w:val="auto"/>
                      <w:spacing w:val="-4"/>
                      <w:sz w:val="21"/>
                      <w:szCs w:val="21"/>
                      <w:highlight w:val="none"/>
                    </w:rPr>
                    <w:t>）</w:t>
                  </w:r>
                </w:p>
              </w:tc>
              <w:tc>
                <w:tcPr>
                  <w:tcW w:w="675" w:type="pct"/>
                  <w:tcBorders>
                    <w:tl2br w:val="nil"/>
                    <w:tr2bl w:val="nil"/>
                  </w:tcBorders>
                  <w:noWrap w:val="0"/>
                  <w:vAlign w:val="center"/>
                </w:tcPr>
                <w:p w14:paraId="00A710E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10" w:type="pct"/>
                  <w:tcBorders>
                    <w:tl2br w:val="nil"/>
                    <w:tr2bl w:val="nil"/>
                  </w:tcBorders>
                  <w:noWrap w:val="0"/>
                  <w:vAlign w:val="center"/>
                </w:tcPr>
                <w:p w14:paraId="0DD160D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gridSpan w:val="2"/>
                  <w:tcBorders>
                    <w:tl2br w:val="nil"/>
                    <w:tr2bl w:val="nil"/>
                  </w:tcBorders>
                  <w:noWrap w:val="0"/>
                  <w:vAlign w:val="center"/>
                </w:tcPr>
                <w:p w14:paraId="6A7939D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5" w:type="pct"/>
                  <w:tcBorders>
                    <w:tl2br w:val="nil"/>
                    <w:tr2bl w:val="nil"/>
                  </w:tcBorders>
                  <w:noWrap w:val="0"/>
                  <w:vAlign w:val="center"/>
                </w:tcPr>
                <w:p w14:paraId="650646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97" w:type="pct"/>
                  <w:tcBorders>
                    <w:tl2br w:val="nil"/>
                    <w:tr2bl w:val="nil"/>
                  </w:tcBorders>
                  <w:noWrap w:val="0"/>
                  <w:vAlign w:val="center"/>
                </w:tcPr>
                <w:p w14:paraId="619657A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14:paraId="4462F3C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原</w:t>
            </w:r>
            <w:r>
              <w:rPr>
                <w:rFonts w:hint="eastAsia" w:ascii="Times New Roman" w:hAnsi="Times New Roman" w:eastAsia="宋体" w:cs="Times New Roman"/>
                <w:b/>
                <w:bCs/>
                <w:color w:val="auto"/>
                <w:sz w:val="24"/>
                <w:szCs w:val="20"/>
                <w:highlight w:val="none"/>
                <w:lang w:val="en-US" w:eastAsia="zh-CN"/>
              </w:rPr>
              <w:t>料</w:t>
            </w:r>
            <w:r>
              <w:rPr>
                <w:rFonts w:hint="default" w:ascii="Times New Roman" w:hAnsi="Times New Roman" w:eastAsia="宋体" w:cs="Times New Roman"/>
                <w:b/>
                <w:bCs/>
                <w:color w:val="auto"/>
                <w:sz w:val="24"/>
                <w:szCs w:val="20"/>
                <w:highlight w:val="none"/>
                <w:lang w:val="en-US" w:eastAsia="zh-CN"/>
              </w:rPr>
              <w:t>堆存、装卸粉尘</w:t>
            </w:r>
          </w:p>
          <w:p w14:paraId="5640307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项目原料</w:t>
            </w:r>
            <w:r>
              <w:rPr>
                <w:rFonts w:hint="default" w:ascii="Times New Roman" w:hAnsi="Times New Roman" w:eastAsia="宋体" w:cs="Times New Roman"/>
                <w:b w:val="0"/>
                <w:bCs w:val="0"/>
                <w:color w:val="auto"/>
                <w:sz w:val="24"/>
                <w:szCs w:val="20"/>
                <w:highlight w:val="none"/>
                <w:lang w:val="en-US" w:eastAsia="zh-CN"/>
              </w:rPr>
              <w:t>煤矸石</w:t>
            </w:r>
            <w:r>
              <w:rPr>
                <w:rFonts w:hint="eastAsia" w:ascii="Times New Roman" w:hAnsi="Times New Roman" w:eastAsia="宋体" w:cs="Times New Roman"/>
                <w:b w:val="0"/>
                <w:bCs w:val="0"/>
                <w:color w:val="auto"/>
                <w:sz w:val="24"/>
                <w:szCs w:val="20"/>
                <w:highlight w:val="none"/>
                <w:lang w:val="en-US" w:eastAsia="zh-CN"/>
              </w:rPr>
              <w:t>在</w:t>
            </w:r>
            <w:r>
              <w:rPr>
                <w:rFonts w:hint="default" w:ascii="Times New Roman" w:hAnsi="Times New Roman" w:eastAsia="宋体" w:cs="Times New Roman"/>
                <w:b w:val="0"/>
                <w:bCs w:val="0"/>
                <w:color w:val="auto"/>
                <w:sz w:val="24"/>
                <w:szCs w:val="20"/>
                <w:highlight w:val="none"/>
                <w:lang w:val="en-US" w:eastAsia="zh-CN"/>
              </w:rPr>
              <w:t>堆存、装卸</w:t>
            </w:r>
            <w:r>
              <w:rPr>
                <w:rFonts w:hint="eastAsia" w:ascii="Times New Roman" w:hAnsi="Times New Roman" w:eastAsia="宋体" w:cs="Times New Roman"/>
                <w:b w:val="0"/>
                <w:bCs w:val="0"/>
                <w:color w:val="auto"/>
                <w:sz w:val="24"/>
                <w:szCs w:val="20"/>
                <w:highlight w:val="none"/>
                <w:lang w:val="en-US" w:eastAsia="zh-CN"/>
              </w:rPr>
              <w:t>过程中会产生</w:t>
            </w:r>
            <w:r>
              <w:rPr>
                <w:rFonts w:hint="default" w:ascii="Times New Roman" w:hAnsi="Times New Roman" w:eastAsia="宋体" w:cs="Times New Roman"/>
                <w:b w:val="0"/>
                <w:bCs w:val="0"/>
                <w:color w:val="auto"/>
                <w:sz w:val="24"/>
                <w:szCs w:val="20"/>
                <w:highlight w:val="none"/>
                <w:lang w:val="en-US" w:eastAsia="zh-CN"/>
              </w:rPr>
              <w:t>粉尘</w:t>
            </w:r>
            <w:r>
              <w:rPr>
                <w:rFonts w:hint="eastAsia" w:ascii="Times New Roman" w:hAnsi="Times New Roman" w:eastAsia="宋体" w:cs="Times New Roman"/>
                <w:b w:val="0"/>
                <w:bCs w:val="0"/>
                <w:color w:val="auto"/>
                <w:sz w:val="24"/>
                <w:szCs w:val="20"/>
                <w:highlight w:val="none"/>
                <w:lang w:val="en-US" w:eastAsia="zh-CN"/>
              </w:rPr>
              <w:t>，污染因子：</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颗粒物产生量和排放量参照生态环境部发布的《排放源统计调查产排污核算方法和系数手册》中《固体物料堆存颗粒物产排污核算系数手册》的核算公式进行计算。</w:t>
            </w:r>
          </w:p>
          <w:p w14:paraId="7680218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fldChar w:fldCharType="begin"/>
            </w:r>
            <w:r>
              <w:rPr>
                <w:rFonts w:hint="default" w:ascii="Times New Roman" w:hAnsi="Times New Roman" w:eastAsia="宋体" w:cs="Times New Roman"/>
                <w:b w:val="0"/>
                <w:bCs w:val="0"/>
                <w:color w:val="auto"/>
                <w:sz w:val="24"/>
                <w:szCs w:val="20"/>
                <w:highlight w:val="none"/>
                <w:lang w:val="en-US" w:eastAsia="zh-CN"/>
              </w:rPr>
              <w:instrText xml:space="preserve"> = 1 \* GB3 \* MERGEFORMAT </w:instrText>
            </w:r>
            <w:r>
              <w:rPr>
                <w:rFonts w:hint="default" w:ascii="Times New Roman" w:hAnsi="Times New Roman" w:eastAsia="宋体" w:cs="Times New Roman"/>
                <w:b w:val="0"/>
                <w:bCs w:val="0"/>
                <w:color w:val="auto"/>
                <w:sz w:val="24"/>
                <w:szCs w:val="20"/>
                <w:highlight w:val="none"/>
                <w:lang w:val="en-US" w:eastAsia="zh-CN"/>
              </w:rPr>
              <w:fldChar w:fldCharType="separate"/>
            </w:r>
            <w:r>
              <w:rPr>
                <w:rFonts w:hint="default" w:ascii="Times New Roman" w:hAnsi="Times New Roman" w:eastAsia="宋体" w:cs="Times New Roman"/>
                <w:b w:val="0"/>
                <w:bCs w:val="0"/>
                <w:color w:val="auto"/>
                <w:sz w:val="24"/>
                <w:szCs w:val="20"/>
                <w:highlight w:val="none"/>
                <w:lang w:val="en-US" w:eastAsia="zh-CN"/>
              </w:rPr>
              <w:t>①</w:t>
            </w:r>
            <w:r>
              <w:rPr>
                <w:rFonts w:hint="default" w:ascii="Times New Roman" w:hAnsi="Times New Roman" w:eastAsia="宋体" w:cs="Times New Roman"/>
                <w:b w:val="0"/>
                <w:bCs w:val="0"/>
                <w:color w:val="auto"/>
                <w:sz w:val="24"/>
                <w:szCs w:val="20"/>
                <w:highlight w:val="none"/>
                <w:lang w:val="en-US" w:eastAsia="zh-CN"/>
              </w:rPr>
              <w:fldChar w:fldCharType="end"/>
            </w:r>
            <w:r>
              <w:rPr>
                <w:rFonts w:hint="default" w:ascii="Times New Roman" w:hAnsi="Times New Roman" w:eastAsia="宋体" w:cs="Times New Roman"/>
                <w:b w:val="0"/>
                <w:bCs w:val="0"/>
                <w:color w:val="auto"/>
                <w:sz w:val="24"/>
                <w:szCs w:val="20"/>
                <w:highlight w:val="none"/>
                <w:lang w:val="en-US" w:eastAsia="zh-CN"/>
              </w:rPr>
              <w:t>颗粒物产生量核算</w:t>
            </w:r>
          </w:p>
          <w:p w14:paraId="1F6E9B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工业企业固体物料堆存颗粒物包括装卸扬尘和风蚀扬尘，颗粒物产生量核算公式如下：</w:t>
            </w:r>
          </w:p>
          <w:p w14:paraId="7B13E86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P=Z</w:t>
            </w: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lang w:eastAsia="zh-CN"/>
              </w:rPr>
              <w:t>y+F</w:t>
            </w: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lang w:eastAsia="zh-CN"/>
              </w:rPr>
              <w:t>y={Nc×D×（a/b）+2×Ef×S}×10</w:t>
            </w:r>
            <w:r>
              <w:rPr>
                <w:rFonts w:hint="default" w:ascii="Times New Roman" w:hAnsi="Times New Roman" w:eastAsia="宋体" w:cs="Times New Roman"/>
                <w:color w:val="auto"/>
                <w:sz w:val="24"/>
                <w:highlight w:val="none"/>
                <w:vertAlign w:val="superscript"/>
                <w:lang w:eastAsia="zh-CN"/>
              </w:rPr>
              <w:t>-3</w:t>
            </w:r>
          </w:p>
          <w:p w14:paraId="1584AAE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式中：P指颗粒物产生量（单位：吨）；</w:t>
            </w:r>
          </w:p>
          <w:p w14:paraId="6983B4A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ZCy指装卸扬尘产生量（单位：吨）；</w:t>
            </w:r>
          </w:p>
          <w:p w14:paraId="7BCB571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FCy指风蚀扬尘产生量（单位：吨）；</w:t>
            </w:r>
          </w:p>
          <w:p w14:paraId="30CBAA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Nc指年物料运载车次（单位：车）；本项目年物料运载车次</w:t>
            </w:r>
            <w:r>
              <w:rPr>
                <w:rFonts w:hint="eastAsia" w:cs="Times New Roman"/>
                <w:b w:val="0"/>
                <w:bCs w:val="0"/>
                <w:color w:val="auto"/>
                <w:sz w:val="24"/>
                <w:szCs w:val="20"/>
                <w:highlight w:val="none"/>
                <w:lang w:val="en-US" w:eastAsia="zh-CN"/>
              </w:rPr>
              <w:t>8663</w:t>
            </w:r>
            <w:r>
              <w:rPr>
                <w:rFonts w:hint="default" w:ascii="Times New Roman" w:hAnsi="Times New Roman" w:eastAsia="宋体" w:cs="Times New Roman"/>
                <w:b w:val="0"/>
                <w:bCs w:val="0"/>
                <w:color w:val="auto"/>
                <w:sz w:val="24"/>
                <w:szCs w:val="20"/>
                <w:highlight w:val="none"/>
                <w:lang w:val="en-US" w:eastAsia="zh-CN"/>
              </w:rPr>
              <w:t>。</w:t>
            </w:r>
          </w:p>
          <w:p w14:paraId="0C7BBD7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D指单车平均运载量（单位：吨/车）；本项目单车平均运载量</w:t>
            </w:r>
            <w:r>
              <w:rPr>
                <w:rFonts w:hint="eastAsia" w:ascii="Times New Roman" w:hAnsi="Times New Roman" w:eastAsia="宋体" w:cs="Times New Roman"/>
                <w:b w:val="0"/>
                <w:bCs w:val="0"/>
                <w:color w:val="auto"/>
                <w:sz w:val="24"/>
                <w:szCs w:val="20"/>
                <w:highlight w:val="none"/>
                <w:lang w:val="en-US" w:eastAsia="zh-CN"/>
              </w:rPr>
              <w:t>4</w:t>
            </w:r>
            <w:r>
              <w:rPr>
                <w:rFonts w:hint="default" w:ascii="Times New Roman" w:hAnsi="Times New Roman" w:eastAsia="宋体" w:cs="Times New Roman"/>
                <w:b w:val="0"/>
                <w:bCs w:val="0"/>
                <w:color w:val="auto"/>
                <w:sz w:val="24"/>
                <w:szCs w:val="20"/>
                <w:highlight w:val="none"/>
                <w:lang w:val="en-US" w:eastAsia="zh-CN"/>
              </w:rPr>
              <w:t>0吨/车。</w:t>
            </w:r>
          </w:p>
          <w:p w14:paraId="051868E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（a/b）指装卸扬尘概化系数（单位：千克/吨），a指各省风速概化系数，b指物料含水率概化系数；本项目位于山西省，a为0.0010，本项目物料为煤矸石，b为0.0008。</w:t>
            </w:r>
          </w:p>
          <w:p w14:paraId="046B357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Ef指堆场风蚀扬尘概化系数（单位：千克/平方米）；本项目堆存物料类型为煤矸石，Ef为11.7366。</w:t>
            </w:r>
          </w:p>
          <w:p w14:paraId="220EBD2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S指堆场占地面积（单位：平方米）；本项目堆场占地面积</w:t>
            </w:r>
            <w:r>
              <w:rPr>
                <w:rFonts w:hint="eastAsia" w:cs="Times New Roman"/>
                <w:b w:val="0"/>
                <w:bCs w:val="0"/>
                <w:color w:val="auto"/>
                <w:sz w:val="24"/>
                <w:szCs w:val="20"/>
                <w:highlight w:val="none"/>
                <w:lang w:val="en-US" w:eastAsia="zh-CN"/>
              </w:rPr>
              <w:t>1700</w:t>
            </w:r>
            <w:r>
              <w:rPr>
                <w:rFonts w:hint="default" w:ascii="Times New Roman" w:hAnsi="Times New Roman" w:eastAsia="宋体" w:cs="Times New Roman"/>
                <w:b w:val="0"/>
                <w:bCs w:val="0"/>
                <w:color w:val="auto"/>
                <w:sz w:val="24"/>
                <w:szCs w:val="20"/>
                <w:highlight w:val="none"/>
                <w:lang w:val="en-US" w:eastAsia="zh-CN"/>
              </w:rPr>
              <w:t>m</w:t>
            </w:r>
            <w:r>
              <w:rPr>
                <w:rFonts w:hint="default" w:ascii="Times New Roman" w:hAnsi="Times New Roman" w:eastAsia="宋体" w:cs="Times New Roman"/>
                <w:b w:val="0"/>
                <w:bCs w:val="0"/>
                <w:color w:val="auto"/>
                <w:sz w:val="24"/>
                <w:szCs w:val="20"/>
                <w:highlight w:val="none"/>
                <w:vertAlign w:val="superscript"/>
                <w:lang w:val="en-US" w:eastAsia="zh-CN"/>
              </w:rPr>
              <w:t>2</w:t>
            </w:r>
            <w:r>
              <w:rPr>
                <w:rFonts w:hint="default" w:ascii="Times New Roman" w:hAnsi="Times New Roman" w:eastAsia="宋体" w:cs="Times New Roman"/>
                <w:b w:val="0"/>
                <w:bCs w:val="0"/>
                <w:color w:val="auto"/>
                <w:sz w:val="24"/>
                <w:szCs w:val="20"/>
                <w:highlight w:val="none"/>
                <w:lang w:val="en-US" w:eastAsia="zh-CN"/>
              </w:rPr>
              <w:t>。</w:t>
            </w:r>
          </w:p>
          <w:p w14:paraId="39FA2DF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经计算，颗粒物产生量=（</w:t>
            </w:r>
            <w:r>
              <w:rPr>
                <w:rFonts w:hint="eastAsia" w:cs="Times New Roman"/>
                <w:b w:val="0"/>
                <w:bCs w:val="0"/>
                <w:color w:val="auto"/>
                <w:sz w:val="24"/>
                <w:szCs w:val="20"/>
                <w:highlight w:val="none"/>
                <w:lang w:val="en-US" w:eastAsia="zh-CN"/>
              </w:rPr>
              <w:t>8663</w:t>
            </w:r>
            <w:r>
              <w:rPr>
                <w:rFonts w:hint="default" w:ascii="Times New Roman" w:hAnsi="Times New Roman" w:eastAsia="宋体" w:cs="Times New Roman"/>
                <w:b w:val="0"/>
                <w:bCs w:val="0"/>
                <w:color w:val="auto"/>
                <w:sz w:val="24"/>
                <w:szCs w:val="20"/>
                <w:highlight w:val="none"/>
                <w:lang w:val="en-US" w:eastAsia="zh-CN"/>
              </w:rPr>
              <w:t>×</w:t>
            </w:r>
            <w:r>
              <w:rPr>
                <w:rFonts w:hint="eastAsia" w:ascii="Times New Roman" w:hAnsi="Times New Roman" w:eastAsia="宋体" w:cs="Times New Roman"/>
                <w:b w:val="0"/>
                <w:bCs w:val="0"/>
                <w:color w:val="auto"/>
                <w:sz w:val="24"/>
                <w:szCs w:val="20"/>
                <w:highlight w:val="none"/>
                <w:lang w:val="en-US" w:eastAsia="zh-CN"/>
              </w:rPr>
              <w:t>4</w:t>
            </w:r>
            <w:r>
              <w:rPr>
                <w:rFonts w:hint="default" w:ascii="Times New Roman" w:hAnsi="Times New Roman" w:eastAsia="宋体" w:cs="Times New Roman"/>
                <w:b w:val="0"/>
                <w:bCs w:val="0"/>
                <w:color w:val="auto"/>
                <w:sz w:val="24"/>
                <w:szCs w:val="20"/>
                <w:highlight w:val="none"/>
                <w:lang w:val="en-US" w:eastAsia="zh-CN"/>
              </w:rPr>
              <w:t>0×（0.0010/0.0008）+2×11.7366×</w:t>
            </w:r>
            <w:r>
              <w:rPr>
                <w:rFonts w:hint="eastAsia" w:cs="Times New Roman"/>
                <w:b w:val="0"/>
                <w:bCs w:val="0"/>
                <w:color w:val="auto"/>
                <w:sz w:val="24"/>
                <w:szCs w:val="20"/>
                <w:highlight w:val="none"/>
                <w:lang w:val="en-US" w:eastAsia="zh-CN"/>
              </w:rPr>
              <w:t>1700</w:t>
            </w:r>
            <w:r>
              <w:rPr>
                <w:rFonts w:hint="default" w:ascii="Times New Roman" w:hAnsi="Times New Roman" w:eastAsia="宋体" w:cs="Times New Roman"/>
                <w:b w:val="0"/>
                <w:bCs w:val="0"/>
                <w:color w:val="auto"/>
                <w:sz w:val="24"/>
                <w:szCs w:val="20"/>
                <w:highlight w:val="none"/>
                <w:lang w:val="en-US" w:eastAsia="zh-CN"/>
              </w:rPr>
              <w:t>）×10</w:t>
            </w:r>
            <w:r>
              <w:rPr>
                <w:rFonts w:hint="default" w:ascii="Times New Roman" w:hAnsi="Times New Roman" w:eastAsia="宋体" w:cs="Times New Roman"/>
                <w:b w:val="0"/>
                <w:bCs w:val="0"/>
                <w:color w:val="auto"/>
                <w:sz w:val="24"/>
                <w:szCs w:val="20"/>
                <w:highlight w:val="none"/>
                <w:vertAlign w:val="superscript"/>
                <w:lang w:val="en-US" w:eastAsia="zh-CN"/>
              </w:rPr>
              <w:t>-3</w:t>
            </w:r>
            <w:r>
              <w:rPr>
                <w:rFonts w:hint="default" w:ascii="Times New Roman" w:hAnsi="Times New Roman" w:eastAsia="宋体" w:cs="Times New Roman"/>
                <w:b w:val="0"/>
                <w:bCs w:val="0"/>
                <w:color w:val="auto"/>
                <w:sz w:val="24"/>
                <w:szCs w:val="20"/>
                <w:highlight w:val="none"/>
                <w:lang w:val="en-US" w:eastAsia="zh-CN"/>
              </w:rPr>
              <w:t>=</w:t>
            </w:r>
            <w:r>
              <w:rPr>
                <w:rFonts w:hint="eastAsia" w:ascii="Times New Roman" w:hAnsi="Times New Roman" w:eastAsia="宋体" w:cs="Times New Roman"/>
                <w:b w:val="0"/>
                <w:bCs w:val="0"/>
                <w:color w:val="auto"/>
                <w:sz w:val="24"/>
                <w:szCs w:val="20"/>
                <w:highlight w:val="none"/>
                <w:lang w:val="en-US" w:eastAsia="zh-CN"/>
              </w:rPr>
              <w:t>4</w:t>
            </w:r>
            <w:r>
              <w:rPr>
                <w:rFonts w:hint="eastAsia" w:cs="Times New Roman"/>
                <w:b w:val="0"/>
                <w:bCs w:val="0"/>
                <w:color w:val="auto"/>
                <w:sz w:val="24"/>
                <w:szCs w:val="20"/>
                <w:highlight w:val="none"/>
                <w:lang w:val="en-US" w:eastAsia="zh-CN"/>
              </w:rPr>
              <w:t>73</w:t>
            </w:r>
            <w:r>
              <w:rPr>
                <w:rFonts w:hint="default" w:ascii="Times New Roman" w:hAnsi="Times New Roman" w:eastAsia="宋体" w:cs="Times New Roman"/>
                <w:b w:val="0"/>
                <w:bCs w:val="0"/>
                <w:color w:val="auto"/>
                <w:sz w:val="24"/>
                <w:szCs w:val="20"/>
                <w:highlight w:val="none"/>
                <w:lang w:val="en-US" w:eastAsia="zh-CN"/>
              </w:rPr>
              <w:t>t/a。</w:t>
            </w:r>
          </w:p>
          <w:p w14:paraId="3B83240C">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en-US"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 xml:space="preserve">4-2  </w:t>
            </w:r>
            <w:r>
              <w:rPr>
                <w:rFonts w:hint="default" w:ascii="Times New Roman" w:hAnsi="Times New Roman" w:eastAsia="黑体" w:cs="Times New Roman"/>
                <w:b w:val="0"/>
                <w:bCs w:val="0"/>
                <w:color w:val="auto"/>
                <w:kern w:val="2"/>
                <w:sz w:val="24"/>
                <w:szCs w:val="24"/>
                <w:highlight w:val="none"/>
                <w:lang w:val="en-US" w:eastAsia="zh-CN" w:bidi="ar-SA"/>
              </w:rPr>
              <w:t>项目原料库原料</w:t>
            </w:r>
            <w:r>
              <w:rPr>
                <w:rFonts w:hint="eastAsia" w:ascii="Times New Roman" w:hAnsi="Times New Roman" w:eastAsia="黑体" w:cs="Times New Roman"/>
                <w:b w:val="0"/>
                <w:bCs w:val="0"/>
                <w:color w:val="auto"/>
                <w:kern w:val="2"/>
                <w:sz w:val="24"/>
                <w:szCs w:val="24"/>
                <w:highlight w:val="none"/>
                <w:lang w:val="en-US" w:eastAsia="zh-CN" w:bidi="ar-SA"/>
              </w:rPr>
              <w:t>堆存</w:t>
            </w:r>
            <w:r>
              <w:rPr>
                <w:rFonts w:hint="default" w:ascii="Times New Roman" w:hAnsi="Times New Roman" w:eastAsia="黑体" w:cs="Times New Roman"/>
                <w:b w:val="0"/>
                <w:bCs w:val="0"/>
                <w:color w:val="auto"/>
                <w:kern w:val="2"/>
                <w:sz w:val="24"/>
                <w:szCs w:val="24"/>
                <w:highlight w:val="none"/>
                <w:lang w:val="en-US" w:eastAsia="zh-CN" w:bidi="ar-SA"/>
              </w:rPr>
              <w:t>装卸过程起尘量核算一览表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037"/>
              <w:gridCol w:w="1037"/>
              <w:gridCol w:w="896"/>
              <w:gridCol w:w="1134"/>
              <w:gridCol w:w="1014"/>
              <w:gridCol w:w="1041"/>
              <w:gridCol w:w="1176"/>
            </w:tblGrid>
            <w:tr w14:paraId="3B987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tcBorders>
                    <w:tl2br w:val="nil"/>
                    <w:tr2bl w:val="nil"/>
                  </w:tcBorders>
                  <w:noWrap w:val="0"/>
                  <w:vAlign w:val="center"/>
                </w:tcPr>
                <w:p w14:paraId="7A4CDA79">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原料量（t/a）</w:t>
                  </w:r>
                </w:p>
              </w:tc>
              <w:tc>
                <w:tcPr>
                  <w:tcW w:w="619" w:type="pct"/>
                  <w:tcBorders>
                    <w:tl2br w:val="nil"/>
                    <w:tr2bl w:val="nil"/>
                  </w:tcBorders>
                  <w:noWrap w:val="0"/>
                  <w:vAlign w:val="center"/>
                </w:tcPr>
                <w:p w14:paraId="3BA1CF80">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Nc（车）</w:t>
                  </w:r>
                </w:p>
              </w:tc>
              <w:tc>
                <w:tcPr>
                  <w:tcW w:w="619" w:type="pct"/>
                  <w:tcBorders>
                    <w:tl2br w:val="nil"/>
                    <w:tr2bl w:val="nil"/>
                  </w:tcBorders>
                  <w:noWrap w:val="0"/>
                  <w:vAlign w:val="center"/>
                </w:tcPr>
                <w:p w14:paraId="3FAAFF6B">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D（t/车）</w:t>
                  </w:r>
                </w:p>
              </w:tc>
              <w:tc>
                <w:tcPr>
                  <w:tcW w:w="535" w:type="pct"/>
                  <w:tcBorders>
                    <w:tl2br w:val="nil"/>
                    <w:tr2bl w:val="nil"/>
                  </w:tcBorders>
                  <w:noWrap w:val="0"/>
                  <w:vAlign w:val="center"/>
                </w:tcPr>
                <w:p w14:paraId="3CDBD7FA">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a/b</w:t>
                  </w:r>
                </w:p>
              </w:tc>
              <w:tc>
                <w:tcPr>
                  <w:tcW w:w="677" w:type="pct"/>
                  <w:tcBorders>
                    <w:tl2br w:val="nil"/>
                    <w:tr2bl w:val="nil"/>
                  </w:tcBorders>
                  <w:noWrap w:val="0"/>
                  <w:vAlign w:val="center"/>
                </w:tcPr>
                <w:p w14:paraId="0721502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Ef（kg/m</w:t>
                  </w:r>
                  <w:r>
                    <w:rPr>
                      <w:rFonts w:hint="default" w:ascii="Times New Roman" w:hAnsi="Times New Roman" w:eastAsia="宋体" w:cs="Times New Roman"/>
                      <w:b/>
                      <w:bCs/>
                      <w:snapToGrid w:val="0"/>
                      <w:color w:val="auto"/>
                      <w:kern w:val="0"/>
                      <w:sz w:val="21"/>
                      <w:szCs w:val="21"/>
                      <w:highlight w:val="none"/>
                      <w:vertAlign w:val="superscript"/>
                      <w:lang w:val="en-US" w:eastAsia="zh-CN" w:bidi="ar"/>
                    </w:rPr>
                    <w:t>2</w:t>
                  </w:r>
                  <w:r>
                    <w:rPr>
                      <w:rFonts w:hint="default" w:ascii="Times New Roman" w:hAnsi="Times New Roman" w:eastAsia="宋体" w:cs="Times New Roman"/>
                      <w:b/>
                      <w:bCs/>
                      <w:snapToGrid w:val="0"/>
                      <w:color w:val="auto"/>
                      <w:kern w:val="0"/>
                      <w:sz w:val="21"/>
                      <w:szCs w:val="21"/>
                      <w:highlight w:val="none"/>
                      <w:lang w:val="en-US" w:eastAsia="zh-CN" w:bidi="ar"/>
                    </w:rPr>
                    <w:t>）</w:t>
                  </w:r>
                </w:p>
              </w:tc>
              <w:tc>
                <w:tcPr>
                  <w:tcW w:w="605" w:type="pct"/>
                  <w:tcBorders>
                    <w:tl2br w:val="nil"/>
                    <w:tr2bl w:val="nil"/>
                  </w:tcBorders>
                  <w:noWrap w:val="0"/>
                  <w:vAlign w:val="center"/>
                </w:tcPr>
                <w:p w14:paraId="251CE28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S</w:t>
                  </w:r>
                </w:p>
                <w:p w14:paraId="33924F1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（m</w:t>
                  </w:r>
                  <w:r>
                    <w:rPr>
                      <w:rFonts w:hint="default" w:ascii="Times New Roman" w:hAnsi="Times New Roman" w:eastAsia="宋体" w:cs="Times New Roman"/>
                      <w:b/>
                      <w:bCs/>
                      <w:snapToGrid w:val="0"/>
                      <w:color w:val="auto"/>
                      <w:kern w:val="0"/>
                      <w:sz w:val="21"/>
                      <w:szCs w:val="21"/>
                      <w:highlight w:val="none"/>
                      <w:vertAlign w:val="superscript"/>
                      <w:lang w:val="en-US" w:eastAsia="zh-CN" w:bidi="ar"/>
                    </w:rPr>
                    <w:t>2</w:t>
                  </w:r>
                  <w:r>
                    <w:rPr>
                      <w:rFonts w:hint="default" w:ascii="Times New Roman" w:hAnsi="Times New Roman" w:eastAsia="宋体" w:cs="Times New Roman"/>
                      <w:b/>
                      <w:bCs/>
                      <w:snapToGrid w:val="0"/>
                      <w:color w:val="auto"/>
                      <w:kern w:val="0"/>
                      <w:sz w:val="21"/>
                      <w:szCs w:val="21"/>
                      <w:highlight w:val="none"/>
                      <w:lang w:val="en-US" w:eastAsia="zh-CN" w:bidi="ar"/>
                    </w:rPr>
                    <w:t>）</w:t>
                  </w:r>
                </w:p>
              </w:tc>
              <w:tc>
                <w:tcPr>
                  <w:tcW w:w="621" w:type="pct"/>
                  <w:tcBorders>
                    <w:tl2br w:val="nil"/>
                    <w:tr2bl w:val="nil"/>
                  </w:tcBorders>
                  <w:noWrap w:val="0"/>
                  <w:vAlign w:val="center"/>
                </w:tcPr>
                <w:p w14:paraId="36C032F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产生量（t/a）</w:t>
                  </w:r>
                </w:p>
              </w:tc>
              <w:tc>
                <w:tcPr>
                  <w:tcW w:w="702" w:type="pct"/>
                  <w:tcBorders>
                    <w:tl2br w:val="nil"/>
                    <w:tr2bl w:val="nil"/>
                  </w:tcBorders>
                  <w:noWrap w:val="0"/>
                  <w:vAlign w:val="center"/>
                </w:tcPr>
                <w:p w14:paraId="588B2076">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highlight w:val="none"/>
                      <w:vertAlign w:val="baseli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产生源强（kg/h）</w:t>
                  </w:r>
                </w:p>
              </w:tc>
            </w:tr>
            <w:tr w14:paraId="2690B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tcBorders>
                    <w:tl2br w:val="nil"/>
                    <w:tr2bl w:val="nil"/>
                  </w:tcBorders>
                  <w:noWrap w:val="0"/>
                  <w:vAlign w:val="center"/>
                </w:tcPr>
                <w:p w14:paraId="4318C503">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color w:val="auto"/>
                      <w:sz w:val="21"/>
                      <w:szCs w:val="21"/>
                      <w:highlight w:val="none"/>
                      <w:lang w:val="en-US" w:eastAsia="zh-CN"/>
                    </w:rPr>
                    <w:t>346500</w:t>
                  </w:r>
                </w:p>
              </w:tc>
              <w:tc>
                <w:tcPr>
                  <w:tcW w:w="619" w:type="pct"/>
                  <w:tcBorders>
                    <w:tl2br w:val="nil"/>
                    <w:tr2bl w:val="nil"/>
                  </w:tcBorders>
                  <w:noWrap w:val="0"/>
                  <w:vAlign w:val="center"/>
                </w:tcPr>
                <w:p w14:paraId="01AB699C">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8663</w:t>
                  </w:r>
                </w:p>
              </w:tc>
              <w:tc>
                <w:tcPr>
                  <w:tcW w:w="619" w:type="pct"/>
                  <w:tcBorders>
                    <w:tl2br w:val="nil"/>
                    <w:tr2bl w:val="nil"/>
                  </w:tcBorders>
                  <w:noWrap w:val="0"/>
                  <w:vAlign w:val="center"/>
                </w:tcPr>
                <w:p w14:paraId="110A5B3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40</w:t>
                  </w:r>
                </w:p>
              </w:tc>
              <w:tc>
                <w:tcPr>
                  <w:tcW w:w="535" w:type="pct"/>
                  <w:tcBorders>
                    <w:tl2br w:val="nil"/>
                    <w:tr2bl w:val="nil"/>
                  </w:tcBorders>
                  <w:noWrap w:val="0"/>
                  <w:vAlign w:val="center"/>
                </w:tcPr>
                <w:p w14:paraId="07FE7FAA">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1.25</w:t>
                  </w:r>
                </w:p>
              </w:tc>
              <w:tc>
                <w:tcPr>
                  <w:tcW w:w="677" w:type="pct"/>
                  <w:tcBorders>
                    <w:tl2br w:val="nil"/>
                    <w:tr2bl w:val="nil"/>
                  </w:tcBorders>
                  <w:noWrap w:val="0"/>
                  <w:vAlign w:val="center"/>
                </w:tcPr>
                <w:p w14:paraId="127057CE">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11.7366</w:t>
                  </w:r>
                </w:p>
              </w:tc>
              <w:tc>
                <w:tcPr>
                  <w:tcW w:w="605" w:type="pct"/>
                  <w:tcBorders>
                    <w:tl2br w:val="nil"/>
                    <w:tr2bl w:val="nil"/>
                  </w:tcBorders>
                  <w:noWrap w:val="0"/>
                  <w:vAlign w:val="center"/>
                </w:tcPr>
                <w:p w14:paraId="67A46310">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1700</w:t>
                  </w:r>
                </w:p>
              </w:tc>
              <w:tc>
                <w:tcPr>
                  <w:tcW w:w="621" w:type="pct"/>
                  <w:tcBorders>
                    <w:tl2br w:val="nil"/>
                    <w:tr2bl w:val="nil"/>
                  </w:tcBorders>
                  <w:noWrap w:val="0"/>
                  <w:vAlign w:val="center"/>
                </w:tcPr>
                <w:p w14:paraId="63EAA4DB">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473</w:t>
                  </w:r>
                </w:p>
              </w:tc>
              <w:tc>
                <w:tcPr>
                  <w:tcW w:w="702" w:type="pct"/>
                  <w:tcBorders>
                    <w:tl2br w:val="nil"/>
                    <w:tr2bl w:val="nil"/>
                  </w:tcBorders>
                  <w:noWrap w:val="0"/>
                  <w:vAlign w:val="center"/>
                </w:tcPr>
                <w:p w14:paraId="16EAC633">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59.72</w:t>
                  </w:r>
                </w:p>
              </w:tc>
            </w:tr>
          </w:tbl>
          <w:p w14:paraId="67173F8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根据《长治市大气污染防治工作领导组办公室文件〈关于印发长治市工业企业无组织排放治理实施方案的通知〉》（长气防办〔2019〕9号）及《长治市大气污染防治工作领导组办公室关于进一步加强工业企业污染治理的通知》（长气防办〔2023〕6号），环评对企业原料堆存、装卸过程颗粒物无组织排放提出以下控制要求：</w:t>
            </w:r>
          </w:p>
          <w:p w14:paraId="5166525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1）</w:t>
            </w:r>
            <w:r>
              <w:rPr>
                <w:rFonts w:hint="default" w:ascii="Times New Roman" w:hAnsi="Times New Roman" w:eastAsia="宋体" w:cs="Times New Roman"/>
                <w:b w:val="0"/>
                <w:bCs w:val="0"/>
                <w:color w:val="auto"/>
                <w:sz w:val="24"/>
                <w:szCs w:val="20"/>
                <w:highlight w:val="none"/>
                <w:lang w:val="en-US" w:eastAsia="zh-CN"/>
              </w:rPr>
              <w:t>煤矸石储存于全封闭</w:t>
            </w:r>
            <w:r>
              <w:rPr>
                <w:rFonts w:hint="eastAsia" w:cs="Times New Roman"/>
                <w:b w:val="0"/>
                <w:bCs w:val="0"/>
                <w:color w:val="auto"/>
                <w:sz w:val="24"/>
                <w:szCs w:val="20"/>
                <w:highlight w:val="none"/>
                <w:lang w:val="en-US" w:eastAsia="zh-CN"/>
              </w:rPr>
              <w:t>原料库</w:t>
            </w:r>
            <w:r>
              <w:rPr>
                <w:rFonts w:hint="default" w:ascii="Times New Roman" w:hAnsi="Times New Roman" w:eastAsia="宋体" w:cs="Times New Roman"/>
                <w:b w:val="0"/>
                <w:bCs w:val="0"/>
                <w:color w:val="auto"/>
                <w:sz w:val="24"/>
                <w:szCs w:val="20"/>
                <w:highlight w:val="none"/>
                <w:lang w:val="en-US" w:eastAsia="zh-CN"/>
              </w:rPr>
              <w:t>，禁止露天堆放，存放物料的建筑顶部及四周封闭材料不得存在锈蚀损坏及脱落现象，地面全部硬化并在物料堆存区顶部设置喷雾抑尘设施；</w:t>
            </w:r>
          </w:p>
          <w:p w14:paraId="6DE1D80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2）</w:t>
            </w:r>
            <w:r>
              <w:rPr>
                <w:rFonts w:hint="default" w:ascii="Times New Roman" w:hAnsi="Times New Roman" w:eastAsia="宋体" w:cs="Times New Roman"/>
                <w:b w:val="0"/>
                <w:bCs w:val="0"/>
                <w:color w:val="auto"/>
                <w:sz w:val="24"/>
                <w:szCs w:val="20"/>
                <w:highlight w:val="none"/>
                <w:lang w:val="en-US" w:eastAsia="zh-CN"/>
              </w:rPr>
              <w:t>封闭储料场所要符合安全、消防等要求，设置封闭门窗，厂房车辆出入口加装密闭门，有工艺特殊要求时采用手动，保证无车辆出入时处于关闭状态；</w:t>
            </w:r>
          </w:p>
          <w:p w14:paraId="0718901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3）</w:t>
            </w:r>
            <w:r>
              <w:rPr>
                <w:rFonts w:hint="default" w:ascii="Times New Roman" w:hAnsi="Times New Roman" w:eastAsia="宋体" w:cs="Times New Roman"/>
                <w:b w:val="0"/>
                <w:bCs w:val="0"/>
                <w:color w:val="auto"/>
                <w:sz w:val="24"/>
                <w:szCs w:val="20"/>
                <w:highlight w:val="none"/>
                <w:lang w:val="en-US" w:eastAsia="zh-CN"/>
              </w:rPr>
              <w:t>所用物料装卸（含包装好的物料）必须固定装卸位，严禁随意装卸，生产原料在密闭的原料库卸车，卸车时开启雾炮喷淋除尘；</w:t>
            </w:r>
          </w:p>
          <w:p w14:paraId="0AFD8A8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4）</w:t>
            </w:r>
            <w:r>
              <w:rPr>
                <w:rFonts w:hint="default" w:ascii="Times New Roman" w:hAnsi="Times New Roman" w:eastAsia="宋体" w:cs="Times New Roman"/>
                <w:b w:val="0"/>
                <w:bCs w:val="0"/>
                <w:color w:val="auto"/>
                <w:sz w:val="24"/>
                <w:szCs w:val="20"/>
                <w:highlight w:val="none"/>
                <w:lang w:val="en-US" w:eastAsia="zh-CN"/>
              </w:rPr>
              <w:t>库内物料运输多采用全封闭，并要降低物料跌落高度；</w:t>
            </w:r>
          </w:p>
          <w:p w14:paraId="686E307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ascii="Times New Roman" w:hAnsi="Times New Roman" w:eastAsia="宋体" w:cs="Times New Roman"/>
                <w:b w:val="0"/>
                <w:bCs w:val="0"/>
                <w:color w:val="auto"/>
                <w:sz w:val="24"/>
                <w:szCs w:val="20"/>
                <w:highlight w:val="none"/>
                <w:lang w:val="en-US" w:eastAsia="zh-CN"/>
              </w:rPr>
              <w:t>5）</w:t>
            </w:r>
            <w:r>
              <w:rPr>
                <w:rFonts w:hint="default" w:ascii="Times New Roman" w:hAnsi="Times New Roman" w:eastAsia="宋体" w:cs="Times New Roman"/>
                <w:b w:val="0"/>
                <w:bCs w:val="0"/>
                <w:color w:val="auto"/>
                <w:sz w:val="24"/>
                <w:szCs w:val="20"/>
                <w:highlight w:val="none"/>
                <w:lang w:val="en-US" w:eastAsia="zh-CN"/>
              </w:rPr>
              <w:t>厂区车辆进出口处设置洗车平台，对进出厂区的运输车辆进行清洗。</w:t>
            </w:r>
          </w:p>
          <w:p w14:paraId="30504C8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fldChar w:fldCharType="begin"/>
            </w:r>
            <w:r>
              <w:rPr>
                <w:rFonts w:hint="default" w:ascii="Times New Roman" w:hAnsi="Times New Roman" w:eastAsia="宋体" w:cs="Times New Roman"/>
                <w:b w:val="0"/>
                <w:bCs w:val="0"/>
                <w:color w:val="auto"/>
                <w:sz w:val="24"/>
                <w:szCs w:val="20"/>
                <w:highlight w:val="none"/>
                <w:lang w:val="en-US" w:eastAsia="zh-CN"/>
              </w:rPr>
              <w:instrText xml:space="preserve"> = 2 \* GB3 \* MERGEFORMAT </w:instrText>
            </w:r>
            <w:r>
              <w:rPr>
                <w:rFonts w:hint="default" w:ascii="Times New Roman" w:hAnsi="Times New Roman" w:eastAsia="宋体" w:cs="Times New Roman"/>
                <w:b w:val="0"/>
                <w:bCs w:val="0"/>
                <w:color w:val="auto"/>
                <w:sz w:val="24"/>
                <w:szCs w:val="20"/>
                <w:highlight w:val="none"/>
                <w:lang w:val="en-US" w:eastAsia="zh-CN"/>
              </w:rPr>
              <w:fldChar w:fldCharType="separate"/>
            </w:r>
            <w:r>
              <w:rPr>
                <w:rFonts w:hint="default" w:ascii="Times New Roman" w:hAnsi="Times New Roman" w:eastAsia="宋体" w:cs="Times New Roman"/>
                <w:b w:val="0"/>
                <w:bCs w:val="0"/>
                <w:color w:val="auto"/>
                <w:sz w:val="24"/>
                <w:szCs w:val="20"/>
                <w:highlight w:val="none"/>
                <w:lang w:val="en-US" w:eastAsia="zh-CN"/>
              </w:rPr>
              <w:t>②</w:t>
            </w:r>
            <w:r>
              <w:rPr>
                <w:rFonts w:hint="default" w:ascii="Times New Roman" w:hAnsi="Times New Roman" w:eastAsia="宋体" w:cs="Times New Roman"/>
                <w:b w:val="0"/>
                <w:bCs w:val="0"/>
                <w:color w:val="auto"/>
                <w:sz w:val="24"/>
                <w:szCs w:val="20"/>
                <w:highlight w:val="none"/>
                <w:lang w:val="en-US" w:eastAsia="zh-CN"/>
              </w:rPr>
              <w:fldChar w:fldCharType="end"/>
            </w:r>
            <w:r>
              <w:rPr>
                <w:rFonts w:hint="default" w:ascii="Times New Roman" w:hAnsi="Times New Roman" w:eastAsia="宋体" w:cs="Times New Roman"/>
                <w:b w:val="0"/>
                <w:bCs w:val="0"/>
                <w:color w:val="auto"/>
                <w:sz w:val="24"/>
                <w:szCs w:val="20"/>
                <w:highlight w:val="none"/>
                <w:lang w:val="en-US" w:eastAsia="zh-CN"/>
              </w:rPr>
              <w:t>颗粒物排放量核算</w:t>
            </w:r>
          </w:p>
          <w:p w14:paraId="28D0ABC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工业企业固体物料堆场颗粒物排放量核算公式如下：</w:t>
            </w:r>
          </w:p>
          <w:p w14:paraId="220A4C12">
            <w:pPr>
              <w:keepNext w:val="0"/>
              <w:keepLines w:val="0"/>
              <w:pageBreakBefore w:val="0"/>
              <w:widowControl w:val="0"/>
              <w:suppressLineNumbers w:val="0"/>
              <w:kinsoku/>
              <w:wordWrap/>
              <w:overflowPunct/>
              <w:topLinePunct w:val="0"/>
              <w:autoSpaceDE w:val="0"/>
              <w:autoSpaceDN w:val="0"/>
              <w:bidi w:val="0"/>
              <w:adjustRightInd w:val="0"/>
              <w:snapToGrid w:val="0"/>
              <w:spacing w:line="480" w:lineRule="exact"/>
              <w:jc w:val="center"/>
              <w:textAlignment w:val="baseline"/>
              <w:rPr>
                <w:rFonts w:hint="default" w:ascii="Times New Roman" w:hAnsi="Times New Roman" w:eastAsia="宋体" w:cs="Times New Roman"/>
                <w:snapToGrid w:val="0"/>
                <w:color w:val="auto"/>
                <w:kern w:val="0"/>
                <w:sz w:val="24"/>
                <w:szCs w:val="24"/>
                <w:highlight w:val="none"/>
                <w:lang w:val="en-US" w:eastAsia="zh-CN" w:bidi="ar"/>
              </w:rPr>
            </w:pPr>
            <w:r>
              <w:rPr>
                <w:rFonts w:hint="default" w:ascii="Times New Roman" w:hAnsi="Times New Roman" w:eastAsia="Cambria Math" w:cs="Times New Roman"/>
                <w:snapToGrid w:val="0"/>
                <w:color w:val="auto"/>
                <w:kern w:val="0"/>
                <w:sz w:val="28"/>
                <w:szCs w:val="28"/>
                <w:highlight w:val="none"/>
                <w:lang w:val="en-US" w:eastAsia="zh-CN" w:bidi="ar"/>
              </w:rPr>
              <w:t>Uc</w:t>
            </w:r>
            <w:r>
              <w:rPr>
                <w:rFonts w:hint="default" w:ascii="Times New Roman" w:hAnsi="Times New Roman" w:eastAsia="宋体" w:cs="Times New Roman"/>
                <w:snapToGrid w:val="0"/>
                <w:color w:val="auto"/>
                <w:kern w:val="0"/>
                <w:sz w:val="24"/>
                <w:szCs w:val="24"/>
                <w:highlight w:val="none"/>
                <w:lang w:val="en-US" w:eastAsia="zh-CN" w:bidi="ar"/>
              </w:rPr>
              <w:t>=P×（1-Cm）×（1-Tm）</w:t>
            </w:r>
          </w:p>
          <w:p w14:paraId="6B63AF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式中：P指颗粒物产生量（单位：吨）；</w:t>
            </w:r>
          </w:p>
          <w:p w14:paraId="37370DE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Uc指颗粒物排放量（单位：吨）；</w:t>
            </w:r>
          </w:p>
          <w:p w14:paraId="034492E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Cm指颗粒物控制措施控制效率（单位：%）</w:t>
            </w:r>
            <w:r>
              <w:rPr>
                <w:rFonts w:hint="eastAsia" w:ascii="Times New Roman" w:hAnsi="Times New Roman" w:eastAsia="宋体" w:cs="Times New Roman"/>
                <w:b w:val="0"/>
                <w:bCs w:val="0"/>
                <w:color w:val="auto"/>
                <w:sz w:val="24"/>
                <w:szCs w:val="20"/>
                <w:highlight w:val="none"/>
                <w:lang w:val="en-US" w:eastAsia="zh-CN"/>
              </w:rPr>
              <w:t>，</w:t>
            </w:r>
            <w:r>
              <w:rPr>
                <w:rFonts w:hint="default" w:ascii="Times New Roman" w:hAnsi="Times New Roman" w:eastAsia="宋体" w:cs="Times New Roman"/>
                <w:b w:val="0"/>
                <w:bCs w:val="0"/>
                <w:color w:val="auto"/>
                <w:sz w:val="24"/>
                <w:szCs w:val="20"/>
                <w:highlight w:val="none"/>
                <w:lang w:val="en-US" w:eastAsia="zh-CN"/>
              </w:rPr>
              <w:t>洒水抑尘效率为74%；</w:t>
            </w:r>
          </w:p>
          <w:p w14:paraId="4BCFED1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1200" w:firstLineChars="5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Tm指堆场类型控制效率（单位：%）</w:t>
            </w:r>
            <w:r>
              <w:rPr>
                <w:rFonts w:hint="eastAsia" w:ascii="Times New Roman" w:hAnsi="Times New Roman" w:eastAsia="宋体" w:cs="Times New Roman"/>
                <w:b w:val="0"/>
                <w:bCs w:val="0"/>
                <w:color w:val="auto"/>
                <w:sz w:val="24"/>
                <w:szCs w:val="20"/>
                <w:highlight w:val="none"/>
                <w:lang w:val="en-US" w:eastAsia="zh-CN"/>
              </w:rPr>
              <w:t>，</w:t>
            </w:r>
            <w:r>
              <w:rPr>
                <w:rFonts w:hint="default" w:ascii="Times New Roman" w:hAnsi="Times New Roman" w:eastAsia="宋体" w:cs="Times New Roman"/>
                <w:b w:val="0"/>
                <w:bCs w:val="0"/>
                <w:color w:val="auto"/>
                <w:sz w:val="24"/>
                <w:szCs w:val="20"/>
                <w:highlight w:val="none"/>
                <w:lang w:val="en-US" w:eastAsia="zh-CN"/>
              </w:rPr>
              <w:t>本项目堆场类型为密闭式，控制效率为99%。</w:t>
            </w:r>
          </w:p>
          <w:p w14:paraId="3822E28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lang w:val="en-US" w:eastAsia="zh-CN"/>
              </w:rPr>
            </w:pPr>
            <w:r>
              <w:rPr>
                <w:rFonts w:hint="default" w:ascii="Times New Roman" w:hAnsi="Times New Roman" w:eastAsia="宋体" w:cs="Times New Roman"/>
                <w:b w:val="0"/>
                <w:bCs w:val="0"/>
                <w:color w:val="auto"/>
                <w:sz w:val="24"/>
                <w:szCs w:val="20"/>
                <w:highlight w:val="none"/>
                <w:lang w:val="en-US" w:eastAsia="zh-CN"/>
              </w:rPr>
              <w:t>经计算，颗粒物排放量=</w:t>
            </w:r>
            <w:r>
              <w:rPr>
                <w:rFonts w:hint="eastAsia" w:ascii="Times New Roman" w:hAnsi="Times New Roman" w:eastAsia="宋体" w:cs="Times New Roman"/>
                <w:b w:val="0"/>
                <w:bCs w:val="0"/>
                <w:color w:val="auto"/>
                <w:sz w:val="24"/>
                <w:szCs w:val="20"/>
                <w:highlight w:val="none"/>
                <w:lang w:val="en-US" w:eastAsia="zh-CN"/>
              </w:rPr>
              <w:t>4</w:t>
            </w:r>
            <w:r>
              <w:rPr>
                <w:rFonts w:hint="eastAsia" w:cs="Times New Roman"/>
                <w:b w:val="0"/>
                <w:bCs w:val="0"/>
                <w:color w:val="auto"/>
                <w:sz w:val="24"/>
                <w:szCs w:val="20"/>
                <w:highlight w:val="none"/>
                <w:lang w:val="en-US" w:eastAsia="zh-CN"/>
              </w:rPr>
              <w:t>73</w:t>
            </w:r>
            <w:r>
              <w:rPr>
                <w:rFonts w:hint="default" w:ascii="Times New Roman" w:hAnsi="Times New Roman" w:eastAsia="宋体" w:cs="Times New Roman"/>
                <w:b w:val="0"/>
                <w:bCs w:val="0"/>
                <w:color w:val="auto"/>
                <w:sz w:val="24"/>
                <w:szCs w:val="20"/>
                <w:highlight w:val="none"/>
                <w:lang w:val="en-US" w:eastAsia="zh-CN"/>
              </w:rPr>
              <w:t>×（1-7</w:t>
            </w:r>
            <w:r>
              <w:rPr>
                <w:rFonts w:hint="eastAsia" w:ascii="Times New Roman" w:hAnsi="Times New Roman" w:eastAsia="宋体" w:cs="Times New Roman"/>
                <w:b w:val="0"/>
                <w:bCs w:val="0"/>
                <w:color w:val="auto"/>
                <w:sz w:val="24"/>
                <w:szCs w:val="20"/>
                <w:highlight w:val="none"/>
                <w:lang w:val="en-US" w:eastAsia="zh-CN"/>
              </w:rPr>
              <w:t>4</w:t>
            </w:r>
            <w:r>
              <w:rPr>
                <w:rFonts w:hint="default" w:ascii="Times New Roman" w:hAnsi="Times New Roman" w:eastAsia="宋体" w:cs="Times New Roman"/>
                <w:b w:val="0"/>
                <w:bCs w:val="0"/>
                <w:color w:val="auto"/>
                <w:sz w:val="24"/>
                <w:szCs w:val="20"/>
                <w:highlight w:val="none"/>
                <w:lang w:val="en-US" w:eastAsia="zh-CN"/>
              </w:rPr>
              <w:t>%）×（1-99%）=</w:t>
            </w:r>
            <w:r>
              <w:rPr>
                <w:rFonts w:hint="eastAsia" w:ascii="Times New Roman" w:hAnsi="Times New Roman" w:eastAsia="宋体" w:cs="Times New Roman"/>
                <w:b w:val="0"/>
                <w:bCs w:val="0"/>
                <w:color w:val="auto"/>
                <w:sz w:val="24"/>
                <w:szCs w:val="20"/>
                <w:highlight w:val="none"/>
                <w:lang w:val="en-US" w:eastAsia="zh-CN"/>
              </w:rPr>
              <w:t>1.</w:t>
            </w:r>
            <w:r>
              <w:rPr>
                <w:rFonts w:hint="eastAsia" w:cs="Times New Roman"/>
                <w:b w:val="0"/>
                <w:bCs w:val="0"/>
                <w:color w:val="auto"/>
                <w:sz w:val="24"/>
                <w:szCs w:val="20"/>
                <w:highlight w:val="none"/>
                <w:lang w:val="en-US" w:eastAsia="zh-CN"/>
              </w:rPr>
              <w:t>23</w:t>
            </w:r>
            <w:r>
              <w:rPr>
                <w:rFonts w:hint="default" w:ascii="Times New Roman" w:hAnsi="Times New Roman" w:eastAsia="宋体" w:cs="Times New Roman"/>
                <w:b w:val="0"/>
                <w:bCs w:val="0"/>
                <w:color w:val="auto"/>
                <w:sz w:val="24"/>
                <w:szCs w:val="20"/>
                <w:highlight w:val="none"/>
                <w:lang w:val="en-US" w:eastAsia="zh-CN"/>
              </w:rPr>
              <w:t>t/a。</w:t>
            </w:r>
          </w:p>
          <w:p w14:paraId="03128B23">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en-US"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4-3</w:t>
            </w:r>
            <w:r>
              <w:rPr>
                <w:rFonts w:hint="default" w:ascii="Times New Roman" w:hAnsi="Times New Roman" w:eastAsia="黑体" w:cs="Times New Roman"/>
                <w:b w:val="0"/>
                <w:bCs w:val="0"/>
                <w:color w:val="auto"/>
                <w:kern w:val="2"/>
                <w:sz w:val="24"/>
                <w:szCs w:val="24"/>
                <w:highlight w:val="none"/>
                <w:lang w:val="en-US" w:eastAsia="zh-CN" w:bidi="ar-SA"/>
              </w:rPr>
              <w:t xml:space="preserve">  项目原料库原料装卸过程排放量核算一览表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630"/>
              <w:gridCol w:w="1630"/>
              <w:gridCol w:w="1456"/>
              <w:gridCol w:w="2027"/>
            </w:tblGrid>
            <w:tr w14:paraId="3C33F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73" w:type="pct"/>
                  <w:tcBorders>
                    <w:tl2br w:val="nil"/>
                    <w:tr2bl w:val="nil"/>
                  </w:tcBorders>
                  <w:noWrap w:val="0"/>
                  <w:vAlign w:val="center"/>
                </w:tcPr>
                <w:p w14:paraId="2D70DAA9">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P（t）</w:t>
                  </w:r>
                </w:p>
              </w:tc>
              <w:tc>
                <w:tcPr>
                  <w:tcW w:w="973" w:type="pct"/>
                  <w:tcBorders>
                    <w:tl2br w:val="nil"/>
                    <w:tr2bl w:val="nil"/>
                  </w:tcBorders>
                  <w:noWrap w:val="0"/>
                  <w:vAlign w:val="center"/>
                </w:tcPr>
                <w:p w14:paraId="387D2F21">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Cm（%）</w:t>
                  </w:r>
                </w:p>
              </w:tc>
              <w:tc>
                <w:tcPr>
                  <w:tcW w:w="973" w:type="pct"/>
                  <w:tcBorders>
                    <w:tl2br w:val="nil"/>
                    <w:tr2bl w:val="nil"/>
                  </w:tcBorders>
                  <w:noWrap w:val="0"/>
                  <w:vAlign w:val="center"/>
                </w:tcPr>
                <w:p w14:paraId="5A3A9133">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Tm（%）</w:t>
                  </w:r>
                </w:p>
              </w:tc>
              <w:tc>
                <w:tcPr>
                  <w:tcW w:w="869" w:type="pct"/>
                  <w:tcBorders>
                    <w:tl2br w:val="nil"/>
                    <w:tr2bl w:val="nil"/>
                  </w:tcBorders>
                  <w:noWrap w:val="0"/>
                  <w:vAlign w:val="center"/>
                </w:tcPr>
                <w:p w14:paraId="1326D61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Uc（t/a）</w:t>
                  </w:r>
                </w:p>
              </w:tc>
              <w:tc>
                <w:tcPr>
                  <w:tcW w:w="1210" w:type="pct"/>
                  <w:tcBorders>
                    <w:tl2br w:val="nil"/>
                    <w:tr2bl w:val="nil"/>
                  </w:tcBorders>
                  <w:noWrap w:val="0"/>
                  <w:vAlign w:val="center"/>
                </w:tcPr>
                <w:p w14:paraId="1BAFE8B0">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排放源强（kg/h）</w:t>
                  </w:r>
                </w:p>
              </w:tc>
            </w:tr>
            <w:tr w14:paraId="1F1DD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pct"/>
                  <w:tcBorders>
                    <w:tl2br w:val="nil"/>
                    <w:tr2bl w:val="nil"/>
                  </w:tcBorders>
                  <w:noWrap w:val="0"/>
                  <w:vAlign w:val="center"/>
                </w:tcPr>
                <w:p w14:paraId="4CC34225">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473</w:t>
                  </w:r>
                </w:p>
              </w:tc>
              <w:tc>
                <w:tcPr>
                  <w:tcW w:w="973" w:type="pct"/>
                  <w:tcBorders>
                    <w:tl2br w:val="nil"/>
                    <w:tr2bl w:val="nil"/>
                  </w:tcBorders>
                  <w:noWrap w:val="0"/>
                  <w:vAlign w:val="center"/>
                </w:tcPr>
                <w:p w14:paraId="2DF6F2E3">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74</w:t>
                  </w:r>
                </w:p>
              </w:tc>
              <w:tc>
                <w:tcPr>
                  <w:tcW w:w="973" w:type="pct"/>
                  <w:tcBorders>
                    <w:tl2br w:val="nil"/>
                    <w:tr2bl w:val="nil"/>
                  </w:tcBorders>
                  <w:noWrap w:val="0"/>
                  <w:vAlign w:val="center"/>
                </w:tcPr>
                <w:p w14:paraId="0353724D">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99</w:t>
                  </w:r>
                </w:p>
              </w:tc>
              <w:tc>
                <w:tcPr>
                  <w:tcW w:w="869" w:type="pct"/>
                  <w:tcBorders>
                    <w:tl2br w:val="nil"/>
                    <w:tr2bl w:val="nil"/>
                  </w:tcBorders>
                  <w:noWrap w:val="0"/>
                  <w:vAlign w:val="center"/>
                </w:tcPr>
                <w:p w14:paraId="5D805561">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1.</w:t>
                  </w:r>
                  <w:r>
                    <w:rPr>
                      <w:rFonts w:hint="eastAsia" w:cs="Times New Roman"/>
                      <w:snapToGrid w:val="0"/>
                      <w:color w:val="auto"/>
                      <w:kern w:val="0"/>
                      <w:sz w:val="21"/>
                      <w:szCs w:val="21"/>
                      <w:highlight w:val="none"/>
                      <w:vertAlign w:val="baseline"/>
                      <w:lang w:val="en-US" w:eastAsia="zh-CN" w:bidi="ar"/>
                    </w:rPr>
                    <w:t>23</w:t>
                  </w:r>
                </w:p>
              </w:tc>
              <w:tc>
                <w:tcPr>
                  <w:tcW w:w="1210" w:type="pct"/>
                  <w:tcBorders>
                    <w:tl2br w:val="nil"/>
                    <w:tr2bl w:val="nil"/>
                  </w:tcBorders>
                  <w:noWrap w:val="0"/>
                  <w:vAlign w:val="center"/>
                </w:tcPr>
                <w:p w14:paraId="33F3B264">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0.16</w:t>
                  </w:r>
                </w:p>
              </w:tc>
            </w:tr>
          </w:tbl>
          <w:p w14:paraId="5AA1A87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（2）破碎、筛分</w:t>
            </w:r>
            <w:r>
              <w:rPr>
                <w:rFonts w:hint="eastAsia" w:ascii="Times New Roman" w:hAnsi="Times New Roman" w:eastAsia="宋体" w:cs="Times New Roman"/>
                <w:b/>
                <w:bCs/>
                <w:color w:val="auto"/>
                <w:sz w:val="24"/>
                <w:szCs w:val="24"/>
                <w:highlight w:val="none"/>
                <w:lang w:val="en-US" w:eastAsia="zh-CN"/>
              </w:rPr>
              <w:t>工序</w:t>
            </w:r>
            <w:r>
              <w:rPr>
                <w:rFonts w:hint="default" w:ascii="Times New Roman" w:hAnsi="Times New Roman" w:eastAsia="宋体" w:cs="Times New Roman"/>
                <w:b/>
                <w:bCs/>
                <w:color w:val="auto"/>
                <w:sz w:val="24"/>
                <w:szCs w:val="20"/>
                <w:highlight w:val="none"/>
                <w:lang w:val="en-US" w:eastAsia="zh-CN"/>
              </w:rPr>
              <w:t>粉尘</w:t>
            </w:r>
          </w:p>
          <w:p w14:paraId="5F7E5E3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1）破碎工序</w:t>
            </w:r>
          </w:p>
          <w:p w14:paraId="067D33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lang w:val="en-US" w:eastAsia="zh-CN"/>
              </w:rPr>
              <w:t>源强核算</w:t>
            </w:r>
          </w:p>
          <w:p w14:paraId="4A96F10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破碎工序颗粒物产生量</w:t>
            </w:r>
            <w:r>
              <w:rPr>
                <w:rFonts w:hint="default" w:ascii="Times New Roman" w:hAnsi="Times New Roman" w:eastAsia="宋体" w:cs="Times New Roman"/>
                <w:b w:val="0"/>
                <w:bCs w:val="0"/>
                <w:color w:val="auto"/>
                <w:sz w:val="24"/>
                <w:szCs w:val="24"/>
                <w:highlight w:val="none"/>
                <w:lang w:val="en-US" w:eastAsia="zh-CN"/>
              </w:rPr>
              <w:t>参照《排放源统计调查产排污核算方法和系数手册》-303 砖瓦、石材等建筑材料制造行业系数手册-3031 粘土砖瓦及建筑砌块制造（续4），具体见下表。</w:t>
            </w:r>
          </w:p>
          <w:p w14:paraId="341AC1D8">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4-4</w:t>
            </w:r>
            <w:r>
              <w:rPr>
                <w:rFonts w:hint="default" w:ascii="Times New Roman" w:hAnsi="Times New Roman" w:eastAsia="黑体" w:cs="Times New Roman"/>
                <w:b w:val="0"/>
                <w:bCs w:val="0"/>
                <w:color w:val="auto"/>
                <w:kern w:val="2"/>
                <w:sz w:val="24"/>
                <w:szCs w:val="24"/>
                <w:highlight w:val="none"/>
                <w:lang w:val="en-US" w:eastAsia="zh-CN" w:bidi="ar-SA"/>
              </w:rPr>
              <w:t xml:space="preserve">  3031 粘土砖瓦及建筑砌块制造（续4）</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4"/>
              <w:gridCol w:w="1107"/>
              <w:gridCol w:w="924"/>
              <w:gridCol w:w="747"/>
              <w:gridCol w:w="574"/>
              <w:gridCol w:w="499"/>
              <w:gridCol w:w="1252"/>
              <w:gridCol w:w="904"/>
              <w:gridCol w:w="611"/>
              <w:gridCol w:w="1100"/>
            </w:tblGrid>
            <w:tr w14:paraId="176EB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tcBorders>
                    <w:tl2br w:val="nil"/>
                    <w:tr2bl w:val="nil"/>
                  </w:tcBorders>
                  <w:noWrap w:val="0"/>
                  <w:vAlign w:val="center"/>
                </w:tcPr>
                <w:p w14:paraId="3499BEF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工段名称</w:t>
                  </w:r>
                </w:p>
              </w:tc>
              <w:tc>
                <w:tcPr>
                  <w:tcW w:w="661" w:type="pct"/>
                  <w:tcBorders>
                    <w:tl2br w:val="nil"/>
                    <w:tr2bl w:val="nil"/>
                  </w:tcBorders>
                  <w:noWrap w:val="0"/>
                  <w:vAlign w:val="center"/>
                </w:tcPr>
                <w:p w14:paraId="2153DC45">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产品名称</w:t>
                  </w:r>
                </w:p>
              </w:tc>
              <w:tc>
                <w:tcPr>
                  <w:tcW w:w="552" w:type="pct"/>
                  <w:tcBorders>
                    <w:tl2br w:val="nil"/>
                    <w:tr2bl w:val="nil"/>
                  </w:tcBorders>
                  <w:noWrap w:val="0"/>
                  <w:vAlign w:val="center"/>
                </w:tcPr>
                <w:p w14:paraId="24E3CD3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原料名称</w:t>
                  </w:r>
                </w:p>
              </w:tc>
              <w:tc>
                <w:tcPr>
                  <w:tcW w:w="446" w:type="pct"/>
                  <w:tcBorders>
                    <w:tl2br w:val="nil"/>
                    <w:tr2bl w:val="nil"/>
                  </w:tcBorders>
                  <w:noWrap w:val="0"/>
                  <w:vAlign w:val="center"/>
                </w:tcPr>
                <w:p w14:paraId="68DFD8A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工艺名称</w:t>
                  </w:r>
                </w:p>
              </w:tc>
              <w:tc>
                <w:tcPr>
                  <w:tcW w:w="343" w:type="pct"/>
                  <w:tcBorders>
                    <w:tl2br w:val="nil"/>
                    <w:tr2bl w:val="nil"/>
                  </w:tcBorders>
                  <w:noWrap w:val="0"/>
                  <w:vAlign w:val="center"/>
                </w:tcPr>
                <w:p w14:paraId="774A296E">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规模等级</w:t>
                  </w:r>
                </w:p>
              </w:tc>
              <w:tc>
                <w:tcPr>
                  <w:tcW w:w="1046" w:type="pct"/>
                  <w:gridSpan w:val="2"/>
                  <w:tcBorders>
                    <w:tl2br w:val="nil"/>
                    <w:tr2bl w:val="nil"/>
                  </w:tcBorders>
                  <w:noWrap w:val="0"/>
                  <w:vAlign w:val="center"/>
                </w:tcPr>
                <w:p w14:paraId="7541394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污染物指标</w:t>
                  </w:r>
                </w:p>
              </w:tc>
              <w:tc>
                <w:tcPr>
                  <w:tcW w:w="540" w:type="pct"/>
                  <w:tcBorders>
                    <w:tl2br w:val="nil"/>
                    <w:tr2bl w:val="nil"/>
                  </w:tcBorders>
                  <w:noWrap w:val="0"/>
                  <w:vAlign w:val="center"/>
                </w:tcPr>
                <w:p w14:paraId="3E68F1F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en-US" w:eastAsia="zh-CN" w:bidi="zh-CN"/>
                    </w:rPr>
                    <w:t>系数</w:t>
                  </w:r>
                  <w:r>
                    <w:rPr>
                      <w:rFonts w:hint="default" w:ascii="Times New Roman" w:hAnsi="Times New Roman" w:eastAsia="宋体" w:cs="Times New Roman"/>
                      <w:b/>
                      <w:bCs/>
                      <w:color w:val="auto"/>
                      <w:kern w:val="0"/>
                      <w:sz w:val="21"/>
                      <w:szCs w:val="21"/>
                      <w:highlight w:val="none"/>
                      <w:lang w:val="zh-CN" w:eastAsia="zh-CN" w:bidi="zh-CN"/>
                    </w:rPr>
                    <w:t>单位</w:t>
                  </w:r>
                </w:p>
              </w:tc>
              <w:tc>
                <w:tcPr>
                  <w:tcW w:w="365" w:type="pct"/>
                  <w:tcBorders>
                    <w:tl2br w:val="nil"/>
                    <w:tr2bl w:val="nil"/>
                  </w:tcBorders>
                  <w:noWrap w:val="0"/>
                  <w:vAlign w:val="center"/>
                </w:tcPr>
                <w:p w14:paraId="598D6430">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产污系数</w:t>
                  </w:r>
                </w:p>
              </w:tc>
              <w:tc>
                <w:tcPr>
                  <w:tcW w:w="653" w:type="pct"/>
                  <w:tcBorders>
                    <w:tl2br w:val="nil"/>
                    <w:tr2bl w:val="nil"/>
                  </w:tcBorders>
                  <w:noWrap w:val="0"/>
                  <w:vAlign w:val="center"/>
                </w:tcPr>
                <w:p w14:paraId="2B705C04">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末端治理技术名称</w:t>
                  </w:r>
                </w:p>
              </w:tc>
            </w:tr>
            <w:tr w14:paraId="6055C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restart"/>
                  <w:tcBorders>
                    <w:tl2br w:val="nil"/>
                    <w:tr2bl w:val="nil"/>
                  </w:tcBorders>
                  <w:noWrap w:val="0"/>
                  <w:vAlign w:val="center"/>
                </w:tcPr>
                <w:p w14:paraId="5D72112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c>
                <w:tcPr>
                  <w:tcW w:w="661" w:type="pct"/>
                  <w:vMerge w:val="restart"/>
                  <w:tcBorders>
                    <w:tl2br w:val="nil"/>
                    <w:tr2bl w:val="nil"/>
                  </w:tcBorders>
                  <w:noWrap w:val="0"/>
                  <w:vAlign w:val="center"/>
                </w:tcPr>
                <w:p w14:paraId="7EC40821">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烧结类砖瓦及建筑砌块、煤矸石砖、蒸养砖等</w:t>
                  </w:r>
                </w:p>
              </w:tc>
              <w:tc>
                <w:tcPr>
                  <w:tcW w:w="552" w:type="pct"/>
                  <w:vMerge w:val="restart"/>
                  <w:tcBorders>
                    <w:tl2br w:val="nil"/>
                    <w:tr2bl w:val="nil"/>
                  </w:tcBorders>
                  <w:noWrap w:val="0"/>
                  <w:vAlign w:val="center"/>
                </w:tcPr>
                <w:p w14:paraId="796B324D">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 xml:space="preserve">粘土、页岩、粉煤 </w:t>
                  </w:r>
                </w:p>
                <w:p w14:paraId="5C1A1E48">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灰、煤矸石等</w:t>
                  </w:r>
                </w:p>
              </w:tc>
              <w:tc>
                <w:tcPr>
                  <w:tcW w:w="446" w:type="pct"/>
                  <w:vMerge w:val="restart"/>
                  <w:tcBorders>
                    <w:tl2br w:val="nil"/>
                    <w:tr2bl w:val="nil"/>
                  </w:tcBorders>
                  <w:noWrap w:val="0"/>
                  <w:vAlign w:val="center"/>
                </w:tcPr>
                <w:p w14:paraId="60A1F67E">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破碎、筛分、成型</w:t>
                  </w:r>
                </w:p>
                <w:p w14:paraId="01D6BB03">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干燥</w:t>
                  </w:r>
                </w:p>
                <w:p w14:paraId="6778ED53">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等</w:t>
                  </w:r>
                </w:p>
              </w:tc>
              <w:tc>
                <w:tcPr>
                  <w:tcW w:w="343" w:type="pct"/>
                  <w:vMerge w:val="restart"/>
                  <w:tcBorders>
                    <w:tl2br w:val="nil"/>
                    <w:tr2bl w:val="nil"/>
                  </w:tcBorders>
                  <w:noWrap w:val="0"/>
                  <w:vAlign w:val="center"/>
                </w:tcPr>
                <w:p w14:paraId="59AE1159">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zh-CN" w:eastAsia="zh-CN" w:bidi="ar"/>
                    </w:rPr>
                    <w:t>所有规模</w:t>
                  </w:r>
                </w:p>
              </w:tc>
              <w:tc>
                <w:tcPr>
                  <w:tcW w:w="298" w:type="pct"/>
                  <w:vMerge w:val="restart"/>
                  <w:tcBorders>
                    <w:tl2br w:val="nil"/>
                    <w:tr2bl w:val="nil"/>
                  </w:tcBorders>
                  <w:noWrap w:val="0"/>
                  <w:vAlign w:val="center"/>
                </w:tcPr>
                <w:p w14:paraId="4F60D349">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废气</w:t>
                  </w:r>
                </w:p>
              </w:tc>
              <w:tc>
                <w:tcPr>
                  <w:tcW w:w="748" w:type="pct"/>
                  <w:vMerge w:val="restart"/>
                  <w:tcBorders>
                    <w:tl2br w:val="nil"/>
                    <w:tr2bl w:val="nil"/>
                  </w:tcBorders>
                  <w:noWrap w:val="0"/>
                  <w:vAlign w:val="center"/>
                </w:tcPr>
                <w:p w14:paraId="1BA3D7B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zh-CN" w:eastAsia="zh-CN" w:bidi="ar"/>
                    </w:rPr>
                    <w:t>颗粒物</w:t>
                  </w:r>
                  <w:r>
                    <w:rPr>
                      <w:rFonts w:hint="default" w:ascii="Times New Roman" w:hAnsi="Times New Roman" w:eastAsia="宋体" w:cs="Times New Roman"/>
                      <w:b w:val="0"/>
                      <w:bCs w:val="0"/>
                      <w:snapToGrid w:val="0"/>
                      <w:color w:val="auto"/>
                      <w:kern w:val="0"/>
                      <w:sz w:val="21"/>
                      <w:szCs w:val="21"/>
                      <w:highlight w:val="none"/>
                      <w:lang w:val="en-US" w:eastAsia="zh-CN" w:bidi="ar"/>
                    </w:rPr>
                    <w:t>（除窑炉外工艺废气）</w:t>
                  </w:r>
                </w:p>
              </w:tc>
              <w:tc>
                <w:tcPr>
                  <w:tcW w:w="540" w:type="pct"/>
                  <w:vMerge w:val="restart"/>
                  <w:tcBorders>
                    <w:tl2br w:val="nil"/>
                    <w:tr2bl w:val="nil"/>
                  </w:tcBorders>
                  <w:noWrap w:val="0"/>
                  <w:vAlign w:val="center"/>
                </w:tcPr>
                <w:p w14:paraId="6D584538">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千克/万块标砖</w:t>
                  </w:r>
                </w:p>
              </w:tc>
              <w:tc>
                <w:tcPr>
                  <w:tcW w:w="365" w:type="pct"/>
                  <w:vMerge w:val="restart"/>
                  <w:tcBorders>
                    <w:tl2br w:val="nil"/>
                    <w:tr2bl w:val="nil"/>
                  </w:tcBorders>
                  <w:noWrap w:val="0"/>
                  <w:vAlign w:val="center"/>
                </w:tcPr>
                <w:p w14:paraId="0D8C73AC">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1.23</w:t>
                  </w:r>
                </w:p>
              </w:tc>
              <w:tc>
                <w:tcPr>
                  <w:tcW w:w="653" w:type="pct"/>
                  <w:tcBorders>
                    <w:tl2br w:val="nil"/>
                    <w:tr2bl w:val="nil"/>
                  </w:tcBorders>
                  <w:noWrap w:val="0"/>
                  <w:vAlign w:val="center"/>
                </w:tcPr>
                <w:p w14:paraId="6C8970A2">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袋式除尘</w:t>
                  </w:r>
                </w:p>
              </w:tc>
            </w:tr>
            <w:tr w14:paraId="6D6B5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tcBorders>
                    <w:tl2br w:val="nil"/>
                    <w:tr2bl w:val="nil"/>
                  </w:tcBorders>
                  <w:noWrap w:val="0"/>
                  <w:vAlign w:val="center"/>
                </w:tcPr>
                <w:p w14:paraId="203ED0EE">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61" w:type="pct"/>
                  <w:vMerge w:val="continue"/>
                  <w:tcBorders>
                    <w:tl2br w:val="nil"/>
                    <w:tr2bl w:val="nil"/>
                  </w:tcBorders>
                  <w:noWrap w:val="0"/>
                  <w:vAlign w:val="center"/>
                </w:tcPr>
                <w:p w14:paraId="0C39D93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2" w:type="pct"/>
                  <w:vMerge w:val="continue"/>
                  <w:tcBorders>
                    <w:tl2br w:val="nil"/>
                    <w:tr2bl w:val="nil"/>
                  </w:tcBorders>
                  <w:noWrap w:val="0"/>
                  <w:vAlign w:val="center"/>
                </w:tcPr>
                <w:p w14:paraId="2DC6C1F0">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46" w:type="pct"/>
                  <w:vMerge w:val="continue"/>
                  <w:tcBorders>
                    <w:tl2br w:val="nil"/>
                    <w:tr2bl w:val="nil"/>
                  </w:tcBorders>
                  <w:noWrap w:val="0"/>
                  <w:vAlign w:val="center"/>
                </w:tcPr>
                <w:p w14:paraId="043A35C0">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3" w:type="pct"/>
                  <w:vMerge w:val="continue"/>
                  <w:tcBorders>
                    <w:tl2br w:val="nil"/>
                    <w:tr2bl w:val="nil"/>
                  </w:tcBorders>
                  <w:noWrap w:val="0"/>
                  <w:vAlign w:val="center"/>
                </w:tcPr>
                <w:p w14:paraId="1E5B62B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298" w:type="pct"/>
                  <w:vMerge w:val="continue"/>
                  <w:tcBorders>
                    <w:tl2br w:val="nil"/>
                    <w:tr2bl w:val="nil"/>
                  </w:tcBorders>
                  <w:noWrap w:val="0"/>
                  <w:vAlign w:val="center"/>
                </w:tcPr>
                <w:p w14:paraId="5A6D9D06">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48" w:type="pct"/>
                  <w:vMerge w:val="continue"/>
                  <w:tcBorders>
                    <w:tl2br w:val="nil"/>
                    <w:tr2bl w:val="nil"/>
                  </w:tcBorders>
                  <w:noWrap w:val="0"/>
                  <w:vAlign w:val="center"/>
                </w:tcPr>
                <w:p w14:paraId="56A2C444">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40" w:type="pct"/>
                  <w:vMerge w:val="continue"/>
                  <w:tcBorders>
                    <w:tl2br w:val="nil"/>
                    <w:tr2bl w:val="nil"/>
                  </w:tcBorders>
                  <w:noWrap w:val="0"/>
                  <w:vAlign w:val="center"/>
                </w:tcPr>
                <w:p w14:paraId="615F4E89">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65" w:type="pct"/>
                  <w:vMerge w:val="continue"/>
                  <w:tcBorders>
                    <w:tl2br w:val="nil"/>
                    <w:tr2bl w:val="nil"/>
                  </w:tcBorders>
                  <w:noWrap w:val="0"/>
                  <w:vAlign w:val="center"/>
                </w:tcPr>
                <w:p w14:paraId="32040C6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53" w:type="pct"/>
                  <w:tcBorders>
                    <w:tl2br w:val="nil"/>
                    <w:tr2bl w:val="nil"/>
                  </w:tcBorders>
                  <w:noWrap w:val="0"/>
                  <w:vAlign w:val="center"/>
                </w:tcPr>
                <w:p w14:paraId="60F2B80D">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其他</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bidi="ar"/>
                    </w:rPr>
                    <w:t>①</w:t>
                  </w:r>
                </w:p>
              </w:tc>
            </w:tr>
            <w:tr w14:paraId="670DC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tcBorders>
                    <w:tl2br w:val="nil"/>
                    <w:tr2bl w:val="nil"/>
                  </w:tcBorders>
                  <w:noWrap w:val="0"/>
                  <w:vAlign w:val="center"/>
                </w:tcPr>
                <w:p w14:paraId="0BDECC7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61" w:type="pct"/>
                  <w:vMerge w:val="continue"/>
                  <w:tcBorders>
                    <w:tl2br w:val="nil"/>
                    <w:tr2bl w:val="nil"/>
                  </w:tcBorders>
                  <w:noWrap w:val="0"/>
                  <w:vAlign w:val="center"/>
                </w:tcPr>
                <w:p w14:paraId="3FB45C84">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2" w:type="pct"/>
                  <w:vMerge w:val="continue"/>
                  <w:tcBorders>
                    <w:tl2br w:val="nil"/>
                    <w:tr2bl w:val="nil"/>
                  </w:tcBorders>
                  <w:noWrap w:val="0"/>
                  <w:vAlign w:val="center"/>
                </w:tcPr>
                <w:p w14:paraId="66D4DCE2">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46" w:type="pct"/>
                  <w:vMerge w:val="continue"/>
                  <w:tcBorders>
                    <w:tl2br w:val="nil"/>
                    <w:tr2bl w:val="nil"/>
                  </w:tcBorders>
                  <w:noWrap w:val="0"/>
                  <w:vAlign w:val="center"/>
                </w:tcPr>
                <w:p w14:paraId="6B6481D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3" w:type="pct"/>
                  <w:vMerge w:val="continue"/>
                  <w:tcBorders>
                    <w:tl2br w:val="nil"/>
                    <w:tr2bl w:val="nil"/>
                  </w:tcBorders>
                  <w:noWrap w:val="0"/>
                  <w:vAlign w:val="center"/>
                </w:tcPr>
                <w:p w14:paraId="1D01E7DE">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298" w:type="pct"/>
                  <w:vMerge w:val="continue"/>
                  <w:tcBorders>
                    <w:tl2br w:val="nil"/>
                    <w:tr2bl w:val="nil"/>
                  </w:tcBorders>
                  <w:noWrap w:val="0"/>
                  <w:vAlign w:val="center"/>
                </w:tcPr>
                <w:p w14:paraId="7082365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48" w:type="pct"/>
                  <w:vMerge w:val="continue"/>
                  <w:tcBorders>
                    <w:tl2br w:val="nil"/>
                    <w:tr2bl w:val="nil"/>
                  </w:tcBorders>
                  <w:noWrap w:val="0"/>
                  <w:vAlign w:val="center"/>
                </w:tcPr>
                <w:p w14:paraId="4E44C175">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40" w:type="pct"/>
                  <w:vMerge w:val="continue"/>
                  <w:tcBorders>
                    <w:tl2br w:val="nil"/>
                    <w:tr2bl w:val="nil"/>
                  </w:tcBorders>
                  <w:noWrap w:val="0"/>
                  <w:vAlign w:val="center"/>
                </w:tcPr>
                <w:p w14:paraId="384FB91C">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65" w:type="pct"/>
                  <w:vMerge w:val="continue"/>
                  <w:tcBorders>
                    <w:tl2br w:val="nil"/>
                    <w:tr2bl w:val="nil"/>
                  </w:tcBorders>
                  <w:noWrap w:val="0"/>
                  <w:vAlign w:val="center"/>
                </w:tcPr>
                <w:p w14:paraId="2A4FA992">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53" w:type="pct"/>
                  <w:tcBorders>
                    <w:tl2br w:val="nil"/>
                    <w:tr2bl w:val="nil"/>
                  </w:tcBorders>
                  <w:noWrap w:val="0"/>
                  <w:vAlign w:val="center"/>
                </w:tcPr>
                <w:p w14:paraId="573FE8C9">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39791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0"/>
                  <w:tcBorders>
                    <w:tl2br w:val="nil"/>
                    <w:tr2bl w:val="nil"/>
                  </w:tcBorders>
                  <w:noWrap w:val="0"/>
                  <w:vAlign w:val="center"/>
                </w:tcPr>
                <w:p w14:paraId="440626B5">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①其他包括机械除尘、喷雾降尘等。</w:t>
                  </w:r>
                </w:p>
              </w:tc>
            </w:tr>
          </w:tbl>
          <w:p w14:paraId="06A6EBC4">
            <w:pPr>
              <w:keepNext w:val="0"/>
              <w:keepLines w:val="0"/>
              <w:pageBreakBefore w:val="0"/>
              <w:widowControl w:val="0"/>
              <w:kinsoku/>
              <w:wordWrap/>
              <w:overflowPunct/>
              <w:topLinePunct w:val="0"/>
              <w:autoSpaceDE/>
              <w:autoSpaceDN/>
              <w:bidi w:val="0"/>
              <w:adjustRightInd w:val="0"/>
              <w:snapToGrid w:val="0"/>
              <w:spacing w:before="63" w:beforeLines="20"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项目年产</w:t>
            </w:r>
            <w:r>
              <w:rPr>
                <w:rFonts w:hint="eastAsia"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000</w:t>
            </w:r>
            <w:r>
              <w:rPr>
                <w:rFonts w:hint="default" w:ascii="Times New Roman" w:hAnsi="Times New Roman" w:eastAsia="宋体" w:cs="Times New Roman"/>
                <w:b w:val="0"/>
                <w:bCs w:val="0"/>
                <w:color w:val="auto"/>
                <w:sz w:val="24"/>
                <w:szCs w:val="24"/>
                <w:highlight w:val="none"/>
                <w:lang w:val="en-US" w:eastAsia="zh-CN"/>
              </w:rPr>
              <w:t>万块标砖，</w:t>
            </w:r>
            <w:r>
              <w:rPr>
                <w:rFonts w:hint="eastAsia" w:ascii="Times New Roman" w:hAnsi="Times New Roman" w:eastAsia="宋体" w:cs="Times New Roman"/>
                <w:b w:val="0"/>
                <w:bCs w:val="0"/>
                <w:color w:val="auto"/>
                <w:sz w:val="24"/>
                <w:szCs w:val="24"/>
                <w:highlight w:val="none"/>
                <w:lang w:val="en-US" w:eastAsia="zh-CN"/>
              </w:rPr>
              <w:t>该工段设</w:t>
            </w:r>
            <w:r>
              <w:rPr>
                <w:rFonts w:hint="eastAsia" w:cs="Times New Roman"/>
                <w:b w:val="0"/>
                <w:bCs w:val="0"/>
                <w:color w:val="auto"/>
                <w:sz w:val="24"/>
                <w:szCs w:val="24"/>
                <w:highlight w:val="none"/>
                <w:lang w:val="en-US" w:eastAsia="zh-CN"/>
              </w:rPr>
              <w:t>一次</w:t>
            </w:r>
            <w:r>
              <w:rPr>
                <w:rFonts w:hint="eastAsia" w:ascii="Times New Roman" w:hAnsi="Times New Roman" w:eastAsia="宋体" w:cs="Times New Roman"/>
                <w:b w:val="0"/>
                <w:bCs w:val="0"/>
                <w:color w:val="auto"/>
                <w:sz w:val="24"/>
                <w:szCs w:val="24"/>
                <w:highlight w:val="none"/>
                <w:lang w:val="en-US" w:eastAsia="zh-CN"/>
              </w:rPr>
              <w:t>破碎，则该工段</w:t>
            </w:r>
            <w:r>
              <w:rPr>
                <w:rFonts w:hint="default" w:ascii="Times New Roman" w:hAnsi="Times New Roman" w:eastAsia="宋体" w:cs="Times New Roman"/>
                <w:b w:val="0"/>
                <w:bCs w:val="0"/>
                <w:color w:val="auto"/>
                <w:sz w:val="24"/>
                <w:szCs w:val="24"/>
                <w:highlight w:val="none"/>
                <w:lang w:val="en-US" w:eastAsia="zh-CN"/>
              </w:rPr>
              <w:t>过程</w:t>
            </w:r>
            <w:r>
              <w:rPr>
                <w:rFonts w:hint="eastAsia"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val="en-US" w:eastAsia="zh-CN"/>
              </w:rPr>
              <w:t>颗粒物产生量=1.23</w:t>
            </w:r>
            <w:r>
              <w:rPr>
                <w:rFonts w:hint="default" w:ascii="Times New Roman" w:hAnsi="Times New Roman" w:eastAsia="宋体" w:cs="Times New Roman"/>
                <w:b w:val="0"/>
                <w:bCs w:val="0"/>
                <w:color w:val="auto"/>
                <w:sz w:val="24"/>
                <w:szCs w:val="24"/>
                <w:highlight w:val="none"/>
                <w:lang w:val="zh-CN" w:eastAsia="zh-CN"/>
              </w:rPr>
              <w:t>千克/</w:t>
            </w:r>
            <w:r>
              <w:rPr>
                <w:rFonts w:hint="default" w:ascii="Times New Roman" w:hAnsi="Times New Roman" w:eastAsia="宋体" w:cs="Times New Roman"/>
                <w:b w:val="0"/>
                <w:bCs w:val="0"/>
                <w:color w:val="auto"/>
                <w:sz w:val="24"/>
                <w:szCs w:val="24"/>
                <w:highlight w:val="none"/>
                <w:lang w:val="en-US" w:eastAsia="zh-CN"/>
              </w:rPr>
              <w:t>万块标砖×</w:t>
            </w:r>
            <w:r>
              <w:rPr>
                <w:rFonts w:hint="eastAsia"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00万块/a=</w:t>
            </w:r>
            <w:r>
              <w:rPr>
                <w:rFonts w:hint="eastAsia" w:cs="Times New Roman"/>
                <w:b w:val="0"/>
                <w:bCs w:val="0"/>
                <w:color w:val="auto"/>
                <w:sz w:val="24"/>
                <w:szCs w:val="24"/>
                <w:highlight w:val="none"/>
                <w:lang w:val="en-US" w:eastAsia="zh-CN"/>
              </w:rPr>
              <w:t>13.53</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p>
          <w:p w14:paraId="315278F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②治理措施</w:t>
            </w:r>
          </w:p>
          <w:p w14:paraId="7106B6D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破碎机位于全封闭车间，破碎机为全封闭；破碎机出料口与皮带连接，皮带输送机全封闭。</w:t>
            </w:r>
          </w:p>
          <w:p w14:paraId="19024D8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破碎机进料口上方设1个集气罩，共</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个，破碎</w:t>
            </w:r>
            <w:r>
              <w:rPr>
                <w:rFonts w:hint="eastAsia" w:cs="Times New Roman"/>
                <w:b w:val="0"/>
                <w:bCs w:val="0"/>
                <w:color w:val="auto"/>
                <w:sz w:val="24"/>
                <w:szCs w:val="24"/>
                <w:highlight w:val="none"/>
                <w:lang w:val="en-US" w:eastAsia="zh-CN"/>
              </w:rPr>
              <w:t>经</w:t>
            </w:r>
            <w:r>
              <w:rPr>
                <w:rFonts w:hint="eastAsia" w:ascii="Times New Roman" w:hAnsi="Times New Roman" w:eastAsia="宋体" w:cs="Times New Roman"/>
                <w:b w:val="0"/>
                <w:bCs w:val="0"/>
                <w:color w:val="auto"/>
                <w:sz w:val="24"/>
                <w:szCs w:val="24"/>
                <w:highlight w:val="none"/>
                <w:lang w:val="en-US" w:eastAsia="zh-CN"/>
              </w:rPr>
              <w:t>废气经集气罩（收集效率90%）+布袋除尘器（风量为12000m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，过滤风速为0.6m/min，过滤面积333m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）+1根15m高排气筒（</w:t>
            </w:r>
            <w:r>
              <w:rPr>
                <w:rFonts w:hint="eastAsia" w:cs="Times New Roman"/>
                <w:b w:val="0"/>
                <w:bCs w:val="0"/>
                <w:color w:val="auto"/>
                <w:sz w:val="24"/>
                <w:szCs w:val="24"/>
                <w:highlight w:val="none"/>
                <w:lang w:val="en-US" w:eastAsia="zh-CN"/>
              </w:rPr>
              <w:t>DA004</w:t>
            </w:r>
            <w:r>
              <w:rPr>
                <w:rFonts w:hint="eastAsia" w:ascii="Times New Roman" w:hAnsi="Times New Roman" w:eastAsia="宋体" w:cs="Times New Roman"/>
                <w:b w:val="0"/>
                <w:bCs w:val="0"/>
                <w:color w:val="auto"/>
                <w:sz w:val="24"/>
                <w:szCs w:val="24"/>
                <w:highlight w:val="none"/>
                <w:lang w:val="en-US" w:eastAsia="zh-CN"/>
              </w:rPr>
              <w:t>）排放。</w:t>
            </w:r>
          </w:p>
          <w:p w14:paraId="45AC57B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集气罩风量计算公式如下：</w:t>
            </w:r>
          </w:p>
          <w:p w14:paraId="381EADF0">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jc w:val="center"/>
              <w:textAlignment w:val="auto"/>
              <w:rPr>
                <w:rFonts w:hint="eastAsia" w:ascii="Times New Roman" w:hAnsi="Times New Roman" w:eastAsia="Times New Roman" w:cs="Times New Roman"/>
                <w:i/>
                <w:color w:val="auto"/>
                <w:sz w:val="24"/>
                <w:szCs w:val="24"/>
                <w:lang w:eastAsia="zh-CN"/>
              </w:rPr>
            </w:pPr>
            <w:r>
              <w:rPr>
                <w:rFonts w:hint="eastAsia" w:ascii="Times New Roman" w:hAnsi="Times New Roman" w:eastAsia="Times New Roman" w:cs="Times New Roman"/>
                <w:i/>
                <w:color w:val="auto"/>
                <w:sz w:val="24"/>
                <w:szCs w:val="24"/>
                <w:lang w:eastAsia="zh-CN"/>
              </w:rPr>
              <w:t>Q</w:t>
            </w:r>
            <w:r>
              <w:rPr>
                <w:rFonts w:hint="eastAsia" w:ascii="Times New Roman" w:hAnsi="Times New Roman" w:eastAsia="Times New Roman" w:cs="Times New Roman"/>
                <w:color w:val="auto"/>
                <w:sz w:val="24"/>
                <w:szCs w:val="24"/>
                <w:lang w:eastAsia="zh-CN"/>
              </w:rPr>
              <w:t>=3600</w:t>
            </w:r>
            <w:r>
              <w:rPr>
                <w:rFonts w:hint="eastAsia" w:ascii="Times New Roman" w:hAnsi="Times New Roman" w:eastAsia="Times New Roman" w:cs="Times New Roman"/>
                <w:i/>
                <w:color w:val="auto"/>
                <w:sz w:val="24"/>
                <w:szCs w:val="24"/>
                <w:lang w:eastAsia="zh-CN"/>
              </w:rPr>
              <w:t>Av</w:t>
            </w:r>
            <w:r>
              <w:rPr>
                <w:rFonts w:hint="eastAsia" w:ascii="Times New Roman" w:hAnsi="Times New Roman" w:eastAsia="Times New Roman" w:cs="Times New Roman"/>
                <w:i/>
                <w:color w:val="auto"/>
                <w:sz w:val="24"/>
                <w:szCs w:val="24"/>
                <w:vertAlign w:val="subscript"/>
                <w:lang w:eastAsia="zh-CN"/>
              </w:rPr>
              <w:t>pl</w:t>
            </w:r>
          </w:p>
          <w:p w14:paraId="553C63BC">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480" w:firstLineChars="2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宋体" w:cs="Times New Roman"/>
                <w:color w:val="auto"/>
                <w:sz w:val="24"/>
                <w:szCs w:val="24"/>
                <w:lang w:eastAsia="zh-CN"/>
              </w:rPr>
              <w:t>式中：</w:t>
            </w:r>
            <w:r>
              <w:rPr>
                <w:rFonts w:hint="eastAsia" w:ascii="Times New Roman" w:hAnsi="Times New Roman" w:eastAsia="Times New Roman" w:cs="Times New Roman"/>
                <w:i/>
                <w:color w:val="auto"/>
                <w:sz w:val="24"/>
                <w:szCs w:val="24"/>
                <w:lang w:eastAsia="zh-CN"/>
              </w:rPr>
              <w:t>Q</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吸尘罩吸风量，（</w:t>
            </w:r>
            <w:r>
              <w:rPr>
                <w:rFonts w:hint="eastAsia" w:ascii="Times New Roman" w:hAnsi="Times New Roman" w:eastAsia="Times New Roman" w:cs="Times New Roman"/>
                <w:color w:val="auto"/>
                <w:sz w:val="24"/>
                <w:szCs w:val="24"/>
                <w:lang w:eastAsia="zh-CN"/>
              </w:rPr>
              <w:t>m</w:t>
            </w:r>
            <w:r>
              <w:rPr>
                <w:rFonts w:hint="eastAsia" w:ascii="Times New Roman" w:hAnsi="Times New Roman" w:eastAsia="Times New Roman" w:cs="Times New Roman"/>
                <w:color w:val="auto"/>
                <w:sz w:val="24"/>
                <w:szCs w:val="24"/>
                <w:vertAlign w:val="superscript"/>
                <w:lang w:eastAsia="zh-CN"/>
              </w:rPr>
              <w:t>3</w:t>
            </w:r>
            <w:r>
              <w:rPr>
                <w:rFonts w:hint="eastAsia" w:ascii="Times New Roman" w:hAnsi="Times New Roman" w:eastAsia="Times New Roman" w:cs="Times New Roman"/>
                <w:color w:val="auto"/>
                <w:sz w:val="24"/>
                <w:szCs w:val="24"/>
                <w:lang w:eastAsia="zh-CN"/>
              </w:rPr>
              <w:t>/h</w:t>
            </w:r>
            <w:r>
              <w:rPr>
                <w:rFonts w:hint="eastAsia" w:ascii="Times New Roman" w:hAnsi="Times New Roman" w:eastAsia="宋体" w:cs="Times New Roman"/>
                <w:color w:val="auto"/>
                <w:sz w:val="24"/>
                <w:szCs w:val="24"/>
                <w:lang w:eastAsia="zh-CN"/>
              </w:rPr>
              <w:t>）；</w:t>
            </w:r>
          </w:p>
          <w:p w14:paraId="224C3A3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1200" w:firstLineChars="5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i/>
                <w:color w:val="auto"/>
                <w:sz w:val="24"/>
                <w:szCs w:val="24"/>
                <w:lang w:eastAsia="zh-CN"/>
              </w:rPr>
              <w:t>A</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罩口面积，（</w:t>
            </w:r>
            <w:r>
              <w:rPr>
                <w:rFonts w:hint="eastAsia" w:ascii="Times New Roman" w:hAnsi="Times New Roman" w:eastAsia="Times New Roman" w:cs="Times New Roman"/>
                <w:color w:val="auto"/>
                <w:sz w:val="24"/>
                <w:szCs w:val="24"/>
                <w:lang w:eastAsia="zh-CN"/>
              </w:rPr>
              <w:t>m</w:t>
            </w:r>
            <w:r>
              <w:rPr>
                <w:rFonts w:hint="eastAsia" w:ascii="Times New Roman" w:hAnsi="Times New Roman" w:eastAsia="Times New Roman"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p>
          <w:p w14:paraId="5459B29B">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1200" w:firstLineChars="5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i/>
                <w:color w:val="auto"/>
                <w:sz w:val="24"/>
                <w:szCs w:val="24"/>
                <w:lang w:eastAsia="zh-CN"/>
              </w:rPr>
              <w:t>v</w:t>
            </w:r>
            <w:r>
              <w:rPr>
                <w:rFonts w:hint="eastAsia" w:ascii="Times New Roman" w:hAnsi="Times New Roman" w:eastAsia="Times New Roman" w:cs="Times New Roman"/>
                <w:i/>
                <w:color w:val="auto"/>
                <w:sz w:val="24"/>
                <w:szCs w:val="24"/>
                <w:vertAlign w:val="subscript"/>
                <w:lang w:eastAsia="zh-CN"/>
              </w:rPr>
              <w:t>pl</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罩口平均风速，（m/s）；</w:t>
            </w:r>
          </w:p>
          <w:p w14:paraId="7CD44723">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480"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rPr>
              <w:t>局部排风设施控制风速检测与评估技术规范</w:t>
            </w:r>
            <w:r>
              <w:rPr>
                <w:rFonts w:hint="eastAsia" w:ascii="Times New Roman" w:hAnsi="Times New Roman" w:eastAsia="宋体" w:cs="Times New Roman"/>
                <w:color w:val="auto"/>
                <w:sz w:val="24"/>
                <w:szCs w:val="24"/>
                <w:lang w:eastAsia="zh-CN"/>
              </w:rPr>
              <w:t>》（AQ/T4274-2016），上吸式集气罩对粉尘控制风速为1.2m/s。</w:t>
            </w:r>
            <w:r>
              <w:rPr>
                <w:rFonts w:hint="eastAsia" w:ascii="Times New Roman" w:hAnsi="Times New Roman" w:eastAsia="宋体" w:cs="Times New Roman"/>
                <w:color w:val="auto"/>
                <w:sz w:val="24"/>
                <w:szCs w:val="24"/>
                <w:lang w:eastAsia="zh-CN" w:bidi="ar"/>
              </w:rPr>
              <w:t>考虑漏风及管道损失等，破碎</w:t>
            </w:r>
            <w:r>
              <w:rPr>
                <w:rFonts w:hint="eastAsia" w:ascii="Times New Roman" w:hAnsi="Times New Roman" w:eastAsia="宋体" w:cs="Times New Roman"/>
                <w:color w:val="auto"/>
                <w:sz w:val="24"/>
                <w:szCs w:val="24"/>
                <w:lang w:eastAsia="zh-CN"/>
              </w:rPr>
              <w:t>工序配套除尘器计算设计风量如下。</w:t>
            </w:r>
          </w:p>
          <w:p w14:paraId="4F9E378A">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表4-5  破碎配套除尘器计算设计风量一览表</w:t>
            </w:r>
          </w:p>
          <w:tbl>
            <w:tblPr>
              <w:tblStyle w:val="23"/>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6"/>
              <w:gridCol w:w="1935"/>
              <w:gridCol w:w="667"/>
              <w:gridCol w:w="1712"/>
              <w:gridCol w:w="1752"/>
            </w:tblGrid>
            <w:tr w14:paraId="604B5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tcBorders>
                    <w:tl2br w:val="nil"/>
                    <w:tr2bl w:val="nil"/>
                  </w:tcBorders>
                  <w:noWrap w:val="0"/>
                  <w:vAlign w:val="center"/>
                </w:tcPr>
                <w:p w14:paraId="053401E5">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设备</w:t>
                  </w:r>
                </w:p>
              </w:tc>
              <w:tc>
                <w:tcPr>
                  <w:tcW w:w="787" w:type="pct"/>
                  <w:tcBorders>
                    <w:tl2br w:val="nil"/>
                    <w:tr2bl w:val="nil"/>
                  </w:tcBorders>
                  <w:noWrap w:val="0"/>
                  <w:vAlign w:val="center"/>
                </w:tcPr>
                <w:p w14:paraId="778A4212">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集气罩形式</w:t>
                  </w:r>
                </w:p>
              </w:tc>
              <w:tc>
                <w:tcPr>
                  <w:tcW w:w="1166" w:type="pct"/>
                  <w:tcBorders>
                    <w:tl2br w:val="nil"/>
                    <w:tr2bl w:val="nil"/>
                  </w:tcBorders>
                  <w:noWrap w:val="0"/>
                  <w:vAlign w:val="center"/>
                </w:tcPr>
                <w:p w14:paraId="471CE453">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集气罩尺寸（m）</w:t>
                  </w:r>
                </w:p>
              </w:tc>
              <w:tc>
                <w:tcPr>
                  <w:tcW w:w="402" w:type="pct"/>
                  <w:tcBorders>
                    <w:tl2br w:val="nil"/>
                    <w:tr2bl w:val="nil"/>
                  </w:tcBorders>
                  <w:noWrap w:val="0"/>
                  <w:vAlign w:val="center"/>
                </w:tcPr>
                <w:p w14:paraId="3AF6F3BB">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数量</w:t>
                  </w:r>
                </w:p>
              </w:tc>
              <w:tc>
                <w:tcPr>
                  <w:tcW w:w="1032" w:type="pct"/>
                  <w:tcBorders>
                    <w:tl2br w:val="nil"/>
                    <w:tr2bl w:val="nil"/>
                  </w:tcBorders>
                  <w:noWrap w:val="0"/>
                  <w:vAlign w:val="center"/>
                </w:tcPr>
                <w:p w14:paraId="1FC2DAC7">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计算风量（m³/h）</w:t>
                  </w:r>
                </w:p>
              </w:tc>
              <w:tc>
                <w:tcPr>
                  <w:tcW w:w="1056" w:type="pct"/>
                  <w:tcBorders>
                    <w:tl2br w:val="nil"/>
                    <w:tr2bl w:val="nil"/>
                  </w:tcBorders>
                  <w:noWrap w:val="0"/>
                  <w:vAlign w:val="center"/>
                </w:tcPr>
                <w:p w14:paraId="1A220BF4">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设计风量（m³/h）</w:t>
                  </w:r>
                </w:p>
              </w:tc>
            </w:tr>
            <w:tr w14:paraId="716D4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tcBorders>
                    <w:tl2br w:val="nil"/>
                    <w:tr2bl w:val="nil"/>
                  </w:tcBorders>
                  <w:noWrap w:val="0"/>
                  <w:vAlign w:val="center"/>
                </w:tcPr>
                <w:p w14:paraId="0ED33500">
                  <w:pPr>
                    <w:numPr>
                      <w:ilvl w:val="0"/>
                      <w:numId w:val="0"/>
                    </w:numPr>
                    <w:autoSpaceDE/>
                    <w:autoSpaceDN/>
                    <w:spacing w:beforeLines="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破碎机</w:t>
                  </w:r>
                </w:p>
              </w:tc>
              <w:tc>
                <w:tcPr>
                  <w:tcW w:w="787" w:type="pct"/>
                  <w:tcBorders>
                    <w:tl2br w:val="nil"/>
                    <w:tr2bl w:val="nil"/>
                  </w:tcBorders>
                  <w:noWrap w:val="0"/>
                  <w:vAlign w:val="center"/>
                </w:tcPr>
                <w:p w14:paraId="4BCBE117">
                  <w:pPr>
                    <w:numPr>
                      <w:ilvl w:val="0"/>
                      <w:numId w:val="0"/>
                    </w:numPr>
                    <w:autoSpaceDE/>
                    <w:autoSpaceDN/>
                    <w:spacing w:beforeLines="0" w:afterLine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顶吸式</w:t>
                  </w:r>
                </w:p>
              </w:tc>
              <w:tc>
                <w:tcPr>
                  <w:tcW w:w="1166" w:type="pct"/>
                  <w:tcBorders>
                    <w:tl2br w:val="nil"/>
                    <w:tr2bl w:val="nil"/>
                  </w:tcBorders>
                  <w:noWrap w:val="0"/>
                  <w:vAlign w:val="center"/>
                </w:tcPr>
                <w:p w14:paraId="4DA655A5">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w:t>
                  </w:r>
                  <w:r>
                    <w:rPr>
                      <w:rFonts w:hint="eastAsia" w:eastAsia="Times New Roman" w:cs="Times New Roman"/>
                      <w:color w:val="auto"/>
                      <w:sz w:val="21"/>
                      <w:szCs w:val="21"/>
                      <w:lang w:val="en-US" w:eastAsia="zh-CN"/>
                    </w:rPr>
                    <w:t>5</w:t>
                  </w:r>
                  <w:r>
                    <w:rPr>
                      <w:rFonts w:hint="eastAsia" w:ascii="Times New Roman" w:hAnsi="Times New Roman" w:eastAsia="Times New Roman" w:cs="Times New Roman"/>
                      <w:color w:val="auto"/>
                      <w:sz w:val="21"/>
                      <w:szCs w:val="21"/>
                      <w:lang w:eastAsia="zh-CN"/>
                    </w:rPr>
                    <w:t>×1.</w:t>
                  </w:r>
                  <w:r>
                    <w:rPr>
                      <w:rFonts w:hint="eastAsia" w:eastAsia="Times New Roman" w:cs="Times New Roman"/>
                      <w:color w:val="auto"/>
                      <w:sz w:val="21"/>
                      <w:szCs w:val="21"/>
                      <w:lang w:val="en-US" w:eastAsia="zh-CN"/>
                    </w:rPr>
                    <w:t>5</w:t>
                  </w:r>
                </w:p>
              </w:tc>
              <w:tc>
                <w:tcPr>
                  <w:tcW w:w="402" w:type="pct"/>
                  <w:tcBorders>
                    <w:tl2br w:val="nil"/>
                    <w:tr2bl w:val="nil"/>
                  </w:tcBorders>
                  <w:noWrap w:val="0"/>
                  <w:vAlign w:val="center"/>
                </w:tcPr>
                <w:p w14:paraId="4EE23CA0">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w:t>
                  </w:r>
                </w:p>
              </w:tc>
              <w:tc>
                <w:tcPr>
                  <w:tcW w:w="1032" w:type="pct"/>
                  <w:tcBorders>
                    <w:tl2br w:val="nil"/>
                    <w:tr2bl w:val="nil"/>
                  </w:tcBorders>
                  <w:noWrap w:val="0"/>
                  <w:vAlign w:val="center"/>
                </w:tcPr>
                <w:p w14:paraId="294748C2">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9720</w:t>
                  </w:r>
                </w:p>
              </w:tc>
              <w:tc>
                <w:tcPr>
                  <w:tcW w:w="1056" w:type="pct"/>
                  <w:tcBorders>
                    <w:tl2br w:val="nil"/>
                    <w:tr2bl w:val="nil"/>
                  </w:tcBorders>
                  <w:noWrap w:val="0"/>
                  <w:vAlign w:val="center"/>
                </w:tcPr>
                <w:p w14:paraId="2E0CAF1A">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12000</w:t>
                  </w:r>
                </w:p>
              </w:tc>
            </w:tr>
          </w:tbl>
          <w:p w14:paraId="6E7C2E2C">
            <w:pPr>
              <w:keepNext w:val="0"/>
              <w:keepLines w:val="0"/>
              <w:pageBreakBefore w:val="0"/>
              <w:widowControl w:val="0"/>
              <w:kinsoku/>
              <w:wordWrap/>
              <w:overflowPunct/>
              <w:topLinePunct w:val="0"/>
              <w:bidi w:val="0"/>
              <w:adjustRightInd/>
              <w:snapToGrid/>
              <w:spacing w:beforeLines="0" w:afterLines="0" w:line="480" w:lineRule="exact"/>
              <w:ind w:firstLine="480" w:firstLineChars="20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lang w:eastAsia="zh-CN" w:bidi="ar"/>
              </w:rPr>
              <w:t>本项目采用布袋除尘器处理后，颗粒物排放浓度控制≤10mg/m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宋体" w:cs="Times New Roman"/>
                <w:color w:val="auto"/>
                <w:sz w:val="24"/>
                <w:szCs w:val="24"/>
                <w:lang w:eastAsia="zh-CN" w:bidi="ar"/>
              </w:rPr>
              <w:t>，破碎工序工作制度按</w:t>
            </w:r>
            <w:r>
              <w:rPr>
                <w:rFonts w:hint="default" w:ascii="Times New Roman" w:hAnsi="Times New Roman" w:eastAsia="宋体" w:cs="Times New Roman"/>
                <w:color w:val="auto"/>
                <w:sz w:val="24"/>
                <w:szCs w:val="24"/>
                <w:lang w:val="en-US" w:eastAsia="zh-CN" w:bidi="ar"/>
              </w:rPr>
              <w:t>3</w:t>
            </w:r>
            <w:r>
              <w:rPr>
                <w:rFonts w:hint="eastAsia" w:cs="Times New Roman"/>
                <w:color w:val="auto"/>
                <w:sz w:val="24"/>
                <w:szCs w:val="24"/>
                <w:lang w:val="en-US" w:eastAsia="zh-CN" w:bidi="ar"/>
              </w:rPr>
              <w:t>30</w:t>
            </w:r>
            <w:r>
              <w:rPr>
                <w:rFonts w:hint="default" w:ascii="Times New Roman" w:hAnsi="Times New Roman" w:eastAsia="宋体" w:cs="Times New Roman"/>
                <w:color w:val="auto"/>
                <w:sz w:val="24"/>
                <w:szCs w:val="24"/>
                <w:lang w:eastAsia="zh-CN" w:bidi="ar"/>
              </w:rPr>
              <w:t>d/a、</w:t>
            </w:r>
            <w:r>
              <w:rPr>
                <w:rFonts w:hint="default" w:ascii="Times New Roman" w:hAnsi="Times New Roman" w:eastAsia="宋体" w:cs="Times New Roman"/>
                <w:color w:val="auto"/>
                <w:sz w:val="24"/>
                <w:szCs w:val="24"/>
                <w:lang w:val="en-US" w:eastAsia="zh-CN" w:bidi="ar"/>
              </w:rPr>
              <w:t>12</w:t>
            </w:r>
            <w:r>
              <w:rPr>
                <w:rFonts w:hint="default" w:ascii="Times New Roman" w:hAnsi="Times New Roman" w:eastAsia="宋体" w:cs="Times New Roman"/>
                <w:color w:val="auto"/>
                <w:sz w:val="24"/>
                <w:szCs w:val="24"/>
                <w:lang w:eastAsia="zh-CN" w:bidi="ar"/>
              </w:rPr>
              <w:t>h/d计，则颗粒物有组织排放量为：10mg/m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Times New Roman" w:cs="Times New Roman"/>
                <w:color w:val="auto"/>
                <w:sz w:val="24"/>
                <w:szCs w:val="24"/>
                <w:lang w:eastAsia="zh-CN" w:bidi="ar"/>
              </w:rPr>
              <w:t>×</w:t>
            </w:r>
            <w:r>
              <w:rPr>
                <w:rFonts w:hint="eastAsia" w:eastAsia="Times New Roman" w:cs="Times New Roman"/>
                <w:color w:val="auto"/>
                <w:sz w:val="24"/>
                <w:szCs w:val="24"/>
                <w:lang w:val="en-US" w:eastAsia="zh-CN" w:bidi="ar"/>
              </w:rPr>
              <w:t>396</w:t>
            </w:r>
            <w:r>
              <w:rPr>
                <w:rFonts w:hint="default" w:ascii="Times New Roman" w:hAnsi="Times New Roman" w:eastAsia="Times New Roman" w:cs="Times New Roman"/>
                <w:color w:val="auto"/>
                <w:sz w:val="24"/>
                <w:szCs w:val="24"/>
                <w:lang w:val="en-US" w:eastAsia="zh-CN" w:bidi="ar"/>
              </w:rPr>
              <w:t>0</w:t>
            </w:r>
            <w:r>
              <w:rPr>
                <w:rFonts w:hint="default" w:ascii="Times New Roman" w:hAnsi="Times New Roman" w:eastAsia="Times New Roman" w:cs="Times New Roman"/>
                <w:color w:val="auto"/>
                <w:sz w:val="24"/>
                <w:szCs w:val="24"/>
                <w:lang w:eastAsia="zh-CN" w:bidi="ar"/>
              </w:rPr>
              <w:t>h/a×</w:t>
            </w:r>
            <w:r>
              <w:rPr>
                <w:rFonts w:hint="eastAsia" w:eastAsia="Times New Roman" w:cs="Times New Roman"/>
                <w:color w:val="auto"/>
                <w:sz w:val="24"/>
                <w:szCs w:val="24"/>
                <w:lang w:val="en-US" w:eastAsia="zh-CN" w:bidi="ar"/>
              </w:rPr>
              <w:t>12000</w:t>
            </w:r>
            <w:r>
              <w:rPr>
                <w:rFonts w:hint="default" w:ascii="Times New Roman" w:hAnsi="Times New Roman" w:eastAsia="Times New Roman" w:cs="Times New Roman"/>
                <w:color w:val="auto"/>
                <w:sz w:val="24"/>
                <w:szCs w:val="24"/>
                <w:lang w:eastAsia="zh-CN" w:bidi="ar"/>
              </w:rPr>
              <w:t>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Times New Roman" w:cs="Times New Roman"/>
                <w:color w:val="auto"/>
                <w:sz w:val="24"/>
                <w:szCs w:val="24"/>
                <w:lang w:eastAsia="zh-CN" w:bidi="ar"/>
              </w:rPr>
              <w:t>/h÷10</w:t>
            </w:r>
            <w:r>
              <w:rPr>
                <w:rFonts w:hint="default" w:ascii="Times New Roman" w:hAnsi="Times New Roman" w:eastAsia="Times New Roman" w:cs="Times New Roman"/>
                <w:color w:val="auto"/>
                <w:sz w:val="24"/>
                <w:szCs w:val="24"/>
                <w:vertAlign w:val="superscript"/>
                <w:lang w:eastAsia="zh-CN" w:bidi="ar"/>
              </w:rPr>
              <w:t>9</w:t>
            </w:r>
            <w:r>
              <w:rPr>
                <w:rFonts w:hint="default" w:ascii="Times New Roman" w:hAnsi="Times New Roman" w:eastAsia="Times New Roman" w:cs="Times New Roman"/>
                <w:color w:val="auto"/>
                <w:sz w:val="24"/>
                <w:szCs w:val="24"/>
                <w:lang w:eastAsia="zh-CN" w:bidi="ar"/>
              </w:rPr>
              <w:t>=</w:t>
            </w:r>
            <w:r>
              <w:rPr>
                <w:rFonts w:hint="eastAsia" w:eastAsia="Times New Roman" w:cs="Times New Roman"/>
                <w:color w:val="auto"/>
                <w:sz w:val="24"/>
                <w:szCs w:val="24"/>
                <w:lang w:val="en-US" w:eastAsia="zh-CN" w:bidi="ar"/>
              </w:rPr>
              <w:t>0.475</w:t>
            </w:r>
            <w:r>
              <w:rPr>
                <w:rFonts w:hint="default" w:ascii="Times New Roman" w:hAnsi="Times New Roman" w:eastAsia="Times New Roman" w:cs="Times New Roman"/>
                <w:color w:val="auto"/>
                <w:sz w:val="24"/>
                <w:szCs w:val="24"/>
                <w:lang w:eastAsia="zh-CN" w:bidi="ar"/>
              </w:rPr>
              <w:t>t/a</w:t>
            </w:r>
            <w:r>
              <w:rPr>
                <w:rFonts w:hint="default" w:ascii="Times New Roman" w:hAnsi="Times New Roman" w:eastAsia="宋体" w:cs="Times New Roman"/>
                <w:color w:val="auto"/>
                <w:sz w:val="24"/>
                <w:szCs w:val="24"/>
                <w:lang w:eastAsia="zh-CN" w:bidi="ar"/>
              </w:rPr>
              <w:t>。</w:t>
            </w:r>
          </w:p>
          <w:p w14:paraId="2DFCF05E">
            <w:pPr>
              <w:keepNext w:val="0"/>
              <w:keepLines w:val="0"/>
              <w:pageBreakBefore w:val="0"/>
              <w:widowControl w:val="0"/>
              <w:kinsoku/>
              <w:wordWrap/>
              <w:overflowPunct/>
              <w:topLinePunct w:val="0"/>
              <w:bidi w:val="0"/>
              <w:adjustRightInd/>
              <w:snapToGrid/>
              <w:spacing w:beforeLines="0" w:afterLines="0" w:line="480" w:lineRule="exact"/>
              <w:ind w:firstLine="480" w:firstLineChars="200"/>
              <w:rPr>
                <w:rFonts w:hint="eastAsia"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则</w:t>
            </w:r>
            <w:r>
              <w:rPr>
                <w:rFonts w:hint="eastAsia" w:cs="Times New Roman"/>
                <w:color w:val="auto"/>
                <w:sz w:val="24"/>
                <w:szCs w:val="24"/>
                <w:lang w:val="en-US" w:eastAsia="zh-CN" w:bidi="ar"/>
              </w:rPr>
              <w:t>破碎工序</w:t>
            </w:r>
            <w:r>
              <w:rPr>
                <w:rFonts w:hint="default" w:ascii="Times New Roman" w:hAnsi="Times New Roman" w:eastAsia="宋体" w:cs="Times New Roman"/>
                <w:color w:val="auto"/>
                <w:sz w:val="24"/>
                <w:szCs w:val="24"/>
                <w:lang w:val="en-US" w:eastAsia="zh-CN" w:bidi="ar"/>
              </w:rPr>
              <w:t>无组织颗粒物产生量=</w:t>
            </w:r>
            <w:r>
              <w:rPr>
                <w:rFonts w:hint="eastAsia" w:cs="Times New Roman"/>
                <w:color w:val="auto"/>
                <w:sz w:val="24"/>
                <w:szCs w:val="24"/>
                <w:lang w:val="en-US" w:eastAsia="zh-CN" w:bidi="ar"/>
              </w:rPr>
              <w:t>13.53</w:t>
            </w:r>
            <w:r>
              <w:rPr>
                <w:rFonts w:hint="default" w:ascii="Times New Roman" w:hAnsi="Times New Roman" w:eastAsia="宋体" w:cs="Times New Roman"/>
                <w:color w:val="auto"/>
                <w:sz w:val="24"/>
                <w:szCs w:val="24"/>
                <w:lang w:val="en-US" w:eastAsia="zh-CN" w:bidi="ar"/>
              </w:rPr>
              <w:t>×10%=</w:t>
            </w:r>
            <w:r>
              <w:rPr>
                <w:rFonts w:hint="eastAsia" w:cs="Times New Roman"/>
                <w:color w:val="auto"/>
                <w:sz w:val="24"/>
                <w:szCs w:val="24"/>
                <w:lang w:val="en-US" w:eastAsia="zh-CN" w:bidi="ar"/>
              </w:rPr>
              <w:t>1.353</w:t>
            </w:r>
            <w:r>
              <w:rPr>
                <w:rFonts w:hint="default" w:ascii="Times New Roman" w:hAnsi="Times New Roman" w:eastAsia="宋体" w:cs="Times New Roman"/>
                <w:color w:val="auto"/>
                <w:sz w:val="24"/>
                <w:szCs w:val="24"/>
                <w:lang w:val="en-US" w:eastAsia="zh-CN" w:bidi="ar"/>
              </w:rPr>
              <w:t>t/a。车间封闭对内部生产过程中产生的无组织颗粒物有一定的抑尘作用，无组织抑尘率取80%，则无组织排放量=</w:t>
            </w:r>
            <w:r>
              <w:rPr>
                <w:rFonts w:hint="eastAsia" w:cs="Times New Roman"/>
                <w:color w:val="auto"/>
                <w:sz w:val="24"/>
                <w:szCs w:val="24"/>
                <w:lang w:val="en-US" w:eastAsia="zh-CN" w:bidi="ar"/>
              </w:rPr>
              <w:t>1.353</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0.27</w:t>
            </w:r>
            <w:r>
              <w:rPr>
                <w:rFonts w:hint="default" w:ascii="Times New Roman" w:hAnsi="Times New Roman" w:eastAsia="宋体" w:cs="Times New Roman"/>
                <w:color w:val="auto"/>
                <w:sz w:val="24"/>
                <w:szCs w:val="24"/>
                <w:lang w:val="en-US" w:eastAsia="zh-CN" w:bidi="ar"/>
              </w:rPr>
              <w:t>t/a。</w:t>
            </w:r>
          </w:p>
          <w:p w14:paraId="3D5C66D4">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表4-6  项目破碎工序污染物产排情况一览表</w:t>
            </w:r>
          </w:p>
          <w:tbl>
            <w:tblPr>
              <w:tblStyle w:val="23"/>
              <w:tblW w:w="4988" w:type="pct"/>
              <w:tblInd w:w="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24"/>
              <w:gridCol w:w="763"/>
              <w:gridCol w:w="793"/>
              <w:gridCol w:w="673"/>
              <w:gridCol w:w="1990"/>
              <w:gridCol w:w="856"/>
              <w:gridCol w:w="931"/>
              <w:gridCol w:w="755"/>
            </w:tblGrid>
            <w:tr w14:paraId="1CF5F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Merge w:val="restart"/>
                  <w:tcBorders>
                    <w:tl2br w:val="nil"/>
                    <w:tr2bl w:val="nil"/>
                  </w:tcBorders>
                  <w:noWrap w:val="0"/>
                  <w:vAlign w:val="center"/>
                </w:tcPr>
                <w:p w14:paraId="6BDD134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lang w:eastAsia="zh-CN"/>
                    </w:rPr>
                  </w:pPr>
                  <w:r>
                    <w:rPr>
                      <w:rFonts w:hint="default" w:ascii="Times New Roman" w:hAnsi="Times New Roman" w:eastAsia="Times New Roman" w:cs="Times New Roman"/>
                      <w:b/>
                      <w:color w:val="auto"/>
                      <w:sz w:val="21"/>
                      <w:szCs w:val="21"/>
                      <w:lang w:eastAsia="zh-CN"/>
                    </w:rPr>
                    <w:t>排放方式</w:t>
                  </w:r>
                </w:p>
              </w:tc>
              <w:tc>
                <w:tcPr>
                  <w:tcW w:w="493" w:type="pct"/>
                  <w:vMerge w:val="restart"/>
                  <w:tcBorders>
                    <w:tl2br w:val="nil"/>
                    <w:tr2bl w:val="nil"/>
                  </w:tcBorders>
                  <w:noWrap w:val="0"/>
                  <w:vAlign w:val="center"/>
                </w:tcPr>
                <w:p w14:paraId="4E8C5D7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废气量m</w:t>
                  </w:r>
                  <w:r>
                    <w:rPr>
                      <w:rFonts w:hint="eastAsia" w:ascii="Times New Roman" w:hAnsi="Times New Roman" w:eastAsia="Times New Roman" w:cs="Times New Roman"/>
                      <w:b/>
                      <w:color w:val="auto"/>
                      <w:sz w:val="21"/>
                      <w:szCs w:val="21"/>
                      <w:vertAlign w:val="superscript"/>
                    </w:rPr>
                    <w:t>3</w:t>
                  </w:r>
                  <w:r>
                    <w:rPr>
                      <w:rFonts w:hint="eastAsia" w:ascii="Times New Roman" w:hAnsi="Times New Roman" w:eastAsia="Times New Roman" w:cs="Times New Roman"/>
                      <w:b/>
                      <w:color w:val="auto"/>
                      <w:sz w:val="21"/>
                      <w:szCs w:val="21"/>
                    </w:rPr>
                    <w:t>/h</w:t>
                  </w:r>
                </w:p>
              </w:tc>
              <w:tc>
                <w:tcPr>
                  <w:tcW w:w="456" w:type="pct"/>
                  <w:vMerge w:val="restart"/>
                  <w:tcBorders>
                    <w:tl2br w:val="nil"/>
                    <w:tr2bl w:val="nil"/>
                  </w:tcBorders>
                  <w:noWrap w:val="0"/>
                  <w:vAlign w:val="center"/>
                </w:tcPr>
                <w:p w14:paraId="2F423B0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污染物</w:t>
                  </w:r>
                </w:p>
              </w:tc>
              <w:tc>
                <w:tcPr>
                  <w:tcW w:w="877" w:type="pct"/>
                  <w:gridSpan w:val="2"/>
                  <w:tcBorders>
                    <w:tl2br w:val="nil"/>
                    <w:tr2bl w:val="nil"/>
                  </w:tcBorders>
                  <w:noWrap w:val="0"/>
                  <w:vAlign w:val="center"/>
                </w:tcPr>
                <w:p w14:paraId="0AD7FBE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lang w:eastAsia="zh-CN"/>
                    </w:rPr>
                    <w:t>收集</w:t>
                  </w:r>
                  <w:r>
                    <w:rPr>
                      <w:rFonts w:hint="default" w:ascii="Times New Roman" w:hAnsi="Times New Roman" w:eastAsia="Times New Roman" w:cs="Times New Roman"/>
                      <w:b/>
                      <w:color w:val="auto"/>
                      <w:sz w:val="21"/>
                      <w:szCs w:val="21"/>
                    </w:rPr>
                    <w:t>情况</w:t>
                  </w:r>
                </w:p>
              </w:tc>
              <w:tc>
                <w:tcPr>
                  <w:tcW w:w="1190" w:type="pct"/>
                  <w:vMerge w:val="restart"/>
                  <w:tcBorders>
                    <w:tl2br w:val="nil"/>
                    <w:tr2bl w:val="nil"/>
                  </w:tcBorders>
                  <w:noWrap w:val="0"/>
                  <w:vAlign w:val="center"/>
                </w:tcPr>
                <w:p w14:paraId="654C192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治理措施</w:t>
                  </w:r>
                </w:p>
              </w:tc>
              <w:tc>
                <w:tcPr>
                  <w:tcW w:w="1521" w:type="pct"/>
                  <w:gridSpan w:val="3"/>
                  <w:tcBorders>
                    <w:tl2br w:val="nil"/>
                    <w:tr2bl w:val="nil"/>
                  </w:tcBorders>
                  <w:noWrap w:val="0"/>
                  <w:vAlign w:val="center"/>
                </w:tcPr>
                <w:p w14:paraId="10C2B6A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排放情况</w:t>
                  </w:r>
                </w:p>
              </w:tc>
            </w:tr>
            <w:tr w14:paraId="3A7CE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Merge w:val="continue"/>
                  <w:tcBorders>
                    <w:tl2br w:val="nil"/>
                    <w:tr2bl w:val="nil"/>
                  </w:tcBorders>
                  <w:noWrap w:val="0"/>
                  <w:vAlign w:val="center"/>
                </w:tcPr>
                <w:p w14:paraId="2E092F2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93" w:type="pct"/>
                  <w:vMerge w:val="continue"/>
                  <w:tcBorders>
                    <w:tl2br w:val="nil"/>
                    <w:tr2bl w:val="nil"/>
                  </w:tcBorders>
                  <w:noWrap w:val="0"/>
                  <w:vAlign w:val="center"/>
                </w:tcPr>
                <w:p w14:paraId="5B45860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56" w:type="pct"/>
                  <w:vMerge w:val="continue"/>
                  <w:tcBorders>
                    <w:tl2br w:val="nil"/>
                    <w:tr2bl w:val="nil"/>
                  </w:tcBorders>
                  <w:noWrap w:val="0"/>
                  <w:vAlign w:val="center"/>
                </w:tcPr>
                <w:p w14:paraId="055C0C77">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74" w:type="pct"/>
                  <w:tcBorders>
                    <w:tl2br w:val="nil"/>
                    <w:tr2bl w:val="nil"/>
                  </w:tcBorders>
                  <w:noWrap w:val="0"/>
                  <w:vAlign w:val="center"/>
                </w:tcPr>
                <w:p w14:paraId="505E191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浓度mg/m</w:t>
                  </w:r>
                  <w:r>
                    <w:rPr>
                      <w:rFonts w:hint="eastAsia" w:ascii="Times New Roman" w:hAnsi="Times New Roman" w:eastAsia="Times New Roman" w:cs="Times New Roman"/>
                      <w:b/>
                      <w:color w:val="auto"/>
                      <w:sz w:val="21"/>
                      <w:szCs w:val="21"/>
                      <w:vertAlign w:val="superscript"/>
                    </w:rPr>
                    <w:t>3</w:t>
                  </w:r>
                </w:p>
              </w:tc>
              <w:tc>
                <w:tcPr>
                  <w:tcW w:w="402" w:type="pct"/>
                  <w:tcBorders>
                    <w:tl2br w:val="nil"/>
                    <w:tr2bl w:val="nil"/>
                  </w:tcBorders>
                  <w:noWrap w:val="0"/>
                  <w:vAlign w:val="center"/>
                </w:tcPr>
                <w:p w14:paraId="0ACC97A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产生量t/a</w:t>
                  </w:r>
                </w:p>
              </w:tc>
              <w:tc>
                <w:tcPr>
                  <w:tcW w:w="1190" w:type="pct"/>
                  <w:vMerge w:val="continue"/>
                  <w:tcBorders>
                    <w:tl2br w:val="nil"/>
                    <w:tr2bl w:val="nil"/>
                  </w:tcBorders>
                  <w:noWrap w:val="0"/>
                  <w:vAlign w:val="center"/>
                </w:tcPr>
                <w:p w14:paraId="3CF370C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512" w:type="pct"/>
                  <w:tcBorders>
                    <w:tl2br w:val="nil"/>
                    <w:tr2bl w:val="nil"/>
                  </w:tcBorders>
                  <w:noWrap w:val="0"/>
                  <w:vAlign w:val="center"/>
                </w:tcPr>
                <w:p w14:paraId="19CA08A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浓度mg/m</w:t>
                  </w:r>
                  <w:r>
                    <w:rPr>
                      <w:rFonts w:hint="eastAsia" w:ascii="Times New Roman" w:hAnsi="Times New Roman" w:eastAsia="Times New Roman" w:cs="Times New Roman"/>
                      <w:b/>
                      <w:color w:val="auto"/>
                      <w:sz w:val="21"/>
                      <w:szCs w:val="21"/>
                      <w:vertAlign w:val="superscript"/>
                    </w:rPr>
                    <w:t>3</w:t>
                  </w:r>
                </w:p>
              </w:tc>
              <w:tc>
                <w:tcPr>
                  <w:tcW w:w="557" w:type="pct"/>
                  <w:tcBorders>
                    <w:tl2br w:val="nil"/>
                    <w:tr2bl w:val="nil"/>
                  </w:tcBorders>
                  <w:noWrap w:val="0"/>
                  <w:vAlign w:val="center"/>
                </w:tcPr>
                <w:p w14:paraId="72BCCD8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排放速率kg/h</w:t>
                  </w:r>
                </w:p>
              </w:tc>
              <w:tc>
                <w:tcPr>
                  <w:tcW w:w="451" w:type="pct"/>
                  <w:tcBorders>
                    <w:tl2br w:val="nil"/>
                    <w:tr2bl w:val="nil"/>
                  </w:tcBorders>
                  <w:noWrap w:val="0"/>
                  <w:vAlign w:val="center"/>
                </w:tcPr>
                <w:p w14:paraId="408F5EF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排放量t/a</w:t>
                  </w:r>
                </w:p>
              </w:tc>
            </w:tr>
            <w:tr w14:paraId="6E717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1E2C165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有组织</w:t>
                  </w:r>
                </w:p>
              </w:tc>
              <w:tc>
                <w:tcPr>
                  <w:tcW w:w="493" w:type="pct"/>
                  <w:tcBorders>
                    <w:tl2br w:val="nil"/>
                    <w:tr2bl w:val="nil"/>
                  </w:tcBorders>
                  <w:noWrap w:val="0"/>
                  <w:vAlign w:val="center"/>
                </w:tcPr>
                <w:p w14:paraId="78567A2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12</w:t>
                  </w:r>
                  <w:r>
                    <w:rPr>
                      <w:rFonts w:hint="eastAsia" w:ascii="Times New Roman" w:hAnsi="Times New Roman" w:eastAsia="Times New Roman" w:cs="Times New Roman"/>
                      <w:color w:val="auto"/>
                      <w:sz w:val="21"/>
                      <w:szCs w:val="21"/>
                      <w:lang w:val="en-US" w:eastAsia="zh-CN"/>
                    </w:rPr>
                    <w:t>000</w:t>
                  </w:r>
                </w:p>
              </w:tc>
              <w:tc>
                <w:tcPr>
                  <w:tcW w:w="456" w:type="pct"/>
                  <w:tcBorders>
                    <w:tl2br w:val="nil"/>
                    <w:tr2bl w:val="nil"/>
                  </w:tcBorders>
                  <w:noWrap w:val="0"/>
                  <w:vAlign w:val="center"/>
                </w:tcPr>
                <w:p w14:paraId="13AC25CC">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颗粒物</w:t>
                  </w:r>
                </w:p>
              </w:tc>
              <w:tc>
                <w:tcPr>
                  <w:tcW w:w="474" w:type="pct"/>
                  <w:tcBorders>
                    <w:tl2br w:val="nil"/>
                    <w:tr2bl w:val="nil"/>
                  </w:tcBorders>
                  <w:noWrap w:val="0"/>
                  <w:vAlign w:val="center"/>
                </w:tcPr>
                <w:p w14:paraId="3033F99C">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285</w:t>
                  </w:r>
                </w:p>
              </w:tc>
              <w:tc>
                <w:tcPr>
                  <w:tcW w:w="402" w:type="pct"/>
                  <w:tcBorders>
                    <w:tl2br w:val="nil"/>
                    <w:tr2bl w:val="nil"/>
                  </w:tcBorders>
                  <w:noWrap w:val="0"/>
                  <w:vAlign w:val="center"/>
                </w:tcPr>
                <w:p w14:paraId="25F1A87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13.53</w:t>
                  </w:r>
                </w:p>
              </w:tc>
              <w:tc>
                <w:tcPr>
                  <w:tcW w:w="1190" w:type="pct"/>
                  <w:tcBorders>
                    <w:tl2br w:val="nil"/>
                    <w:tr2bl w:val="nil"/>
                  </w:tcBorders>
                  <w:noWrap w:val="0"/>
                  <w:vAlign w:val="center"/>
                </w:tcPr>
                <w:p w14:paraId="52CD47AA">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lang w:val="en-US" w:eastAsia="zh-CN"/>
                    </w:rPr>
                  </w:pPr>
                  <w:r>
                    <w:rPr>
                      <w:rFonts w:hint="default" w:ascii="Times New Roman" w:hAnsi="Times New Roman" w:eastAsia="Times New Roman" w:cs="Times New Roman"/>
                      <w:color w:val="auto"/>
                      <w:sz w:val="21"/>
                      <w:szCs w:val="21"/>
                      <w:lang w:eastAsia="zh-CN"/>
                    </w:rPr>
                    <w:t>集气罩（收集效率90%）+布袋除尘器</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风量为12000m</w:t>
                  </w:r>
                  <w:r>
                    <w:rPr>
                      <w:rFonts w:hint="eastAsia" w:ascii="Times New Roman" w:hAnsi="Times New Roman" w:eastAsia="Times New Roman" w:cs="Times New Roman"/>
                      <w:color w:val="auto"/>
                      <w:sz w:val="21"/>
                      <w:szCs w:val="21"/>
                      <w:vertAlign w:val="superscript"/>
                      <w:lang w:val="en-US" w:eastAsia="zh-CN"/>
                    </w:rPr>
                    <w:t>3</w:t>
                  </w:r>
                  <w:r>
                    <w:rPr>
                      <w:rFonts w:hint="eastAsia" w:ascii="Times New Roman" w:hAnsi="Times New Roman" w:eastAsia="Times New Roman" w:cs="Times New Roman"/>
                      <w:color w:val="auto"/>
                      <w:sz w:val="21"/>
                      <w:szCs w:val="21"/>
                      <w:lang w:val="en-US" w:eastAsia="zh-CN"/>
                    </w:rPr>
                    <w:t>，过滤风速为0.6m/min，过滤面积333m</w:t>
                  </w:r>
                  <w:r>
                    <w:rPr>
                      <w:rFonts w:hint="eastAsia" w:ascii="Times New Roman" w:hAnsi="Times New Roman" w:eastAsia="Times New Roman" w:cs="Times New Roman"/>
                      <w:color w:val="auto"/>
                      <w:sz w:val="21"/>
                      <w:szCs w:val="21"/>
                      <w:vertAlign w:val="superscript"/>
                      <w:lang w:val="en-US" w:eastAsia="zh-CN"/>
                    </w:rPr>
                    <w:t>2</w:t>
                  </w:r>
                  <w:r>
                    <w:rPr>
                      <w:rFonts w:hint="eastAsia" w:ascii="Times New Roman" w:hAnsi="Times New Roman" w:eastAsia="Times New Roman" w:cs="Times New Roman"/>
                      <w:color w:val="auto"/>
                      <w:sz w:val="21"/>
                      <w:szCs w:val="21"/>
                      <w:lang w:eastAsia="zh-CN"/>
                    </w:rPr>
                    <w:t>）</w:t>
                  </w:r>
                  <w:r>
                    <w:rPr>
                      <w:rFonts w:hint="default" w:ascii="Times New Roman" w:hAnsi="Times New Roman" w:eastAsia="Times New Roman" w:cs="Times New Roman"/>
                      <w:color w:val="auto"/>
                      <w:sz w:val="21"/>
                      <w:szCs w:val="21"/>
                      <w:lang w:eastAsia="zh-CN"/>
                    </w:rPr>
                    <w:t>+1根</w:t>
                  </w:r>
                  <w:r>
                    <w:rPr>
                      <w:rFonts w:hint="eastAsia" w:ascii="Times New Roman" w:hAnsi="Times New Roman" w:eastAsia="Times New Roman" w:cs="Times New Roman"/>
                      <w:color w:val="auto"/>
                      <w:sz w:val="21"/>
                      <w:szCs w:val="21"/>
                      <w:lang w:val="en-US" w:eastAsia="zh-CN"/>
                    </w:rPr>
                    <w:t>15</w:t>
                  </w:r>
                  <w:r>
                    <w:rPr>
                      <w:rFonts w:hint="default" w:ascii="Times New Roman" w:hAnsi="Times New Roman" w:eastAsia="Times New Roman" w:cs="Times New Roman"/>
                      <w:color w:val="auto"/>
                      <w:sz w:val="21"/>
                      <w:szCs w:val="21"/>
                      <w:lang w:eastAsia="zh-CN"/>
                    </w:rPr>
                    <w:t>m高排气筒</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DA004）</w:t>
                  </w:r>
                  <w:r>
                    <w:rPr>
                      <w:rFonts w:hint="default" w:ascii="Times New Roman" w:hAnsi="Times New Roman" w:eastAsia="Times New Roman" w:cs="Times New Roman"/>
                      <w:color w:val="auto"/>
                      <w:sz w:val="21"/>
                      <w:szCs w:val="21"/>
                      <w:lang w:eastAsia="zh-CN"/>
                    </w:rPr>
                    <w:t>排放</w:t>
                  </w:r>
                </w:p>
              </w:tc>
              <w:tc>
                <w:tcPr>
                  <w:tcW w:w="512" w:type="pct"/>
                  <w:tcBorders>
                    <w:tl2br w:val="nil"/>
                    <w:tr2bl w:val="nil"/>
                  </w:tcBorders>
                  <w:noWrap w:val="0"/>
                  <w:vAlign w:val="center"/>
                </w:tcPr>
                <w:p w14:paraId="747CFEEC">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10</w:t>
                  </w:r>
                </w:p>
              </w:tc>
              <w:tc>
                <w:tcPr>
                  <w:tcW w:w="557" w:type="pct"/>
                  <w:tcBorders>
                    <w:tl2br w:val="nil"/>
                    <w:tr2bl w:val="nil"/>
                  </w:tcBorders>
                  <w:noWrap w:val="0"/>
                  <w:vAlign w:val="center"/>
                </w:tcPr>
                <w:p w14:paraId="208B06D9">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w:t>
                  </w:r>
                  <w:r>
                    <w:rPr>
                      <w:rFonts w:hint="eastAsia" w:eastAsia="Times New Roman" w:cs="Times New Roman"/>
                      <w:color w:val="auto"/>
                      <w:sz w:val="21"/>
                      <w:szCs w:val="21"/>
                      <w:lang w:val="en-US" w:eastAsia="zh-CN"/>
                    </w:rPr>
                    <w:t>.12</w:t>
                  </w:r>
                </w:p>
              </w:tc>
              <w:tc>
                <w:tcPr>
                  <w:tcW w:w="451" w:type="pct"/>
                  <w:tcBorders>
                    <w:tl2br w:val="nil"/>
                    <w:tr2bl w:val="nil"/>
                  </w:tcBorders>
                  <w:noWrap w:val="0"/>
                  <w:vAlign w:val="center"/>
                </w:tcPr>
                <w:p w14:paraId="5C480E0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0.485</w:t>
                  </w:r>
                </w:p>
              </w:tc>
            </w:tr>
            <w:tr w14:paraId="3B869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6B5B52F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无组织</w:t>
                  </w:r>
                </w:p>
              </w:tc>
              <w:tc>
                <w:tcPr>
                  <w:tcW w:w="493" w:type="pct"/>
                  <w:tcBorders>
                    <w:tl2br w:val="nil"/>
                    <w:tr2bl w:val="nil"/>
                  </w:tcBorders>
                  <w:noWrap w:val="0"/>
                  <w:vAlign w:val="center"/>
                </w:tcPr>
                <w:p w14:paraId="1B9655E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456" w:type="pct"/>
                  <w:tcBorders>
                    <w:tl2br w:val="nil"/>
                    <w:tr2bl w:val="nil"/>
                  </w:tcBorders>
                  <w:noWrap w:val="0"/>
                  <w:vAlign w:val="center"/>
                </w:tcPr>
                <w:p w14:paraId="4CF3F350">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颗粒物</w:t>
                  </w:r>
                </w:p>
              </w:tc>
              <w:tc>
                <w:tcPr>
                  <w:tcW w:w="474" w:type="pct"/>
                  <w:tcBorders>
                    <w:tl2br w:val="nil"/>
                    <w:tr2bl w:val="nil"/>
                  </w:tcBorders>
                  <w:noWrap w:val="0"/>
                  <w:vAlign w:val="center"/>
                </w:tcPr>
                <w:p w14:paraId="2D6E946B">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402" w:type="pct"/>
                  <w:tcBorders>
                    <w:tl2br w:val="nil"/>
                    <w:tr2bl w:val="nil"/>
                  </w:tcBorders>
                  <w:noWrap w:val="0"/>
                  <w:vAlign w:val="center"/>
                </w:tcPr>
                <w:p w14:paraId="7D92438C">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1..353</w:t>
                  </w:r>
                </w:p>
              </w:tc>
              <w:tc>
                <w:tcPr>
                  <w:tcW w:w="1190" w:type="pct"/>
                  <w:tcBorders>
                    <w:tl2br w:val="nil"/>
                    <w:tr2bl w:val="nil"/>
                  </w:tcBorders>
                  <w:noWrap w:val="0"/>
                  <w:vAlign w:val="center"/>
                </w:tcPr>
                <w:p w14:paraId="3AF169F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车间全封闭</w:t>
                  </w:r>
                </w:p>
              </w:tc>
              <w:tc>
                <w:tcPr>
                  <w:tcW w:w="512" w:type="pct"/>
                  <w:tcBorders>
                    <w:tl2br w:val="nil"/>
                    <w:tr2bl w:val="nil"/>
                  </w:tcBorders>
                  <w:noWrap w:val="0"/>
                  <w:vAlign w:val="center"/>
                </w:tcPr>
                <w:p w14:paraId="6489163A">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557" w:type="pct"/>
                  <w:tcBorders>
                    <w:tl2br w:val="nil"/>
                    <w:tr2bl w:val="nil"/>
                  </w:tcBorders>
                  <w:noWrap w:val="0"/>
                  <w:vAlign w:val="center"/>
                </w:tcPr>
                <w:p w14:paraId="40AB3428">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w:t>
                  </w:r>
                  <w:r>
                    <w:rPr>
                      <w:rFonts w:hint="eastAsia" w:eastAsia="Times New Roman" w:cs="Times New Roman"/>
                      <w:color w:val="auto"/>
                      <w:sz w:val="21"/>
                      <w:szCs w:val="21"/>
                      <w:lang w:val="en-US" w:eastAsia="zh-CN"/>
                    </w:rPr>
                    <w:t>07</w:t>
                  </w:r>
                </w:p>
              </w:tc>
              <w:tc>
                <w:tcPr>
                  <w:tcW w:w="451" w:type="pct"/>
                  <w:tcBorders>
                    <w:tl2br w:val="nil"/>
                    <w:tr2bl w:val="nil"/>
                  </w:tcBorders>
                  <w:noWrap w:val="0"/>
                  <w:vAlign w:val="center"/>
                </w:tcPr>
                <w:p w14:paraId="23C9FD2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bidi="ar"/>
                    </w:rPr>
                  </w:pPr>
                  <w:r>
                    <w:rPr>
                      <w:rFonts w:hint="eastAsia" w:eastAsia="Times New Roman" w:cs="Times New Roman"/>
                      <w:color w:val="auto"/>
                      <w:sz w:val="21"/>
                      <w:szCs w:val="21"/>
                      <w:lang w:val="en-US" w:eastAsia="zh-CN"/>
                    </w:rPr>
                    <w:t>0.271</w:t>
                  </w:r>
                </w:p>
              </w:tc>
            </w:tr>
          </w:tbl>
          <w:p w14:paraId="16AE5B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现有破碎工序设置除尘器风量为</w:t>
            </w:r>
            <w:r>
              <w:rPr>
                <w:rFonts w:hint="eastAsia"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000m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/h，过滤风速为0.6m/min，过滤面积</w:t>
            </w:r>
            <w:r>
              <w:rPr>
                <w:rFonts w:hint="eastAsia" w:cs="Times New Roman"/>
                <w:b w:val="0"/>
                <w:bCs w:val="0"/>
                <w:color w:val="auto"/>
                <w:sz w:val="24"/>
                <w:szCs w:val="24"/>
                <w:highlight w:val="none"/>
                <w:lang w:val="en-US" w:eastAsia="zh-CN"/>
              </w:rPr>
              <w:t>333</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企业验收及自行</w:t>
            </w:r>
            <w:r>
              <w:rPr>
                <w:rFonts w:hint="eastAsia" w:ascii="Times New Roman" w:hAnsi="Times New Roman" w:eastAsia="宋体" w:cs="Times New Roman"/>
                <w:b w:val="0"/>
                <w:bCs w:val="0"/>
                <w:color w:val="auto"/>
                <w:sz w:val="24"/>
                <w:szCs w:val="24"/>
                <w:highlight w:val="none"/>
                <w:lang w:val="en-US" w:eastAsia="zh-CN"/>
              </w:rPr>
              <w:t>监测报告可知，破碎工序颗粒物浓度为2.8~4.3mg/m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，破碎工序颗粒物</w:t>
            </w:r>
            <w:r>
              <w:rPr>
                <w:rFonts w:hint="eastAsia" w:cs="Times New Roman"/>
                <w:b w:val="0"/>
                <w:bCs w:val="0"/>
                <w:color w:val="auto"/>
                <w:sz w:val="24"/>
                <w:szCs w:val="24"/>
                <w:highlight w:val="none"/>
                <w:lang w:val="en-US" w:eastAsia="zh-CN"/>
              </w:rPr>
              <w:t>排放</w:t>
            </w:r>
            <w:r>
              <w:rPr>
                <w:rFonts w:hint="eastAsia" w:ascii="Times New Roman" w:hAnsi="Times New Roman" w:eastAsia="宋体" w:cs="Times New Roman"/>
                <w:b w:val="0"/>
                <w:bCs w:val="0"/>
                <w:color w:val="auto"/>
                <w:sz w:val="24"/>
                <w:szCs w:val="24"/>
                <w:highlight w:val="none"/>
                <w:lang w:val="en-US" w:eastAsia="zh-CN"/>
              </w:rPr>
              <w:t>浓度能满足</w:t>
            </w:r>
            <w:r>
              <w:rPr>
                <w:rFonts w:hint="eastAsia" w:cs="Times New Roman"/>
                <w:b w:val="0"/>
                <w:bCs w:val="0"/>
                <w:color w:val="auto"/>
                <w:sz w:val="24"/>
                <w:szCs w:val="24"/>
                <w:highlight w:val="none"/>
                <w:lang w:val="en-US" w:eastAsia="zh-CN"/>
              </w:rPr>
              <w:t>改</w:t>
            </w:r>
            <w:r>
              <w:rPr>
                <w:rFonts w:hint="eastAsia" w:ascii="Times New Roman" w:hAnsi="Times New Roman" w:eastAsia="宋体" w:cs="Times New Roman"/>
                <w:b w:val="0"/>
                <w:bCs w:val="0"/>
                <w:color w:val="auto"/>
                <w:sz w:val="24"/>
                <w:szCs w:val="24"/>
                <w:highlight w:val="none"/>
                <w:lang w:val="en-US" w:eastAsia="zh-CN"/>
              </w:rPr>
              <w:t>建后要求。</w:t>
            </w:r>
          </w:p>
          <w:p w14:paraId="519295F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筛分工序粉尘</w:t>
            </w:r>
          </w:p>
          <w:p w14:paraId="120797B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lang w:val="en-US" w:eastAsia="zh-CN"/>
              </w:rPr>
              <w:t>源强核算</w:t>
            </w:r>
          </w:p>
          <w:p w14:paraId="6070B31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筛分工序颗粒物产生量</w:t>
            </w:r>
            <w:r>
              <w:rPr>
                <w:rFonts w:hint="default" w:ascii="Times New Roman" w:hAnsi="Times New Roman" w:eastAsia="宋体" w:cs="Times New Roman"/>
                <w:b w:val="0"/>
                <w:bCs w:val="0"/>
                <w:color w:val="auto"/>
                <w:sz w:val="24"/>
                <w:szCs w:val="24"/>
                <w:highlight w:val="none"/>
                <w:lang w:val="en-US" w:eastAsia="zh-CN"/>
              </w:rPr>
              <w:t>参照《排放源统计调查产排污核算方法和系数手册》-303砖瓦、石材等建筑材料制造行业系数手册-3031粘土砖瓦及建筑砌块制造（续4），具体见下表。</w:t>
            </w:r>
          </w:p>
          <w:p w14:paraId="3A57574E">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4-7</w:t>
            </w:r>
            <w:r>
              <w:rPr>
                <w:rFonts w:hint="default" w:ascii="Times New Roman" w:hAnsi="Times New Roman" w:eastAsia="黑体" w:cs="Times New Roman"/>
                <w:b w:val="0"/>
                <w:bCs w:val="0"/>
                <w:color w:val="auto"/>
                <w:kern w:val="2"/>
                <w:sz w:val="24"/>
                <w:szCs w:val="24"/>
                <w:highlight w:val="none"/>
                <w:lang w:val="en-US" w:eastAsia="zh-CN" w:bidi="ar-SA"/>
              </w:rPr>
              <w:t xml:space="preserve">  3031粘土砖瓦及建筑砌块制造（续4）</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4"/>
              <w:gridCol w:w="1107"/>
              <w:gridCol w:w="924"/>
              <w:gridCol w:w="747"/>
              <w:gridCol w:w="574"/>
              <w:gridCol w:w="499"/>
              <w:gridCol w:w="1252"/>
              <w:gridCol w:w="904"/>
              <w:gridCol w:w="611"/>
              <w:gridCol w:w="1100"/>
            </w:tblGrid>
            <w:tr w14:paraId="398F7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tcBorders>
                    <w:tl2br w:val="nil"/>
                    <w:tr2bl w:val="nil"/>
                  </w:tcBorders>
                  <w:noWrap w:val="0"/>
                  <w:vAlign w:val="center"/>
                </w:tcPr>
                <w:p w14:paraId="2DDCDE3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工段名称</w:t>
                  </w:r>
                </w:p>
              </w:tc>
              <w:tc>
                <w:tcPr>
                  <w:tcW w:w="661" w:type="pct"/>
                  <w:tcBorders>
                    <w:tl2br w:val="nil"/>
                    <w:tr2bl w:val="nil"/>
                  </w:tcBorders>
                  <w:noWrap w:val="0"/>
                  <w:vAlign w:val="center"/>
                </w:tcPr>
                <w:p w14:paraId="693A88C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产品名称</w:t>
                  </w:r>
                </w:p>
              </w:tc>
              <w:tc>
                <w:tcPr>
                  <w:tcW w:w="552" w:type="pct"/>
                  <w:tcBorders>
                    <w:tl2br w:val="nil"/>
                    <w:tr2bl w:val="nil"/>
                  </w:tcBorders>
                  <w:noWrap w:val="0"/>
                  <w:vAlign w:val="center"/>
                </w:tcPr>
                <w:p w14:paraId="6386DDAE">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原料名称</w:t>
                  </w:r>
                </w:p>
              </w:tc>
              <w:tc>
                <w:tcPr>
                  <w:tcW w:w="446" w:type="pct"/>
                  <w:tcBorders>
                    <w:tl2br w:val="nil"/>
                    <w:tr2bl w:val="nil"/>
                  </w:tcBorders>
                  <w:noWrap w:val="0"/>
                  <w:vAlign w:val="center"/>
                </w:tcPr>
                <w:p w14:paraId="44A806B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工艺名称</w:t>
                  </w:r>
                </w:p>
              </w:tc>
              <w:tc>
                <w:tcPr>
                  <w:tcW w:w="343" w:type="pct"/>
                  <w:tcBorders>
                    <w:tl2br w:val="nil"/>
                    <w:tr2bl w:val="nil"/>
                  </w:tcBorders>
                  <w:noWrap w:val="0"/>
                  <w:vAlign w:val="center"/>
                </w:tcPr>
                <w:p w14:paraId="063B81C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规模等级</w:t>
                  </w:r>
                </w:p>
              </w:tc>
              <w:tc>
                <w:tcPr>
                  <w:tcW w:w="1046" w:type="pct"/>
                  <w:gridSpan w:val="2"/>
                  <w:tcBorders>
                    <w:tl2br w:val="nil"/>
                    <w:tr2bl w:val="nil"/>
                  </w:tcBorders>
                  <w:noWrap w:val="0"/>
                  <w:vAlign w:val="center"/>
                </w:tcPr>
                <w:p w14:paraId="2DAD3917">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污染物指标</w:t>
                  </w:r>
                </w:p>
              </w:tc>
              <w:tc>
                <w:tcPr>
                  <w:tcW w:w="540" w:type="pct"/>
                  <w:tcBorders>
                    <w:tl2br w:val="nil"/>
                    <w:tr2bl w:val="nil"/>
                  </w:tcBorders>
                  <w:noWrap w:val="0"/>
                  <w:vAlign w:val="center"/>
                </w:tcPr>
                <w:p w14:paraId="5E449350">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en-US" w:eastAsia="zh-CN" w:bidi="zh-CN"/>
                    </w:rPr>
                    <w:t>系数</w:t>
                  </w:r>
                  <w:r>
                    <w:rPr>
                      <w:rFonts w:hint="default" w:ascii="Times New Roman" w:hAnsi="Times New Roman" w:eastAsia="宋体" w:cs="Times New Roman"/>
                      <w:b/>
                      <w:bCs/>
                      <w:color w:val="auto"/>
                      <w:kern w:val="0"/>
                      <w:sz w:val="21"/>
                      <w:szCs w:val="21"/>
                      <w:highlight w:val="none"/>
                      <w:lang w:val="zh-CN" w:eastAsia="zh-CN" w:bidi="zh-CN"/>
                    </w:rPr>
                    <w:t>单位</w:t>
                  </w:r>
                </w:p>
              </w:tc>
              <w:tc>
                <w:tcPr>
                  <w:tcW w:w="365" w:type="pct"/>
                  <w:tcBorders>
                    <w:tl2br w:val="nil"/>
                    <w:tr2bl w:val="nil"/>
                  </w:tcBorders>
                  <w:noWrap w:val="0"/>
                  <w:vAlign w:val="center"/>
                </w:tcPr>
                <w:p w14:paraId="2B865639">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产污系数</w:t>
                  </w:r>
                </w:p>
              </w:tc>
              <w:tc>
                <w:tcPr>
                  <w:tcW w:w="653" w:type="pct"/>
                  <w:tcBorders>
                    <w:tl2br w:val="nil"/>
                    <w:tr2bl w:val="nil"/>
                  </w:tcBorders>
                  <w:noWrap w:val="0"/>
                  <w:vAlign w:val="center"/>
                </w:tcPr>
                <w:p w14:paraId="7FAABAC2">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末端治理技术名称</w:t>
                  </w:r>
                </w:p>
              </w:tc>
            </w:tr>
            <w:tr w14:paraId="616E0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restart"/>
                  <w:tcBorders>
                    <w:tl2br w:val="nil"/>
                    <w:tr2bl w:val="nil"/>
                  </w:tcBorders>
                  <w:noWrap w:val="0"/>
                  <w:vAlign w:val="center"/>
                </w:tcPr>
                <w:p w14:paraId="5797F0A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c>
                <w:tcPr>
                  <w:tcW w:w="661" w:type="pct"/>
                  <w:vMerge w:val="restart"/>
                  <w:tcBorders>
                    <w:tl2br w:val="nil"/>
                    <w:tr2bl w:val="nil"/>
                  </w:tcBorders>
                  <w:noWrap w:val="0"/>
                  <w:vAlign w:val="center"/>
                </w:tcPr>
                <w:p w14:paraId="3797BF25">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烧结类砖瓦及建筑砌块、煤矸石砖、蒸养砖等</w:t>
                  </w:r>
                </w:p>
              </w:tc>
              <w:tc>
                <w:tcPr>
                  <w:tcW w:w="552" w:type="pct"/>
                  <w:vMerge w:val="restart"/>
                  <w:tcBorders>
                    <w:tl2br w:val="nil"/>
                    <w:tr2bl w:val="nil"/>
                  </w:tcBorders>
                  <w:noWrap w:val="0"/>
                  <w:vAlign w:val="center"/>
                </w:tcPr>
                <w:p w14:paraId="51575E1C">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 xml:space="preserve">粘土、页岩、粉煤 </w:t>
                  </w:r>
                </w:p>
                <w:p w14:paraId="713F85C6">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灰、煤矸石等</w:t>
                  </w:r>
                </w:p>
              </w:tc>
              <w:tc>
                <w:tcPr>
                  <w:tcW w:w="446" w:type="pct"/>
                  <w:vMerge w:val="restart"/>
                  <w:tcBorders>
                    <w:tl2br w:val="nil"/>
                    <w:tr2bl w:val="nil"/>
                  </w:tcBorders>
                  <w:noWrap w:val="0"/>
                  <w:vAlign w:val="center"/>
                </w:tcPr>
                <w:p w14:paraId="288D17D2">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破碎、筛分、成型</w:t>
                  </w:r>
                </w:p>
                <w:p w14:paraId="2D45FAC2">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干燥</w:t>
                  </w:r>
                </w:p>
                <w:p w14:paraId="5B2996D9">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等</w:t>
                  </w:r>
                </w:p>
              </w:tc>
              <w:tc>
                <w:tcPr>
                  <w:tcW w:w="343" w:type="pct"/>
                  <w:vMerge w:val="restart"/>
                  <w:tcBorders>
                    <w:tl2br w:val="nil"/>
                    <w:tr2bl w:val="nil"/>
                  </w:tcBorders>
                  <w:noWrap w:val="0"/>
                  <w:vAlign w:val="center"/>
                </w:tcPr>
                <w:p w14:paraId="2DCB0587">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zh-CN" w:eastAsia="zh-CN" w:bidi="ar"/>
                    </w:rPr>
                    <w:t>所有规模</w:t>
                  </w:r>
                </w:p>
              </w:tc>
              <w:tc>
                <w:tcPr>
                  <w:tcW w:w="298" w:type="pct"/>
                  <w:vMerge w:val="restart"/>
                  <w:tcBorders>
                    <w:tl2br w:val="nil"/>
                    <w:tr2bl w:val="nil"/>
                  </w:tcBorders>
                  <w:noWrap w:val="0"/>
                  <w:vAlign w:val="center"/>
                </w:tcPr>
                <w:p w14:paraId="1095CAC1">
                  <w:pPr>
                    <w:keepNext w:val="0"/>
                    <w:keepLines w:val="0"/>
                    <w:pageBreakBefore w:val="0"/>
                    <w:widowControl w:val="0"/>
                    <w:suppressLineNumbers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废气</w:t>
                  </w:r>
                </w:p>
              </w:tc>
              <w:tc>
                <w:tcPr>
                  <w:tcW w:w="748" w:type="pct"/>
                  <w:vMerge w:val="restart"/>
                  <w:tcBorders>
                    <w:tl2br w:val="nil"/>
                    <w:tr2bl w:val="nil"/>
                  </w:tcBorders>
                  <w:noWrap w:val="0"/>
                  <w:vAlign w:val="center"/>
                </w:tcPr>
                <w:p w14:paraId="1EB3AEF2">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highlight w:val="none"/>
                      <w:lang w:val="zh-CN" w:eastAsia="zh-CN" w:bidi="ar"/>
                    </w:rPr>
                  </w:pPr>
                  <w:r>
                    <w:rPr>
                      <w:rFonts w:hint="default" w:ascii="Times New Roman" w:hAnsi="Times New Roman" w:eastAsia="宋体" w:cs="Times New Roman"/>
                      <w:b w:val="0"/>
                      <w:bCs w:val="0"/>
                      <w:snapToGrid w:val="0"/>
                      <w:color w:val="auto"/>
                      <w:kern w:val="0"/>
                      <w:sz w:val="21"/>
                      <w:szCs w:val="21"/>
                      <w:highlight w:val="none"/>
                      <w:lang w:val="zh-CN" w:eastAsia="zh-CN" w:bidi="ar"/>
                    </w:rPr>
                    <w:t>颗粒物</w:t>
                  </w:r>
                  <w:r>
                    <w:rPr>
                      <w:rFonts w:hint="default" w:ascii="Times New Roman" w:hAnsi="Times New Roman" w:eastAsia="宋体" w:cs="Times New Roman"/>
                      <w:b w:val="0"/>
                      <w:bCs w:val="0"/>
                      <w:snapToGrid w:val="0"/>
                      <w:color w:val="auto"/>
                      <w:kern w:val="0"/>
                      <w:sz w:val="21"/>
                      <w:szCs w:val="21"/>
                      <w:highlight w:val="none"/>
                      <w:lang w:val="en-US" w:eastAsia="zh-CN" w:bidi="ar"/>
                    </w:rPr>
                    <w:t>（除窑炉外工艺废气）</w:t>
                  </w:r>
                </w:p>
              </w:tc>
              <w:tc>
                <w:tcPr>
                  <w:tcW w:w="540" w:type="pct"/>
                  <w:vMerge w:val="restart"/>
                  <w:tcBorders>
                    <w:tl2br w:val="nil"/>
                    <w:tr2bl w:val="nil"/>
                  </w:tcBorders>
                  <w:noWrap w:val="0"/>
                  <w:vAlign w:val="center"/>
                </w:tcPr>
                <w:p w14:paraId="09E2594F">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千克/万块标砖</w:t>
                  </w:r>
                </w:p>
              </w:tc>
              <w:tc>
                <w:tcPr>
                  <w:tcW w:w="365" w:type="pct"/>
                  <w:vMerge w:val="restart"/>
                  <w:tcBorders>
                    <w:tl2br w:val="nil"/>
                    <w:tr2bl w:val="nil"/>
                  </w:tcBorders>
                  <w:noWrap w:val="0"/>
                  <w:vAlign w:val="center"/>
                </w:tcPr>
                <w:p w14:paraId="55C7FEE0">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1.23</w:t>
                  </w:r>
                </w:p>
              </w:tc>
              <w:tc>
                <w:tcPr>
                  <w:tcW w:w="653" w:type="pct"/>
                  <w:tcBorders>
                    <w:tl2br w:val="nil"/>
                    <w:tr2bl w:val="nil"/>
                  </w:tcBorders>
                  <w:noWrap w:val="0"/>
                  <w:vAlign w:val="center"/>
                </w:tcPr>
                <w:p w14:paraId="176DE5A0">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袋式除尘</w:t>
                  </w:r>
                </w:p>
              </w:tc>
            </w:tr>
            <w:tr w14:paraId="62DD2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tcBorders>
                    <w:tl2br w:val="nil"/>
                    <w:tr2bl w:val="nil"/>
                  </w:tcBorders>
                  <w:noWrap w:val="0"/>
                  <w:vAlign w:val="center"/>
                </w:tcPr>
                <w:p w14:paraId="1D0BFC5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61" w:type="pct"/>
                  <w:vMerge w:val="continue"/>
                  <w:tcBorders>
                    <w:tl2br w:val="nil"/>
                    <w:tr2bl w:val="nil"/>
                  </w:tcBorders>
                  <w:noWrap w:val="0"/>
                  <w:vAlign w:val="center"/>
                </w:tcPr>
                <w:p w14:paraId="6B849EAF">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2" w:type="pct"/>
                  <w:vMerge w:val="continue"/>
                  <w:tcBorders>
                    <w:tl2br w:val="nil"/>
                    <w:tr2bl w:val="nil"/>
                  </w:tcBorders>
                  <w:noWrap w:val="0"/>
                  <w:vAlign w:val="center"/>
                </w:tcPr>
                <w:p w14:paraId="71A081BE">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46" w:type="pct"/>
                  <w:vMerge w:val="continue"/>
                  <w:tcBorders>
                    <w:tl2br w:val="nil"/>
                    <w:tr2bl w:val="nil"/>
                  </w:tcBorders>
                  <w:noWrap w:val="0"/>
                  <w:vAlign w:val="center"/>
                </w:tcPr>
                <w:p w14:paraId="7EC99A3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3" w:type="pct"/>
                  <w:vMerge w:val="continue"/>
                  <w:tcBorders>
                    <w:tl2br w:val="nil"/>
                    <w:tr2bl w:val="nil"/>
                  </w:tcBorders>
                  <w:noWrap w:val="0"/>
                  <w:vAlign w:val="center"/>
                </w:tcPr>
                <w:p w14:paraId="0BFD8C0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298" w:type="pct"/>
                  <w:vMerge w:val="continue"/>
                  <w:tcBorders>
                    <w:tl2br w:val="nil"/>
                    <w:tr2bl w:val="nil"/>
                  </w:tcBorders>
                  <w:noWrap w:val="0"/>
                  <w:vAlign w:val="center"/>
                </w:tcPr>
                <w:p w14:paraId="607C66F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48" w:type="pct"/>
                  <w:vMerge w:val="continue"/>
                  <w:tcBorders>
                    <w:tl2br w:val="nil"/>
                    <w:tr2bl w:val="nil"/>
                  </w:tcBorders>
                  <w:noWrap w:val="0"/>
                  <w:vAlign w:val="center"/>
                </w:tcPr>
                <w:p w14:paraId="1757B26D">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40" w:type="pct"/>
                  <w:vMerge w:val="continue"/>
                  <w:tcBorders>
                    <w:tl2br w:val="nil"/>
                    <w:tr2bl w:val="nil"/>
                  </w:tcBorders>
                  <w:noWrap w:val="0"/>
                  <w:vAlign w:val="center"/>
                </w:tcPr>
                <w:p w14:paraId="039BCD6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65" w:type="pct"/>
                  <w:vMerge w:val="continue"/>
                  <w:tcBorders>
                    <w:tl2br w:val="nil"/>
                    <w:tr2bl w:val="nil"/>
                  </w:tcBorders>
                  <w:noWrap w:val="0"/>
                  <w:vAlign w:val="center"/>
                </w:tcPr>
                <w:p w14:paraId="460111E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53" w:type="pct"/>
                  <w:tcBorders>
                    <w:tl2br w:val="nil"/>
                    <w:tr2bl w:val="nil"/>
                  </w:tcBorders>
                  <w:noWrap w:val="0"/>
                  <w:vAlign w:val="center"/>
                </w:tcPr>
                <w:p w14:paraId="593C100B">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其他</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bidi="ar"/>
                    </w:rPr>
                    <w:t>①</w:t>
                  </w:r>
                </w:p>
              </w:tc>
            </w:tr>
            <w:tr w14:paraId="1FC10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tcBorders>
                    <w:tl2br w:val="nil"/>
                    <w:tr2bl w:val="nil"/>
                  </w:tcBorders>
                  <w:noWrap w:val="0"/>
                  <w:vAlign w:val="center"/>
                </w:tcPr>
                <w:p w14:paraId="337511BF">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61" w:type="pct"/>
                  <w:vMerge w:val="continue"/>
                  <w:tcBorders>
                    <w:tl2br w:val="nil"/>
                    <w:tr2bl w:val="nil"/>
                  </w:tcBorders>
                  <w:noWrap w:val="0"/>
                  <w:vAlign w:val="center"/>
                </w:tcPr>
                <w:p w14:paraId="752AB670">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2" w:type="pct"/>
                  <w:vMerge w:val="continue"/>
                  <w:tcBorders>
                    <w:tl2br w:val="nil"/>
                    <w:tr2bl w:val="nil"/>
                  </w:tcBorders>
                  <w:noWrap w:val="0"/>
                  <w:vAlign w:val="center"/>
                </w:tcPr>
                <w:p w14:paraId="1B87316F">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46" w:type="pct"/>
                  <w:vMerge w:val="continue"/>
                  <w:tcBorders>
                    <w:tl2br w:val="nil"/>
                    <w:tr2bl w:val="nil"/>
                  </w:tcBorders>
                  <w:noWrap w:val="0"/>
                  <w:vAlign w:val="center"/>
                </w:tcPr>
                <w:p w14:paraId="52CC172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3" w:type="pct"/>
                  <w:vMerge w:val="continue"/>
                  <w:tcBorders>
                    <w:tl2br w:val="nil"/>
                    <w:tr2bl w:val="nil"/>
                  </w:tcBorders>
                  <w:noWrap w:val="0"/>
                  <w:vAlign w:val="center"/>
                </w:tcPr>
                <w:p w14:paraId="4C2421F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298" w:type="pct"/>
                  <w:vMerge w:val="continue"/>
                  <w:tcBorders>
                    <w:tl2br w:val="nil"/>
                    <w:tr2bl w:val="nil"/>
                  </w:tcBorders>
                  <w:noWrap w:val="0"/>
                  <w:vAlign w:val="center"/>
                </w:tcPr>
                <w:p w14:paraId="54A231A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48" w:type="pct"/>
                  <w:vMerge w:val="continue"/>
                  <w:tcBorders>
                    <w:tl2br w:val="nil"/>
                    <w:tr2bl w:val="nil"/>
                  </w:tcBorders>
                  <w:noWrap w:val="0"/>
                  <w:vAlign w:val="center"/>
                </w:tcPr>
                <w:p w14:paraId="69B7A6B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40" w:type="pct"/>
                  <w:vMerge w:val="continue"/>
                  <w:tcBorders>
                    <w:tl2br w:val="nil"/>
                    <w:tr2bl w:val="nil"/>
                  </w:tcBorders>
                  <w:noWrap w:val="0"/>
                  <w:vAlign w:val="center"/>
                </w:tcPr>
                <w:p w14:paraId="3C5A7AC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65" w:type="pct"/>
                  <w:vMerge w:val="continue"/>
                  <w:tcBorders>
                    <w:tl2br w:val="nil"/>
                    <w:tr2bl w:val="nil"/>
                  </w:tcBorders>
                  <w:noWrap w:val="0"/>
                  <w:vAlign w:val="center"/>
                </w:tcPr>
                <w:p w14:paraId="2E25254D">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653" w:type="pct"/>
                  <w:tcBorders>
                    <w:tl2br w:val="nil"/>
                    <w:tr2bl w:val="nil"/>
                  </w:tcBorders>
                  <w:noWrap w:val="0"/>
                  <w:vAlign w:val="center"/>
                </w:tcPr>
                <w:p w14:paraId="501727B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26C79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0"/>
                  <w:tcBorders>
                    <w:tl2br w:val="nil"/>
                    <w:tr2bl w:val="nil"/>
                  </w:tcBorders>
                  <w:noWrap w:val="0"/>
                  <w:vAlign w:val="center"/>
                </w:tcPr>
                <w:p w14:paraId="17C396B1">
                  <w:pPr>
                    <w:keepNext w:val="0"/>
                    <w:keepLines w:val="0"/>
                    <w:pageBreakBefore w:val="0"/>
                    <w:widowControl w:val="0"/>
                    <w:suppressLineNumbers w:val="0"/>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①其他包括机械除尘、喷雾降尘等。</w:t>
                  </w:r>
                </w:p>
              </w:tc>
            </w:tr>
          </w:tbl>
          <w:p w14:paraId="2BA54912">
            <w:pPr>
              <w:keepNext w:val="0"/>
              <w:keepLines w:val="0"/>
              <w:pageBreakBefore w:val="0"/>
              <w:widowControl w:val="0"/>
              <w:kinsoku/>
              <w:wordWrap/>
              <w:overflowPunct/>
              <w:topLinePunct w:val="0"/>
              <w:autoSpaceDE/>
              <w:autoSpaceDN/>
              <w:bidi w:val="0"/>
              <w:adjustRightInd w:val="0"/>
              <w:snapToGrid w:val="0"/>
              <w:spacing w:before="63" w:beforeLines="20"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项目年产</w:t>
            </w:r>
            <w:r>
              <w:rPr>
                <w:rFonts w:hint="eastAsia" w:ascii="Times New Roman" w:hAnsi="Times New Roman" w:eastAsia="宋体" w:cs="Times New Roman"/>
                <w:b w:val="0"/>
                <w:bCs w:val="0"/>
                <w:color w:val="auto"/>
                <w:sz w:val="24"/>
                <w:szCs w:val="24"/>
                <w:highlight w:val="none"/>
                <w:lang w:val="en-US" w:eastAsia="zh-CN"/>
              </w:rPr>
              <w:t>11000</w:t>
            </w:r>
            <w:r>
              <w:rPr>
                <w:rFonts w:hint="default" w:ascii="Times New Roman" w:hAnsi="Times New Roman" w:eastAsia="宋体" w:cs="Times New Roman"/>
                <w:b w:val="0"/>
                <w:bCs w:val="0"/>
                <w:color w:val="auto"/>
                <w:sz w:val="24"/>
                <w:szCs w:val="24"/>
                <w:highlight w:val="none"/>
                <w:lang w:val="en-US" w:eastAsia="zh-CN"/>
              </w:rPr>
              <w:t>万块标砖，</w:t>
            </w:r>
            <w:r>
              <w:rPr>
                <w:rFonts w:hint="eastAsia" w:ascii="Times New Roman" w:hAnsi="Times New Roman" w:eastAsia="宋体" w:cs="Times New Roman"/>
                <w:b w:val="0"/>
                <w:bCs w:val="0"/>
                <w:color w:val="auto"/>
                <w:sz w:val="24"/>
                <w:szCs w:val="24"/>
                <w:highlight w:val="none"/>
                <w:lang w:val="en-US" w:eastAsia="zh-CN"/>
              </w:rPr>
              <w:t>该工段设一次筛分，则该工段</w:t>
            </w:r>
            <w:r>
              <w:rPr>
                <w:rFonts w:hint="default" w:ascii="Times New Roman" w:hAnsi="Times New Roman" w:eastAsia="宋体" w:cs="Times New Roman"/>
                <w:b w:val="0"/>
                <w:bCs w:val="0"/>
                <w:color w:val="auto"/>
                <w:sz w:val="24"/>
                <w:szCs w:val="24"/>
                <w:highlight w:val="none"/>
                <w:lang w:val="en-US" w:eastAsia="zh-CN"/>
              </w:rPr>
              <w:t>过程</w:t>
            </w:r>
            <w:r>
              <w:rPr>
                <w:rFonts w:hint="eastAsia"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val="en-US" w:eastAsia="zh-CN"/>
              </w:rPr>
              <w:t>颗粒物产生量=1.23</w:t>
            </w:r>
            <w:r>
              <w:rPr>
                <w:rFonts w:hint="default" w:ascii="Times New Roman" w:hAnsi="Times New Roman" w:eastAsia="宋体" w:cs="Times New Roman"/>
                <w:b w:val="0"/>
                <w:bCs w:val="0"/>
                <w:color w:val="auto"/>
                <w:sz w:val="24"/>
                <w:szCs w:val="24"/>
                <w:highlight w:val="none"/>
                <w:lang w:val="zh-CN" w:eastAsia="zh-CN"/>
              </w:rPr>
              <w:t>千克/</w:t>
            </w:r>
            <w:r>
              <w:rPr>
                <w:rFonts w:hint="default" w:ascii="Times New Roman" w:hAnsi="Times New Roman" w:eastAsia="宋体" w:cs="Times New Roman"/>
                <w:b w:val="0"/>
                <w:bCs w:val="0"/>
                <w:color w:val="auto"/>
                <w:sz w:val="24"/>
                <w:szCs w:val="24"/>
                <w:highlight w:val="none"/>
                <w:lang w:val="en-US" w:eastAsia="zh-CN"/>
              </w:rPr>
              <w:t>万块标砖×</w:t>
            </w:r>
            <w:r>
              <w:rPr>
                <w:rFonts w:hint="eastAsia" w:ascii="Times New Roman" w:hAnsi="Times New Roman" w:eastAsia="宋体" w:cs="Times New Roman"/>
                <w:b w:val="0"/>
                <w:bCs w:val="0"/>
                <w:color w:val="auto"/>
                <w:sz w:val="24"/>
                <w:szCs w:val="24"/>
                <w:highlight w:val="none"/>
                <w:lang w:val="en-US" w:eastAsia="zh-CN"/>
              </w:rPr>
              <w:t>110</w:t>
            </w:r>
            <w:r>
              <w:rPr>
                <w:rFonts w:hint="default" w:ascii="Times New Roman" w:hAnsi="Times New Roman" w:eastAsia="宋体" w:cs="Times New Roman"/>
                <w:b w:val="0"/>
                <w:bCs w:val="0"/>
                <w:color w:val="auto"/>
                <w:sz w:val="24"/>
                <w:szCs w:val="24"/>
                <w:highlight w:val="none"/>
                <w:lang w:val="en-US" w:eastAsia="zh-CN"/>
              </w:rPr>
              <w:t>00万块/a=</w:t>
            </w:r>
            <w:r>
              <w:rPr>
                <w:rFonts w:hint="eastAsia" w:ascii="Times New Roman" w:hAnsi="Times New Roman" w:eastAsia="宋体" w:cs="Times New Roman"/>
                <w:b w:val="0"/>
                <w:bCs w:val="0"/>
                <w:color w:val="auto"/>
                <w:sz w:val="24"/>
                <w:szCs w:val="24"/>
                <w:highlight w:val="none"/>
                <w:lang w:val="en-US" w:eastAsia="zh-CN"/>
              </w:rPr>
              <w:t>13.53</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p>
          <w:p w14:paraId="5B51A54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②治理措施</w:t>
            </w:r>
          </w:p>
          <w:p w14:paraId="5EE2706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筛分机位于全封闭车间，筛分机为全封闭；筛分机出料口与皮带连接，皮带输送机全封闭。</w:t>
            </w:r>
          </w:p>
          <w:p w14:paraId="490C37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筛分机进料口上方设1个集气罩，筛分废气经集气罩（收集效率90%）+布袋除尘器（风量为12000m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，过滤风速为0.6m/min，过滤面积333m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）+1根15m高排气筒（DA005）排放。</w:t>
            </w:r>
          </w:p>
          <w:p w14:paraId="7173F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筛分机进料口上方集气罩风量计算公式如下：</w:t>
            </w:r>
          </w:p>
          <w:p w14:paraId="4B8C767C">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jc w:val="center"/>
              <w:textAlignment w:val="auto"/>
              <w:rPr>
                <w:rFonts w:hint="eastAsia" w:ascii="Times New Roman" w:hAnsi="Times New Roman" w:eastAsia="Times New Roman" w:cs="Times New Roman"/>
                <w:i/>
                <w:color w:val="auto"/>
                <w:sz w:val="24"/>
                <w:szCs w:val="24"/>
                <w:lang w:eastAsia="zh-CN"/>
              </w:rPr>
            </w:pPr>
            <w:r>
              <w:rPr>
                <w:rFonts w:hint="eastAsia" w:ascii="Times New Roman" w:hAnsi="Times New Roman" w:eastAsia="Times New Roman" w:cs="Times New Roman"/>
                <w:i/>
                <w:color w:val="auto"/>
                <w:sz w:val="24"/>
                <w:szCs w:val="24"/>
                <w:lang w:eastAsia="zh-CN"/>
              </w:rPr>
              <w:t>Q</w:t>
            </w:r>
            <w:r>
              <w:rPr>
                <w:rFonts w:hint="eastAsia" w:ascii="Times New Roman" w:hAnsi="Times New Roman" w:eastAsia="Times New Roman" w:cs="Times New Roman"/>
                <w:color w:val="auto"/>
                <w:sz w:val="24"/>
                <w:szCs w:val="24"/>
                <w:lang w:eastAsia="zh-CN"/>
              </w:rPr>
              <w:t>=3600</w:t>
            </w:r>
            <w:r>
              <w:rPr>
                <w:rFonts w:hint="eastAsia" w:ascii="Times New Roman" w:hAnsi="Times New Roman" w:eastAsia="Times New Roman" w:cs="Times New Roman"/>
                <w:i/>
                <w:color w:val="auto"/>
                <w:sz w:val="24"/>
                <w:szCs w:val="24"/>
                <w:lang w:eastAsia="zh-CN"/>
              </w:rPr>
              <w:t>Av</w:t>
            </w:r>
            <w:r>
              <w:rPr>
                <w:rFonts w:hint="eastAsia" w:ascii="Times New Roman" w:hAnsi="Times New Roman" w:eastAsia="Times New Roman" w:cs="Times New Roman"/>
                <w:i/>
                <w:color w:val="auto"/>
                <w:sz w:val="24"/>
                <w:szCs w:val="24"/>
                <w:vertAlign w:val="subscript"/>
                <w:lang w:eastAsia="zh-CN"/>
              </w:rPr>
              <w:t>pl</w:t>
            </w:r>
          </w:p>
          <w:p w14:paraId="3A91F073">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480" w:firstLineChars="2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宋体" w:cs="Times New Roman"/>
                <w:color w:val="auto"/>
                <w:sz w:val="24"/>
                <w:szCs w:val="24"/>
                <w:lang w:eastAsia="zh-CN"/>
              </w:rPr>
              <w:t>式中：</w:t>
            </w:r>
            <w:r>
              <w:rPr>
                <w:rFonts w:hint="eastAsia" w:ascii="Times New Roman" w:hAnsi="Times New Roman" w:eastAsia="Times New Roman" w:cs="Times New Roman"/>
                <w:i/>
                <w:color w:val="auto"/>
                <w:sz w:val="24"/>
                <w:szCs w:val="24"/>
                <w:lang w:eastAsia="zh-CN"/>
              </w:rPr>
              <w:t>Q</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吸尘罩吸风量，（</w:t>
            </w:r>
            <w:r>
              <w:rPr>
                <w:rFonts w:hint="eastAsia" w:ascii="Times New Roman" w:hAnsi="Times New Roman" w:eastAsia="Times New Roman" w:cs="Times New Roman"/>
                <w:color w:val="auto"/>
                <w:sz w:val="24"/>
                <w:szCs w:val="24"/>
                <w:lang w:eastAsia="zh-CN"/>
              </w:rPr>
              <w:t>m</w:t>
            </w:r>
            <w:r>
              <w:rPr>
                <w:rFonts w:hint="eastAsia" w:ascii="Times New Roman" w:hAnsi="Times New Roman" w:eastAsia="Times New Roman" w:cs="Times New Roman"/>
                <w:color w:val="auto"/>
                <w:sz w:val="24"/>
                <w:szCs w:val="24"/>
                <w:vertAlign w:val="superscript"/>
                <w:lang w:eastAsia="zh-CN"/>
              </w:rPr>
              <w:t>3</w:t>
            </w:r>
            <w:r>
              <w:rPr>
                <w:rFonts w:hint="eastAsia" w:ascii="Times New Roman" w:hAnsi="Times New Roman" w:eastAsia="Times New Roman" w:cs="Times New Roman"/>
                <w:color w:val="auto"/>
                <w:sz w:val="24"/>
                <w:szCs w:val="24"/>
                <w:lang w:eastAsia="zh-CN"/>
              </w:rPr>
              <w:t>/h</w:t>
            </w:r>
            <w:r>
              <w:rPr>
                <w:rFonts w:hint="eastAsia" w:ascii="Times New Roman" w:hAnsi="Times New Roman" w:eastAsia="宋体" w:cs="Times New Roman"/>
                <w:color w:val="auto"/>
                <w:sz w:val="24"/>
                <w:szCs w:val="24"/>
                <w:lang w:eastAsia="zh-CN"/>
              </w:rPr>
              <w:t>）；</w:t>
            </w:r>
          </w:p>
          <w:p w14:paraId="0A637699">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1200" w:firstLineChars="5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i/>
                <w:color w:val="auto"/>
                <w:sz w:val="24"/>
                <w:szCs w:val="24"/>
                <w:lang w:eastAsia="zh-CN"/>
              </w:rPr>
              <w:t>A</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罩口面积，（</w:t>
            </w:r>
            <w:r>
              <w:rPr>
                <w:rFonts w:hint="eastAsia" w:ascii="Times New Roman" w:hAnsi="Times New Roman" w:eastAsia="Times New Roman" w:cs="Times New Roman"/>
                <w:color w:val="auto"/>
                <w:sz w:val="24"/>
                <w:szCs w:val="24"/>
                <w:lang w:eastAsia="zh-CN"/>
              </w:rPr>
              <w:t>m</w:t>
            </w:r>
            <w:r>
              <w:rPr>
                <w:rFonts w:hint="eastAsia" w:ascii="Times New Roman" w:hAnsi="Times New Roman" w:eastAsia="Times New Roman"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p>
          <w:p w14:paraId="666A0901">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1200" w:firstLineChars="500"/>
              <w:jc w:val="both"/>
              <w:textAlignment w:val="auto"/>
              <w:rPr>
                <w:rFonts w:hint="eastAsia" w:ascii="Times New Roman" w:hAnsi="Times New Roman" w:eastAsia="Times New Roman" w:cs="Times New Roman"/>
                <w:color w:val="auto"/>
                <w:sz w:val="24"/>
                <w:szCs w:val="24"/>
                <w:lang w:eastAsia="zh-CN"/>
              </w:rPr>
            </w:pPr>
            <w:r>
              <w:rPr>
                <w:rFonts w:hint="eastAsia" w:ascii="Times New Roman" w:hAnsi="Times New Roman" w:eastAsia="Times New Roman" w:cs="Times New Roman"/>
                <w:i/>
                <w:color w:val="auto"/>
                <w:sz w:val="24"/>
                <w:szCs w:val="24"/>
                <w:lang w:eastAsia="zh-CN"/>
              </w:rPr>
              <w:t>v</w:t>
            </w:r>
            <w:r>
              <w:rPr>
                <w:rFonts w:hint="eastAsia" w:ascii="Times New Roman" w:hAnsi="Times New Roman" w:eastAsia="Times New Roman" w:cs="Times New Roman"/>
                <w:i/>
                <w:color w:val="auto"/>
                <w:sz w:val="24"/>
                <w:szCs w:val="24"/>
                <w:vertAlign w:val="subscript"/>
                <w:lang w:eastAsia="zh-CN"/>
              </w:rPr>
              <w:t>pl</w:t>
            </w:r>
            <w:r>
              <w:rPr>
                <w:rFonts w:hint="eastAsia" w:ascii="Times New Roman" w:hAnsi="Times New Roman" w:eastAsia="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罩口平均风速，（m/s）；</w:t>
            </w:r>
          </w:p>
          <w:p w14:paraId="7791A578">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firstLine="480"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rPr>
              <w:t>局部排风设施控制风速检测与评估技术规范</w:t>
            </w:r>
            <w:r>
              <w:rPr>
                <w:rFonts w:hint="eastAsia" w:ascii="Times New Roman" w:hAnsi="Times New Roman" w:eastAsia="宋体" w:cs="Times New Roman"/>
                <w:color w:val="auto"/>
                <w:sz w:val="24"/>
                <w:szCs w:val="24"/>
                <w:lang w:eastAsia="zh-CN"/>
              </w:rPr>
              <w:t>》（AQ/T4274-2016），上吸式集气罩对粉尘控制风速为1.2m/s。</w:t>
            </w:r>
            <w:r>
              <w:rPr>
                <w:rFonts w:hint="eastAsia" w:ascii="Times New Roman" w:hAnsi="Times New Roman" w:eastAsia="宋体" w:cs="Times New Roman"/>
                <w:color w:val="auto"/>
                <w:sz w:val="24"/>
                <w:szCs w:val="24"/>
                <w:lang w:eastAsia="zh-CN" w:bidi="ar"/>
              </w:rPr>
              <w:t>考虑漏风及管道损失等，</w:t>
            </w:r>
            <w:r>
              <w:rPr>
                <w:rFonts w:hint="eastAsia" w:ascii="Times New Roman" w:hAnsi="Times New Roman" w:eastAsia="宋体" w:cs="Times New Roman"/>
                <w:color w:val="auto"/>
                <w:sz w:val="24"/>
                <w:szCs w:val="24"/>
                <w:lang w:val="en-US" w:eastAsia="zh-CN" w:bidi="ar"/>
              </w:rPr>
              <w:t>筛分</w:t>
            </w:r>
            <w:r>
              <w:rPr>
                <w:rFonts w:hint="eastAsia" w:ascii="Times New Roman" w:hAnsi="Times New Roman" w:eastAsia="宋体" w:cs="Times New Roman"/>
                <w:color w:val="auto"/>
                <w:sz w:val="24"/>
                <w:szCs w:val="24"/>
                <w:lang w:eastAsia="zh-CN"/>
              </w:rPr>
              <w:t>工序配套除尘器计算设计风量如下。</w:t>
            </w:r>
          </w:p>
          <w:p w14:paraId="094D7449">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表4-8  筛分配套除尘器计算设计风量一览表</w:t>
            </w:r>
          </w:p>
          <w:tbl>
            <w:tblPr>
              <w:tblStyle w:val="23"/>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6"/>
              <w:gridCol w:w="1935"/>
              <w:gridCol w:w="667"/>
              <w:gridCol w:w="1712"/>
              <w:gridCol w:w="1752"/>
            </w:tblGrid>
            <w:tr w14:paraId="1A223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tcBorders>
                    <w:tl2br w:val="nil"/>
                    <w:tr2bl w:val="nil"/>
                  </w:tcBorders>
                  <w:noWrap w:val="0"/>
                  <w:vAlign w:val="center"/>
                </w:tcPr>
                <w:p w14:paraId="20083580">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设备</w:t>
                  </w:r>
                </w:p>
              </w:tc>
              <w:tc>
                <w:tcPr>
                  <w:tcW w:w="787" w:type="pct"/>
                  <w:tcBorders>
                    <w:tl2br w:val="nil"/>
                    <w:tr2bl w:val="nil"/>
                  </w:tcBorders>
                  <w:noWrap w:val="0"/>
                  <w:vAlign w:val="center"/>
                </w:tcPr>
                <w:p w14:paraId="0C5069A8">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集气罩形式</w:t>
                  </w:r>
                </w:p>
              </w:tc>
              <w:tc>
                <w:tcPr>
                  <w:tcW w:w="1166" w:type="pct"/>
                  <w:tcBorders>
                    <w:tl2br w:val="nil"/>
                    <w:tr2bl w:val="nil"/>
                  </w:tcBorders>
                  <w:noWrap w:val="0"/>
                  <w:vAlign w:val="center"/>
                </w:tcPr>
                <w:p w14:paraId="7C7C40F9">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集气罩尺寸（m）</w:t>
                  </w:r>
                </w:p>
              </w:tc>
              <w:tc>
                <w:tcPr>
                  <w:tcW w:w="402" w:type="pct"/>
                  <w:tcBorders>
                    <w:tl2br w:val="nil"/>
                    <w:tr2bl w:val="nil"/>
                  </w:tcBorders>
                  <w:noWrap w:val="0"/>
                  <w:vAlign w:val="center"/>
                </w:tcPr>
                <w:p w14:paraId="26457CF9">
                  <w:pPr>
                    <w:numPr>
                      <w:ilvl w:val="0"/>
                      <w:numId w:val="0"/>
                    </w:num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rPr>
                    <w:t>数量</w:t>
                  </w:r>
                </w:p>
              </w:tc>
              <w:tc>
                <w:tcPr>
                  <w:tcW w:w="1032" w:type="pct"/>
                  <w:tcBorders>
                    <w:tl2br w:val="nil"/>
                    <w:tr2bl w:val="nil"/>
                  </w:tcBorders>
                  <w:noWrap w:val="0"/>
                  <w:vAlign w:val="center"/>
                </w:tcPr>
                <w:p w14:paraId="5E836254">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计算风量（m³/h）</w:t>
                  </w:r>
                </w:p>
              </w:tc>
              <w:tc>
                <w:tcPr>
                  <w:tcW w:w="1056" w:type="pct"/>
                  <w:tcBorders>
                    <w:tl2br w:val="nil"/>
                    <w:tr2bl w:val="nil"/>
                  </w:tcBorders>
                  <w:noWrap w:val="0"/>
                  <w:vAlign w:val="center"/>
                </w:tcPr>
                <w:p w14:paraId="1F9716CB">
                  <w:pPr>
                    <w:autoSpaceDE/>
                    <w:autoSpaceDN/>
                    <w:spacing w:beforeLines="0" w:afterLines="0"/>
                    <w:jc w:val="center"/>
                    <w:textAlignment w:val="auto"/>
                    <w:rPr>
                      <w:rFonts w:hint="eastAsia" w:ascii="Times New Roman" w:hAnsi="Times New Roman" w:eastAsia="Times New Roman" w:cs="Times New Roman"/>
                      <w:b/>
                      <w:color w:val="auto"/>
                      <w:sz w:val="21"/>
                      <w:szCs w:val="21"/>
                      <w:lang w:eastAsia="zh-CN"/>
                    </w:rPr>
                  </w:pPr>
                  <w:r>
                    <w:rPr>
                      <w:rFonts w:hint="eastAsia" w:ascii="Times New Roman" w:hAnsi="Times New Roman" w:eastAsia="宋体" w:cs="Times New Roman"/>
                      <w:b/>
                      <w:color w:val="auto"/>
                      <w:sz w:val="21"/>
                      <w:szCs w:val="21"/>
                      <w:lang w:eastAsia="zh-CN" w:bidi="ar"/>
                    </w:rPr>
                    <w:t>设计风量（m³/h）</w:t>
                  </w:r>
                </w:p>
              </w:tc>
            </w:tr>
            <w:tr w14:paraId="71967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tcBorders>
                    <w:tl2br w:val="nil"/>
                    <w:tr2bl w:val="nil"/>
                  </w:tcBorders>
                  <w:noWrap w:val="0"/>
                  <w:vAlign w:val="center"/>
                </w:tcPr>
                <w:p w14:paraId="2BAF5C65">
                  <w:pPr>
                    <w:numPr>
                      <w:ilvl w:val="0"/>
                      <w:numId w:val="0"/>
                    </w:numPr>
                    <w:autoSpaceDE/>
                    <w:autoSpaceDN/>
                    <w:spacing w:beforeLines="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筛分机</w:t>
                  </w:r>
                </w:p>
              </w:tc>
              <w:tc>
                <w:tcPr>
                  <w:tcW w:w="787" w:type="pct"/>
                  <w:tcBorders>
                    <w:tl2br w:val="nil"/>
                    <w:tr2bl w:val="nil"/>
                  </w:tcBorders>
                  <w:noWrap w:val="0"/>
                  <w:vAlign w:val="center"/>
                </w:tcPr>
                <w:p w14:paraId="75A6642F">
                  <w:pPr>
                    <w:numPr>
                      <w:ilvl w:val="0"/>
                      <w:numId w:val="0"/>
                    </w:numPr>
                    <w:autoSpaceDE/>
                    <w:autoSpaceDN/>
                    <w:spacing w:beforeLines="0" w:afterLine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顶吸式</w:t>
                  </w:r>
                </w:p>
              </w:tc>
              <w:tc>
                <w:tcPr>
                  <w:tcW w:w="1166" w:type="pct"/>
                  <w:tcBorders>
                    <w:tl2br w:val="nil"/>
                    <w:tr2bl w:val="nil"/>
                  </w:tcBorders>
                  <w:noWrap w:val="0"/>
                  <w:vAlign w:val="center"/>
                </w:tcPr>
                <w:p w14:paraId="49873570">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2.3</w:t>
                  </w:r>
                </w:p>
              </w:tc>
              <w:tc>
                <w:tcPr>
                  <w:tcW w:w="402" w:type="pct"/>
                  <w:tcBorders>
                    <w:tl2br w:val="nil"/>
                    <w:tr2bl w:val="nil"/>
                  </w:tcBorders>
                  <w:noWrap w:val="0"/>
                  <w:vAlign w:val="center"/>
                </w:tcPr>
                <w:p w14:paraId="5A76DA37">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w:t>
                  </w:r>
                </w:p>
              </w:tc>
              <w:tc>
                <w:tcPr>
                  <w:tcW w:w="1032" w:type="pct"/>
                  <w:tcBorders>
                    <w:tl2br w:val="nil"/>
                    <w:tr2bl w:val="nil"/>
                  </w:tcBorders>
                  <w:noWrap w:val="0"/>
                  <w:vAlign w:val="center"/>
                </w:tcPr>
                <w:p w14:paraId="020039F8">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10929</w:t>
                  </w:r>
                </w:p>
              </w:tc>
              <w:tc>
                <w:tcPr>
                  <w:tcW w:w="1056" w:type="pct"/>
                  <w:tcBorders>
                    <w:tl2br w:val="nil"/>
                    <w:tr2bl w:val="nil"/>
                  </w:tcBorders>
                  <w:noWrap w:val="0"/>
                  <w:vAlign w:val="center"/>
                </w:tcPr>
                <w:p w14:paraId="78BE95B3">
                  <w:pPr>
                    <w:numPr>
                      <w:ilvl w:val="0"/>
                      <w:numId w:val="0"/>
                    </w:numPr>
                    <w:autoSpaceDE/>
                    <w:autoSpaceDN/>
                    <w:spacing w:beforeLines="0" w:afterLine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12000</w:t>
                  </w:r>
                </w:p>
              </w:tc>
            </w:tr>
          </w:tbl>
          <w:p w14:paraId="432C7788">
            <w:pPr>
              <w:keepNext w:val="0"/>
              <w:keepLines w:val="0"/>
              <w:pageBreakBefore w:val="0"/>
              <w:widowControl w:val="0"/>
              <w:kinsoku/>
              <w:wordWrap/>
              <w:overflowPunct/>
              <w:topLinePunct w:val="0"/>
              <w:bidi w:val="0"/>
              <w:adjustRightInd/>
              <w:snapToGrid/>
              <w:spacing w:beforeLines="0" w:afterLines="0" w:line="480" w:lineRule="exact"/>
              <w:ind w:firstLine="480" w:firstLineChars="20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lang w:eastAsia="zh-CN" w:bidi="ar"/>
              </w:rPr>
              <w:t>本项目采用布袋除尘器处理后，颗粒物排放浓度控制≤10mg/m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筛分</w:t>
            </w:r>
            <w:r>
              <w:rPr>
                <w:rFonts w:hint="default" w:ascii="Times New Roman" w:hAnsi="Times New Roman" w:eastAsia="宋体" w:cs="Times New Roman"/>
                <w:color w:val="auto"/>
                <w:sz w:val="24"/>
                <w:szCs w:val="24"/>
                <w:lang w:eastAsia="zh-CN" w:bidi="ar"/>
              </w:rPr>
              <w:t>工序工作制度按</w:t>
            </w:r>
            <w:r>
              <w:rPr>
                <w:rFonts w:hint="default" w:ascii="Times New Roman" w:hAnsi="Times New Roman" w:eastAsia="宋体" w:cs="Times New Roman"/>
                <w:color w:val="auto"/>
                <w:sz w:val="24"/>
                <w:szCs w:val="24"/>
                <w:lang w:val="en-US" w:eastAsia="zh-CN" w:bidi="ar"/>
              </w:rPr>
              <w:t>330</w:t>
            </w:r>
            <w:r>
              <w:rPr>
                <w:rFonts w:hint="default" w:ascii="Times New Roman" w:hAnsi="Times New Roman" w:eastAsia="宋体" w:cs="Times New Roman"/>
                <w:color w:val="auto"/>
                <w:sz w:val="24"/>
                <w:szCs w:val="24"/>
                <w:lang w:eastAsia="zh-CN" w:bidi="ar"/>
              </w:rPr>
              <w:t>d/a、</w:t>
            </w:r>
            <w:r>
              <w:rPr>
                <w:rFonts w:hint="default" w:ascii="Times New Roman" w:hAnsi="Times New Roman" w:eastAsia="宋体" w:cs="Times New Roman"/>
                <w:color w:val="auto"/>
                <w:sz w:val="24"/>
                <w:szCs w:val="24"/>
                <w:lang w:val="en-US" w:eastAsia="zh-CN" w:bidi="ar"/>
              </w:rPr>
              <w:t>12</w:t>
            </w:r>
            <w:r>
              <w:rPr>
                <w:rFonts w:hint="default" w:ascii="Times New Roman" w:hAnsi="Times New Roman" w:eastAsia="宋体" w:cs="Times New Roman"/>
                <w:color w:val="auto"/>
                <w:sz w:val="24"/>
                <w:szCs w:val="24"/>
                <w:lang w:eastAsia="zh-CN" w:bidi="ar"/>
              </w:rPr>
              <w:t>h/d计，则</w:t>
            </w:r>
            <w:r>
              <w:rPr>
                <w:rFonts w:hint="default" w:ascii="Times New Roman" w:hAnsi="Times New Roman" w:eastAsia="宋体" w:cs="Times New Roman"/>
                <w:color w:val="auto"/>
                <w:sz w:val="24"/>
                <w:szCs w:val="24"/>
                <w:lang w:val="en-US" w:eastAsia="zh-CN" w:bidi="ar"/>
              </w:rPr>
              <w:t>破碎工序</w:t>
            </w:r>
            <w:r>
              <w:rPr>
                <w:rFonts w:hint="default" w:ascii="Times New Roman" w:hAnsi="Times New Roman" w:eastAsia="宋体" w:cs="Times New Roman"/>
                <w:color w:val="auto"/>
                <w:sz w:val="24"/>
                <w:szCs w:val="24"/>
                <w:lang w:eastAsia="zh-CN" w:bidi="ar"/>
              </w:rPr>
              <w:t>颗粒物有组织排放量为：10mg/m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Times New Roman" w:cs="Times New Roman"/>
                <w:color w:val="auto"/>
                <w:sz w:val="24"/>
                <w:szCs w:val="24"/>
                <w:lang w:eastAsia="zh-CN" w:bidi="ar"/>
              </w:rPr>
              <w:t>×</w:t>
            </w:r>
            <w:r>
              <w:rPr>
                <w:rFonts w:hint="default" w:ascii="Times New Roman" w:hAnsi="Times New Roman" w:eastAsia="Times New Roman" w:cs="Times New Roman"/>
                <w:color w:val="auto"/>
                <w:sz w:val="24"/>
                <w:szCs w:val="24"/>
                <w:lang w:val="en-US" w:eastAsia="zh-CN" w:bidi="ar"/>
              </w:rPr>
              <w:t>3960</w:t>
            </w:r>
            <w:r>
              <w:rPr>
                <w:rFonts w:hint="default" w:ascii="Times New Roman" w:hAnsi="Times New Roman" w:eastAsia="Times New Roman" w:cs="Times New Roman"/>
                <w:color w:val="auto"/>
                <w:sz w:val="24"/>
                <w:szCs w:val="24"/>
                <w:lang w:eastAsia="zh-CN" w:bidi="ar"/>
              </w:rPr>
              <w:t>h/a×</w:t>
            </w:r>
            <w:r>
              <w:rPr>
                <w:rFonts w:hint="default" w:ascii="Times New Roman" w:hAnsi="Times New Roman" w:eastAsia="Times New Roman" w:cs="Times New Roman"/>
                <w:color w:val="auto"/>
                <w:sz w:val="24"/>
                <w:szCs w:val="24"/>
                <w:lang w:val="en-US" w:eastAsia="zh-CN" w:bidi="ar"/>
              </w:rPr>
              <w:t>120</w:t>
            </w:r>
            <w:r>
              <w:rPr>
                <w:rFonts w:hint="default" w:ascii="Times New Roman" w:hAnsi="Times New Roman" w:eastAsia="Times New Roman" w:cs="Times New Roman"/>
                <w:color w:val="auto"/>
                <w:sz w:val="24"/>
                <w:szCs w:val="24"/>
                <w:lang w:eastAsia="zh-CN" w:bidi="ar"/>
              </w:rPr>
              <w:t>00m</w:t>
            </w:r>
            <w:r>
              <w:rPr>
                <w:rFonts w:hint="default" w:ascii="Times New Roman" w:hAnsi="Times New Roman" w:eastAsia="Times New Roman" w:cs="Times New Roman"/>
                <w:color w:val="auto"/>
                <w:sz w:val="24"/>
                <w:szCs w:val="24"/>
                <w:vertAlign w:val="superscript"/>
                <w:lang w:eastAsia="zh-CN" w:bidi="ar"/>
              </w:rPr>
              <w:t>3</w:t>
            </w:r>
            <w:r>
              <w:rPr>
                <w:rFonts w:hint="default" w:ascii="Times New Roman" w:hAnsi="Times New Roman" w:eastAsia="Times New Roman" w:cs="Times New Roman"/>
                <w:color w:val="auto"/>
                <w:sz w:val="24"/>
                <w:szCs w:val="24"/>
                <w:lang w:eastAsia="zh-CN" w:bidi="ar"/>
              </w:rPr>
              <w:t>/h÷10</w:t>
            </w:r>
            <w:r>
              <w:rPr>
                <w:rFonts w:hint="default" w:ascii="Times New Roman" w:hAnsi="Times New Roman" w:eastAsia="Times New Roman" w:cs="Times New Roman"/>
                <w:color w:val="auto"/>
                <w:sz w:val="24"/>
                <w:szCs w:val="24"/>
                <w:vertAlign w:val="superscript"/>
                <w:lang w:eastAsia="zh-CN" w:bidi="ar"/>
              </w:rPr>
              <w:t>9</w:t>
            </w:r>
            <w:r>
              <w:rPr>
                <w:rFonts w:hint="default" w:ascii="Times New Roman" w:hAnsi="Times New Roman" w:eastAsia="Times New Roman" w:cs="Times New Roman"/>
                <w:color w:val="auto"/>
                <w:sz w:val="24"/>
                <w:szCs w:val="24"/>
                <w:lang w:eastAsia="zh-CN" w:bidi="ar"/>
              </w:rPr>
              <w:t>=</w:t>
            </w:r>
            <w:r>
              <w:rPr>
                <w:rFonts w:hint="default" w:ascii="Times New Roman" w:hAnsi="Times New Roman" w:eastAsia="Times New Roman" w:cs="Times New Roman"/>
                <w:color w:val="auto"/>
                <w:sz w:val="24"/>
                <w:szCs w:val="24"/>
                <w:lang w:val="en-US" w:eastAsia="zh-CN" w:bidi="ar"/>
              </w:rPr>
              <w:t>0.475</w:t>
            </w:r>
            <w:r>
              <w:rPr>
                <w:rFonts w:hint="default" w:ascii="Times New Roman" w:hAnsi="Times New Roman" w:eastAsia="Times New Roman" w:cs="Times New Roman"/>
                <w:color w:val="auto"/>
                <w:sz w:val="24"/>
                <w:szCs w:val="24"/>
                <w:lang w:eastAsia="zh-CN" w:bidi="ar"/>
              </w:rPr>
              <w:t>t/a</w:t>
            </w:r>
            <w:r>
              <w:rPr>
                <w:rFonts w:hint="default" w:ascii="Times New Roman" w:hAnsi="Times New Roman" w:eastAsia="宋体" w:cs="Times New Roman"/>
                <w:color w:val="auto"/>
                <w:sz w:val="24"/>
                <w:szCs w:val="24"/>
                <w:lang w:eastAsia="zh-CN" w:bidi="ar"/>
              </w:rPr>
              <w:t>。</w:t>
            </w:r>
          </w:p>
          <w:p w14:paraId="3D80E2B1">
            <w:pPr>
              <w:keepNext w:val="0"/>
              <w:keepLines w:val="0"/>
              <w:pageBreakBefore w:val="0"/>
              <w:widowControl w:val="0"/>
              <w:kinsoku/>
              <w:wordWrap/>
              <w:overflowPunct/>
              <w:topLinePunct w:val="0"/>
              <w:bidi w:val="0"/>
              <w:adjustRightInd/>
              <w:snapToGrid/>
              <w:spacing w:beforeLines="0" w:afterLines="0" w:line="480" w:lineRule="exact"/>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则筛分工序无组织颗粒物产生量=13.53×10%=1.353t/a。车间封闭对内部生产过程中产生的无组织颗粒物有一定的抑尘作用，无组织抑尘率取80%，则筛分工序无组织排放量=1.353×20%=0.271t/a。</w:t>
            </w:r>
          </w:p>
          <w:p w14:paraId="1F07D5F2">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表4-9  项目筛分工序污染物产排情况一览表</w:t>
            </w:r>
          </w:p>
          <w:tbl>
            <w:tblPr>
              <w:tblStyle w:val="23"/>
              <w:tblW w:w="4988" w:type="pct"/>
              <w:tblInd w:w="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24"/>
              <w:gridCol w:w="763"/>
              <w:gridCol w:w="793"/>
              <w:gridCol w:w="673"/>
              <w:gridCol w:w="1990"/>
              <w:gridCol w:w="856"/>
              <w:gridCol w:w="931"/>
              <w:gridCol w:w="755"/>
            </w:tblGrid>
            <w:tr w14:paraId="16C2D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Merge w:val="restart"/>
                  <w:tcBorders>
                    <w:tl2br w:val="nil"/>
                    <w:tr2bl w:val="nil"/>
                  </w:tcBorders>
                  <w:noWrap w:val="0"/>
                  <w:vAlign w:val="center"/>
                </w:tcPr>
                <w:p w14:paraId="325E8F5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lang w:eastAsia="zh-CN"/>
                    </w:rPr>
                  </w:pPr>
                  <w:r>
                    <w:rPr>
                      <w:rFonts w:hint="default" w:ascii="Times New Roman" w:hAnsi="Times New Roman" w:eastAsia="Times New Roman" w:cs="Times New Roman"/>
                      <w:b/>
                      <w:color w:val="auto"/>
                      <w:sz w:val="21"/>
                      <w:szCs w:val="21"/>
                      <w:lang w:eastAsia="zh-CN"/>
                    </w:rPr>
                    <w:t>排放方式</w:t>
                  </w:r>
                </w:p>
              </w:tc>
              <w:tc>
                <w:tcPr>
                  <w:tcW w:w="493" w:type="pct"/>
                  <w:vMerge w:val="restart"/>
                  <w:tcBorders>
                    <w:tl2br w:val="nil"/>
                    <w:tr2bl w:val="nil"/>
                  </w:tcBorders>
                  <w:noWrap w:val="0"/>
                  <w:vAlign w:val="center"/>
                </w:tcPr>
                <w:p w14:paraId="27F20BB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废气量m</w:t>
                  </w:r>
                  <w:r>
                    <w:rPr>
                      <w:rFonts w:hint="eastAsia" w:ascii="Times New Roman" w:hAnsi="Times New Roman" w:eastAsia="Times New Roman" w:cs="Times New Roman"/>
                      <w:b/>
                      <w:color w:val="auto"/>
                      <w:sz w:val="21"/>
                      <w:szCs w:val="21"/>
                      <w:vertAlign w:val="superscript"/>
                    </w:rPr>
                    <w:t>3</w:t>
                  </w:r>
                  <w:r>
                    <w:rPr>
                      <w:rFonts w:hint="eastAsia" w:ascii="Times New Roman" w:hAnsi="Times New Roman" w:eastAsia="Times New Roman" w:cs="Times New Roman"/>
                      <w:b/>
                      <w:color w:val="auto"/>
                      <w:sz w:val="21"/>
                      <w:szCs w:val="21"/>
                    </w:rPr>
                    <w:t>/h</w:t>
                  </w:r>
                </w:p>
              </w:tc>
              <w:tc>
                <w:tcPr>
                  <w:tcW w:w="456" w:type="pct"/>
                  <w:vMerge w:val="restart"/>
                  <w:tcBorders>
                    <w:tl2br w:val="nil"/>
                    <w:tr2bl w:val="nil"/>
                  </w:tcBorders>
                  <w:noWrap w:val="0"/>
                  <w:vAlign w:val="center"/>
                </w:tcPr>
                <w:p w14:paraId="48C2E50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污染物</w:t>
                  </w:r>
                </w:p>
              </w:tc>
              <w:tc>
                <w:tcPr>
                  <w:tcW w:w="877" w:type="pct"/>
                  <w:gridSpan w:val="2"/>
                  <w:tcBorders>
                    <w:tl2br w:val="nil"/>
                    <w:tr2bl w:val="nil"/>
                  </w:tcBorders>
                  <w:noWrap w:val="0"/>
                  <w:vAlign w:val="center"/>
                </w:tcPr>
                <w:p w14:paraId="4F97EC4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lang w:eastAsia="zh-CN"/>
                    </w:rPr>
                    <w:t>收集</w:t>
                  </w:r>
                  <w:r>
                    <w:rPr>
                      <w:rFonts w:hint="default" w:ascii="Times New Roman" w:hAnsi="Times New Roman" w:eastAsia="Times New Roman" w:cs="Times New Roman"/>
                      <w:b/>
                      <w:color w:val="auto"/>
                      <w:sz w:val="21"/>
                      <w:szCs w:val="21"/>
                    </w:rPr>
                    <w:t>情况</w:t>
                  </w:r>
                </w:p>
              </w:tc>
              <w:tc>
                <w:tcPr>
                  <w:tcW w:w="1190" w:type="pct"/>
                  <w:vMerge w:val="restart"/>
                  <w:tcBorders>
                    <w:tl2br w:val="nil"/>
                    <w:tr2bl w:val="nil"/>
                  </w:tcBorders>
                  <w:noWrap w:val="0"/>
                  <w:vAlign w:val="center"/>
                </w:tcPr>
                <w:p w14:paraId="5E88BF1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治理措施</w:t>
                  </w:r>
                </w:p>
              </w:tc>
              <w:tc>
                <w:tcPr>
                  <w:tcW w:w="1521" w:type="pct"/>
                  <w:gridSpan w:val="3"/>
                  <w:tcBorders>
                    <w:tl2br w:val="nil"/>
                    <w:tr2bl w:val="nil"/>
                  </w:tcBorders>
                  <w:noWrap w:val="0"/>
                  <w:vAlign w:val="center"/>
                </w:tcPr>
                <w:p w14:paraId="3AC57C4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排放情况</w:t>
                  </w:r>
                </w:p>
              </w:tc>
            </w:tr>
            <w:tr w14:paraId="6BD83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vMerge w:val="continue"/>
                  <w:tcBorders>
                    <w:tl2br w:val="nil"/>
                    <w:tr2bl w:val="nil"/>
                  </w:tcBorders>
                  <w:noWrap w:val="0"/>
                  <w:vAlign w:val="center"/>
                </w:tcPr>
                <w:p w14:paraId="64A1412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93" w:type="pct"/>
                  <w:vMerge w:val="continue"/>
                  <w:tcBorders>
                    <w:tl2br w:val="nil"/>
                    <w:tr2bl w:val="nil"/>
                  </w:tcBorders>
                  <w:noWrap w:val="0"/>
                  <w:vAlign w:val="center"/>
                </w:tcPr>
                <w:p w14:paraId="3EC0098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56" w:type="pct"/>
                  <w:vMerge w:val="continue"/>
                  <w:tcBorders>
                    <w:tl2br w:val="nil"/>
                    <w:tr2bl w:val="nil"/>
                  </w:tcBorders>
                  <w:noWrap w:val="0"/>
                  <w:vAlign w:val="center"/>
                </w:tcPr>
                <w:p w14:paraId="468B6FC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474" w:type="pct"/>
                  <w:tcBorders>
                    <w:tl2br w:val="nil"/>
                    <w:tr2bl w:val="nil"/>
                  </w:tcBorders>
                  <w:noWrap w:val="0"/>
                  <w:vAlign w:val="center"/>
                </w:tcPr>
                <w:p w14:paraId="0160719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浓度mg/m</w:t>
                  </w:r>
                  <w:r>
                    <w:rPr>
                      <w:rFonts w:hint="eastAsia" w:ascii="Times New Roman" w:hAnsi="Times New Roman" w:eastAsia="Times New Roman" w:cs="Times New Roman"/>
                      <w:b/>
                      <w:color w:val="auto"/>
                      <w:sz w:val="21"/>
                      <w:szCs w:val="21"/>
                      <w:vertAlign w:val="superscript"/>
                    </w:rPr>
                    <w:t>3</w:t>
                  </w:r>
                </w:p>
              </w:tc>
              <w:tc>
                <w:tcPr>
                  <w:tcW w:w="402" w:type="pct"/>
                  <w:tcBorders>
                    <w:tl2br w:val="nil"/>
                    <w:tr2bl w:val="nil"/>
                  </w:tcBorders>
                  <w:noWrap w:val="0"/>
                  <w:vAlign w:val="center"/>
                </w:tcPr>
                <w:p w14:paraId="3D1CF95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产生量t/a</w:t>
                  </w:r>
                </w:p>
              </w:tc>
              <w:tc>
                <w:tcPr>
                  <w:tcW w:w="1190" w:type="pct"/>
                  <w:vMerge w:val="continue"/>
                  <w:tcBorders>
                    <w:tl2br w:val="nil"/>
                    <w:tr2bl w:val="nil"/>
                  </w:tcBorders>
                  <w:noWrap w:val="0"/>
                  <w:vAlign w:val="center"/>
                </w:tcPr>
                <w:p w14:paraId="79BD3F7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p>
              </w:tc>
              <w:tc>
                <w:tcPr>
                  <w:tcW w:w="512" w:type="pct"/>
                  <w:tcBorders>
                    <w:tl2br w:val="nil"/>
                    <w:tr2bl w:val="nil"/>
                  </w:tcBorders>
                  <w:noWrap w:val="0"/>
                  <w:vAlign w:val="center"/>
                </w:tcPr>
                <w:p w14:paraId="278481A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浓度mg/m</w:t>
                  </w:r>
                  <w:r>
                    <w:rPr>
                      <w:rFonts w:hint="eastAsia" w:ascii="Times New Roman" w:hAnsi="Times New Roman" w:eastAsia="Times New Roman" w:cs="Times New Roman"/>
                      <w:b/>
                      <w:color w:val="auto"/>
                      <w:sz w:val="21"/>
                      <w:szCs w:val="21"/>
                      <w:vertAlign w:val="superscript"/>
                    </w:rPr>
                    <w:t>3</w:t>
                  </w:r>
                </w:p>
              </w:tc>
              <w:tc>
                <w:tcPr>
                  <w:tcW w:w="557" w:type="pct"/>
                  <w:tcBorders>
                    <w:tl2br w:val="nil"/>
                    <w:tr2bl w:val="nil"/>
                  </w:tcBorders>
                  <w:noWrap w:val="0"/>
                  <w:vAlign w:val="center"/>
                </w:tcPr>
                <w:p w14:paraId="5D053FE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排放速率kg/h</w:t>
                  </w:r>
                </w:p>
              </w:tc>
              <w:tc>
                <w:tcPr>
                  <w:tcW w:w="451" w:type="pct"/>
                  <w:tcBorders>
                    <w:tl2br w:val="nil"/>
                    <w:tr2bl w:val="nil"/>
                  </w:tcBorders>
                  <w:noWrap w:val="0"/>
                  <w:vAlign w:val="center"/>
                </w:tcPr>
                <w:p w14:paraId="5C4E67A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b/>
                      <w:color w:val="auto"/>
                      <w:sz w:val="21"/>
                      <w:szCs w:val="21"/>
                    </w:rPr>
                  </w:pPr>
                  <w:r>
                    <w:rPr>
                      <w:rFonts w:hint="default" w:ascii="Times New Roman" w:hAnsi="Times New Roman" w:eastAsia="Times New Roman" w:cs="Times New Roman"/>
                      <w:b/>
                      <w:color w:val="auto"/>
                      <w:sz w:val="21"/>
                      <w:szCs w:val="21"/>
                    </w:rPr>
                    <w:t>排放量t/a</w:t>
                  </w:r>
                </w:p>
              </w:tc>
            </w:tr>
            <w:tr w14:paraId="4F233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773EC2F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有组织</w:t>
                  </w:r>
                </w:p>
              </w:tc>
              <w:tc>
                <w:tcPr>
                  <w:tcW w:w="493" w:type="pct"/>
                  <w:tcBorders>
                    <w:tl2br w:val="nil"/>
                    <w:tr2bl w:val="nil"/>
                  </w:tcBorders>
                  <w:noWrap w:val="0"/>
                  <w:vAlign w:val="center"/>
                </w:tcPr>
                <w:p w14:paraId="0C134E7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12000</w:t>
                  </w:r>
                </w:p>
              </w:tc>
              <w:tc>
                <w:tcPr>
                  <w:tcW w:w="456" w:type="pct"/>
                  <w:tcBorders>
                    <w:tl2br w:val="nil"/>
                    <w:tr2bl w:val="nil"/>
                  </w:tcBorders>
                  <w:noWrap w:val="0"/>
                  <w:vAlign w:val="center"/>
                </w:tcPr>
                <w:p w14:paraId="50684E17">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颗粒物</w:t>
                  </w:r>
                </w:p>
              </w:tc>
              <w:tc>
                <w:tcPr>
                  <w:tcW w:w="474" w:type="pct"/>
                  <w:tcBorders>
                    <w:tl2br w:val="nil"/>
                    <w:tr2bl w:val="nil"/>
                  </w:tcBorders>
                  <w:noWrap w:val="0"/>
                  <w:vAlign w:val="center"/>
                </w:tcPr>
                <w:p w14:paraId="1C58044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285</w:t>
                  </w:r>
                </w:p>
              </w:tc>
              <w:tc>
                <w:tcPr>
                  <w:tcW w:w="402" w:type="pct"/>
                  <w:tcBorders>
                    <w:tl2br w:val="nil"/>
                    <w:tr2bl w:val="nil"/>
                  </w:tcBorders>
                  <w:noWrap w:val="0"/>
                  <w:vAlign w:val="center"/>
                </w:tcPr>
                <w:p w14:paraId="37347C8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13.53</w:t>
                  </w:r>
                </w:p>
              </w:tc>
              <w:tc>
                <w:tcPr>
                  <w:tcW w:w="1190" w:type="pct"/>
                  <w:tcBorders>
                    <w:tl2br w:val="nil"/>
                    <w:tr2bl w:val="nil"/>
                  </w:tcBorders>
                  <w:noWrap w:val="0"/>
                  <w:vAlign w:val="center"/>
                </w:tcPr>
                <w:p w14:paraId="1A7F03DB">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集气罩（收集效率90%）+布袋除尘器</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风量为12000m</w:t>
                  </w:r>
                  <w:r>
                    <w:rPr>
                      <w:rFonts w:hint="eastAsia" w:ascii="Times New Roman" w:hAnsi="Times New Roman" w:eastAsia="Times New Roman" w:cs="Times New Roman"/>
                      <w:color w:val="auto"/>
                      <w:sz w:val="21"/>
                      <w:szCs w:val="21"/>
                      <w:vertAlign w:val="superscript"/>
                      <w:lang w:val="en-US" w:eastAsia="zh-CN"/>
                    </w:rPr>
                    <w:t>3</w:t>
                  </w:r>
                  <w:r>
                    <w:rPr>
                      <w:rFonts w:hint="eastAsia" w:ascii="Times New Roman" w:hAnsi="Times New Roman" w:eastAsia="Times New Roman" w:cs="Times New Roman"/>
                      <w:color w:val="auto"/>
                      <w:sz w:val="21"/>
                      <w:szCs w:val="21"/>
                      <w:lang w:val="en-US" w:eastAsia="zh-CN"/>
                    </w:rPr>
                    <w:t>，过滤风速为0.6m/min，过滤面积333m</w:t>
                  </w:r>
                  <w:r>
                    <w:rPr>
                      <w:rFonts w:hint="eastAsia" w:ascii="Times New Roman" w:hAnsi="Times New Roman" w:eastAsia="Times New Roman" w:cs="Times New Roman"/>
                      <w:color w:val="auto"/>
                      <w:sz w:val="21"/>
                      <w:szCs w:val="21"/>
                      <w:vertAlign w:val="superscript"/>
                      <w:lang w:val="en-US" w:eastAsia="zh-CN"/>
                    </w:rPr>
                    <w:t>2</w:t>
                  </w:r>
                  <w:r>
                    <w:rPr>
                      <w:rFonts w:hint="eastAsia" w:ascii="Times New Roman" w:hAnsi="Times New Roman" w:eastAsia="Times New Roman" w:cs="Times New Roman"/>
                      <w:color w:val="auto"/>
                      <w:sz w:val="21"/>
                      <w:szCs w:val="21"/>
                      <w:lang w:eastAsia="zh-CN"/>
                    </w:rPr>
                    <w:t>）</w:t>
                  </w:r>
                  <w:r>
                    <w:rPr>
                      <w:rFonts w:hint="default" w:ascii="Times New Roman" w:hAnsi="Times New Roman" w:eastAsia="Times New Roman" w:cs="Times New Roman"/>
                      <w:color w:val="auto"/>
                      <w:sz w:val="21"/>
                      <w:szCs w:val="21"/>
                      <w:lang w:eastAsia="zh-CN"/>
                    </w:rPr>
                    <w:t>+1根</w:t>
                  </w:r>
                  <w:r>
                    <w:rPr>
                      <w:rFonts w:hint="eastAsia" w:ascii="Times New Roman" w:hAnsi="Times New Roman" w:eastAsia="Times New Roman" w:cs="Times New Roman"/>
                      <w:color w:val="auto"/>
                      <w:sz w:val="21"/>
                      <w:szCs w:val="21"/>
                      <w:lang w:val="en-US" w:eastAsia="zh-CN"/>
                    </w:rPr>
                    <w:t>15</w:t>
                  </w:r>
                  <w:r>
                    <w:rPr>
                      <w:rFonts w:hint="default" w:ascii="Times New Roman" w:hAnsi="Times New Roman" w:eastAsia="Times New Roman" w:cs="Times New Roman"/>
                      <w:color w:val="auto"/>
                      <w:sz w:val="21"/>
                      <w:szCs w:val="21"/>
                      <w:lang w:eastAsia="zh-CN"/>
                    </w:rPr>
                    <w:t>m高排气筒</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DA005）</w:t>
                  </w:r>
                  <w:r>
                    <w:rPr>
                      <w:rFonts w:hint="default" w:ascii="Times New Roman" w:hAnsi="Times New Roman" w:eastAsia="Times New Roman" w:cs="Times New Roman"/>
                      <w:color w:val="auto"/>
                      <w:sz w:val="21"/>
                      <w:szCs w:val="21"/>
                      <w:lang w:eastAsia="zh-CN"/>
                    </w:rPr>
                    <w:t>排放</w:t>
                  </w:r>
                </w:p>
              </w:tc>
              <w:tc>
                <w:tcPr>
                  <w:tcW w:w="512" w:type="pct"/>
                  <w:tcBorders>
                    <w:tl2br w:val="nil"/>
                    <w:tr2bl w:val="nil"/>
                  </w:tcBorders>
                  <w:noWrap w:val="0"/>
                  <w:vAlign w:val="center"/>
                </w:tcPr>
                <w:p w14:paraId="088A693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10</w:t>
                  </w:r>
                </w:p>
              </w:tc>
              <w:tc>
                <w:tcPr>
                  <w:tcW w:w="557" w:type="pct"/>
                  <w:tcBorders>
                    <w:tl2br w:val="nil"/>
                    <w:tr2bl w:val="nil"/>
                  </w:tcBorders>
                  <w:noWrap w:val="0"/>
                  <w:vAlign w:val="center"/>
                </w:tcPr>
                <w:p w14:paraId="3980F16C">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0.12</w:t>
                  </w:r>
                </w:p>
              </w:tc>
              <w:tc>
                <w:tcPr>
                  <w:tcW w:w="451" w:type="pct"/>
                  <w:tcBorders>
                    <w:tl2br w:val="nil"/>
                    <w:tr2bl w:val="nil"/>
                  </w:tcBorders>
                  <w:noWrap w:val="0"/>
                  <w:vAlign w:val="center"/>
                </w:tcPr>
                <w:p w14:paraId="22C64D4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0.475</w:t>
                  </w:r>
                </w:p>
              </w:tc>
            </w:tr>
            <w:tr w14:paraId="41815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1" w:type="pct"/>
                  <w:tcBorders>
                    <w:tl2br w:val="nil"/>
                    <w:tr2bl w:val="nil"/>
                  </w:tcBorders>
                  <w:noWrap w:val="0"/>
                  <w:vAlign w:val="center"/>
                </w:tcPr>
                <w:p w14:paraId="141FA4E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无组织</w:t>
                  </w:r>
                </w:p>
              </w:tc>
              <w:tc>
                <w:tcPr>
                  <w:tcW w:w="493" w:type="pct"/>
                  <w:tcBorders>
                    <w:tl2br w:val="nil"/>
                    <w:tr2bl w:val="nil"/>
                  </w:tcBorders>
                  <w:noWrap w:val="0"/>
                  <w:vAlign w:val="center"/>
                </w:tcPr>
                <w:p w14:paraId="535DCE4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456" w:type="pct"/>
                  <w:tcBorders>
                    <w:tl2br w:val="nil"/>
                    <w:tr2bl w:val="nil"/>
                  </w:tcBorders>
                  <w:noWrap w:val="0"/>
                  <w:vAlign w:val="center"/>
                </w:tcPr>
                <w:p w14:paraId="167AA26C">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颗粒物</w:t>
                  </w:r>
                </w:p>
              </w:tc>
              <w:tc>
                <w:tcPr>
                  <w:tcW w:w="474" w:type="pct"/>
                  <w:tcBorders>
                    <w:tl2br w:val="nil"/>
                    <w:tr2bl w:val="nil"/>
                  </w:tcBorders>
                  <w:noWrap w:val="0"/>
                  <w:vAlign w:val="center"/>
                </w:tcPr>
                <w:p w14:paraId="7B29C2DE">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402" w:type="pct"/>
                  <w:tcBorders>
                    <w:tl2br w:val="nil"/>
                    <w:tr2bl w:val="nil"/>
                  </w:tcBorders>
                  <w:noWrap w:val="0"/>
                  <w:vAlign w:val="center"/>
                </w:tcPr>
                <w:p w14:paraId="2B2FA7A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1.353</w:t>
                  </w:r>
                </w:p>
              </w:tc>
              <w:tc>
                <w:tcPr>
                  <w:tcW w:w="1190" w:type="pct"/>
                  <w:tcBorders>
                    <w:tl2br w:val="nil"/>
                    <w:tr2bl w:val="nil"/>
                  </w:tcBorders>
                  <w:noWrap w:val="0"/>
                  <w:vAlign w:val="center"/>
                </w:tcPr>
                <w:p w14:paraId="34FA7A2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车间全封闭</w:t>
                  </w:r>
                </w:p>
              </w:tc>
              <w:tc>
                <w:tcPr>
                  <w:tcW w:w="512" w:type="pct"/>
                  <w:tcBorders>
                    <w:tl2br w:val="nil"/>
                    <w:tr2bl w:val="nil"/>
                  </w:tcBorders>
                  <w:noWrap w:val="0"/>
                  <w:vAlign w:val="center"/>
                </w:tcPr>
                <w:p w14:paraId="688F2B37">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p>
              </w:tc>
              <w:tc>
                <w:tcPr>
                  <w:tcW w:w="557" w:type="pct"/>
                  <w:tcBorders>
                    <w:tl2br w:val="nil"/>
                    <w:tr2bl w:val="nil"/>
                  </w:tcBorders>
                  <w:noWrap w:val="0"/>
                  <w:vAlign w:val="center"/>
                </w:tcPr>
                <w:p w14:paraId="70503A3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0.07</w:t>
                  </w:r>
                </w:p>
              </w:tc>
              <w:tc>
                <w:tcPr>
                  <w:tcW w:w="451" w:type="pct"/>
                  <w:tcBorders>
                    <w:tl2br w:val="nil"/>
                    <w:tr2bl w:val="nil"/>
                  </w:tcBorders>
                  <w:noWrap w:val="0"/>
                  <w:vAlign w:val="center"/>
                </w:tcPr>
                <w:p w14:paraId="1DB3E4C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Times New Roman" w:cs="Times New Roman"/>
                      <w:color w:val="auto"/>
                      <w:sz w:val="21"/>
                      <w:szCs w:val="21"/>
                      <w:lang w:val="en-US" w:eastAsia="zh-CN" w:bidi="ar"/>
                    </w:rPr>
                  </w:pPr>
                  <w:r>
                    <w:rPr>
                      <w:rFonts w:hint="eastAsia" w:ascii="Times New Roman" w:hAnsi="Times New Roman" w:eastAsia="Times New Roman" w:cs="Times New Roman"/>
                      <w:color w:val="auto"/>
                      <w:sz w:val="21"/>
                      <w:szCs w:val="21"/>
                      <w:lang w:val="en-US" w:eastAsia="zh-CN"/>
                    </w:rPr>
                    <w:t>0.271</w:t>
                  </w:r>
                </w:p>
              </w:tc>
            </w:tr>
          </w:tbl>
          <w:p w14:paraId="394F94E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现有筛分工序设置除尘器风量为12000m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/h，过滤风速为0.6m/min，过滤面积333m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，根据自行监测报告可知，筛分工序颗粒物浓度为3.2~4.5mg/m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，能满足扩建后要求。</w:t>
            </w:r>
          </w:p>
          <w:p w14:paraId="0444C3B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（3）炉窑焙烧废气</w:t>
            </w:r>
          </w:p>
          <w:p w14:paraId="6A982D9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项目炉窑焙烧工序会产生</w:t>
            </w:r>
            <w:r>
              <w:rPr>
                <w:rFonts w:hint="default" w:ascii="Times New Roman" w:hAnsi="Times New Roman" w:eastAsia="宋体" w:cs="Times New Roman"/>
                <w:b w:val="0"/>
                <w:bCs w:val="0"/>
                <w:color w:val="auto"/>
                <w:sz w:val="24"/>
                <w:szCs w:val="24"/>
                <w:highlight w:val="none"/>
                <w:lang w:val="en-US" w:eastAsia="zh-CN"/>
              </w:rPr>
              <w:t>燃烧烟气</w:t>
            </w:r>
            <w:r>
              <w:rPr>
                <w:rFonts w:hint="eastAsia" w:ascii="Times New Roman" w:hAnsi="Times New Roman" w:eastAsia="宋体" w:cs="Times New Roman"/>
                <w:b w:val="0"/>
                <w:bCs w:val="0"/>
                <w:color w:val="auto"/>
                <w:sz w:val="24"/>
                <w:szCs w:val="24"/>
                <w:highlight w:val="none"/>
                <w:lang w:val="en-US" w:eastAsia="zh-CN"/>
              </w:rPr>
              <w:t>，污染因子：</w:t>
            </w:r>
            <w:r>
              <w:rPr>
                <w:rFonts w:hint="default" w:ascii="Times New Roman" w:hAnsi="Times New Roman" w:eastAsia="宋体" w:cs="Times New Roman"/>
                <w:b w:val="0"/>
                <w:bCs w:val="0"/>
                <w:color w:val="auto"/>
                <w:sz w:val="24"/>
                <w:szCs w:val="24"/>
                <w:highlight w:val="none"/>
                <w:lang w:val="en-US" w:eastAsia="zh-CN"/>
              </w:rPr>
              <w:t>颗粒物、SO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val="en-US" w:eastAsia="zh-CN"/>
              </w:rPr>
              <w:t>、NOx、氟化物</w:t>
            </w:r>
            <w:r>
              <w:rPr>
                <w:rFonts w:hint="eastAsia" w:ascii="Times New Roman" w:hAnsi="Times New Roman" w:eastAsia="宋体" w:cs="Times New Roman"/>
                <w:b w:val="0"/>
                <w:bCs w:val="0"/>
                <w:color w:val="auto"/>
                <w:sz w:val="24"/>
                <w:szCs w:val="24"/>
                <w:highlight w:val="none"/>
                <w:lang w:val="en-US" w:eastAsia="zh-CN"/>
              </w:rPr>
              <w:t>。</w:t>
            </w:r>
          </w:p>
          <w:p w14:paraId="0103775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①点火阶段污染物产生情况</w:t>
            </w:r>
          </w:p>
          <w:p w14:paraId="659C90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本项目隧道窑每年引火1次，引火时用生物质燃料，每次引火用时生物质燃料约</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t，引火时间在</w:t>
            </w:r>
            <w:r>
              <w:rPr>
                <w:rFonts w:hint="eastAsia" w:ascii="Times New Roman" w:hAnsi="Times New Roman" w:eastAsia="宋体" w:cs="Times New Roman"/>
                <w:b w:val="0"/>
                <w:bCs w:val="0"/>
                <w:color w:val="auto"/>
                <w:sz w:val="24"/>
                <w:szCs w:val="24"/>
                <w:highlight w:val="none"/>
                <w:lang w:val="en-US" w:eastAsia="zh-CN"/>
              </w:rPr>
              <w:t>48</w:t>
            </w:r>
            <w:r>
              <w:rPr>
                <w:rFonts w:hint="default" w:ascii="Times New Roman" w:hAnsi="Times New Roman" w:eastAsia="宋体" w:cs="Times New Roman"/>
                <w:b w:val="0"/>
                <w:bCs w:val="0"/>
                <w:color w:val="auto"/>
                <w:sz w:val="24"/>
                <w:szCs w:val="24"/>
                <w:highlight w:val="none"/>
                <w:lang w:val="en-US" w:eastAsia="zh-CN"/>
              </w:rPr>
              <w:t>小时左右，参照《全国第二次污染源普查工业源产排污系数手册》4430 工业锅炉（热力供应）行业系数手册，本项目点火阶段污染物产生情况如下：</w:t>
            </w:r>
          </w:p>
          <w:p w14:paraId="0CF34F3C">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4-10</w:t>
            </w:r>
            <w:r>
              <w:rPr>
                <w:rFonts w:hint="default" w:ascii="Times New Roman" w:hAnsi="Times New Roman" w:eastAsia="黑体" w:cs="Times New Roman"/>
                <w:b w:val="0"/>
                <w:bCs w:val="0"/>
                <w:color w:val="auto"/>
                <w:kern w:val="2"/>
                <w:sz w:val="24"/>
                <w:szCs w:val="24"/>
                <w:highlight w:val="none"/>
                <w:lang w:val="en-US" w:eastAsia="zh-CN" w:bidi="ar-SA"/>
              </w:rPr>
              <w:t xml:space="preserve">  4430 工业锅炉（热力生产和供应行业）产污系数表-生物质工业锅炉</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4"/>
              <w:gridCol w:w="806"/>
              <w:gridCol w:w="813"/>
              <w:gridCol w:w="816"/>
              <w:gridCol w:w="831"/>
              <w:gridCol w:w="702"/>
              <w:gridCol w:w="1132"/>
              <w:gridCol w:w="1615"/>
              <w:gridCol w:w="853"/>
            </w:tblGrid>
            <w:tr w14:paraId="4C60F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pct"/>
                  <w:tcBorders>
                    <w:tl2br w:val="nil"/>
                    <w:tr2bl w:val="nil"/>
                  </w:tcBorders>
                  <w:noWrap w:val="0"/>
                  <w:vAlign w:val="center"/>
                </w:tcPr>
                <w:p w14:paraId="37D1316C">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工段名称</w:t>
                  </w:r>
                </w:p>
              </w:tc>
              <w:tc>
                <w:tcPr>
                  <w:tcW w:w="481" w:type="pct"/>
                  <w:tcBorders>
                    <w:tl2br w:val="nil"/>
                    <w:tr2bl w:val="nil"/>
                  </w:tcBorders>
                  <w:noWrap w:val="0"/>
                  <w:vAlign w:val="center"/>
                </w:tcPr>
                <w:p w14:paraId="7AF2A68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产品名称</w:t>
                  </w:r>
                </w:p>
              </w:tc>
              <w:tc>
                <w:tcPr>
                  <w:tcW w:w="485" w:type="pct"/>
                  <w:tcBorders>
                    <w:tl2br w:val="nil"/>
                    <w:tr2bl w:val="nil"/>
                  </w:tcBorders>
                  <w:noWrap w:val="0"/>
                  <w:vAlign w:val="center"/>
                </w:tcPr>
                <w:p w14:paraId="6B3B021F">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原料名称</w:t>
                  </w:r>
                </w:p>
              </w:tc>
              <w:tc>
                <w:tcPr>
                  <w:tcW w:w="487" w:type="pct"/>
                  <w:tcBorders>
                    <w:tl2br w:val="nil"/>
                    <w:tr2bl w:val="nil"/>
                  </w:tcBorders>
                  <w:noWrap w:val="0"/>
                  <w:vAlign w:val="center"/>
                </w:tcPr>
                <w:p w14:paraId="2AF8CC15">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工艺名称</w:t>
                  </w:r>
                </w:p>
              </w:tc>
              <w:tc>
                <w:tcPr>
                  <w:tcW w:w="496" w:type="pct"/>
                  <w:tcBorders>
                    <w:tl2br w:val="nil"/>
                    <w:tr2bl w:val="nil"/>
                  </w:tcBorders>
                  <w:noWrap w:val="0"/>
                  <w:vAlign w:val="center"/>
                </w:tcPr>
                <w:p w14:paraId="4BD978F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规模等级</w:t>
                  </w:r>
                </w:p>
              </w:tc>
              <w:tc>
                <w:tcPr>
                  <w:tcW w:w="1095" w:type="pct"/>
                  <w:gridSpan w:val="2"/>
                  <w:tcBorders>
                    <w:tl2br w:val="nil"/>
                    <w:tr2bl w:val="nil"/>
                  </w:tcBorders>
                  <w:noWrap w:val="0"/>
                  <w:vAlign w:val="center"/>
                </w:tcPr>
                <w:p w14:paraId="583DCFA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污染物指标</w:t>
                  </w:r>
                </w:p>
              </w:tc>
              <w:tc>
                <w:tcPr>
                  <w:tcW w:w="964" w:type="pct"/>
                  <w:tcBorders>
                    <w:tl2br w:val="nil"/>
                    <w:tr2bl w:val="nil"/>
                  </w:tcBorders>
                  <w:noWrap w:val="0"/>
                  <w:vAlign w:val="center"/>
                </w:tcPr>
                <w:p w14:paraId="7589B309">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en-US" w:eastAsia="zh-CN" w:bidi="zh-CN"/>
                    </w:rPr>
                    <w:t>系数</w:t>
                  </w:r>
                  <w:r>
                    <w:rPr>
                      <w:rFonts w:hint="default" w:ascii="Times New Roman" w:hAnsi="Times New Roman" w:eastAsia="宋体" w:cs="Times New Roman"/>
                      <w:b/>
                      <w:color w:val="auto"/>
                      <w:kern w:val="0"/>
                      <w:sz w:val="21"/>
                      <w:szCs w:val="21"/>
                      <w:lang w:val="zh-CN" w:eastAsia="zh-CN" w:bidi="zh-CN"/>
                    </w:rPr>
                    <w:t>单位</w:t>
                  </w:r>
                </w:p>
              </w:tc>
              <w:tc>
                <w:tcPr>
                  <w:tcW w:w="509" w:type="pct"/>
                  <w:tcBorders>
                    <w:tl2br w:val="nil"/>
                    <w:tr2bl w:val="nil"/>
                  </w:tcBorders>
                  <w:noWrap w:val="0"/>
                  <w:vAlign w:val="center"/>
                </w:tcPr>
                <w:p w14:paraId="177FA9D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b/>
                      <w:color w:val="auto"/>
                      <w:kern w:val="0"/>
                      <w:sz w:val="21"/>
                      <w:szCs w:val="21"/>
                      <w:lang w:val="zh-CN" w:eastAsia="zh-CN" w:bidi="zh-CN"/>
                    </w:rPr>
                  </w:pPr>
                  <w:r>
                    <w:rPr>
                      <w:rFonts w:hint="default" w:ascii="Times New Roman" w:hAnsi="Times New Roman" w:eastAsia="宋体" w:cs="Times New Roman"/>
                      <w:b/>
                      <w:color w:val="auto"/>
                      <w:kern w:val="0"/>
                      <w:sz w:val="21"/>
                      <w:szCs w:val="21"/>
                      <w:lang w:val="zh-CN" w:eastAsia="zh-CN" w:bidi="zh-CN"/>
                    </w:rPr>
                    <w:t>产污系数</w:t>
                  </w:r>
                </w:p>
              </w:tc>
            </w:tr>
            <w:tr w14:paraId="6BF2C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pct"/>
                  <w:vMerge w:val="restart"/>
                  <w:tcBorders>
                    <w:tl2br w:val="nil"/>
                    <w:tr2bl w:val="nil"/>
                  </w:tcBorders>
                  <w:noWrap w:val="0"/>
                  <w:vAlign w:val="center"/>
                </w:tcPr>
                <w:p w14:paraId="59F21CF8">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r>
                    <w:rPr>
                      <w:rFonts w:hint="default" w:ascii="Times New Roman" w:hAnsi="Times New Roman" w:eastAsia="Times New Roman" w:cs="Times New Roman"/>
                      <w:color w:val="auto"/>
                      <w:kern w:val="0"/>
                      <w:sz w:val="21"/>
                      <w:szCs w:val="21"/>
                      <w:lang w:val="en-US" w:eastAsia="zh-CN" w:bidi="zh-CN"/>
                    </w:rPr>
                    <w:t>/</w:t>
                  </w:r>
                </w:p>
              </w:tc>
              <w:tc>
                <w:tcPr>
                  <w:tcW w:w="481" w:type="pct"/>
                  <w:vMerge w:val="restart"/>
                  <w:tcBorders>
                    <w:tl2br w:val="nil"/>
                    <w:tr2bl w:val="nil"/>
                  </w:tcBorders>
                  <w:noWrap w:val="0"/>
                  <w:vAlign w:val="center"/>
                </w:tcPr>
                <w:p w14:paraId="61D6C729">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蒸汽/热水/其他</w:t>
                  </w:r>
                </w:p>
              </w:tc>
              <w:tc>
                <w:tcPr>
                  <w:tcW w:w="485" w:type="pct"/>
                  <w:vMerge w:val="restart"/>
                  <w:tcBorders>
                    <w:tl2br w:val="nil"/>
                    <w:tr2bl w:val="nil"/>
                  </w:tcBorders>
                  <w:noWrap w:val="0"/>
                  <w:vAlign w:val="center"/>
                </w:tcPr>
                <w:p w14:paraId="7FEB72E4">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snapToGrid w:val="0"/>
                      <w:color w:val="auto"/>
                      <w:kern w:val="0"/>
                      <w:sz w:val="21"/>
                      <w:szCs w:val="21"/>
                      <w:lang w:val="en-US" w:eastAsia="zh-CN" w:bidi="ar"/>
                    </w:rPr>
                    <w:t>生物质燃料</w:t>
                  </w:r>
                </w:p>
              </w:tc>
              <w:tc>
                <w:tcPr>
                  <w:tcW w:w="487" w:type="pct"/>
                  <w:vMerge w:val="restart"/>
                  <w:tcBorders>
                    <w:tl2br w:val="nil"/>
                    <w:tr2bl w:val="nil"/>
                  </w:tcBorders>
                  <w:noWrap w:val="0"/>
                  <w:vAlign w:val="center"/>
                </w:tcPr>
                <w:p w14:paraId="741EEADF">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zh-CN" w:eastAsia="zh-CN" w:bidi="zh-CN"/>
                    </w:rPr>
                    <w:t>层</w:t>
                  </w:r>
                  <w:r>
                    <w:rPr>
                      <w:rFonts w:hint="default" w:ascii="Times New Roman" w:hAnsi="Times New Roman" w:eastAsia="宋体" w:cs="Times New Roman"/>
                      <w:color w:val="auto"/>
                      <w:sz w:val="21"/>
                      <w:szCs w:val="21"/>
                      <w:lang w:val="en-US" w:eastAsia="zh-CN" w:bidi="zh-CN"/>
                    </w:rPr>
                    <w:t>燃炉</w:t>
                  </w:r>
                  <w:r>
                    <w:rPr>
                      <w:rFonts w:hint="eastAsia" w:ascii="Times New Roman" w:hAnsi="Times New Roman" w:eastAsia="宋体" w:cs="Times New Roman"/>
                      <w:color w:val="auto"/>
                      <w:sz w:val="21"/>
                      <w:szCs w:val="21"/>
                      <w:lang w:val="en-US" w:eastAsia="zh-CN" w:bidi="zh-CN"/>
                    </w:rPr>
                    <w:t>—</w:t>
                  </w:r>
                  <w:r>
                    <w:rPr>
                      <w:rFonts w:hint="default" w:ascii="Times New Roman" w:hAnsi="Times New Roman" w:eastAsia="宋体" w:cs="Times New Roman"/>
                      <w:snapToGrid w:val="0"/>
                      <w:color w:val="auto"/>
                      <w:kern w:val="0"/>
                      <w:sz w:val="21"/>
                      <w:szCs w:val="21"/>
                      <w:lang w:val="en-US" w:eastAsia="zh-CN" w:bidi="ar"/>
                    </w:rPr>
                    <w:t>物质散烧</w:t>
                  </w:r>
                </w:p>
              </w:tc>
              <w:tc>
                <w:tcPr>
                  <w:tcW w:w="496" w:type="pct"/>
                  <w:vMerge w:val="restart"/>
                  <w:tcBorders>
                    <w:tl2br w:val="nil"/>
                    <w:tr2bl w:val="nil"/>
                  </w:tcBorders>
                  <w:noWrap w:val="0"/>
                  <w:vAlign w:val="center"/>
                </w:tcPr>
                <w:p w14:paraId="66AC5F0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eastAsia="zh-CN" w:bidi="zh-CN"/>
                    </w:rPr>
                    <w:t>所有规模</w:t>
                  </w:r>
                </w:p>
              </w:tc>
              <w:tc>
                <w:tcPr>
                  <w:tcW w:w="419" w:type="pct"/>
                  <w:vMerge w:val="restart"/>
                  <w:tcBorders>
                    <w:tl2br w:val="nil"/>
                    <w:tr2bl w:val="nil"/>
                  </w:tcBorders>
                  <w:noWrap w:val="0"/>
                  <w:vAlign w:val="center"/>
                </w:tcPr>
                <w:p w14:paraId="40A286D5">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废气</w:t>
                  </w:r>
                </w:p>
              </w:tc>
              <w:tc>
                <w:tcPr>
                  <w:tcW w:w="676" w:type="pct"/>
                  <w:tcBorders>
                    <w:tl2br w:val="nil"/>
                    <w:tr2bl w:val="nil"/>
                  </w:tcBorders>
                  <w:noWrap w:val="0"/>
                  <w:vAlign w:val="center"/>
                </w:tcPr>
                <w:p w14:paraId="5D691DE8">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工业废气量</w:t>
                  </w:r>
                </w:p>
              </w:tc>
              <w:tc>
                <w:tcPr>
                  <w:tcW w:w="964" w:type="pct"/>
                  <w:tcBorders>
                    <w:tl2br w:val="nil"/>
                    <w:tr2bl w:val="nil"/>
                  </w:tcBorders>
                  <w:noWrap w:val="0"/>
                  <w:vAlign w:val="center"/>
                </w:tcPr>
                <w:p w14:paraId="47318E56">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snapToGrid w:val="0"/>
                      <w:color w:val="auto"/>
                      <w:kern w:val="0"/>
                      <w:sz w:val="21"/>
                      <w:szCs w:val="21"/>
                      <w:lang w:bidi="ar"/>
                    </w:rPr>
                    <w:t>标立方米/</w:t>
                  </w:r>
                  <w:r>
                    <w:rPr>
                      <w:rFonts w:hint="default" w:ascii="Times New Roman" w:hAnsi="Times New Roman" w:eastAsia="宋体" w:cs="Times New Roman"/>
                      <w:snapToGrid w:val="0"/>
                      <w:color w:val="auto"/>
                      <w:kern w:val="0"/>
                      <w:sz w:val="21"/>
                      <w:szCs w:val="21"/>
                      <w:lang w:val="en-US" w:eastAsia="zh-CN" w:bidi="ar"/>
                    </w:rPr>
                    <w:t>吨-原料</w:t>
                  </w:r>
                </w:p>
              </w:tc>
              <w:tc>
                <w:tcPr>
                  <w:tcW w:w="509" w:type="pct"/>
                  <w:tcBorders>
                    <w:tl2br w:val="nil"/>
                    <w:tr2bl w:val="nil"/>
                  </w:tcBorders>
                  <w:noWrap w:val="0"/>
                  <w:vAlign w:val="center"/>
                </w:tcPr>
                <w:p w14:paraId="65BE9ACA">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snapToGrid w:val="0"/>
                      <w:color w:val="auto"/>
                      <w:kern w:val="0"/>
                      <w:sz w:val="21"/>
                      <w:szCs w:val="21"/>
                      <w:lang w:val="en-US" w:eastAsia="zh-CN" w:bidi="ar"/>
                    </w:rPr>
                    <w:t>6240</w:t>
                  </w:r>
                </w:p>
              </w:tc>
            </w:tr>
            <w:tr w14:paraId="0F4D7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pct"/>
                  <w:vMerge w:val="continue"/>
                  <w:tcBorders>
                    <w:tl2br w:val="nil"/>
                    <w:tr2bl w:val="nil"/>
                  </w:tcBorders>
                  <w:noWrap w:val="0"/>
                  <w:vAlign w:val="center"/>
                </w:tcPr>
                <w:p w14:paraId="036C3FE6">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p>
              </w:tc>
              <w:tc>
                <w:tcPr>
                  <w:tcW w:w="481" w:type="pct"/>
                  <w:vMerge w:val="continue"/>
                  <w:tcBorders>
                    <w:tl2br w:val="nil"/>
                    <w:tr2bl w:val="nil"/>
                  </w:tcBorders>
                  <w:noWrap w:val="0"/>
                  <w:vAlign w:val="center"/>
                </w:tcPr>
                <w:p w14:paraId="3A150DFF">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485" w:type="pct"/>
                  <w:vMerge w:val="continue"/>
                  <w:tcBorders>
                    <w:tl2br w:val="nil"/>
                    <w:tr2bl w:val="nil"/>
                  </w:tcBorders>
                  <w:noWrap w:val="0"/>
                  <w:vAlign w:val="center"/>
                </w:tcPr>
                <w:p w14:paraId="2E41DB4B">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snapToGrid w:val="0"/>
                      <w:color w:val="auto"/>
                      <w:kern w:val="0"/>
                      <w:sz w:val="21"/>
                      <w:szCs w:val="21"/>
                      <w:lang w:val="en-US" w:eastAsia="zh-CN" w:bidi="ar"/>
                    </w:rPr>
                  </w:pPr>
                </w:p>
              </w:tc>
              <w:tc>
                <w:tcPr>
                  <w:tcW w:w="487" w:type="pct"/>
                  <w:vMerge w:val="continue"/>
                  <w:tcBorders>
                    <w:tl2br w:val="nil"/>
                    <w:tr2bl w:val="nil"/>
                  </w:tcBorders>
                  <w:noWrap w:val="0"/>
                  <w:vAlign w:val="center"/>
                </w:tcPr>
                <w:p w14:paraId="730A656E">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eastAsia="zh-CN" w:bidi="zh-CN"/>
                    </w:rPr>
                  </w:pPr>
                </w:p>
              </w:tc>
              <w:tc>
                <w:tcPr>
                  <w:tcW w:w="496" w:type="pct"/>
                  <w:vMerge w:val="continue"/>
                  <w:tcBorders>
                    <w:tl2br w:val="nil"/>
                    <w:tr2bl w:val="nil"/>
                  </w:tcBorders>
                  <w:noWrap w:val="0"/>
                  <w:vAlign w:val="center"/>
                </w:tcPr>
                <w:p w14:paraId="30E62A4C">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p>
              </w:tc>
              <w:tc>
                <w:tcPr>
                  <w:tcW w:w="419" w:type="pct"/>
                  <w:vMerge w:val="continue"/>
                  <w:tcBorders>
                    <w:tl2br w:val="nil"/>
                    <w:tr2bl w:val="nil"/>
                  </w:tcBorders>
                  <w:noWrap w:val="0"/>
                  <w:vAlign w:val="center"/>
                </w:tcPr>
                <w:p w14:paraId="016DE4A3">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676" w:type="pct"/>
                  <w:tcBorders>
                    <w:tl2br w:val="nil"/>
                    <w:tr2bl w:val="nil"/>
                  </w:tcBorders>
                  <w:noWrap w:val="0"/>
                  <w:vAlign w:val="center"/>
                </w:tcPr>
                <w:p w14:paraId="7CDF8D44">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en-US" w:bidi="zh-CN"/>
                    </w:rPr>
                    <w:t>二氧化硫</w:t>
                  </w:r>
                </w:p>
              </w:tc>
              <w:tc>
                <w:tcPr>
                  <w:tcW w:w="964" w:type="pct"/>
                  <w:tcBorders>
                    <w:tl2br w:val="nil"/>
                    <w:tr2bl w:val="nil"/>
                  </w:tcBorders>
                  <w:noWrap w:val="0"/>
                  <w:vAlign w:val="center"/>
                </w:tcPr>
                <w:p w14:paraId="240E0D1A">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snapToGrid w:val="0"/>
                      <w:color w:val="auto"/>
                      <w:kern w:val="0"/>
                      <w:sz w:val="21"/>
                      <w:szCs w:val="21"/>
                      <w:lang w:bidi="ar"/>
                    </w:rPr>
                  </w:pPr>
                  <w:r>
                    <w:rPr>
                      <w:rFonts w:hint="default" w:ascii="Times New Roman" w:hAnsi="Times New Roman" w:eastAsia="宋体" w:cs="Times New Roman"/>
                      <w:color w:val="auto"/>
                      <w:sz w:val="21"/>
                      <w:szCs w:val="21"/>
                      <w:lang w:val="zh-CN" w:bidi="zh-CN"/>
                    </w:rPr>
                    <w:t>千克/</w:t>
                  </w:r>
                  <w:r>
                    <w:rPr>
                      <w:rFonts w:hint="default" w:ascii="Times New Roman" w:hAnsi="Times New Roman" w:eastAsia="宋体" w:cs="Times New Roman"/>
                      <w:color w:val="auto"/>
                      <w:sz w:val="21"/>
                      <w:szCs w:val="21"/>
                      <w:lang w:val="en-US" w:eastAsia="zh-CN" w:bidi="zh-CN"/>
                    </w:rPr>
                    <w:t>吨-原料</w:t>
                  </w:r>
                </w:p>
              </w:tc>
              <w:tc>
                <w:tcPr>
                  <w:tcW w:w="509" w:type="pct"/>
                  <w:tcBorders>
                    <w:tl2br w:val="nil"/>
                    <w:tr2bl w:val="nil"/>
                  </w:tcBorders>
                  <w:noWrap w:val="0"/>
                  <w:vAlign w:val="center"/>
                </w:tcPr>
                <w:p w14:paraId="2CFE9150">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sz w:val="21"/>
                      <w:szCs w:val="21"/>
                      <w:lang w:val="en-US" w:eastAsia="zh-CN" w:bidi="zh-CN"/>
                    </w:rPr>
                    <w:t>17S</w:t>
                  </w:r>
                </w:p>
              </w:tc>
            </w:tr>
            <w:tr w14:paraId="4FF09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pct"/>
                  <w:vMerge w:val="continue"/>
                  <w:tcBorders>
                    <w:tl2br w:val="nil"/>
                    <w:tr2bl w:val="nil"/>
                  </w:tcBorders>
                  <w:noWrap w:val="0"/>
                  <w:vAlign w:val="center"/>
                </w:tcPr>
                <w:p w14:paraId="02CD5C4B">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p>
              </w:tc>
              <w:tc>
                <w:tcPr>
                  <w:tcW w:w="481" w:type="pct"/>
                  <w:vMerge w:val="continue"/>
                  <w:tcBorders>
                    <w:tl2br w:val="nil"/>
                    <w:tr2bl w:val="nil"/>
                  </w:tcBorders>
                  <w:noWrap w:val="0"/>
                  <w:vAlign w:val="center"/>
                </w:tcPr>
                <w:p w14:paraId="01081E1A">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485" w:type="pct"/>
                  <w:vMerge w:val="continue"/>
                  <w:tcBorders>
                    <w:tl2br w:val="nil"/>
                    <w:tr2bl w:val="nil"/>
                  </w:tcBorders>
                  <w:noWrap w:val="0"/>
                  <w:vAlign w:val="center"/>
                </w:tcPr>
                <w:p w14:paraId="54A012D4">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snapToGrid w:val="0"/>
                      <w:color w:val="auto"/>
                      <w:kern w:val="0"/>
                      <w:sz w:val="21"/>
                      <w:szCs w:val="21"/>
                      <w:lang w:val="en-US" w:eastAsia="zh-CN" w:bidi="ar"/>
                    </w:rPr>
                  </w:pPr>
                </w:p>
              </w:tc>
              <w:tc>
                <w:tcPr>
                  <w:tcW w:w="487" w:type="pct"/>
                  <w:vMerge w:val="continue"/>
                  <w:tcBorders>
                    <w:tl2br w:val="nil"/>
                    <w:tr2bl w:val="nil"/>
                  </w:tcBorders>
                  <w:noWrap w:val="0"/>
                  <w:vAlign w:val="center"/>
                </w:tcPr>
                <w:p w14:paraId="0482394A">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eastAsia="zh-CN" w:bidi="zh-CN"/>
                    </w:rPr>
                  </w:pPr>
                </w:p>
              </w:tc>
              <w:tc>
                <w:tcPr>
                  <w:tcW w:w="496" w:type="pct"/>
                  <w:vMerge w:val="continue"/>
                  <w:tcBorders>
                    <w:tl2br w:val="nil"/>
                    <w:tr2bl w:val="nil"/>
                  </w:tcBorders>
                  <w:noWrap w:val="0"/>
                  <w:vAlign w:val="center"/>
                </w:tcPr>
                <w:p w14:paraId="08FB8195">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p>
              </w:tc>
              <w:tc>
                <w:tcPr>
                  <w:tcW w:w="419" w:type="pct"/>
                  <w:vMerge w:val="continue"/>
                  <w:tcBorders>
                    <w:tl2br w:val="nil"/>
                    <w:tr2bl w:val="nil"/>
                  </w:tcBorders>
                  <w:noWrap w:val="0"/>
                  <w:vAlign w:val="center"/>
                </w:tcPr>
                <w:p w14:paraId="4B70AEC2">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676" w:type="pct"/>
                  <w:tcBorders>
                    <w:tl2br w:val="nil"/>
                    <w:tr2bl w:val="nil"/>
                  </w:tcBorders>
                  <w:noWrap w:val="0"/>
                  <w:vAlign w:val="center"/>
                </w:tcPr>
                <w:p w14:paraId="2E21B10E">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颗粒物</w:t>
                  </w:r>
                </w:p>
              </w:tc>
              <w:tc>
                <w:tcPr>
                  <w:tcW w:w="964" w:type="pct"/>
                  <w:tcBorders>
                    <w:tl2br w:val="nil"/>
                    <w:tr2bl w:val="nil"/>
                  </w:tcBorders>
                  <w:noWrap w:val="0"/>
                  <w:vAlign w:val="center"/>
                </w:tcPr>
                <w:p w14:paraId="765A8952">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snapToGrid w:val="0"/>
                      <w:color w:val="auto"/>
                      <w:kern w:val="0"/>
                      <w:sz w:val="21"/>
                      <w:szCs w:val="21"/>
                      <w:lang w:bidi="ar"/>
                    </w:rPr>
                    <w:t>千克/</w:t>
                  </w:r>
                  <w:r>
                    <w:rPr>
                      <w:rFonts w:hint="default" w:ascii="Times New Roman" w:hAnsi="Times New Roman" w:eastAsia="宋体" w:cs="Times New Roman"/>
                      <w:snapToGrid w:val="0"/>
                      <w:color w:val="auto"/>
                      <w:kern w:val="0"/>
                      <w:sz w:val="21"/>
                      <w:szCs w:val="21"/>
                      <w:lang w:val="en-US" w:eastAsia="zh-CN" w:bidi="ar"/>
                    </w:rPr>
                    <w:t>吨-原料</w:t>
                  </w:r>
                </w:p>
              </w:tc>
              <w:tc>
                <w:tcPr>
                  <w:tcW w:w="509" w:type="pct"/>
                  <w:tcBorders>
                    <w:tl2br w:val="nil"/>
                    <w:tr2bl w:val="nil"/>
                  </w:tcBorders>
                  <w:noWrap w:val="0"/>
                  <w:vAlign w:val="center"/>
                </w:tcPr>
                <w:p w14:paraId="6B71F2FD">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snapToGrid w:val="0"/>
                      <w:color w:val="auto"/>
                      <w:kern w:val="0"/>
                      <w:sz w:val="21"/>
                      <w:szCs w:val="21"/>
                      <w:lang w:val="en-US" w:eastAsia="zh-CN" w:bidi="ar"/>
                    </w:rPr>
                    <w:t>37.6</w:t>
                  </w:r>
                </w:p>
              </w:tc>
            </w:tr>
            <w:tr w14:paraId="1F052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pct"/>
                  <w:vMerge w:val="continue"/>
                  <w:tcBorders>
                    <w:tl2br w:val="nil"/>
                    <w:tr2bl w:val="nil"/>
                  </w:tcBorders>
                  <w:noWrap w:val="0"/>
                  <w:vAlign w:val="center"/>
                </w:tcPr>
                <w:p w14:paraId="0CBEB96D">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Times New Roman" w:cs="Times New Roman"/>
                      <w:color w:val="auto"/>
                      <w:kern w:val="0"/>
                      <w:sz w:val="21"/>
                      <w:szCs w:val="21"/>
                      <w:lang w:val="en-US" w:eastAsia="zh-CN" w:bidi="zh-CN"/>
                    </w:rPr>
                  </w:pPr>
                </w:p>
              </w:tc>
              <w:tc>
                <w:tcPr>
                  <w:tcW w:w="481" w:type="pct"/>
                  <w:vMerge w:val="continue"/>
                  <w:tcBorders>
                    <w:tl2br w:val="nil"/>
                    <w:tr2bl w:val="nil"/>
                  </w:tcBorders>
                  <w:noWrap w:val="0"/>
                  <w:vAlign w:val="center"/>
                </w:tcPr>
                <w:p w14:paraId="2F846EB1">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485" w:type="pct"/>
                  <w:vMerge w:val="continue"/>
                  <w:tcBorders>
                    <w:tl2br w:val="nil"/>
                    <w:tr2bl w:val="nil"/>
                  </w:tcBorders>
                  <w:noWrap w:val="0"/>
                  <w:vAlign w:val="center"/>
                </w:tcPr>
                <w:p w14:paraId="43583D0D">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snapToGrid w:val="0"/>
                      <w:color w:val="auto"/>
                      <w:kern w:val="0"/>
                      <w:sz w:val="21"/>
                      <w:szCs w:val="21"/>
                      <w:lang w:val="en-US" w:eastAsia="zh-CN" w:bidi="ar"/>
                    </w:rPr>
                  </w:pPr>
                </w:p>
              </w:tc>
              <w:tc>
                <w:tcPr>
                  <w:tcW w:w="487" w:type="pct"/>
                  <w:vMerge w:val="continue"/>
                  <w:tcBorders>
                    <w:tl2br w:val="nil"/>
                    <w:tr2bl w:val="nil"/>
                  </w:tcBorders>
                  <w:noWrap w:val="0"/>
                  <w:vAlign w:val="center"/>
                </w:tcPr>
                <w:p w14:paraId="042DE555">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eastAsia="zh-CN" w:bidi="zh-CN"/>
                    </w:rPr>
                  </w:pPr>
                </w:p>
              </w:tc>
              <w:tc>
                <w:tcPr>
                  <w:tcW w:w="496" w:type="pct"/>
                  <w:vMerge w:val="continue"/>
                  <w:tcBorders>
                    <w:tl2br w:val="nil"/>
                    <w:tr2bl w:val="nil"/>
                  </w:tcBorders>
                  <w:noWrap w:val="0"/>
                  <w:vAlign w:val="center"/>
                </w:tcPr>
                <w:p w14:paraId="26327C66">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p>
              </w:tc>
              <w:tc>
                <w:tcPr>
                  <w:tcW w:w="419" w:type="pct"/>
                  <w:vMerge w:val="continue"/>
                  <w:tcBorders>
                    <w:tl2br w:val="nil"/>
                    <w:tr2bl w:val="nil"/>
                  </w:tcBorders>
                  <w:noWrap w:val="0"/>
                  <w:vAlign w:val="center"/>
                </w:tcPr>
                <w:p w14:paraId="0074DA7C">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c>
                <w:tcPr>
                  <w:tcW w:w="676" w:type="pct"/>
                  <w:tcBorders>
                    <w:tl2br w:val="nil"/>
                    <w:tr2bl w:val="nil"/>
                  </w:tcBorders>
                  <w:noWrap w:val="0"/>
                  <w:vAlign w:val="center"/>
                </w:tcPr>
                <w:p w14:paraId="2706EAA2">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zh-CN" w:bidi="zh-CN"/>
                    </w:rPr>
                    <w:t>氮氧化物</w:t>
                  </w:r>
                </w:p>
              </w:tc>
              <w:tc>
                <w:tcPr>
                  <w:tcW w:w="964" w:type="pct"/>
                  <w:tcBorders>
                    <w:tl2br w:val="nil"/>
                    <w:tr2bl w:val="nil"/>
                  </w:tcBorders>
                  <w:noWrap w:val="0"/>
                  <w:vAlign w:val="center"/>
                </w:tcPr>
                <w:p w14:paraId="4C9045E9">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snapToGrid w:val="0"/>
                      <w:color w:val="auto"/>
                      <w:kern w:val="0"/>
                      <w:sz w:val="21"/>
                      <w:szCs w:val="21"/>
                      <w:lang w:bidi="ar"/>
                    </w:rPr>
                    <w:t>千克/</w:t>
                  </w:r>
                  <w:r>
                    <w:rPr>
                      <w:rFonts w:hint="default" w:ascii="Times New Roman" w:hAnsi="Times New Roman" w:eastAsia="宋体" w:cs="Times New Roman"/>
                      <w:snapToGrid w:val="0"/>
                      <w:color w:val="auto"/>
                      <w:kern w:val="0"/>
                      <w:sz w:val="21"/>
                      <w:szCs w:val="21"/>
                      <w:lang w:val="en-US" w:eastAsia="zh-CN" w:bidi="ar"/>
                    </w:rPr>
                    <w:t>吨-原料</w:t>
                  </w:r>
                </w:p>
              </w:tc>
              <w:tc>
                <w:tcPr>
                  <w:tcW w:w="509" w:type="pct"/>
                  <w:tcBorders>
                    <w:tl2br w:val="nil"/>
                    <w:tr2bl w:val="nil"/>
                  </w:tcBorders>
                  <w:noWrap w:val="0"/>
                  <w:vAlign w:val="center"/>
                </w:tcPr>
                <w:p w14:paraId="72A3FC74">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baseline"/>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snapToGrid w:val="0"/>
                      <w:color w:val="auto"/>
                      <w:kern w:val="0"/>
                      <w:sz w:val="21"/>
                      <w:szCs w:val="21"/>
                      <w:lang w:val="en-US" w:eastAsia="zh-CN" w:bidi="ar"/>
                    </w:rPr>
                    <w:t>1.02</w:t>
                  </w:r>
                </w:p>
              </w:tc>
            </w:tr>
          </w:tbl>
          <w:p w14:paraId="108E3AF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根据上表计算：本项目点火期间生物质燃料用量为4t，则工业废气量为6240×4＝24960m</w:t>
            </w:r>
            <w:r>
              <w:rPr>
                <w:rFonts w:hint="eastAsia" w:ascii="Times New Roman" w:hAnsi="宋体" w:eastAsia="宋体" w:cs="宋体"/>
                <w:bCs/>
                <w:color w:val="auto"/>
                <w:kern w:val="2"/>
                <w:sz w:val="24"/>
                <w:szCs w:val="24"/>
                <w:highlight w:val="none"/>
                <w:vertAlign w:val="superscript"/>
                <w:lang w:val="en-US" w:eastAsia="zh-CN" w:bidi="ar-SA"/>
              </w:rPr>
              <w:t>3</w:t>
            </w:r>
            <w:r>
              <w:rPr>
                <w:rFonts w:hint="eastAsia" w:ascii="Times New Roman" w:hAnsi="宋体" w:eastAsia="宋体" w:cs="宋体"/>
                <w:bCs/>
                <w:color w:val="auto"/>
                <w:kern w:val="2"/>
                <w:sz w:val="24"/>
                <w:szCs w:val="24"/>
                <w:highlight w:val="none"/>
                <w:lang w:val="en-US" w:eastAsia="zh-CN" w:bidi="ar-SA"/>
              </w:rPr>
              <w:t>。</w:t>
            </w:r>
          </w:p>
          <w:p w14:paraId="4578C5E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二氧化硫：产污系数为17S，生物质燃料中含硫量约为0.1%，则S=0.1；则本项目的二氧化硫产生量为17×0.1×4＝6.8kg。</w:t>
            </w:r>
          </w:p>
          <w:p w14:paraId="1BD6D61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颗粒物：产污系数为37.6，则本项目的颗粒物产生量为37.6×4＝150.4kg。</w:t>
            </w:r>
          </w:p>
          <w:p w14:paraId="39B0E1E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宋体" w:eastAsia="宋体" w:cs="宋体"/>
                <w:bCs/>
                <w:color w:val="auto"/>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氮氧化物：产污系数为1.02，则本项目的氮氧化物产生量为1.02×4＝4.08kg。</w:t>
            </w:r>
          </w:p>
          <w:p w14:paraId="68DE6BD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宋体" w:eastAsia="宋体" w:cs="宋体"/>
                <w:bCs/>
                <w:color w:val="auto"/>
                <w:kern w:val="2"/>
                <w:sz w:val="24"/>
                <w:szCs w:val="24"/>
                <w:highlight w:val="none"/>
                <w:lang w:val="en-US" w:eastAsia="zh-CN" w:bidi="ar-SA"/>
              </w:rPr>
            </w:pPr>
            <w:r>
              <w:rPr>
                <w:rFonts w:hint="default" w:ascii="Times New Roman" w:hAnsi="宋体" w:eastAsia="宋体" w:cs="宋体"/>
                <w:bCs/>
                <w:color w:val="auto"/>
                <w:kern w:val="2"/>
                <w:sz w:val="24"/>
                <w:szCs w:val="24"/>
                <w:highlight w:val="none"/>
                <w:lang w:val="en-US" w:eastAsia="zh-CN" w:bidi="ar-SA"/>
              </w:rPr>
              <w:t>点火期间废气处置装置正常运行，脱硫装置对二氧化硫处理效率为90%，对颗粒物处理效率为</w:t>
            </w:r>
            <w:r>
              <w:rPr>
                <w:rFonts w:hint="eastAsia" w:ascii="Times New Roman" w:hAnsi="宋体" w:eastAsia="宋体" w:cs="宋体"/>
                <w:bCs/>
                <w:color w:val="auto"/>
                <w:kern w:val="2"/>
                <w:sz w:val="24"/>
                <w:szCs w:val="24"/>
                <w:highlight w:val="none"/>
                <w:lang w:val="en-US" w:eastAsia="zh-CN" w:bidi="ar-SA"/>
              </w:rPr>
              <w:t>99</w:t>
            </w:r>
            <w:r>
              <w:rPr>
                <w:rFonts w:hint="default" w:ascii="Times New Roman" w:hAnsi="宋体" w:eastAsia="宋体" w:cs="宋体"/>
                <w:bCs/>
                <w:color w:val="auto"/>
                <w:kern w:val="2"/>
                <w:sz w:val="24"/>
                <w:szCs w:val="24"/>
                <w:highlight w:val="none"/>
                <w:lang w:val="en-US" w:eastAsia="zh-CN" w:bidi="ar-SA"/>
              </w:rPr>
              <w:t>%，对氮氧化物处理效率为</w:t>
            </w:r>
            <w:r>
              <w:rPr>
                <w:rFonts w:hint="eastAsia" w:ascii="Times New Roman" w:hAnsi="宋体" w:eastAsia="宋体" w:cs="宋体"/>
                <w:bCs/>
                <w:color w:val="auto"/>
                <w:kern w:val="2"/>
                <w:sz w:val="24"/>
                <w:szCs w:val="24"/>
                <w:highlight w:val="none"/>
                <w:lang w:val="en-US" w:eastAsia="zh-CN" w:bidi="ar-SA"/>
              </w:rPr>
              <w:t>50%</w:t>
            </w:r>
            <w:r>
              <w:rPr>
                <w:rFonts w:hint="default" w:ascii="Times New Roman" w:hAnsi="宋体" w:eastAsia="宋体" w:cs="宋体"/>
                <w:bCs/>
                <w:color w:val="auto"/>
                <w:kern w:val="2"/>
                <w:sz w:val="24"/>
                <w:szCs w:val="24"/>
                <w:highlight w:val="none"/>
                <w:lang w:val="en-US" w:eastAsia="zh-CN" w:bidi="ar-SA"/>
              </w:rPr>
              <w:t>；</w:t>
            </w:r>
            <w:r>
              <w:rPr>
                <w:rFonts w:hint="eastAsia" w:ascii="Times New Roman" w:hAnsi="宋体" w:eastAsia="宋体" w:cs="宋体"/>
                <w:bCs/>
                <w:color w:val="auto"/>
                <w:kern w:val="2"/>
                <w:sz w:val="24"/>
                <w:szCs w:val="24"/>
                <w:highlight w:val="none"/>
                <w:lang w:val="en-US" w:eastAsia="zh-CN" w:bidi="ar-SA"/>
              </w:rPr>
              <w:t>则二氧化硫排放量6.8kg×（1-90%）=0.68kg（0.00068t/a）；颗粒物排放量150.4kg×（1-99%）=1.50kg（0.0015t/a）；氮氧化物排放量4.08×（1-50%）=2.04kg（0.002t/a）。</w:t>
            </w:r>
          </w:p>
          <w:p w14:paraId="480DBA9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宋体" w:eastAsia="宋体" w:cs="宋体"/>
                <w:bCs/>
                <w:color w:val="auto"/>
                <w:kern w:val="2"/>
                <w:sz w:val="24"/>
                <w:szCs w:val="24"/>
                <w:highlight w:val="none"/>
                <w:lang w:val="en-US" w:eastAsia="zh-CN" w:bidi="ar-SA"/>
              </w:rPr>
            </w:pPr>
            <w:r>
              <w:rPr>
                <w:rFonts w:hint="default" w:ascii="Times New Roman" w:hAnsi="宋体" w:eastAsia="宋体" w:cs="宋体"/>
                <w:bCs/>
                <w:color w:val="auto"/>
                <w:kern w:val="2"/>
                <w:sz w:val="24"/>
                <w:szCs w:val="24"/>
                <w:highlight w:val="none"/>
                <w:lang w:val="en-US" w:eastAsia="zh-CN" w:bidi="ar-SA"/>
              </w:rPr>
              <w:t>②窑内烘干焙烧阶段污染物产排源强分析</w:t>
            </w:r>
          </w:p>
          <w:p w14:paraId="7C80959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宋体" w:eastAsia="宋体" w:cs="宋体"/>
                <w:bCs/>
                <w:color w:val="auto"/>
                <w:kern w:val="2"/>
                <w:sz w:val="24"/>
                <w:szCs w:val="24"/>
                <w:highlight w:val="none"/>
                <w:lang w:val="en-US" w:eastAsia="zh-CN" w:bidi="ar-SA"/>
              </w:rPr>
            </w:pPr>
            <w:r>
              <w:rPr>
                <w:rFonts w:hint="default" w:ascii="Times New Roman" w:hAnsi="宋体" w:eastAsia="宋体" w:cs="宋体"/>
                <w:bCs/>
                <w:color w:val="auto"/>
                <w:kern w:val="2"/>
                <w:sz w:val="24"/>
                <w:szCs w:val="24"/>
                <w:highlight w:val="none"/>
                <w:lang w:val="en-US" w:eastAsia="zh-CN" w:bidi="ar-SA"/>
              </w:rPr>
              <w:t>隧道窑正常运行时依靠煤矸石自身热量焙烧，产生</w:t>
            </w:r>
            <w:r>
              <w:rPr>
                <w:rFonts w:hint="default" w:ascii="Times New Roman" w:hAnsi="Times New Roman" w:eastAsia="宋体" w:cs="Times New Roman"/>
                <w:b w:val="0"/>
                <w:bCs w:val="0"/>
                <w:color w:val="auto"/>
                <w:sz w:val="24"/>
                <w:szCs w:val="20"/>
                <w:highlight w:val="none"/>
                <w:lang w:val="en-US" w:eastAsia="zh-CN"/>
              </w:rPr>
              <w:t>颗粒物</w:t>
            </w:r>
            <w:r>
              <w:rPr>
                <w:rFonts w:hint="default" w:ascii="Times New Roman" w:hAnsi="宋体" w:eastAsia="宋体" w:cs="宋体"/>
                <w:bCs/>
                <w:color w:val="auto"/>
                <w:kern w:val="2"/>
                <w:sz w:val="24"/>
                <w:szCs w:val="24"/>
                <w:highlight w:val="none"/>
                <w:lang w:val="en-US" w:eastAsia="zh-CN" w:bidi="ar-SA"/>
              </w:rPr>
              <w:t>、NOx、SO</w:t>
            </w:r>
            <w:r>
              <w:rPr>
                <w:rFonts w:hint="default" w:ascii="Times New Roman" w:hAnsi="宋体" w:eastAsia="宋体" w:cs="宋体"/>
                <w:bCs/>
                <w:color w:val="auto"/>
                <w:kern w:val="2"/>
                <w:sz w:val="24"/>
                <w:szCs w:val="24"/>
                <w:highlight w:val="none"/>
                <w:vertAlign w:val="subscript"/>
                <w:lang w:val="en-US" w:eastAsia="zh-CN" w:bidi="ar-SA"/>
              </w:rPr>
              <w:t>2</w:t>
            </w:r>
            <w:r>
              <w:rPr>
                <w:rFonts w:hint="default" w:ascii="Times New Roman" w:hAnsi="宋体" w:eastAsia="宋体" w:cs="宋体"/>
                <w:bCs/>
                <w:color w:val="auto"/>
                <w:kern w:val="2"/>
                <w:sz w:val="24"/>
                <w:szCs w:val="24"/>
                <w:highlight w:val="none"/>
                <w:lang w:val="en-US" w:eastAsia="zh-CN" w:bidi="ar-SA"/>
              </w:rPr>
              <w:t>、氟化物。二氧化硫及氟化物源强采用物料衡算法核算，颗粒物及氮氧化物产排量参照《排放源统计调查产排污核算方法和系数手册》-303砖瓦、石材等建筑材料制造行业系数手册-3031 粘土砖瓦及建筑砌块制造（续3），具体见下表。</w:t>
            </w:r>
          </w:p>
          <w:p w14:paraId="69E873C7">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4-11</w:t>
            </w:r>
            <w:r>
              <w:rPr>
                <w:rFonts w:hint="default" w:ascii="Times New Roman" w:hAnsi="Times New Roman" w:eastAsia="黑体" w:cs="Times New Roman"/>
                <w:b w:val="0"/>
                <w:bCs w:val="0"/>
                <w:color w:val="auto"/>
                <w:kern w:val="2"/>
                <w:sz w:val="24"/>
                <w:szCs w:val="24"/>
                <w:highlight w:val="none"/>
                <w:lang w:val="en-US" w:eastAsia="zh-CN" w:bidi="ar-SA"/>
              </w:rPr>
              <w:t xml:space="preserve">  3031 粘土砖瓦及建筑砌块制造（续3）</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8"/>
              <w:gridCol w:w="662"/>
              <w:gridCol w:w="668"/>
              <w:gridCol w:w="673"/>
              <w:gridCol w:w="681"/>
              <w:gridCol w:w="578"/>
              <w:gridCol w:w="926"/>
              <w:gridCol w:w="1325"/>
              <w:gridCol w:w="700"/>
              <w:gridCol w:w="1498"/>
            </w:tblGrid>
            <w:tr w14:paraId="1379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tcBorders>
                    <w:tl2br w:val="nil"/>
                    <w:tr2bl w:val="nil"/>
                  </w:tcBorders>
                  <w:noWrap w:val="0"/>
                  <w:vAlign w:val="center"/>
                </w:tcPr>
                <w:p w14:paraId="541564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工段名称</w:t>
                  </w:r>
                </w:p>
              </w:tc>
              <w:tc>
                <w:tcPr>
                  <w:tcW w:w="396" w:type="pct"/>
                  <w:tcBorders>
                    <w:tl2br w:val="nil"/>
                    <w:tr2bl w:val="nil"/>
                  </w:tcBorders>
                  <w:noWrap w:val="0"/>
                  <w:vAlign w:val="center"/>
                </w:tcPr>
                <w:p w14:paraId="074B13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产品名称</w:t>
                  </w:r>
                </w:p>
              </w:tc>
              <w:tc>
                <w:tcPr>
                  <w:tcW w:w="399" w:type="pct"/>
                  <w:tcBorders>
                    <w:tl2br w:val="nil"/>
                    <w:tr2bl w:val="nil"/>
                  </w:tcBorders>
                  <w:noWrap w:val="0"/>
                  <w:vAlign w:val="center"/>
                </w:tcPr>
                <w:p w14:paraId="69E1222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原料名称</w:t>
                  </w:r>
                </w:p>
              </w:tc>
              <w:tc>
                <w:tcPr>
                  <w:tcW w:w="402" w:type="pct"/>
                  <w:tcBorders>
                    <w:tl2br w:val="nil"/>
                    <w:tr2bl w:val="nil"/>
                  </w:tcBorders>
                  <w:noWrap w:val="0"/>
                  <w:vAlign w:val="center"/>
                </w:tcPr>
                <w:p w14:paraId="279D79C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工艺名称</w:t>
                  </w:r>
                </w:p>
              </w:tc>
              <w:tc>
                <w:tcPr>
                  <w:tcW w:w="407" w:type="pct"/>
                  <w:tcBorders>
                    <w:tl2br w:val="nil"/>
                    <w:tr2bl w:val="nil"/>
                  </w:tcBorders>
                  <w:noWrap w:val="0"/>
                  <w:vAlign w:val="center"/>
                </w:tcPr>
                <w:p w14:paraId="48164AF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规模等级</w:t>
                  </w:r>
                </w:p>
              </w:tc>
              <w:tc>
                <w:tcPr>
                  <w:tcW w:w="898" w:type="pct"/>
                  <w:gridSpan w:val="2"/>
                  <w:tcBorders>
                    <w:tl2br w:val="nil"/>
                    <w:tr2bl w:val="nil"/>
                  </w:tcBorders>
                  <w:noWrap w:val="0"/>
                  <w:vAlign w:val="center"/>
                </w:tcPr>
                <w:p w14:paraId="7CCAFFB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污染物指标</w:t>
                  </w:r>
                </w:p>
              </w:tc>
              <w:tc>
                <w:tcPr>
                  <w:tcW w:w="791" w:type="pct"/>
                  <w:tcBorders>
                    <w:tl2br w:val="nil"/>
                    <w:tr2bl w:val="nil"/>
                  </w:tcBorders>
                  <w:noWrap w:val="0"/>
                  <w:vAlign w:val="center"/>
                </w:tcPr>
                <w:p w14:paraId="55C1B05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en-US" w:eastAsia="zh-CN" w:bidi="zh-CN"/>
                    </w:rPr>
                    <w:t>系数</w:t>
                  </w:r>
                  <w:r>
                    <w:rPr>
                      <w:rFonts w:hint="default" w:ascii="Times New Roman" w:hAnsi="Times New Roman" w:eastAsia="宋体" w:cs="Times New Roman"/>
                      <w:b/>
                      <w:bCs/>
                      <w:color w:val="auto"/>
                      <w:kern w:val="0"/>
                      <w:sz w:val="21"/>
                      <w:szCs w:val="21"/>
                      <w:highlight w:val="none"/>
                      <w:lang w:val="zh-CN" w:eastAsia="zh-CN" w:bidi="zh-CN"/>
                    </w:rPr>
                    <w:t>单位</w:t>
                  </w:r>
                </w:p>
              </w:tc>
              <w:tc>
                <w:tcPr>
                  <w:tcW w:w="418" w:type="pct"/>
                  <w:tcBorders>
                    <w:tl2br w:val="nil"/>
                    <w:tr2bl w:val="nil"/>
                  </w:tcBorders>
                  <w:noWrap w:val="0"/>
                  <w:vAlign w:val="center"/>
                </w:tcPr>
                <w:p w14:paraId="2F7DF4E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产污系数</w:t>
                  </w:r>
                </w:p>
              </w:tc>
              <w:tc>
                <w:tcPr>
                  <w:tcW w:w="889" w:type="pct"/>
                  <w:tcBorders>
                    <w:tl2br w:val="nil"/>
                    <w:tr2bl w:val="nil"/>
                  </w:tcBorders>
                  <w:noWrap w:val="0"/>
                  <w:vAlign w:val="center"/>
                </w:tcPr>
                <w:p w14:paraId="4696CC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zh-CN" w:eastAsia="zh-CN" w:bidi="zh-CN"/>
                    </w:rPr>
                    <w:t>末端治理技术名称</w:t>
                  </w:r>
                </w:p>
              </w:tc>
            </w:tr>
            <w:tr w14:paraId="75FC7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restart"/>
                  <w:tcBorders>
                    <w:tl2br w:val="nil"/>
                    <w:tr2bl w:val="nil"/>
                  </w:tcBorders>
                  <w:noWrap w:val="0"/>
                  <w:vAlign w:val="center"/>
                </w:tcPr>
                <w:p w14:paraId="23EDBF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c>
                <w:tcPr>
                  <w:tcW w:w="396" w:type="pct"/>
                  <w:vMerge w:val="restart"/>
                  <w:tcBorders>
                    <w:tl2br w:val="nil"/>
                    <w:tr2bl w:val="nil"/>
                  </w:tcBorders>
                  <w:noWrap w:val="0"/>
                  <w:vAlign w:val="center"/>
                </w:tcPr>
                <w:p w14:paraId="18B651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煤矸石</w:t>
                  </w:r>
                  <w:r>
                    <w:rPr>
                      <w:rFonts w:hint="eastAsia" w:ascii="Times New Roman" w:hAnsi="Times New Roman" w:eastAsia="宋体" w:cs="Times New Roman"/>
                      <w:b w:val="0"/>
                      <w:bCs w:val="0"/>
                      <w:color w:val="auto"/>
                      <w:kern w:val="0"/>
                      <w:sz w:val="21"/>
                      <w:szCs w:val="21"/>
                      <w:highlight w:val="none"/>
                      <w:lang w:val="en-US" w:eastAsia="zh-CN" w:bidi="zh-CN"/>
                    </w:rPr>
                    <w:t>砖</w:t>
                  </w:r>
                </w:p>
              </w:tc>
              <w:tc>
                <w:tcPr>
                  <w:tcW w:w="399" w:type="pct"/>
                  <w:vMerge w:val="restart"/>
                  <w:tcBorders>
                    <w:tl2br w:val="nil"/>
                    <w:tr2bl w:val="nil"/>
                  </w:tcBorders>
                  <w:noWrap w:val="0"/>
                  <w:vAlign w:val="center"/>
                </w:tcPr>
                <w:p w14:paraId="68DC04A6">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煤矸石、污泥等</w:t>
                  </w:r>
                </w:p>
              </w:tc>
              <w:tc>
                <w:tcPr>
                  <w:tcW w:w="402" w:type="pct"/>
                  <w:vMerge w:val="restart"/>
                  <w:tcBorders>
                    <w:tl2br w:val="nil"/>
                    <w:tr2bl w:val="nil"/>
                  </w:tcBorders>
                  <w:noWrap w:val="0"/>
                  <w:vAlign w:val="center"/>
                </w:tcPr>
                <w:p w14:paraId="22707A28">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bidi="ar"/>
                    </w:rPr>
                    <w:t>砖瓦工业焙烧窑炉（硬</w:t>
                  </w:r>
                </w:p>
                <w:p w14:paraId="0571BC4E">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塑成型等）</w:t>
                  </w:r>
                </w:p>
              </w:tc>
              <w:tc>
                <w:tcPr>
                  <w:tcW w:w="407" w:type="pct"/>
                  <w:vMerge w:val="restart"/>
                  <w:tcBorders>
                    <w:tl2br w:val="nil"/>
                    <w:tr2bl w:val="nil"/>
                  </w:tcBorders>
                  <w:noWrap w:val="0"/>
                  <w:vAlign w:val="center"/>
                </w:tcPr>
                <w:p w14:paraId="3F88E8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r>
                    <w:rPr>
                      <w:rFonts w:hint="default" w:ascii="Times New Roman" w:hAnsi="Times New Roman" w:eastAsia="宋体" w:cs="Times New Roman"/>
                      <w:b w:val="0"/>
                      <w:bCs w:val="0"/>
                      <w:color w:val="auto"/>
                      <w:kern w:val="0"/>
                      <w:sz w:val="21"/>
                      <w:szCs w:val="21"/>
                      <w:highlight w:val="none"/>
                      <w:lang w:val="zh-CN" w:eastAsia="zh-CN" w:bidi="zh-CN"/>
                    </w:rPr>
                    <w:t>所有规模</w:t>
                  </w:r>
                </w:p>
              </w:tc>
              <w:tc>
                <w:tcPr>
                  <w:tcW w:w="345" w:type="pct"/>
                  <w:vMerge w:val="restart"/>
                  <w:tcBorders>
                    <w:tl2br w:val="nil"/>
                    <w:tr2bl w:val="nil"/>
                  </w:tcBorders>
                  <w:noWrap w:val="0"/>
                  <w:vAlign w:val="center"/>
                </w:tcPr>
                <w:p w14:paraId="5E2068E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废气</w:t>
                  </w:r>
                </w:p>
              </w:tc>
              <w:tc>
                <w:tcPr>
                  <w:tcW w:w="553" w:type="pct"/>
                  <w:tcBorders>
                    <w:tl2br w:val="nil"/>
                    <w:tr2bl w:val="nil"/>
                  </w:tcBorders>
                  <w:noWrap w:val="0"/>
                  <w:vAlign w:val="center"/>
                </w:tcPr>
                <w:p w14:paraId="3AE6867A">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color w:val="auto"/>
                      <w:sz w:val="21"/>
                      <w:szCs w:val="21"/>
                      <w:highlight w:val="none"/>
                      <w:lang w:val="zh-CN" w:bidi="zh-CN"/>
                    </w:rPr>
                    <w:t>工业废气量</w:t>
                  </w:r>
                  <w:r>
                    <w:rPr>
                      <w:rFonts w:hint="default" w:ascii="Times New Roman" w:hAnsi="Times New Roman" w:eastAsia="宋体" w:cs="Times New Roman"/>
                      <w:snapToGrid w:val="0"/>
                      <w:color w:val="auto"/>
                      <w:kern w:val="0"/>
                      <w:sz w:val="21"/>
                      <w:szCs w:val="21"/>
                      <w:highlight w:val="none"/>
                      <w:lang w:val="en-US" w:eastAsia="zh-CN" w:bidi="ar"/>
                    </w:rPr>
                    <w:t>（窑炉）</w:t>
                  </w:r>
                </w:p>
              </w:tc>
              <w:tc>
                <w:tcPr>
                  <w:tcW w:w="791" w:type="pct"/>
                  <w:tcBorders>
                    <w:tl2br w:val="nil"/>
                    <w:tr2bl w:val="nil"/>
                  </w:tcBorders>
                  <w:noWrap w:val="0"/>
                  <w:vAlign w:val="center"/>
                </w:tcPr>
                <w:p w14:paraId="5FE89AA4">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标立方米/万块标砖</w:t>
                  </w:r>
                </w:p>
              </w:tc>
              <w:tc>
                <w:tcPr>
                  <w:tcW w:w="418" w:type="pct"/>
                  <w:tcBorders>
                    <w:tl2br w:val="nil"/>
                    <w:tr2bl w:val="nil"/>
                  </w:tcBorders>
                  <w:noWrap w:val="0"/>
                  <w:vAlign w:val="center"/>
                </w:tcPr>
                <w:p w14:paraId="23795440">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bidi="zh-CN"/>
                    </w:rPr>
                  </w:pPr>
                  <w:r>
                    <w:rPr>
                      <w:rFonts w:hint="default" w:ascii="Times New Roman" w:hAnsi="Times New Roman" w:eastAsia="宋体" w:cs="Times New Roman"/>
                      <w:snapToGrid w:val="0"/>
                      <w:color w:val="auto"/>
                      <w:kern w:val="0"/>
                      <w:sz w:val="21"/>
                      <w:szCs w:val="21"/>
                      <w:highlight w:val="none"/>
                      <w:lang w:val="en-US" w:eastAsia="zh-CN" w:bidi="ar"/>
                    </w:rPr>
                    <w:t>152000</w:t>
                  </w:r>
                </w:p>
              </w:tc>
              <w:tc>
                <w:tcPr>
                  <w:tcW w:w="889" w:type="pct"/>
                  <w:tcBorders>
                    <w:tl2br w:val="nil"/>
                    <w:tr2bl w:val="nil"/>
                  </w:tcBorders>
                  <w:noWrap w:val="0"/>
                  <w:vAlign w:val="center"/>
                </w:tcPr>
                <w:p w14:paraId="7F96CBD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0D2B8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4DD3963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7574329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5E24741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231FA4D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0215CD9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1C36BB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restart"/>
                  <w:tcBorders>
                    <w:tl2br w:val="nil"/>
                    <w:tr2bl w:val="nil"/>
                  </w:tcBorders>
                  <w:noWrap w:val="0"/>
                  <w:vAlign w:val="center"/>
                </w:tcPr>
                <w:p w14:paraId="10E128F6">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color w:val="auto"/>
                      <w:sz w:val="21"/>
                      <w:szCs w:val="21"/>
                      <w:highlight w:val="none"/>
                      <w:lang w:val="zh-CN" w:bidi="zh-CN"/>
                    </w:rPr>
                    <w:t>颗粒物</w:t>
                  </w:r>
                  <w:r>
                    <w:rPr>
                      <w:rFonts w:hint="default" w:ascii="Times New Roman" w:hAnsi="Times New Roman" w:eastAsia="宋体" w:cs="Times New Roman"/>
                      <w:snapToGrid w:val="0"/>
                      <w:color w:val="auto"/>
                      <w:kern w:val="0"/>
                      <w:sz w:val="21"/>
                      <w:szCs w:val="21"/>
                      <w:highlight w:val="none"/>
                      <w:lang w:val="en-US" w:eastAsia="zh-CN" w:bidi="ar"/>
                    </w:rPr>
                    <w:t>（窑炉）</w:t>
                  </w:r>
                </w:p>
              </w:tc>
              <w:tc>
                <w:tcPr>
                  <w:tcW w:w="791" w:type="pct"/>
                  <w:vMerge w:val="restart"/>
                  <w:tcBorders>
                    <w:tl2br w:val="nil"/>
                    <w:tr2bl w:val="nil"/>
                  </w:tcBorders>
                  <w:noWrap w:val="0"/>
                  <w:vAlign w:val="center"/>
                </w:tcPr>
                <w:p w14:paraId="329532A5">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千克/万块标砖</w:t>
                  </w:r>
                </w:p>
              </w:tc>
              <w:tc>
                <w:tcPr>
                  <w:tcW w:w="418" w:type="pct"/>
                  <w:vMerge w:val="restart"/>
                  <w:tcBorders>
                    <w:tl2br w:val="nil"/>
                    <w:tr2bl w:val="nil"/>
                  </w:tcBorders>
                  <w:noWrap w:val="0"/>
                  <w:vAlign w:val="center"/>
                </w:tcPr>
                <w:p w14:paraId="7CC5E7F9">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bidi="zh-CN"/>
                    </w:rPr>
                  </w:pPr>
                  <w:r>
                    <w:rPr>
                      <w:rFonts w:hint="default" w:ascii="Times New Roman" w:hAnsi="Times New Roman" w:eastAsia="宋体" w:cs="Times New Roman"/>
                      <w:snapToGrid w:val="0"/>
                      <w:color w:val="auto"/>
                      <w:kern w:val="0"/>
                      <w:sz w:val="21"/>
                      <w:szCs w:val="21"/>
                      <w:highlight w:val="none"/>
                      <w:lang w:val="en-US" w:eastAsia="zh-CN" w:bidi="ar"/>
                    </w:rPr>
                    <w:t>6.50</w:t>
                  </w:r>
                </w:p>
              </w:tc>
              <w:tc>
                <w:tcPr>
                  <w:tcW w:w="889" w:type="pct"/>
                  <w:tcBorders>
                    <w:tl2br w:val="nil"/>
                    <w:tr2bl w:val="nil"/>
                  </w:tcBorders>
                  <w:noWrap w:val="0"/>
                  <w:vAlign w:val="center"/>
                </w:tcPr>
                <w:p w14:paraId="55E6B9B5">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静电除尘（干式电除尘、湿式电除尘）</w:t>
                  </w:r>
                </w:p>
              </w:tc>
            </w:tr>
            <w:tr w14:paraId="16D07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7EB0714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6" w:type="pct"/>
                  <w:vMerge w:val="continue"/>
                  <w:tcBorders>
                    <w:tl2br w:val="nil"/>
                    <w:tr2bl w:val="nil"/>
                  </w:tcBorders>
                  <w:noWrap w:val="0"/>
                  <w:vAlign w:val="center"/>
                </w:tcPr>
                <w:p w14:paraId="646CB69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9" w:type="pct"/>
                  <w:vMerge w:val="continue"/>
                  <w:tcBorders>
                    <w:tl2br w:val="nil"/>
                    <w:tr2bl w:val="nil"/>
                  </w:tcBorders>
                  <w:noWrap w:val="0"/>
                  <w:vAlign w:val="center"/>
                </w:tcPr>
                <w:p w14:paraId="68C323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2" w:type="pct"/>
                  <w:vMerge w:val="continue"/>
                  <w:tcBorders>
                    <w:tl2br w:val="nil"/>
                    <w:tr2bl w:val="nil"/>
                  </w:tcBorders>
                  <w:noWrap w:val="0"/>
                  <w:vAlign w:val="center"/>
                </w:tcPr>
                <w:p w14:paraId="38FAD76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7" w:type="pct"/>
                  <w:vMerge w:val="continue"/>
                  <w:tcBorders>
                    <w:tl2br w:val="nil"/>
                    <w:tr2bl w:val="nil"/>
                  </w:tcBorders>
                  <w:noWrap w:val="0"/>
                  <w:vAlign w:val="center"/>
                </w:tcPr>
                <w:p w14:paraId="7DC7F4B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45" w:type="pct"/>
                  <w:vMerge w:val="continue"/>
                  <w:tcBorders>
                    <w:tl2br w:val="nil"/>
                    <w:tr2bl w:val="nil"/>
                  </w:tcBorders>
                  <w:noWrap w:val="0"/>
                  <w:vAlign w:val="center"/>
                </w:tcPr>
                <w:p w14:paraId="5627FA7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553" w:type="pct"/>
                  <w:vMerge w:val="continue"/>
                  <w:tcBorders>
                    <w:tl2br w:val="nil"/>
                    <w:tr2bl w:val="nil"/>
                  </w:tcBorders>
                  <w:noWrap w:val="0"/>
                  <w:vAlign w:val="center"/>
                </w:tcPr>
                <w:p w14:paraId="575723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91" w:type="pct"/>
                  <w:vMerge w:val="continue"/>
                  <w:tcBorders>
                    <w:tl2br w:val="nil"/>
                    <w:tr2bl w:val="nil"/>
                  </w:tcBorders>
                  <w:noWrap w:val="0"/>
                  <w:vAlign w:val="center"/>
                </w:tcPr>
                <w:p w14:paraId="46E168E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18" w:type="pct"/>
                  <w:vMerge w:val="continue"/>
                  <w:tcBorders>
                    <w:tl2br w:val="nil"/>
                    <w:tr2bl w:val="nil"/>
                  </w:tcBorders>
                  <w:noWrap w:val="0"/>
                  <w:vAlign w:val="center"/>
                </w:tcPr>
                <w:p w14:paraId="16AB275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889" w:type="pct"/>
                  <w:tcBorders>
                    <w:tl2br w:val="nil"/>
                    <w:tr2bl w:val="nil"/>
                  </w:tcBorders>
                  <w:noWrap w:val="0"/>
                  <w:vAlign w:val="center"/>
                </w:tcPr>
                <w:p w14:paraId="5C4A519D">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湿式除尘器</w:t>
                  </w:r>
                </w:p>
              </w:tc>
            </w:tr>
            <w:tr w14:paraId="77AAF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245F83F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5386260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4CECFDA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08093CB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08DDB1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78AC5B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576696D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3EF57DB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798A2A2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65488E34">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袋式除尘</w:t>
                  </w:r>
                </w:p>
              </w:tc>
            </w:tr>
            <w:tr w14:paraId="4FE1D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76FFC6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540B2C3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52519CF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44A811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1B4642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46333E9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1F20769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2E8EAE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7E5821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5F70F58C">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其他</w:t>
                  </w:r>
                  <w:r>
                    <w:rPr>
                      <w:rFonts w:hint="default" w:ascii="Times New Roman" w:hAnsi="Times New Roman" w:eastAsia="宋体" w:cs="Times New Roman"/>
                      <w:snapToGrid w:val="0"/>
                      <w:color w:val="auto"/>
                      <w:kern w:val="0"/>
                      <w:sz w:val="21"/>
                      <w:szCs w:val="21"/>
                      <w:highlight w:val="none"/>
                      <w:vertAlign w:val="superscript"/>
                      <w:lang w:val="en-US" w:eastAsia="zh-CN" w:bidi="ar"/>
                    </w:rPr>
                    <w:t>①</w:t>
                  </w:r>
                </w:p>
              </w:tc>
            </w:tr>
            <w:tr w14:paraId="54156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289A48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1F00C8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51FD263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7E0C85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28D32B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6A2DD03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7B05455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3D93BED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0ECD958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39054D2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7B237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5BC805D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6E6F4B4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1AAE2C9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7B450CB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035258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5938799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restart"/>
                  <w:tcBorders>
                    <w:tl2br w:val="nil"/>
                    <w:tr2bl w:val="nil"/>
                  </w:tcBorders>
                  <w:noWrap w:val="0"/>
                  <w:vAlign w:val="center"/>
                </w:tcPr>
                <w:p w14:paraId="1A6E2320">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color w:val="auto"/>
                      <w:sz w:val="21"/>
                      <w:szCs w:val="21"/>
                      <w:highlight w:val="none"/>
                      <w:lang w:val="zh-CN" w:bidi="zh-CN"/>
                    </w:rPr>
                    <w:t>二氧化硫</w:t>
                  </w:r>
                  <w:r>
                    <w:rPr>
                      <w:rFonts w:hint="default" w:ascii="Times New Roman" w:hAnsi="Times New Roman" w:eastAsia="宋体" w:cs="Times New Roman"/>
                      <w:snapToGrid w:val="0"/>
                      <w:color w:val="auto"/>
                      <w:kern w:val="0"/>
                      <w:sz w:val="21"/>
                      <w:szCs w:val="21"/>
                      <w:highlight w:val="none"/>
                      <w:lang w:val="en-US" w:eastAsia="zh-CN" w:bidi="ar"/>
                    </w:rPr>
                    <w:t>（窑炉）</w:t>
                  </w:r>
                </w:p>
              </w:tc>
              <w:tc>
                <w:tcPr>
                  <w:tcW w:w="791" w:type="pct"/>
                  <w:vMerge w:val="restart"/>
                  <w:tcBorders>
                    <w:tl2br w:val="nil"/>
                    <w:tr2bl w:val="nil"/>
                  </w:tcBorders>
                  <w:noWrap w:val="0"/>
                  <w:vAlign w:val="center"/>
                </w:tcPr>
                <w:p w14:paraId="113561F0">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千克/万块标砖</w:t>
                  </w:r>
                </w:p>
              </w:tc>
              <w:tc>
                <w:tcPr>
                  <w:tcW w:w="418" w:type="pct"/>
                  <w:vMerge w:val="restart"/>
                  <w:tcBorders>
                    <w:tl2br w:val="nil"/>
                    <w:tr2bl w:val="nil"/>
                  </w:tcBorders>
                  <w:noWrap w:val="0"/>
                  <w:vAlign w:val="center"/>
                </w:tcPr>
                <w:p w14:paraId="1B37A706">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bidi="zh-CN"/>
                    </w:rPr>
                  </w:pPr>
                  <w:r>
                    <w:rPr>
                      <w:rFonts w:hint="default" w:ascii="Times New Roman" w:hAnsi="Times New Roman" w:eastAsia="宋体" w:cs="Times New Roman"/>
                      <w:snapToGrid w:val="0"/>
                      <w:color w:val="auto"/>
                      <w:kern w:val="0"/>
                      <w:sz w:val="21"/>
                      <w:szCs w:val="21"/>
                      <w:highlight w:val="none"/>
                      <w:lang w:val="en-US" w:eastAsia="zh-CN" w:bidi="ar"/>
                    </w:rPr>
                    <w:t>122.4</w:t>
                  </w:r>
                </w:p>
              </w:tc>
              <w:tc>
                <w:tcPr>
                  <w:tcW w:w="889" w:type="pct"/>
                  <w:tcBorders>
                    <w:tl2br w:val="nil"/>
                    <w:tr2bl w:val="nil"/>
                  </w:tcBorders>
                  <w:noWrap w:val="0"/>
                  <w:vAlign w:val="center"/>
                </w:tcPr>
                <w:p w14:paraId="155B0D13">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石灰石/石灰-石膏湿法</w:t>
                  </w:r>
                </w:p>
              </w:tc>
            </w:tr>
            <w:tr w14:paraId="04652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0331886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6" w:type="pct"/>
                  <w:vMerge w:val="continue"/>
                  <w:tcBorders>
                    <w:tl2br w:val="nil"/>
                    <w:tr2bl w:val="nil"/>
                  </w:tcBorders>
                  <w:noWrap w:val="0"/>
                  <w:vAlign w:val="center"/>
                </w:tcPr>
                <w:p w14:paraId="69111D3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9" w:type="pct"/>
                  <w:vMerge w:val="continue"/>
                  <w:tcBorders>
                    <w:tl2br w:val="nil"/>
                    <w:tr2bl w:val="nil"/>
                  </w:tcBorders>
                  <w:noWrap w:val="0"/>
                  <w:vAlign w:val="center"/>
                </w:tcPr>
                <w:p w14:paraId="3CBA29A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2" w:type="pct"/>
                  <w:vMerge w:val="continue"/>
                  <w:tcBorders>
                    <w:tl2br w:val="nil"/>
                    <w:tr2bl w:val="nil"/>
                  </w:tcBorders>
                  <w:noWrap w:val="0"/>
                  <w:vAlign w:val="center"/>
                </w:tcPr>
                <w:p w14:paraId="46960BC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7" w:type="pct"/>
                  <w:vMerge w:val="continue"/>
                  <w:tcBorders>
                    <w:tl2br w:val="nil"/>
                    <w:tr2bl w:val="nil"/>
                  </w:tcBorders>
                  <w:noWrap w:val="0"/>
                  <w:vAlign w:val="center"/>
                </w:tcPr>
                <w:p w14:paraId="35BDAE1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45" w:type="pct"/>
                  <w:vMerge w:val="continue"/>
                  <w:tcBorders>
                    <w:tl2br w:val="nil"/>
                    <w:tr2bl w:val="nil"/>
                  </w:tcBorders>
                  <w:noWrap w:val="0"/>
                  <w:vAlign w:val="center"/>
                </w:tcPr>
                <w:p w14:paraId="54942F9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553" w:type="pct"/>
                  <w:vMerge w:val="continue"/>
                  <w:tcBorders>
                    <w:tl2br w:val="nil"/>
                    <w:tr2bl w:val="nil"/>
                  </w:tcBorders>
                  <w:noWrap w:val="0"/>
                  <w:vAlign w:val="center"/>
                </w:tcPr>
                <w:p w14:paraId="177B2D1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91" w:type="pct"/>
                  <w:vMerge w:val="continue"/>
                  <w:tcBorders>
                    <w:tl2br w:val="nil"/>
                    <w:tr2bl w:val="nil"/>
                  </w:tcBorders>
                  <w:noWrap w:val="0"/>
                  <w:vAlign w:val="center"/>
                </w:tcPr>
                <w:p w14:paraId="1E17BC9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18" w:type="pct"/>
                  <w:vMerge w:val="continue"/>
                  <w:tcBorders>
                    <w:tl2br w:val="nil"/>
                    <w:tr2bl w:val="nil"/>
                  </w:tcBorders>
                  <w:noWrap w:val="0"/>
                  <w:vAlign w:val="center"/>
                </w:tcPr>
                <w:p w14:paraId="538880F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889" w:type="pct"/>
                  <w:tcBorders>
                    <w:tl2br w:val="nil"/>
                    <w:tr2bl w:val="nil"/>
                  </w:tcBorders>
                  <w:noWrap w:val="0"/>
                  <w:vAlign w:val="center"/>
                </w:tcPr>
                <w:p w14:paraId="68C9D163">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双碱法</w:t>
                  </w:r>
                </w:p>
              </w:tc>
            </w:tr>
            <w:tr w14:paraId="1C768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703D03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243F49F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0E5B05B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62B396C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230EDAA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2B3BFC6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7ADEAFD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6795914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4CA8BA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1C69BB2B">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其他</w:t>
                  </w:r>
                  <w:r>
                    <w:rPr>
                      <w:rFonts w:hint="default" w:ascii="Times New Roman" w:hAnsi="Times New Roman" w:eastAsia="宋体" w:cs="Times New Roman"/>
                      <w:snapToGrid w:val="0"/>
                      <w:color w:val="auto"/>
                      <w:kern w:val="0"/>
                      <w:sz w:val="21"/>
                      <w:szCs w:val="21"/>
                      <w:highlight w:val="none"/>
                      <w:vertAlign w:val="superscript"/>
                      <w:lang w:val="en-US" w:eastAsia="zh-CN" w:bidi="ar"/>
                    </w:rPr>
                    <w:t>②</w:t>
                  </w:r>
                </w:p>
              </w:tc>
            </w:tr>
            <w:tr w14:paraId="78008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28C2B8B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1334D79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6470B9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38D66E7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1228AAC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59561C7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1FAA62B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20516C3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482DD4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0001E5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72A6F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1818A5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75BC92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5976F80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60E3B1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759687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16F159F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restart"/>
                  <w:tcBorders>
                    <w:tl2br w:val="nil"/>
                    <w:tr2bl w:val="nil"/>
                  </w:tcBorders>
                  <w:noWrap w:val="0"/>
                  <w:vAlign w:val="center"/>
                </w:tcPr>
                <w:p w14:paraId="1C518F74">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b w:val="0"/>
                      <w:bCs w:val="0"/>
                      <w:color w:val="auto"/>
                      <w:sz w:val="21"/>
                      <w:szCs w:val="21"/>
                      <w:highlight w:val="none"/>
                      <w:lang w:val="zh-CN" w:bidi="zh-CN"/>
                    </w:rPr>
                    <w:t>氮氧化物</w:t>
                  </w:r>
                  <w:r>
                    <w:rPr>
                      <w:rFonts w:hint="default" w:ascii="Times New Roman" w:hAnsi="Times New Roman" w:eastAsia="宋体" w:cs="Times New Roman"/>
                      <w:snapToGrid w:val="0"/>
                      <w:color w:val="auto"/>
                      <w:kern w:val="0"/>
                      <w:sz w:val="21"/>
                      <w:szCs w:val="21"/>
                      <w:highlight w:val="none"/>
                      <w:lang w:val="en-US" w:eastAsia="zh-CN" w:bidi="ar"/>
                    </w:rPr>
                    <w:t>（窑炉）</w:t>
                  </w:r>
                </w:p>
              </w:tc>
              <w:tc>
                <w:tcPr>
                  <w:tcW w:w="791" w:type="pct"/>
                  <w:vMerge w:val="restart"/>
                  <w:tcBorders>
                    <w:tl2br w:val="nil"/>
                    <w:tr2bl w:val="nil"/>
                  </w:tcBorders>
                  <w:noWrap w:val="0"/>
                  <w:vAlign w:val="center"/>
                </w:tcPr>
                <w:p w14:paraId="4E51021A">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千克/万块标砖</w:t>
                  </w:r>
                </w:p>
              </w:tc>
              <w:tc>
                <w:tcPr>
                  <w:tcW w:w="418" w:type="pct"/>
                  <w:vMerge w:val="restart"/>
                  <w:tcBorders>
                    <w:tl2br w:val="nil"/>
                    <w:tr2bl w:val="nil"/>
                  </w:tcBorders>
                  <w:noWrap w:val="0"/>
                  <w:vAlign w:val="center"/>
                </w:tcPr>
                <w:p w14:paraId="0F961A7D">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bidi="zh-CN"/>
                    </w:rPr>
                  </w:pPr>
                  <w:r>
                    <w:rPr>
                      <w:rFonts w:hint="default" w:ascii="Times New Roman" w:hAnsi="Times New Roman" w:eastAsia="宋体" w:cs="Times New Roman"/>
                      <w:snapToGrid w:val="0"/>
                      <w:color w:val="auto"/>
                      <w:kern w:val="0"/>
                      <w:sz w:val="21"/>
                      <w:szCs w:val="21"/>
                      <w:highlight w:val="none"/>
                      <w:lang w:val="en-US" w:eastAsia="zh-CN" w:bidi="ar"/>
                    </w:rPr>
                    <w:t>8.16</w:t>
                  </w:r>
                </w:p>
              </w:tc>
              <w:tc>
                <w:tcPr>
                  <w:tcW w:w="889" w:type="pct"/>
                  <w:tcBorders>
                    <w:tl2br w:val="nil"/>
                    <w:tr2bl w:val="nil"/>
                  </w:tcBorders>
                  <w:noWrap w:val="0"/>
                  <w:vAlign w:val="center"/>
                </w:tcPr>
                <w:p w14:paraId="371B47C7">
                  <w:pPr>
                    <w:keepNext w:val="0"/>
                    <w:keepLines w:val="0"/>
                    <w:pageBreakBefore w:val="0"/>
                    <w:widowControl w:val="0"/>
                    <w:suppressLineNumbers w:val="0"/>
                    <w:kinsoku/>
                    <w:wordWrap/>
                    <w:overflowPunct/>
                    <w:topLinePunct w:val="0"/>
                    <w:bidi w:val="0"/>
                    <w:adjustRightInd w:val="0"/>
                    <w:snapToGrid w:val="0"/>
                    <w:jc w:val="center"/>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选择性非催化还原</w:t>
                  </w:r>
                </w:p>
              </w:tc>
            </w:tr>
            <w:tr w14:paraId="32444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61704A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6" w:type="pct"/>
                  <w:vMerge w:val="continue"/>
                  <w:tcBorders>
                    <w:tl2br w:val="nil"/>
                    <w:tr2bl w:val="nil"/>
                  </w:tcBorders>
                  <w:noWrap w:val="0"/>
                  <w:vAlign w:val="center"/>
                </w:tcPr>
                <w:p w14:paraId="3D2A27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99" w:type="pct"/>
                  <w:vMerge w:val="continue"/>
                  <w:tcBorders>
                    <w:tl2br w:val="nil"/>
                    <w:tr2bl w:val="nil"/>
                  </w:tcBorders>
                  <w:noWrap w:val="0"/>
                  <w:vAlign w:val="center"/>
                </w:tcPr>
                <w:p w14:paraId="6B41F0A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2" w:type="pct"/>
                  <w:vMerge w:val="continue"/>
                  <w:tcBorders>
                    <w:tl2br w:val="nil"/>
                    <w:tr2bl w:val="nil"/>
                  </w:tcBorders>
                  <w:noWrap w:val="0"/>
                  <w:vAlign w:val="center"/>
                </w:tcPr>
                <w:p w14:paraId="085E307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07" w:type="pct"/>
                  <w:vMerge w:val="continue"/>
                  <w:tcBorders>
                    <w:tl2br w:val="nil"/>
                    <w:tr2bl w:val="nil"/>
                  </w:tcBorders>
                  <w:noWrap w:val="0"/>
                  <w:vAlign w:val="center"/>
                </w:tcPr>
                <w:p w14:paraId="689956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345" w:type="pct"/>
                  <w:vMerge w:val="continue"/>
                  <w:tcBorders>
                    <w:tl2br w:val="nil"/>
                    <w:tr2bl w:val="nil"/>
                  </w:tcBorders>
                  <w:noWrap w:val="0"/>
                  <w:vAlign w:val="center"/>
                </w:tcPr>
                <w:p w14:paraId="377622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553" w:type="pct"/>
                  <w:vMerge w:val="continue"/>
                  <w:tcBorders>
                    <w:tl2br w:val="nil"/>
                    <w:tr2bl w:val="nil"/>
                  </w:tcBorders>
                  <w:noWrap w:val="0"/>
                  <w:vAlign w:val="center"/>
                </w:tcPr>
                <w:p w14:paraId="6E010E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91" w:type="pct"/>
                  <w:vMerge w:val="continue"/>
                  <w:tcBorders>
                    <w:tl2br w:val="nil"/>
                    <w:tr2bl w:val="nil"/>
                  </w:tcBorders>
                  <w:noWrap w:val="0"/>
                  <w:vAlign w:val="center"/>
                </w:tcPr>
                <w:p w14:paraId="37F007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18" w:type="pct"/>
                  <w:vMerge w:val="continue"/>
                  <w:tcBorders>
                    <w:tl2br w:val="nil"/>
                    <w:tr2bl w:val="nil"/>
                  </w:tcBorders>
                  <w:noWrap w:val="0"/>
                  <w:vAlign w:val="center"/>
                </w:tcPr>
                <w:p w14:paraId="24DFF6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889" w:type="pct"/>
                  <w:tcBorders>
                    <w:tl2br w:val="nil"/>
                    <w:tr2bl w:val="nil"/>
                  </w:tcBorders>
                  <w:noWrap w:val="0"/>
                  <w:vAlign w:val="center"/>
                </w:tcPr>
                <w:p w14:paraId="6E89C471">
                  <w:pPr>
                    <w:keepNext w:val="0"/>
                    <w:keepLines w:val="0"/>
                    <w:pageBreakBefore w:val="0"/>
                    <w:widowControl w:val="0"/>
                    <w:suppressLineNumbers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val="0"/>
                      <w:color w:val="auto"/>
                      <w:sz w:val="21"/>
                      <w:szCs w:val="21"/>
                      <w:highlight w:val="none"/>
                      <w:lang w:val="zh-CN" w:bidi="zh-CN"/>
                    </w:rPr>
                  </w:pPr>
                  <w:r>
                    <w:rPr>
                      <w:rFonts w:hint="default" w:ascii="Times New Roman" w:hAnsi="Times New Roman" w:eastAsia="宋体" w:cs="Times New Roman"/>
                      <w:snapToGrid w:val="0"/>
                      <w:color w:val="auto"/>
                      <w:kern w:val="0"/>
                      <w:sz w:val="21"/>
                      <w:szCs w:val="21"/>
                      <w:highlight w:val="none"/>
                      <w:lang w:val="en-US" w:eastAsia="zh-CN" w:bidi="ar"/>
                    </w:rPr>
                    <w:t>氧化吸收</w:t>
                  </w:r>
                </w:p>
              </w:tc>
            </w:tr>
            <w:tr w14:paraId="11E69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4" w:type="pct"/>
                  <w:vMerge w:val="continue"/>
                  <w:tcBorders>
                    <w:tl2br w:val="nil"/>
                    <w:tr2bl w:val="nil"/>
                  </w:tcBorders>
                  <w:noWrap w:val="0"/>
                  <w:vAlign w:val="center"/>
                </w:tcPr>
                <w:p w14:paraId="73F3641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6" w:type="pct"/>
                  <w:vMerge w:val="continue"/>
                  <w:tcBorders>
                    <w:tl2br w:val="nil"/>
                    <w:tr2bl w:val="nil"/>
                  </w:tcBorders>
                  <w:noWrap w:val="0"/>
                  <w:vAlign w:val="center"/>
                </w:tcPr>
                <w:p w14:paraId="488152A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99" w:type="pct"/>
                  <w:vMerge w:val="continue"/>
                  <w:tcBorders>
                    <w:tl2br w:val="nil"/>
                    <w:tr2bl w:val="nil"/>
                  </w:tcBorders>
                  <w:noWrap w:val="0"/>
                  <w:vAlign w:val="center"/>
                </w:tcPr>
                <w:p w14:paraId="66A476C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2" w:type="pct"/>
                  <w:vMerge w:val="continue"/>
                  <w:tcBorders>
                    <w:tl2br w:val="nil"/>
                    <w:tr2bl w:val="nil"/>
                  </w:tcBorders>
                  <w:noWrap w:val="0"/>
                  <w:vAlign w:val="center"/>
                </w:tcPr>
                <w:p w14:paraId="1F8317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07" w:type="pct"/>
                  <w:vMerge w:val="continue"/>
                  <w:tcBorders>
                    <w:tl2br w:val="nil"/>
                    <w:tr2bl w:val="nil"/>
                  </w:tcBorders>
                  <w:noWrap w:val="0"/>
                  <w:vAlign w:val="center"/>
                </w:tcPr>
                <w:p w14:paraId="0EA71AC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345" w:type="pct"/>
                  <w:vMerge w:val="continue"/>
                  <w:tcBorders>
                    <w:tl2br w:val="nil"/>
                    <w:tr2bl w:val="nil"/>
                  </w:tcBorders>
                  <w:noWrap w:val="0"/>
                  <w:vAlign w:val="center"/>
                </w:tcPr>
                <w:p w14:paraId="5AF7D7E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553" w:type="pct"/>
                  <w:vMerge w:val="continue"/>
                  <w:tcBorders>
                    <w:tl2br w:val="nil"/>
                    <w:tr2bl w:val="nil"/>
                  </w:tcBorders>
                  <w:noWrap w:val="0"/>
                  <w:vAlign w:val="center"/>
                </w:tcPr>
                <w:p w14:paraId="6984C9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791" w:type="pct"/>
                  <w:vMerge w:val="continue"/>
                  <w:tcBorders>
                    <w:tl2br w:val="nil"/>
                    <w:tr2bl w:val="nil"/>
                  </w:tcBorders>
                  <w:noWrap w:val="0"/>
                  <w:vAlign w:val="center"/>
                </w:tcPr>
                <w:p w14:paraId="6E5835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418" w:type="pct"/>
                  <w:vMerge w:val="continue"/>
                  <w:tcBorders>
                    <w:tl2br w:val="nil"/>
                    <w:tr2bl w:val="nil"/>
                  </w:tcBorders>
                  <w:noWrap w:val="0"/>
                  <w:vAlign w:val="center"/>
                </w:tcPr>
                <w:p w14:paraId="0061FEF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zh-CN" w:eastAsia="zh-CN" w:bidi="zh-CN"/>
                    </w:rPr>
                  </w:pPr>
                </w:p>
              </w:tc>
              <w:tc>
                <w:tcPr>
                  <w:tcW w:w="889" w:type="pct"/>
                  <w:tcBorders>
                    <w:tl2br w:val="nil"/>
                    <w:tr2bl w:val="nil"/>
                  </w:tcBorders>
                  <w:noWrap w:val="0"/>
                  <w:vAlign w:val="center"/>
                </w:tcPr>
                <w:p w14:paraId="3B8322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zh-CN" w:eastAsia="en-US" w:bidi="zh-CN"/>
                    </w:rPr>
                  </w:pPr>
                  <w:r>
                    <w:rPr>
                      <w:rFonts w:hint="default" w:ascii="Times New Roman" w:hAnsi="Times New Roman" w:eastAsia="宋体" w:cs="Times New Roman"/>
                      <w:b w:val="0"/>
                      <w:bCs w:val="0"/>
                      <w:color w:val="auto"/>
                      <w:kern w:val="0"/>
                      <w:sz w:val="21"/>
                      <w:szCs w:val="21"/>
                      <w:highlight w:val="none"/>
                      <w:lang w:val="en-US" w:eastAsia="zh-CN" w:bidi="zh-CN"/>
                    </w:rPr>
                    <w:t>/</w:t>
                  </w:r>
                </w:p>
              </w:tc>
            </w:tr>
            <w:tr w14:paraId="0573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0"/>
                  <w:tcBorders>
                    <w:tl2br w:val="nil"/>
                    <w:tr2bl w:val="nil"/>
                  </w:tcBorders>
                  <w:noWrap w:val="0"/>
                  <w:vAlign w:val="center"/>
                </w:tcPr>
                <w:p w14:paraId="39827E07">
                  <w:pPr>
                    <w:keepNext w:val="0"/>
                    <w:keepLines w:val="0"/>
                    <w:pageBreakBefore w:val="0"/>
                    <w:widowControl w:val="0"/>
                    <w:suppressLineNumbers w:val="0"/>
                    <w:kinsoku/>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bidi="ar"/>
                    </w:rPr>
                    <w:t>①其他包括机械除尘、喷雾降尘等。</w:t>
                  </w:r>
                </w:p>
                <w:p w14:paraId="461FB3BE">
                  <w:pPr>
                    <w:keepNext w:val="0"/>
                    <w:keepLines w:val="0"/>
                    <w:pageBreakBefore w:val="0"/>
                    <w:widowControl w:val="0"/>
                    <w:suppressLineNumbers w:val="0"/>
                    <w:kinsoku/>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bCs/>
                      <w:color w:val="auto"/>
                      <w:sz w:val="21"/>
                      <w:szCs w:val="21"/>
                      <w:highlight w:val="none"/>
                      <w:lang w:val="zh-CN" w:bidi="zh-CN"/>
                    </w:rPr>
                  </w:pPr>
                  <w:r>
                    <w:rPr>
                      <w:rFonts w:hint="default" w:ascii="Times New Roman" w:hAnsi="Times New Roman" w:eastAsia="宋体" w:cs="Times New Roman"/>
                      <w:b w:val="0"/>
                      <w:bCs w:val="0"/>
                      <w:snapToGrid w:val="0"/>
                      <w:color w:val="auto"/>
                      <w:kern w:val="0"/>
                      <w:sz w:val="21"/>
                      <w:szCs w:val="21"/>
                      <w:highlight w:val="none"/>
                      <w:lang w:val="en-US" w:eastAsia="zh-CN" w:bidi="ar"/>
                    </w:rPr>
                    <w:t>②其他包括干法、半干法、氨法、氢氧化钠法等。</w:t>
                  </w:r>
                </w:p>
              </w:tc>
            </w:tr>
          </w:tbl>
          <w:p w14:paraId="42D2A0F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A、烟气量</w:t>
            </w:r>
          </w:p>
          <w:p w14:paraId="60F2519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本项目年产1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000万块烧结砖，根据系数计算，项目每年烟气产生量为=152000标立方米/万块标砖×1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000万块=1.</w:t>
            </w:r>
            <w:r>
              <w:rPr>
                <w:rFonts w:hint="eastAsia" w:cs="Times New Roman"/>
                <w:bCs/>
                <w:color w:val="auto"/>
                <w:kern w:val="2"/>
                <w:sz w:val="24"/>
                <w:szCs w:val="24"/>
                <w:highlight w:val="none"/>
                <w:lang w:val="en-US" w:eastAsia="zh-CN" w:bidi="ar-SA"/>
              </w:rPr>
              <w:t>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Nm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/a（21111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/h）。</w:t>
            </w:r>
          </w:p>
          <w:p w14:paraId="6F381A1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B、颗粒物</w:t>
            </w:r>
          </w:p>
          <w:p w14:paraId="77191DD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本项目年产1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000万块烧结砖，根据系数计算，</w:t>
            </w:r>
          </w:p>
          <w:p w14:paraId="2D5E420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颗粒物产生量：6.5千克/万块标砖×1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w:t>
            </w:r>
            <w:r>
              <w:rPr>
                <w:rFonts w:hint="eastAsia" w:cs="Times New Roman"/>
                <w:bCs/>
                <w:color w:val="auto"/>
                <w:kern w:val="2"/>
                <w:sz w:val="24"/>
                <w:szCs w:val="24"/>
                <w:highlight w:val="none"/>
                <w:lang w:val="en-US" w:eastAsia="zh-CN" w:bidi="ar-SA"/>
              </w:rPr>
              <w:t>71.5</w:t>
            </w:r>
            <w:r>
              <w:rPr>
                <w:rFonts w:hint="default" w:ascii="Times New Roman" w:hAnsi="Times New Roman" w:eastAsia="宋体" w:cs="Times New Roman"/>
                <w:bCs/>
                <w:color w:val="auto"/>
                <w:kern w:val="2"/>
                <w:sz w:val="24"/>
                <w:szCs w:val="24"/>
                <w:highlight w:val="none"/>
                <w:lang w:val="en-US" w:eastAsia="zh-CN" w:bidi="ar-SA"/>
              </w:rPr>
              <w:t>t/a（9.03kg/h）</w:t>
            </w:r>
          </w:p>
          <w:p w14:paraId="60EEA95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颗粒物产生浓度：</w:t>
            </w:r>
            <w:r>
              <w:rPr>
                <w:rFonts w:hint="eastAsia" w:cs="Times New Roman"/>
                <w:bCs/>
                <w:color w:val="auto"/>
                <w:kern w:val="2"/>
                <w:sz w:val="24"/>
                <w:szCs w:val="24"/>
                <w:highlight w:val="none"/>
                <w:lang w:val="en-US" w:eastAsia="zh-CN" w:bidi="ar-SA"/>
              </w:rPr>
              <w:t>71.5</w:t>
            </w:r>
            <w:r>
              <w:rPr>
                <w:rFonts w:hint="default" w:ascii="Times New Roman" w:hAnsi="Times New Roman" w:eastAsia="宋体" w:cs="Times New Roman"/>
                <w:bCs/>
                <w:color w:val="auto"/>
                <w:kern w:val="2"/>
                <w:sz w:val="24"/>
                <w:szCs w:val="24"/>
                <w:highlight w:val="none"/>
                <w:lang w:val="en-US" w:eastAsia="zh-CN" w:bidi="ar-SA"/>
              </w:rPr>
              <w:t>t/a×10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/a=42.</w:t>
            </w:r>
            <w:r>
              <w:rPr>
                <w:rFonts w:hint="eastAsia" w:cs="Times New Roman"/>
                <w:bCs/>
                <w:color w:val="auto"/>
                <w:kern w:val="2"/>
                <w:sz w:val="24"/>
                <w:szCs w:val="24"/>
                <w:highlight w:val="none"/>
                <w:lang w:val="en-US" w:eastAsia="zh-CN" w:bidi="ar-SA"/>
              </w:rPr>
              <w:t>81</w:t>
            </w:r>
            <w:r>
              <w:rPr>
                <w:rFonts w:hint="default" w:ascii="Times New Roman" w:hAnsi="Times New Roman" w:eastAsia="宋体" w:cs="Times New Roman"/>
                <w:bCs/>
                <w:color w:val="auto"/>
                <w:kern w:val="2"/>
                <w:sz w:val="24"/>
                <w:szCs w:val="24"/>
                <w:highlight w:val="none"/>
                <w:lang w:val="en-US" w:eastAsia="zh-CN" w:bidi="ar-SA"/>
              </w:rPr>
              <w:t>mg/m</w:t>
            </w:r>
            <w:r>
              <w:rPr>
                <w:rFonts w:hint="default" w:ascii="Times New Roman" w:hAnsi="Times New Roman" w:eastAsia="宋体" w:cs="Times New Roman"/>
                <w:bCs/>
                <w:color w:val="auto"/>
                <w:kern w:val="2"/>
                <w:sz w:val="24"/>
                <w:szCs w:val="24"/>
                <w:highlight w:val="none"/>
                <w:vertAlign w:val="superscript"/>
                <w:lang w:val="en-US" w:eastAsia="zh-CN" w:bidi="ar-SA"/>
              </w:rPr>
              <w:t>3</w:t>
            </w:r>
          </w:p>
          <w:p w14:paraId="4EE7178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项目隧道窑焙烧段烟气经SNCR脱硝+双碱法脱硫+湿电除尘器处理后经1根</w:t>
            </w:r>
            <w:r>
              <w:rPr>
                <w:rFonts w:hint="eastAsia" w:cs="Times New Roman"/>
                <w:bCs/>
                <w:color w:val="auto"/>
                <w:kern w:val="2"/>
                <w:sz w:val="24"/>
                <w:szCs w:val="24"/>
                <w:highlight w:val="none"/>
                <w:lang w:val="en-US" w:eastAsia="zh-CN" w:bidi="ar-SA"/>
              </w:rPr>
              <w:t>32</w:t>
            </w:r>
            <w:r>
              <w:rPr>
                <w:rFonts w:hint="default" w:ascii="Times New Roman" w:hAnsi="Times New Roman" w:eastAsia="宋体" w:cs="Times New Roman"/>
                <w:bCs/>
                <w:color w:val="auto"/>
                <w:kern w:val="2"/>
                <w:sz w:val="24"/>
                <w:szCs w:val="24"/>
                <w:highlight w:val="none"/>
                <w:lang w:val="en-US" w:eastAsia="zh-CN" w:bidi="ar-SA"/>
              </w:rPr>
              <w:t>m高排气筒（DA00</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）排放，颗粒物浓度控制≤10mg/m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，则隧道窑颗粒物有组织排放量为：10mg/m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1.67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Nm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w:t>
            </w:r>
            <w:r>
              <w:rPr>
                <w:rFonts w:hint="eastAsia" w:cs="Times New Roman"/>
                <w:bCs/>
                <w:color w:val="auto"/>
                <w:kern w:val="2"/>
                <w:sz w:val="24"/>
                <w:szCs w:val="24"/>
                <w:highlight w:val="none"/>
                <w:lang w:val="en-US" w:eastAsia="zh-CN" w:bidi="ar-SA"/>
              </w:rPr>
              <w:t>16.7</w:t>
            </w:r>
            <w:r>
              <w:rPr>
                <w:rFonts w:hint="default" w:ascii="Times New Roman" w:hAnsi="Times New Roman" w:eastAsia="宋体" w:cs="Times New Roman"/>
                <w:bCs/>
                <w:color w:val="auto"/>
                <w:kern w:val="2"/>
                <w:sz w:val="24"/>
                <w:szCs w:val="24"/>
                <w:highlight w:val="none"/>
                <w:lang w:val="en-US" w:eastAsia="zh-CN" w:bidi="ar-SA"/>
              </w:rPr>
              <w:t>t/a（2.11kg/h）。</w:t>
            </w:r>
          </w:p>
          <w:p w14:paraId="4FF4333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C、NOx</w:t>
            </w:r>
          </w:p>
          <w:p w14:paraId="4E996CA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本项目年产1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000万块烧结砖，根据系数计算，</w:t>
            </w:r>
          </w:p>
          <w:p w14:paraId="7C1DBD7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氮氧化物产生量：8.16千克/立方米×1</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000万块/a=</w:t>
            </w:r>
            <w:r>
              <w:rPr>
                <w:rFonts w:hint="eastAsia" w:cs="Times New Roman"/>
                <w:bCs/>
                <w:color w:val="auto"/>
                <w:kern w:val="2"/>
                <w:sz w:val="24"/>
                <w:szCs w:val="24"/>
                <w:highlight w:val="none"/>
                <w:lang w:val="en-US" w:eastAsia="zh-CN" w:bidi="ar-SA"/>
              </w:rPr>
              <w:t>89.76</w:t>
            </w:r>
            <w:r>
              <w:rPr>
                <w:rFonts w:hint="default" w:ascii="Times New Roman" w:hAnsi="Times New Roman" w:eastAsia="宋体" w:cs="Times New Roman"/>
                <w:bCs/>
                <w:color w:val="auto"/>
                <w:kern w:val="2"/>
                <w:sz w:val="24"/>
                <w:szCs w:val="24"/>
                <w:highlight w:val="none"/>
                <w:lang w:val="en-US" w:eastAsia="zh-CN" w:bidi="ar-SA"/>
              </w:rPr>
              <w:t>t/a（11.33kg/h）</w:t>
            </w:r>
          </w:p>
          <w:p w14:paraId="558B1E3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氮氧化物产生浓度：8</w:t>
            </w:r>
            <w:r>
              <w:rPr>
                <w:rFonts w:hint="eastAsia" w:cs="Times New Roman"/>
                <w:bCs/>
                <w:color w:val="auto"/>
                <w:kern w:val="2"/>
                <w:sz w:val="24"/>
                <w:szCs w:val="24"/>
                <w:highlight w:val="none"/>
                <w:lang w:val="en-US" w:eastAsia="zh-CN" w:bidi="ar-SA"/>
              </w:rPr>
              <w:t>9.76</w:t>
            </w:r>
            <w:r>
              <w:rPr>
                <w:rFonts w:hint="default" w:ascii="Times New Roman" w:hAnsi="Times New Roman" w:eastAsia="宋体" w:cs="Times New Roman"/>
                <w:bCs/>
                <w:color w:val="auto"/>
                <w:kern w:val="2"/>
                <w:sz w:val="24"/>
                <w:szCs w:val="24"/>
                <w:highlight w:val="none"/>
                <w:lang w:val="en-US" w:eastAsia="zh-CN" w:bidi="ar-SA"/>
              </w:rPr>
              <w:t>t/a×10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w:t>
            </w:r>
            <w:r>
              <w:rPr>
                <w:rFonts w:hint="eastAsia" w:cs="Times New Roman"/>
                <w:bCs/>
                <w:color w:val="auto"/>
                <w:kern w:val="2"/>
                <w:sz w:val="24"/>
                <w:szCs w:val="24"/>
                <w:highlight w:val="none"/>
                <w:lang w:val="en-US" w:eastAsia="zh-CN" w:bidi="ar-SA"/>
              </w:rPr>
              <w:t>53.75</w:t>
            </w:r>
            <w:r>
              <w:rPr>
                <w:rFonts w:hint="default" w:ascii="Times New Roman" w:hAnsi="Times New Roman" w:eastAsia="宋体" w:cs="Times New Roman"/>
                <w:bCs/>
                <w:color w:val="auto"/>
                <w:kern w:val="2"/>
                <w:sz w:val="24"/>
                <w:szCs w:val="24"/>
                <w:highlight w:val="none"/>
                <w:lang w:val="en-US" w:eastAsia="zh-CN" w:bidi="ar-SA"/>
              </w:rPr>
              <w:t>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69FB054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项目隧道窑焙烧段烟气经SNCR脱硝+双碱法脱硫+湿电除尘器处理后经1根</w:t>
            </w:r>
            <w:r>
              <w:rPr>
                <w:rFonts w:hint="eastAsia" w:cs="Times New Roman"/>
                <w:bCs/>
                <w:color w:val="auto"/>
                <w:kern w:val="2"/>
                <w:sz w:val="24"/>
                <w:szCs w:val="24"/>
                <w:highlight w:val="none"/>
                <w:lang w:val="en-US" w:eastAsia="zh-CN" w:bidi="ar-SA"/>
              </w:rPr>
              <w:t>32</w:t>
            </w:r>
            <w:r>
              <w:rPr>
                <w:rFonts w:hint="default" w:ascii="Times New Roman" w:hAnsi="Times New Roman" w:eastAsia="宋体" w:cs="Times New Roman"/>
                <w:bCs/>
                <w:color w:val="auto"/>
                <w:kern w:val="2"/>
                <w:sz w:val="24"/>
                <w:szCs w:val="24"/>
                <w:highlight w:val="none"/>
                <w:lang w:val="en-US" w:eastAsia="zh-CN" w:bidi="ar-SA"/>
              </w:rPr>
              <w:t>m高排气筒（DA00</w:t>
            </w:r>
            <w:r>
              <w:rPr>
                <w:rFonts w:hint="eastAsia"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）排放，选择性非催化还原去除效率50%，则隧道窑NOx有组织排放量=</w:t>
            </w:r>
            <w:r>
              <w:rPr>
                <w:rFonts w:hint="eastAsia" w:cs="Times New Roman"/>
                <w:bCs/>
                <w:color w:val="auto"/>
                <w:kern w:val="2"/>
                <w:sz w:val="24"/>
                <w:szCs w:val="24"/>
                <w:highlight w:val="none"/>
                <w:lang w:val="en-US" w:eastAsia="zh-CN" w:bidi="ar-SA"/>
              </w:rPr>
              <w:t>89.76</w:t>
            </w:r>
            <w:r>
              <w:rPr>
                <w:rFonts w:hint="default" w:ascii="Times New Roman" w:hAnsi="Times New Roman" w:eastAsia="宋体" w:cs="Times New Roman"/>
                <w:bCs/>
                <w:color w:val="auto"/>
                <w:kern w:val="2"/>
                <w:sz w:val="24"/>
                <w:szCs w:val="24"/>
                <w:highlight w:val="none"/>
                <w:lang w:val="en-US" w:eastAsia="zh-CN" w:bidi="ar-SA"/>
              </w:rPr>
              <w:t>t/a×（1-50%）=</w:t>
            </w:r>
            <w:r>
              <w:rPr>
                <w:rFonts w:hint="eastAsia" w:cs="Times New Roman"/>
                <w:bCs/>
                <w:color w:val="auto"/>
                <w:kern w:val="2"/>
                <w:sz w:val="24"/>
                <w:szCs w:val="24"/>
                <w:highlight w:val="none"/>
                <w:lang w:val="en-US" w:eastAsia="zh-CN" w:bidi="ar-SA"/>
              </w:rPr>
              <w:t>44.88</w:t>
            </w:r>
            <w:r>
              <w:rPr>
                <w:rFonts w:hint="default" w:ascii="Times New Roman" w:hAnsi="Times New Roman" w:eastAsia="宋体" w:cs="Times New Roman"/>
                <w:bCs/>
                <w:color w:val="auto"/>
                <w:kern w:val="2"/>
                <w:sz w:val="24"/>
                <w:szCs w:val="24"/>
                <w:highlight w:val="none"/>
                <w:lang w:val="en-US" w:eastAsia="zh-CN" w:bidi="ar-SA"/>
              </w:rPr>
              <w:t>t/a（5.67kg/h），排放浓度=</w:t>
            </w:r>
            <w:r>
              <w:rPr>
                <w:rFonts w:hint="eastAsia" w:cs="Times New Roman"/>
                <w:bCs/>
                <w:color w:val="auto"/>
                <w:kern w:val="2"/>
                <w:sz w:val="24"/>
                <w:szCs w:val="24"/>
                <w:highlight w:val="none"/>
                <w:lang w:val="en-US" w:eastAsia="zh-CN" w:bidi="ar-SA"/>
              </w:rPr>
              <w:t>53.75</w:t>
            </w:r>
            <w:r>
              <w:rPr>
                <w:rFonts w:hint="default" w:ascii="Times New Roman" w:hAnsi="Times New Roman" w:eastAsia="宋体" w:cs="Times New Roman"/>
                <w:bCs/>
                <w:color w:val="auto"/>
                <w:kern w:val="2"/>
                <w:sz w:val="24"/>
                <w:szCs w:val="24"/>
                <w:highlight w:val="none"/>
                <w:lang w:val="en-US" w:eastAsia="zh-CN" w:bidi="ar-SA"/>
              </w:rPr>
              <w:t>×（1-50%）=2</w:t>
            </w:r>
            <w:r>
              <w:rPr>
                <w:rFonts w:hint="eastAsia" w:cs="Times New Roman"/>
                <w:bCs/>
                <w:color w:val="auto"/>
                <w:kern w:val="2"/>
                <w:sz w:val="24"/>
                <w:szCs w:val="24"/>
                <w:highlight w:val="none"/>
                <w:lang w:val="en-US" w:eastAsia="zh-CN" w:bidi="ar-SA"/>
              </w:rPr>
              <w:t>6.88</w:t>
            </w:r>
            <w:r>
              <w:rPr>
                <w:rFonts w:hint="default" w:ascii="Times New Roman" w:hAnsi="Times New Roman" w:eastAsia="宋体" w:cs="Times New Roman"/>
                <w:bCs/>
                <w:color w:val="auto"/>
                <w:kern w:val="2"/>
                <w:sz w:val="24"/>
                <w:szCs w:val="24"/>
                <w:highlight w:val="none"/>
                <w:lang w:val="en-US" w:eastAsia="zh-CN" w:bidi="ar-SA"/>
              </w:rPr>
              <w:t>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55F1418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D、SO</w:t>
            </w:r>
            <w:r>
              <w:rPr>
                <w:rFonts w:hint="default" w:ascii="Times New Roman" w:hAnsi="Times New Roman" w:eastAsia="宋体" w:cs="Times New Roman"/>
                <w:b/>
                <w:bCs w:val="0"/>
                <w:color w:val="auto"/>
                <w:kern w:val="2"/>
                <w:sz w:val="24"/>
                <w:szCs w:val="24"/>
                <w:highlight w:val="none"/>
                <w:vertAlign w:val="subscript"/>
                <w:lang w:val="en-US" w:eastAsia="zh-CN" w:bidi="ar-SA"/>
              </w:rPr>
              <w:t>2</w:t>
            </w:r>
          </w:p>
          <w:p w14:paraId="2D5F770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根据2023年7月《山西省建设项目“一本式”环评报告编制技术指南砖瓦工业(试行)》，二氧化硫源强采用物料衡算法核算。根据煤矸石成分检测报告，干基全硫含量为0.04%，</w:t>
            </w:r>
            <w:r>
              <w:rPr>
                <w:rFonts w:hint="default" w:ascii="Times New Roman" w:hAnsi="Times New Roman" w:cs="Times New Roman"/>
                <w:kern w:val="0"/>
                <w:sz w:val="24"/>
              </w:rPr>
              <w:t>生产线煤矸石投入量为</w:t>
            </w:r>
            <w:r>
              <w:rPr>
                <w:rFonts w:hint="default" w:ascii="Times New Roman" w:hAnsi="Times New Roman" w:cs="Times New Roman"/>
                <w:kern w:val="0"/>
                <w:sz w:val="24"/>
                <w:lang w:val="en-US" w:eastAsia="zh-CN"/>
              </w:rPr>
              <w:t>346500</w:t>
            </w:r>
            <w:r>
              <w:rPr>
                <w:rFonts w:hint="default" w:ascii="Times New Roman" w:hAnsi="Times New Roman" w:cs="Times New Roman"/>
                <w:kern w:val="0"/>
                <w:sz w:val="24"/>
              </w:rPr>
              <w:t>t/a，则煤矸石原料中含硫总量为</w:t>
            </w:r>
            <w:r>
              <w:rPr>
                <w:rFonts w:hint="default" w:ascii="Times New Roman" w:hAnsi="Times New Roman" w:cs="Times New Roman"/>
                <w:kern w:val="0"/>
                <w:sz w:val="24"/>
                <w:lang w:val="en-US" w:eastAsia="zh-CN"/>
              </w:rPr>
              <w:t>138.6</w:t>
            </w:r>
            <w:r>
              <w:rPr>
                <w:rFonts w:hint="default" w:ascii="Times New Roman" w:hAnsi="Times New Roman" w:cs="Times New Roman"/>
                <w:kern w:val="0"/>
                <w:sz w:val="24"/>
              </w:rPr>
              <w:t>t/a</w:t>
            </w:r>
            <w:r>
              <w:rPr>
                <w:rFonts w:hint="default" w:ascii="Times New Roman" w:hAnsi="Times New Roman" w:cs="Times New Roman"/>
                <w:kern w:val="0"/>
                <w:sz w:val="24"/>
                <w:lang w:eastAsia="zh-CN"/>
              </w:rPr>
              <w:t>。</w:t>
            </w:r>
            <w:r>
              <w:rPr>
                <w:rFonts w:hint="default" w:ascii="Times New Roman" w:hAnsi="Times New Roman" w:eastAsia="宋体" w:cs="Times New Roman"/>
                <w:bCs/>
                <w:color w:val="auto"/>
                <w:kern w:val="2"/>
                <w:sz w:val="24"/>
                <w:szCs w:val="24"/>
                <w:highlight w:val="none"/>
                <w:lang w:val="en-US" w:eastAsia="zh-CN" w:bidi="ar-SA"/>
              </w:rPr>
              <w:t>根据《煤矸石砖》编写组著．北京；煤炭工业出版社出版，1986：3-18）中表6-23焙烧温度与残存硫量的关系，不同焙烧温度下燃料中硫的残留量见下表。</w:t>
            </w:r>
          </w:p>
          <w:p w14:paraId="74F63A97">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4-12</w:t>
            </w:r>
            <w:r>
              <w:rPr>
                <w:rFonts w:hint="default" w:ascii="Times New Roman" w:hAnsi="Times New Roman" w:eastAsia="黑体" w:cs="Times New Roman"/>
                <w:b w:val="0"/>
                <w:bCs w:val="0"/>
                <w:color w:val="auto"/>
                <w:kern w:val="2"/>
                <w:sz w:val="24"/>
                <w:szCs w:val="24"/>
                <w:highlight w:val="none"/>
                <w:lang w:val="en-US" w:eastAsia="zh-CN" w:bidi="ar-SA"/>
              </w:rPr>
              <w:t xml:space="preserve">  焙烧温度与残存硫量的关系表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988"/>
              <w:gridCol w:w="988"/>
              <w:gridCol w:w="988"/>
              <w:gridCol w:w="988"/>
              <w:gridCol w:w="990"/>
              <w:gridCol w:w="990"/>
              <w:gridCol w:w="991"/>
            </w:tblGrid>
            <w:tr w14:paraId="5EDD4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noWrap w:val="0"/>
                  <w:vAlign w:val="center"/>
                </w:tcPr>
                <w:p w14:paraId="4DE633FB">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焙烧温度℃</w:t>
                  </w:r>
                </w:p>
              </w:tc>
              <w:tc>
                <w:tcPr>
                  <w:tcW w:w="590" w:type="pct"/>
                  <w:tcBorders>
                    <w:tl2br w:val="nil"/>
                    <w:tr2bl w:val="nil"/>
                  </w:tcBorders>
                  <w:noWrap w:val="0"/>
                  <w:vAlign w:val="center"/>
                </w:tcPr>
                <w:p w14:paraId="56B5629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850</w:t>
                  </w:r>
                </w:p>
              </w:tc>
              <w:tc>
                <w:tcPr>
                  <w:tcW w:w="590" w:type="pct"/>
                  <w:tcBorders>
                    <w:tl2br w:val="nil"/>
                    <w:tr2bl w:val="nil"/>
                  </w:tcBorders>
                  <w:noWrap w:val="0"/>
                  <w:vAlign w:val="center"/>
                </w:tcPr>
                <w:p w14:paraId="6CC6667C">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900</w:t>
                  </w:r>
                </w:p>
              </w:tc>
              <w:tc>
                <w:tcPr>
                  <w:tcW w:w="590" w:type="pct"/>
                  <w:tcBorders>
                    <w:tl2br w:val="nil"/>
                    <w:tr2bl w:val="nil"/>
                  </w:tcBorders>
                  <w:noWrap w:val="0"/>
                  <w:vAlign w:val="center"/>
                </w:tcPr>
                <w:p w14:paraId="16E1EDAD">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950</w:t>
                  </w:r>
                </w:p>
              </w:tc>
              <w:tc>
                <w:tcPr>
                  <w:tcW w:w="590" w:type="pct"/>
                  <w:tcBorders>
                    <w:tl2br w:val="nil"/>
                    <w:tr2bl w:val="nil"/>
                  </w:tcBorders>
                  <w:noWrap w:val="0"/>
                  <w:vAlign w:val="center"/>
                </w:tcPr>
                <w:p w14:paraId="7DF19603">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1000</w:t>
                  </w:r>
                </w:p>
              </w:tc>
              <w:tc>
                <w:tcPr>
                  <w:tcW w:w="591" w:type="pct"/>
                  <w:tcBorders>
                    <w:tl2br w:val="nil"/>
                    <w:tr2bl w:val="nil"/>
                  </w:tcBorders>
                  <w:noWrap w:val="0"/>
                  <w:vAlign w:val="center"/>
                </w:tcPr>
                <w:p w14:paraId="08B4CB0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1050</w:t>
                  </w:r>
                </w:p>
              </w:tc>
              <w:tc>
                <w:tcPr>
                  <w:tcW w:w="591" w:type="pct"/>
                  <w:tcBorders>
                    <w:tl2br w:val="nil"/>
                    <w:tr2bl w:val="nil"/>
                  </w:tcBorders>
                  <w:noWrap w:val="0"/>
                  <w:vAlign w:val="center"/>
                </w:tcPr>
                <w:p w14:paraId="4B8EACA4">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1100</w:t>
                  </w:r>
                </w:p>
              </w:tc>
              <w:tc>
                <w:tcPr>
                  <w:tcW w:w="591" w:type="pct"/>
                  <w:tcBorders>
                    <w:tl2br w:val="nil"/>
                    <w:tr2bl w:val="nil"/>
                  </w:tcBorders>
                  <w:noWrap w:val="0"/>
                  <w:vAlign w:val="center"/>
                </w:tcPr>
                <w:p w14:paraId="7383FB7B">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1150</w:t>
                  </w:r>
                </w:p>
              </w:tc>
            </w:tr>
            <w:tr w14:paraId="01945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noWrap w:val="0"/>
                  <w:vAlign w:val="center"/>
                </w:tcPr>
                <w:p w14:paraId="031E12D6">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bidi="ar"/>
                    </w:rPr>
                    <w:t>残</w:t>
                  </w:r>
                  <w:r>
                    <w:rPr>
                      <w:rFonts w:hint="eastAsia" w:ascii="Times New Roman" w:hAnsi="Times New Roman" w:eastAsia="宋体" w:cs="Times New Roman"/>
                      <w:color w:val="auto"/>
                      <w:sz w:val="21"/>
                      <w:szCs w:val="21"/>
                      <w:highlight w:val="none"/>
                      <w:lang w:val="en-US" w:eastAsia="zh-CN" w:bidi="ar"/>
                    </w:rPr>
                    <w:t>存全</w:t>
                  </w:r>
                  <w:r>
                    <w:rPr>
                      <w:rFonts w:hint="default" w:ascii="Times New Roman" w:hAnsi="Times New Roman" w:eastAsia="宋体" w:cs="Times New Roman"/>
                      <w:color w:val="auto"/>
                      <w:sz w:val="21"/>
                      <w:szCs w:val="21"/>
                      <w:highlight w:val="none"/>
                      <w:lang w:eastAsia="zh-CN" w:bidi="ar"/>
                    </w:rPr>
                    <w:t>硫量</w:t>
                  </w:r>
                  <w:r>
                    <w:rPr>
                      <w:rFonts w:hint="eastAsia" w:ascii="Times New Roman" w:hAnsi="Times New Roman" w:eastAsia="宋体" w:cs="Times New Roman"/>
                      <w:color w:val="auto"/>
                      <w:sz w:val="21"/>
                      <w:szCs w:val="21"/>
                      <w:highlight w:val="none"/>
                      <w:lang w:val="en-US" w:eastAsia="zh-CN" w:bidi="ar"/>
                    </w:rPr>
                    <w:t>%</w:t>
                  </w:r>
                </w:p>
              </w:tc>
              <w:tc>
                <w:tcPr>
                  <w:tcW w:w="590" w:type="pct"/>
                  <w:tcBorders>
                    <w:tl2br w:val="nil"/>
                    <w:tr2bl w:val="nil"/>
                  </w:tcBorders>
                  <w:noWrap w:val="0"/>
                  <w:vAlign w:val="center"/>
                </w:tcPr>
                <w:p w14:paraId="6E09D85F">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0.78</w:t>
                  </w:r>
                </w:p>
              </w:tc>
              <w:tc>
                <w:tcPr>
                  <w:tcW w:w="590" w:type="pct"/>
                  <w:tcBorders>
                    <w:tl2br w:val="nil"/>
                    <w:tr2bl w:val="nil"/>
                  </w:tcBorders>
                  <w:noWrap w:val="0"/>
                  <w:vAlign w:val="center"/>
                </w:tcPr>
                <w:p w14:paraId="12451A5A">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0.52</w:t>
                  </w:r>
                </w:p>
              </w:tc>
              <w:tc>
                <w:tcPr>
                  <w:tcW w:w="590" w:type="pct"/>
                  <w:tcBorders>
                    <w:tl2br w:val="nil"/>
                    <w:tr2bl w:val="nil"/>
                  </w:tcBorders>
                  <w:noWrap w:val="0"/>
                  <w:vAlign w:val="center"/>
                </w:tcPr>
                <w:p w14:paraId="2EB9681F">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w:t>
                  </w:r>
                </w:p>
              </w:tc>
              <w:tc>
                <w:tcPr>
                  <w:tcW w:w="590" w:type="pct"/>
                  <w:tcBorders>
                    <w:tl2br w:val="nil"/>
                    <w:tr2bl w:val="nil"/>
                  </w:tcBorders>
                  <w:noWrap w:val="0"/>
                  <w:vAlign w:val="center"/>
                </w:tcPr>
                <w:p w14:paraId="1409F1D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591" w:type="pct"/>
                  <w:tcBorders>
                    <w:tl2br w:val="nil"/>
                    <w:tr2bl w:val="nil"/>
                  </w:tcBorders>
                  <w:noWrap w:val="0"/>
                  <w:vAlign w:val="center"/>
                </w:tcPr>
                <w:p w14:paraId="2E394C99">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c>
                <w:tcPr>
                  <w:tcW w:w="591" w:type="pct"/>
                  <w:tcBorders>
                    <w:tl2br w:val="nil"/>
                    <w:tr2bl w:val="nil"/>
                  </w:tcBorders>
                  <w:noWrap w:val="0"/>
                  <w:vAlign w:val="center"/>
                </w:tcPr>
                <w:p w14:paraId="23C879CF">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591" w:type="pct"/>
                  <w:tcBorders>
                    <w:tl2br w:val="nil"/>
                    <w:tr2bl w:val="nil"/>
                  </w:tcBorders>
                  <w:noWrap w:val="0"/>
                  <w:vAlign w:val="center"/>
                </w:tcPr>
                <w:p w14:paraId="0B015B3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p>
              </w:tc>
            </w:tr>
            <w:tr w14:paraId="2F27F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noWrap w:val="0"/>
                  <w:vAlign w:val="center"/>
                </w:tcPr>
                <w:p w14:paraId="33FE7A5E">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bidi="ar"/>
                    </w:rPr>
                    <w:t>残</w:t>
                  </w:r>
                  <w:r>
                    <w:rPr>
                      <w:rFonts w:hint="eastAsia" w:ascii="Times New Roman" w:hAnsi="Times New Roman" w:eastAsia="宋体" w:cs="Times New Roman"/>
                      <w:color w:val="auto"/>
                      <w:sz w:val="21"/>
                      <w:szCs w:val="21"/>
                      <w:highlight w:val="none"/>
                      <w:lang w:val="en-US" w:eastAsia="zh-CN" w:bidi="ar"/>
                    </w:rPr>
                    <w:t>存</w:t>
                  </w:r>
                  <w:r>
                    <w:rPr>
                      <w:rFonts w:hint="default" w:ascii="Times New Roman" w:hAnsi="Times New Roman" w:eastAsia="宋体" w:cs="Times New Roman"/>
                      <w:color w:val="auto"/>
                      <w:sz w:val="21"/>
                      <w:szCs w:val="21"/>
                      <w:highlight w:val="none"/>
                      <w:lang w:eastAsia="zh-CN" w:bidi="ar"/>
                    </w:rPr>
                    <w:t>硫量</w:t>
                  </w:r>
                  <w:r>
                    <w:rPr>
                      <w:rFonts w:hint="eastAsia" w:ascii="Times New Roman" w:hAnsi="Times New Roman" w:eastAsia="宋体" w:cs="Times New Roman"/>
                      <w:color w:val="auto"/>
                      <w:sz w:val="21"/>
                      <w:szCs w:val="21"/>
                      <w:highlight w:val="none"/>
                      <w:lang w:val="en-US" w:eastAsia="zh-CN" w:bidi="ar"/>
                    </w:rPr>
                    <w:t>%</w:t>
                  </w:r>
                </w:p>
              </w:tc>
              <w:tc>
                <w:tcPr>
                  <w:tcW w:w="590" w:type="pct"/>
                  <w:tcBorders>
                    <w:tl2br w:val="nil"/>
                    <w:tr2bl w:val="nil"/>
                  </w:tcBorders>
                  <w:noWrap w:val="0"/>
                  <w:vAlign w:val="center"/>
                </w:tcPr>
                <w:p w14:paraId="7FFA7567">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100</w:t>
                  </w:r>
                  <w:r>
                    <w:rPr>
                      <w:rFonts w:hint="eastAsia" w:ascii="Times New Roman" w:hAnsi="Times New Roman" w:eastAsia="宋体" w:cs="Times New Roman"/>
                      <w:color w:val="auto"/>
                      <w:sz w:val="21"/>
                      <w:szCs w:val="21"/>
                      <w:highlight w:val="none"/>
                      <w:lang w:val="en-US" w:eastAsia="zh-CN" w:bidi="ar"/>
                    </w:rPr>
                    <w:t>.00</w:t>
                  </w:r>
                </w:p>
              </w:tc>
              <w:tc>
                <w:tcPr>
                  <w:tcW w:w="590" w:type="pct"/>
                  <w:tcBorders>
                    <w:tl2br w:val="nil"/>
                    <w:tr2bl w:val="nil"/>
                  </w:tcBorders>
                  <w:noWrap w:val="0"/>
                  <w:vAlign w:val="center"/>
                </w:tcPr>
                <w:p w14:paraId="6EC8C4E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68.42</w:t>
                  </w:r>
                </w:p>
              </w:tc>
              <w:tc>
                <w:tcPr>
                  <w:tcW w:w="590" w:type="pct"/>
                  <w:tcBorders>
                    <w:tl2br w:val="nil"/>
                    <w:tr2bl w:val="nil"/>
                  </w:tcBorders>
                  <w:noWrap w:val="0"/>
                  <w:vAlign w:val="center"/>
                </w:tcPr>
                <w:p w14:paraId="0AB2B61D">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47.37</w:t>
                  </w:r>
                </w:p>
              </w:tc>
              <w:tc>
                <w:tcPr>
                  <w:tcW w:w="590" w:type="pct"/>
                  <w:tcBorders>
                    <w:tl2br w:val="nil"/>
                    <w:tr2bl w:val="nil"/>
                  </w:tcBorders>
                  <w:noWrap w:val="0"/>
                  <w:vAlign w:val="center"/>
                </w:tcPr>
                <w:p w14:paraId="13E10FEF">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30.26</w:t>
                  </w:r>
                </w:p>
              </w:tc>
              <w:tc>
                <w:tcPr>
                  <w:tcW w:w="591" w:type="pct"/>
                  <w:tcBorders>
                    <w:tl2br w:val="nil"/>
                    <w:tr2bl w:val="nil"/>
                  </w:tcBorders>
                  <w:noWrap w:val="0"/>
                  <w:vAlign w:val="center"/>
                </w:tcPr>
                <w:p w14:paraId="1E171765">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17.11</w:t>
                  </w:r>
                </w:p>
              </w:tc>
              <w:tc>
                <w:tcPr>
                  <w:tcW w:w="591" w:type="pct"/>
                  <w:tcBorders>
                    <w:tl2br w:val="nil"/>
                    <w:tr2bl w:val="nil"/>
                  </w:tcBorders>
                  <w:noWrap w:val="0"/>
                  <w:vAlign w:val="center"/>
                </w:tcPr>
                <w:p w14:paraId="7512C6E2">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6.58</w:t>
                  </w:r>
                </w:p>
              </w:tc>
              <w:tc>
                <w:tcPr>
                  <w:tcW w:w="591" w:type="pct"/>
                  <w:tcBorders>
                    <w:tl2br w:val="nil"/>
                    <w:tr2bl w:val="nil"/>
                  </w:tcBorders>
                  <w:noWrap w:val="0"/>
                  <w:vAlign w:val="center"/>
                </w:tcPr>
                <w:p w14:paraId="33F9178C">
                  <w:pPr>
                    <w:keepNext w:val="0"/>
                    <w:keepLines w:val="0"/>
                    <w:pageBreakBefore w:val="0"/>
                    <w:widowControl w:val="0"/>
                    <w:kinsoku/>
                    <w:wordWrap/>
                    <w:overflowPunct/>
                    <w:topLinePunct w:val="0"/>
                    <w:bidi w:val="0"/>
                    <w:adjustRightInd w:val="0"/>
                    <w:snapToGrid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
                    </w:rPr>
                    <w:t>0</w:t>
                  </w:r>
                  <w:r>
                    <w:rPr>
                      <w:rFonts w:hint="eastAsia" w:ascii="Times New Roman" w:hAnsi="Times New Roman" w:eastAsia="宋体" w:cs="Times New Roman"/>
                      <w:color w:val="auto"/>
                      <w:sz w:val="21"/>
                      <w:szCs w:val="21"/>
                      <w:highlight w:val="none"/>
                      <w:lang w:val="en-US" w:eastAsia="zh-CN" w:bidi="ar"/>
                    </w:rPr>
                    <w:t>.00</w:t>
                  </w:r>
                </w:p>
              </w:tc>
            </w:tr>
          </w:tbl>
          <w:p w14:paraId="5D3FE992">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由上表可知，项目隧道窑焙烧温度约为900-1000℃，残存硫量在30.26~68.42%之间。则本次计算固硫率取中间值49%计，</w:t>
            </w:r>
            <w:r>
              <w:rPr>
                <w:rFonts w:hint="default" w:ascii="Times New Roman" w:hAnsi="Times New Roman" w:cs="Times New Roman"/>
                <w:kern w:val="0"/>
                <w:sz w:val="24"/>
              </w:rPr>
              <w:t>其中约</w:t>
            </w:r>
            <w:r>
              <w:rPr>
                <w:rFonts w:hint="default" w:ascii="Times New Roman" w:hAnsi="Times New Roman" w:cs="Times New Roman"/>
                <w:kern w:val="0"/>
                <w:sz w:val="24"/>
                <w:lang w:val="en-US" w:eastAsia="zh-CN"/>
              </w:rPr>
              <w:t>51</w:t>
            </w:r>
            <w:r>
              <w:rPr>
                <w:rFonts w:hint="default" w:ascii="Times New Roman" w:hAnsi="Times New Roman" w:cs="Times New Roman"/>
                <w:kern w:val="0"/>
                <w:sz w:val="24"/>
              </w:rPr>
              <w:t>%的硫转化成二氧化硫，</w:t>
            </w:r>
            <w:r>
              <w:rPr>
                <w:rFonts w:hint="default" w:ascii="Times New Roman" w:hAnsi="Times New Roman" w:eastAsia="宋体" w:cs="Times New Roman"/>
                <w:bCs/>
                <w:color w:val="auto"/>
                <w:kern w:val="2"/>
                <w:sz w:val="24"/>
                <w:szCs w:val="24"/>
                <w:highlight w:val="none"/>
                <w:lang w:val="en-US" w:eastAsia="zh-CN" w:bidi="ar-SA"/>
              </w:rPr>
              <w:t>则可燃硫量为136t/a×51%=69.36t/a，则SO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产生量计算为：69.36t/a×(64/32)=138.72t/a；产生浓度=138.72t/a×10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÷（1.67×10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/a=83.07mg/m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vertAlign w:val="baseline"/>
                <w:lang w:val="en-US" w:eastAsia="zh-CN" w:bidi="ar-SA"/>
              </w:rPr>
              <w:t>。</w:t>
            </w:r>
          </w:p>
          <w:p w14:paraId="01B7D88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宋体" w:eastAsia="宋体" w:cs="宋体"/>
                <w:bCs/>
                <w:color w:val="FF0000"/>
                <w:kern w:val="2"/>
                <w:sz w:val="24"/>
                <w:szCs w:val="24"/>
                <w:highlight w:val="none"/>
                <w:lang w:val="en-US" w:eastAsia="zh-CN" w:bidi="ar-SA"/>
              </w:rPr>
            </w:pPr>
            <w:r>
              <w:rPr>
                <w:rFonts w:hint="eastAsia" w:ascii="Times New Roman" w:hAnsi="宋体" w:eastAsia="宋体" w:cs="宋体"/>
                <w:bCs/>
                <w:color w:val="auto"/>
                <w:kern w:val="2"/>
                <w:sz w:val="24"/>
                <w:szCs w:val="24"/>
                <w:highlight w:val="none"/>
                <w:lang w:val="en-US" w:eastAsia="zh-CN" w:bidi="ar-SA"/>
              </w:rPr>
              <w:t>根据《排放源统计调查产排污核算方法和系数手册》-303砖瓦、石材等建筑材料制造行业系数手册-3031粘土砖瓦及建筑砌块制造（续4）：双碱法末端治理技术平均去除效率为90%，则隧道窑</w:t>
            </w:r>
            <w:r>
              <w:rPr>
                <w:rFonts w:hint="default" w:ascii="Times New Roman" w:hAnsi="宋体" w:eastAsia="宋体" w:cs="宋体"/>
                <w:bCs/>
                <w:color w:val="auto"/>
                <w:kern w:val="2"/>
                <w:sz w:val="24"/>
                <w:szCs w:val="24"/>
                <w:highlight w:val="none"/>
                <w:lang w:val="en-US" w:eastAsia="zh-CN" w:bidi="ar-SA"/>
              </w:rPr>
              <w:t>SO</w:t>
            </w:r>
            <w:r>
              <w:rPr>
                <w:rFonts w:hint="default" w:ascii="Times New Roman" w:hAnsi="宋体" w:eastAsia="宋体" w:cs="宋体"/>
                <w:bCs/>
                <w:color w:val="auto"/>
                <w:kern w:val="2"/>
                <w:sz w:val="24"/>
                <w:szCs w:val="24"/>
                <w:highlight w:val="none"/>
                <w:vertAlign w:val="subscript"/>
                <w:lang w:val="en-US" w:eastAsia="zh-CN" w:bidi="ar-SA"/>
              </w:rPr>
              <w:t>2</w:t>
            </w:r>
            <w:r>
              <w:rPr>
                <w:rFonts w:hint="eastAsia" w:ascii="Times New Roman" w:hAnsi="宋体" w:eastAsia="宋体" w:cs="宋体"/>
                <w:bCs/>
                <w:color w:val="auto"/>
                <w:kern w:val="2"/>
                <w:sz w:val="24"/>
                <w:szCs w:val="24"/>
                <w:highlight w:val="none"/>
                <w:lang w:val="en-US" w:eastAsia="zh-CN" w:bidi="ar-SA"/>
              </w:rPr>
              <w:t>有组织排放量=138.72t/a×（1-90%）=13.87t/a（1.75kg/h），排放浓度=83.07×（1-90%）=8.31mg/m</w:t>
            </w:r>
            <w:r>
              <w:rPr>
                <w:rFonts w:hint="eastAsia" w:ascii="Times New Roman" w:hAnsi="宋体" w:eastAsia="宋体" w:cs="宋体"/>
                <w:bCs/>
                <w:color w:val="auto"/>
                <w:kern w:val="2"/>
                <w:sz w:val="24"/>
                <w:szCs w:val="24"/>
                <w:highlight w:val="none"/>
                <w:vertAlign w:val="superscript"/>
                <w:lang w:val="en-US" w:eastAsia="zh-CN" w:bidi="ar-SA"/>
              </w:rPr>
              <w:t>3</w:t>
            </w:r>
            <w:r>
              <w:rPr>
                <w:rFonts w:hint="eastAsia" w:ascii="Times New Roman" w:hAnsi="宋体" w:eastAsia="宋体" w:cs="宋体"/>
                <w:bCs/>
                <w:color w:val="auto"/>
                <w:kern w:val="2"/>
                <w:sz w:val="24"/>
                <w:szCs w:val="24"/>
                <w:highlight w:val="none"/>
                <w:lang w:val="en-US" w:eastAsia="zh-CN" w:bidi="ar-SA"/>
              </w:rPr>
              <w:t>。</w:t>
            </w:r>
          </w:p>
          <w:p w14:paraId="6046CE7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E、氟化物</w:t>
            </w:r>
          </w:p>
          <w:p w14:paraId="6CA4638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煤矸石烧结砖中的氟化物主要来源于煤矸石等，虽然排放量较低，但由于煤矸石使用量大，因此产生的污染物是不可忽视的。本项目煤矸石氟含量约为0.008%，本项目煤矸石用量为</w:t>
            </w:r>
            <w:r>
              <w:rPr>
                <w:rFonts w:hint="eastAsia" w:cs="Times New Roman"/>
                <w:bCs/>
                <w:color w:val="auto"/>
                <w:kern w:val="2"/>
                <w:sz w:val="24"/>
                <w:szCs w:val="24"/>
                <w:highlight w:val="none"/>
                <w:lang w:val="en-US" w:eastAsia="zh-CN" w:bidi="ar-SA"/>
              </w:rPr>
              <w:t>346500</w:t>
            </w:r>
            <w:r>
              <w:rPr>
                <w:rFonts w:hint="default" w:ascii="Times New Roman" w:hAnsi="Times New Roman" w:eastAsia="宋体" w:cs="Times New Roman"/>
                <w:bCs/>
                <w:color w:val="auto"/>
                <w:kern w:val="2"/>
                <w:sz w:val="24"/>
                <w:szCs w:val="24"/>
                <w:highlight w:val="none"/>
                <w:lang w:val="en-US" w:eastAsia="zh-CN" w:bidi="ar-SA"/>
              </w:rPr>
              <w:t>t/a，氟化物（以F计）含量为</w:t>
            </w:r>
            <w:r>
              <w:rPr>
                <w:rFonts w:hint="eastAsia" w:cs="Times New Roman"/>
                <w:bCs/>
                <w:color w:val="auto"/>
                <w:kern w:val="2"/>
                <w:sz w:val="24"/>
                <w:szCs w:val="24"/>
                <w:highlight w:val="none"/>
                <w:lang w:val="en-US" w:eastAsia="zh-CN" w:bidi="ar-SA"/>
              </w:rPr>
              <w:t>27.72</w:t>
            </w:r>
            <w:r>
              <w:rPr>
                <w:rFonts w:hint="default" w:ascii="Times New Roman" w:hAnsi="Times New Roman" w:eastAsia="宋体" w:cs="Times New Roman"/>
                <w:bCs/>
                <w:color w:val="auto"/>
                <w:kern w:val="2"/>
                <w:sz w:val="24"/>
                <w:szCs w:val="24"/>
                <w:highlight w:val="none"/>
                <w:lang w:val="en-US" w:eastAsia="zh-CN" w:bidi="ar-SA"/>
              </w:rPr>
              <w:t>t/a，根据《四川环境》（2003年第22卷第5期）中刘咏《我国砖瓦厂氟化物的排放及其污染治理研究进展》，砖瓦烧制过程中氟的平均释放率为54.3%。则本项目氟化物产生量</w:t>
            </w:r>
            <w:r>
              <w:rPr>
                <w:rFonts w:hint="eastAsia" w:cs="Times New Roman"/>
                <w:bCs/>
                <w:color w:val="auto"/>
                <w:kern w:val="2"/>
                <w:sz w:val="24"/>
                <w:szCs w:val="24"/>
                <w:highlight w:val="none"/>
                <w:lang w:val="en-US" w:eastAsia="zh-CN" w:bidi="ar-SA"/>
              </w:rPr>
              <w:t>27.72</w:t>
            </w:r>
            <w:r>
              <w:rPr>
                <w:rFonts w:hint="default" w:ascii="Times New Roman" w:hAnsi="Times New Roman" w:eastAsia="宋体" w:cs="Times New Roman"/>
                <w:bCs/>
                <w:color w:val="auto"/>
                <w:kern w:val="2"/>
                <w:sz w:val="24"/>
                <w:szCs w:val="24"/>
                <w:highlight w:val="none"/>
                <w:lang w:val="en-US" w:eastAsia="zh-CN" w:bidi="ar-SA"/>
              </w:rPr>
              <w:t>t/a×54.3%=</w:t>
            </w:r>
            <w:r>
              <w:rPr>
                <w:rFonts w:hint="eastAsia" w:cs="Times New Roman"/>
                <w:bCs/>
                <w:color w:val="auto"/>
                <w:kern w:val="2"/>
                <w:sz w:val="24"/>
                <w:szCs w:val="24"/>
                <w:highlight w:val="none"/>
                <w:lang w:val="en-US" w:eastAsia="zh-CN" w:bidi="ar-SA"/>
              </w:rPr>
              <w:t>15.05</w:t>
            </w:r>
            <w:r>
              <w:rPr>
                <w:rFonts w:hint="default" w:ascii="Times New Roman" w:hAnsi="Times New Roman" w:eastAsia="宋体" w:cs="Times New Roman"/>
                <w:bCs/>
                <w:color w:val="auto"/>
                <w:kern w:val="2"/>
                <w:sz w:val="24"/>
                <w:szCs w:val="24"/>
                <w:highlight w:val="none"/>
                <w:lang w:val="en-US" w:eastAsia="zh-CN" w:bidi="ar-SA"/>
              </w:rPr>
              <w:t>t/a（1.90kg/h），产生浓度=</w:t>
            </w:r>
            <w:r>
              <w:rPr>
                <w:rFonts w:hint="eastAsia" w:cs="Times New Roman"/>
                <w:bCs/>
                <w:color w:val="auto"/>
                <w:kern w:val="2"/>
                <w:sz w:val="24"/>
                <w:szCs w:val="24"/>
                <w:highlight w:val="none"/>
                <w:lang w:val="en-US" w:eastAsia="zh-CN" w:bidi="ar-SA"/>
              </w:rPr>
              <w:t>15.05</w:t>
            </w:r>
            <w:r>
              <w:rPr>
                <w:rFonts w:hint="default" w:ascii="Times New Roman" w:hAnsi="Times New Roman" w:eastAsia="宋体" w:cs="Times New Roman"/>
                <w:bCs/>
                <w:color w:val="auto"/>
                <w:kern w:val="2"/>
                <w:sz w:val="24"/>
                <w:szCs w:val="24"/>
                <w:highlight w:val="none"/>
                <w:lang w:val="en-US" w:eastAsia="zh-CN" w:bidi="ar-SA"/>
              </w:rPr>
              <w:t>t/a×10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/a=9</w:t>
            </w:r>
            <w:r>
              <w:rPr>
                <w:rFonts w:hint="eastAsia" w:cs="Times New Roman"/>
                <w:bCs/>
                <w:color w:val="auto"/>
                <w:kern w:val="2"/>
                <w:sz w:val="24"/>
                <w:szCs w:val="24"/>
                <w:highlight w:val="none"/>
                <w:lang w:val="en-US" w:eastAsia="zh-CN" w:bidi="ar-SA"/>
              </w:rPr>
              <w:t>.01</w:t>
            </w:r>
            <w:r>
              <w:rPr>
                <w:rFonts w:hint="default" w:ascii="Times New Roman" w:hAnsi="Times New Roman" w:eastAsia="宋体" w:cs="Times New Roman"/>
                <w:bCs/>
                <w:color w:val="auto"/>
                <w:kern w:val="2"/>
                <w:sz w:val="24"/>
                <w:szCs w:val="24"/>
                <w:highlight w:val="none"/>
                <w:lang w:val="en-US" w:eastAsia="zh-CN" w:bidi="ar-SA"/>
              </w:rPr>
              <w:t>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36556E3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项目脱硫塔循环浆液中含有的Ca(OH)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溶液对氟化物有良好的吸收作用，净化效率约80%，则经过处理后项目隧道窑氟化物有组织排放量=</w:t>
            </w:r>
            <w:r>
              <w:rPr>
                <w:rFonts w:hint="eastAsia" w:cs="Times New Roman"/>
                <w:bCs/>
                <w:color w:val="auto"/>
                <w:kern w:val="2"/>
                <w:sz w:val="24"/>
                <w:szCs w:val="24"/>
                <w:highlight w:val="none"/>
                <w:lang w:val="en-US" w:eastAsia="zh-CN" w:bidi="ar-SA"/>
              </w:rPr>
              <w:t>15.05</w:t>
            </w:r>
            <w:r>
              <w:rPr>
                <w:rFonts w:hint="default" w:ascii="Times New Roman" w:hAnsi="Times New Roman" w:eastAsia="宋体" w:cs="Times New Roman"/>
                <w:bCs/>
                <w:color w:val="auto"/>
                <w:kern w:val="2"/>
                <w:sz w:val="24"/>
                <w:szCs w:val="24"/>
                <w:highlight w:val="none"/>
                <w:lang w:val="en-US" w:eastAsia="zh-CN" w:bidi="ar-SA"/>
              </w:rPr>
              <w:t>t/a×（1-80%）=</w:t>
            </w:r>
            <w:r>
              <w:rPr>
                <w:rFonts w:hint="eastAsia" w:cs="Times New Roman"/>
                <w:bCs/>
                <w:color w:val="auto"/>
                <w:kern w:val="2"/>
                <w:sz w:val="24"/>
                <w:szCs w:val="24"/>
                <w:highlight w:val="none"/>
                <w:lang w:val="en-US" w:eastAsia="zh-CN" w:bidi="ar-SA"/>
              </w:rPr>
              <w:t>3.01</w:t>
            </w:r>
            <w:r>
              <w:rPr>
                <w:rFonts w:hint="default" w:ascii="Times New Roman" w:hAnsi="Times New Roman" w:eastAsia="宋体" w:cs="Times New Roman"/>
                <w:bCs/>
                <w:color w:val="auto"/>
                <w:kern w:val="2"/>
                <w:sz w:val="24"/>
                <w:szCs w:val="24"/>
                <w:highlight w:val="none"/>
                <w:lang w:val="en-US" w:eastAsia="zh-CN" w:bidi="ar-SA"/>
              </w:rPr>
              <w:t>t/a（0.38kg/h），排放浓度=</w:t>
            </w:r>
            <w:r>
              <w:rPr>
                <w:rFonts w:hint="eastAsia" w:cs="Times New Roman"/>
                <w:bCs/>
                <w:color w:val="auto"/>
                <w:kern w:val="2"/>
                <w:sz w:val="24"/>
                <w:szCs w:val="24"/>
                <w:highlight w:val="none"/>
                <w:lang w:val="en-US" w:eastAsia="zh-CN" w:bidi="ar-SA"/>
              </w:rPr>
              <w:t>3.01</w:t>
            </w:r>
            <w:r>
              <w:rPr>
                <w:rFonts w:hint="default" w:ascii="Times New Roman" w:hAnsi="Times New Roman" w:eastAsia="宋体" w:cs="Times New Roman"/>
                <w:bCs/>
                <w:color w:val="auto"/>
                <w:kern w:val="2"/>
                <w:sz w:val="24"/>
                <w:szCs w:val="24"/>
                <w:highlight w:val="none"/>
                <w:lang w:val="en-US" w:eastAsia="zh-CN" w:bidi="ar-SA"/>
              </w:rPr>
              <w:t>t/a×10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67</w:t>
            </w:r>
            <w:r>
              <w:rPr>
                <w:rFonts w:hint="default"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/a=1.80mg/m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1955028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F、氨逃逸</w:t>
            </w:r>
          </w:p>
          <w:p w14:paraId="38989A82">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当温度超过1100℃时，NH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会被氧化成NO，反而造成NOx排放浓度增大；而温度低于800 ℃时，反应不完全，氨逃逸率高，造成新的污染。本项目隧道窑煅烧温度为950-1000℃，可满足SNCR工艺对温度的要求，从源头控制喷射脱硝液量，通过比较精密的调节阀按照实际需要量调节脱硝液量，避免过量喷射；脱硝过程根据工况，通过维改善脱硝液的喷入均匀性、改善流场的均匀性、监控催化剂的活性等，可降低氨的逃逸；减少逃逸量，将氨逃逸指标控制在3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以下。</w:t>
            </w:r>
          </w:p>
          <w:p w14:paraId="6CD02D26">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 xml:space="preserve">4-13 </w:t>
            </w:r>
            <w:r>
              <w:rPr>
                <w:rFonts w:hint="default" w:ascii="Times New Roman" w:hAnsi="Times New Roman" w:eastAsia="黑体" w:cs="Times New Roman"/>
                <w:b w:val="0"/>
                <w:bCs w:val="0"/>
                <w:color w:val="auto"/>
                <w:kern w:val="2"/>
                <w:sz w:val="24"/>
                <w:szCs w:val="24"/>
                <w:highlight w:val="none"/>
                <w:lang w:val="en-US" w:eastAsia="zh-CN" w:bidi="ar-SA"/>
              </w:rPr>
              <w:t xml:space="preserve"> 炉窑焙烧烟气污染物产生及排放情况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34"/>
              <w:gridCol w:w="869"/>
              <w:gridCol w:w="752"/>
              <w:gridCol w:w="841"/>
              <w:gridCol w:w="1623"/>
              <w:gridCol w:w="816"/>
              <w:gridCol w:w="655"/>
              <w:gridCol w:w="832"/>
            </w:tblGrid>
            <w:tr w14:paraId="0B60D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noWrap w:val="0"/>
                  <w:vAlign w:val="center"/>
                </w:tcPr>
                <w:p w14:paraId="184238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zh-CN" w:eastAsia="zh-CN" w:bidi="ar-SA"/>
                    </w:rPr>
                    <w:t>污染物</w:t>
                  </w:r>
                </w:p>
              </w:tc>
              <w:tc>
                <w:tcPr>
                  <w:tcW w:w="677" w:type="pct"/>
                  <w:vMerge w:val="restart"/>
                  <w:tcBorders>
                    <w:tl2br w:val="nil"/>
                    <w:tr2bl w:val="nil"/>
                  </w:tcBorders>
                  <w:noWrap w:val="0"/>
                  <w:vAlign w:val="center"/>
                </w:tcPr>
                <w:p w14:paraId="2DE11E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zh-CN" w:eastAsia="zh-CN" w:bidi="ar-SA"/>
                    </w:rPr>
                    <w:t>风量</w:t>
                  </w:r>
                  <w:r>
                    <w:rPr>
                      <w:rFonts w:hint="default" w:ascii="Times New Roman" w:hAnsi="Times New Roman" w:eastAsia="宋体" w:cs="Times New Roman"/>
                      <w:b/>
                      <w:bCs/>
                      <w:color w:val="auto"/>
                      <w:kern w:val="2"/>
                      <w:sz w:val="21"/>
                      <w:szCs w:val="21"/>
                      <w:highlight w:val="none"/>
                      <w:vertAlign w:val="baseline"/>
                      <w:lang w:val="en-US" w:eastAsia="zh-CN" w:bidi="ar-SA"/>
                    </w:rPr>
                    <w:t>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2"/>
                      <w:sz w:val="21"/>
                      <w:szCs w:val="21"/>
                      <w:highlight w:val="none"/>
                      <w:vertAlign w:val="baseline"/>
                      <w:lang w:val="en-US" w:eastAsia="zh-CN" w:bidi="ar-SA"/>
                    </w:rPr>
                    <w:t>/h</w:t>
                  </w:r>
                </w:p>
              </w:tc>
              <w:tc>
                <w:tcPr>
                  <w:tcW w:w="1470" w:type="pct"/>
                  <w:gridSpan w:val="3"/>
                  <w:tcBorders>
                    <w:tl2br w:val="nil"/>
                    <w:tr2bl w:val="nil"/>
                  </w:tcBorders>
                  <w:noWrap w:val="0"/>
                  <w:vAlign w:val="center"/>
                </w:tcPr>
                <w:p w14:paraId="12E4CA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产生情况</w:t>
                  </w:r>
                </w:p>
              </w:tc>
              <w:tc>
                <w:tcPr>
                  <w:tcW w:w="969" w:type="pct"/>
                  <w:vMerge w:val="restart"/>
                  <w:tcBorders>
                    <w:tl2br w:val="nil"/>
                    <w:tr2bl w:val="nil"/>
                  </w:tcBorders>
                  <w:noWrap w:val="0"/>
                  <w:vAlign w:val="center"/>
                </w:tcPr>
                <w:p w14:paraId="2ED1DF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治理措施</w:t>
                  </w:r>
                </w:p>
              </w:tc>
              <w:tc>
                <w:tcPr>
                  <w:tcW w:w="1374" w:type="pct"/>
                  <w:gridSpan w:val="3"/>
                  <w:tcBorders>
                    <w:tl2br w:val="nil"/>
                    <w:tr2bl w:val="nil"/>
                  </w:tcBorders>
                  <w:noWrap w:val="0"/>
                  <w:vAlign w:val="center"/>
                </w:tcPr>
                <w:p w14:paraId="3D5CD7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排放情况</w:t>
                  </w:r>
                </w:p>
              </w:tc>
            </w:tr>
            <w:tr w14:paraId="5749A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noWrap w:val="0"/>
                  <w:vAlign w:val="center"/>
                </w:tcPr>
                <w:p w14:paraId="4D1E81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zh-CN" w:eastAsia="zh-CN" w:bidi="ar-SA"/>
                    </w:rPr>
                  </w:pPr>
                </w:p>
              </w:tc>
              <w:tc>
                <w:tcPr>
                  <w:tcW w:w="677" w:type="pct"/>
                  <w:vMerge w:val="continue"/>
                  <w:tcBorders>
                    <w:tl2br w:val="nil"/>
                    <w:tr2bl w:val="nil"/>
                  </w:tcBorders>
                  <w:noWrap w:val="0"/>
                  <w:vAlign w:val="center"/>
                </w:tcPr>
                <w:p w14:paraId="0B7515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zh-CN" w:eastAsia="zh-CN" w:bidi="ar-SA"/>
                    </w:rPr>
                  </w:pPr>
                </w:p>
              </w:tc>
              <w:tc>
                <w:tcPr>
                  <w:tcW w:w="519" w:type="pct"/>
                  <w:tcBorders>
                    <w:tl2br w:val="nil"/>
                    <w:tr2bl w:val="nil"/>
                  </w:tcBorders>
                  <w:noWrap w:val="0"/>
                  <w:vAlign w:val="center"/>
                </w:tcPr>
                <w:p w14:paraId="45A5CF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产生</w:t>
                  </w:r>
                </w:p>
                <w:p w14:paraId="70CC8E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449" w:type="pct"/>
                  <w:tcBorders>
                    <w:tl2br w:val="nil"/>
                    <w:tr2bl w:val="nil"/>
                  </w:tcBorders>
                  <w:noWrap w:val="0"/>
                  <w:vAlign w:val="center"/>
                </w:tcPr>
                <w:p w14:paraId="0A8B0F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产生速率kg/h</w:t>
                  </w:r>
                </w:p>
              </w:tc>
              <w:tc>
                <w:tcPr>
                  <w:tcW w:w="502" w:type="pct"/>
                  <w:tcBorders>
                    <w:tl2br w:val="nil"/>
                    <w:tr2bl w:val="nil"/>
                  </w:tcBorders>
                  <w:noWrap w:val="0"/>
                  <w:vAlign w:val="center"/>
                </w:tcPr>
                <w:p w14:paraId="4887E9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产生量t/a</w:t>
                  </w:r>
                </w:p>
              </w:tc>
              <w:tc>
                <w:tcPr>
                  <w:tcW w:w="969" w:type="pct"/>
                  <w:vMerge w:val="continue"/>
                  <w:tcBorders>
                    <w:tl2br w:val="nil"/>
                    <w:tr2bl w:val="nil"/>
                  </w:tcBorders>
                  <w:noWrap w:val="0"/>
                  <w:vAlign w:val="center"/>
                </w:tcPr>
                <w:p w14:paraId="142F0A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487" w:type="pct"/>
                  <w:tcBorders>
                    <w:tl2br w:val="nil"/>
                    <w:tr2bl w:val="nil"/>
                  </w:tcBorders>
                  <w:noWrap w:val="0"/>
                  <w:vAlign w:val="center"/>
                </w:tcPr>
                <w:p w14:paraId="579611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排放</w:t>
                  </w:r>
                </w:p>
                <w:p w14:paraId="3CA52E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391" w:type="pct"/>
                  <w:tcBorders>
                    <w:tl2br w:val="nil"/>
                    <w:tr2bl w:val="nil"/>
                  </w:tcBorders>
                  <w:noWrap w:val="0"/>
                  <w:vAlign w:val="center"/>
                </w:tcPr>
                <w:p w14:paraId="2EDDAD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排放速率kg/h</w:t>
                  </w:r>
                </w:p>
              </w:tc>
              <w:tc>
                <w:tcPr>
                  <w:tcW w:w="495" w:type="pct"/>
                  <w:tcBorders>
                    <w:tl2br w:val="nil"/>
                    <w:tr2bl w:val="nil"/>
                  </w:tcBorders>
                  <w:noWrap w:val="0"/>
                  <w:vAlign w:val="center"/>
                </w:tcPr>
                <w:p w14:paraId="5D7001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排放量t/a</w:t>
                  </w:r>
                </w:p>
              </w:tc>
            </w:tr>
            <w:tr w14:paraId="6B9F7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noWrap w:val="0"/>
                  <w:vAlign w:val="center"/>
                </w:tcPr>
                <w:p w14:paraId="545F3A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颗粒物</w:t>
                  </w:r>
                </w:p>
              </w:tc>
              <w:tc>
                <w:tcPr>
                  <w:tcW w:w="677" w:type="pct"/>
                  <w:vMerge w:val="restart"/>
                  <w:tcBorders>
                    <w:tl2br w:val="nil"/>
                    <w:tr2bl w:val="nil"/>
                  </w:tcBorders>
                  <w:noWrap w:val="0"/>
                  <w:vAlign w:val="center"/>
                </w:tcPr>
                <w:p w14:paraId="424E0A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21111</w:t>
                  </w:r>
                  <w:r>
                    <w:rPr>
                      <w:rFonts w:hint="eastAsia" w:cs="Times New Roman"/>
                      <w:b w:val="0"/>
                      <w:bCs w:val="0"/>
                      <w:color w:val="auto"/>
                      <w:kern w:val="2"/>
                      <w:sz w:val="21"/>
                      <w:szCs w:val="21"/>
                      <w:highlight w:val="none"/>
                      <w:vertAlign w:val="baseline"/>
                      <w:lang w:val="en-US" w:eastAsia="zh-CN" w:bidi="ar-SA"/>
                    </w:rPr>
                    <w:t>1</w:t>
                  </w:r>
                </w:p>
              </w:tc>
              <w:tc>
                <w:tcPr>
                  <w:tcW w:w="519" w:type="pct"/>
                  <w:tcBorders>
                    <w:tl2br w:val="nil"/>
                    <w:tr2bl w:val="nil"/>
                  </w:tcBorders>
                  <w:noWrap w:val="0"/>
                  <w:vAlign w:val="center"/>
                </w:tcPr>
                <w:p w14:paraId="562A96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42.</w:t>
                  </w:r>
                  <w:r>
                    <w:rPr>
                      <w:rFonts w:hint="eastAsia" w:cs="Times New Roman"/>
                      <w:b w:val="0"/>
                      <w:bCs w:val="0"/>
                      <w:color w:val="auto"/>
                      <w:kern w:val="2"/>
                      <w:sz w:val="21"/>
                      <w:szCs w:val="21"/>
                      <w:highlight w:val="none"/>
                      <w:vertAlign w:val="baseline"/>
                      <w:lang w:val="en-US" w:eastAsia="zh-CN" w:bidi="ar-SA"/>
                    </w:rPr>
                    <w:t>81</w:t>
                  </w:r>
                </w:p>
              </w:tc>
              <w:tc>
                <w:tcPr>
                  <w:tcW w:w="449" w:type="pct"/>
                  <w:tcBorders>
                    <w:tl2br w:val="nil"/>
                    <w:tr2bl w:val="nil"/>
                  </w:tcBorders>
                  <w:noWrap w:val="0"/>
                  <w:vAlign w:val="center"/>
                </w:tcPr>
                <w:p w14:paraId="53B198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9.03</w:t>
                  </w:r>
                </w:p>
              </w:tc>
              <w:tc>
                <w:tcPr>
                  <w:tcW w:w="502" w:type="pct"/>
                  <w:tcBorders>
                    <w:tl2br w:val="nil"/>
                    <w:tr2bl w:val="nil"/>
                  </w:tcBorders>
                  <w:noWrap w:val="0"/>
                  <w:vAlign w:val="center"/>
                </w:tcPr>
                <w:p w14:paraId="422927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71.5</w:t>
                  </w:r>
                </w:p>
              </w:tc>
              <w:tc>
                <w:tcPr>
                  <w:tcW w:w="969" w:type="pct"/>
                  <w:vMerge w:val="restart"/>
                  <w:tcBorders>
                    <w:tl2br w:val="nil"/>
                    <w:tr2bl w:val="nil"/>
                  </w:tcBorders>
                  <w:noWrap w:val="0"/>
                  <w:vAlign w:val="center"/>
                </w:tcPr>
                <w:p w14:paraId="125474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SNCR脱硝</w:t>
                  </w:r>
                  <w:r>
                    <w:rPr>
                      <w:rFonts w:hint="eastAsia" w:ascii="Times New Roman" w:hAnsi="Times New Roman" w:eastAsia="宋体" w:cs="Times New Roman"/>
                      <w:b w:val="0"/>
                      <w:bCs w:val="0"/>
                      <w:color w:val="auto"/>
                      <w:kern w:val="2"/>
                      <w:sz w:val="21"/>
                      <w:szCs w:val="21"/>
                      <w:highlight w:val="none"/>
                      <w:vertAlign w:val="baseline"/>
                      <w:lang w:val="en-US" w:eastAsia="zh-CN" w:bidi="ar-SA"/>
                    </w:rPr>
                    <w:t>+双碱法</w:t>
                  </w:r>
                  <w:r>
                    <w:rPr>
                      <w:rFonts w:hint="default" w:ascii="Times New Roman" w:hAnsi="Times New Roman" w:eastAsia="宋体" w:cs="Times New Roman"/>
                      <w:b w:val="0"/>
                      <w:bCs w:val="0"/>
                      <w:color w:val="auto"/>
                      <w:kern w:val="2"/>
                      <w:sz w:val="21"/>
                      <w:szCs w:val="21"/>
                      <w:highlight w:val="none"/>
                      <w:vertAlign w:val="baseline"/>
                      <w:lang w:val="en-US" w:eastAsia="zh-CN" w:bidi="ar-SA"/>
                    </w:rPr>
                    <w:t>脱硫+湿电除尘器处理</w:t>
                  </w: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default" w:ascii="Times New Roman" w:hAnsi="Times New Roman" w:eastAsia="宋体" w:cs="Times New Roman"/>
                      <w:b w:val="0"/>
                      <w:bCs w:val="0"/>
                      <w:color w:val="auto"/>
                      <w:kern w:val="2"/>
                      <w:sz w:val="21"/>
                      <w:szCs w:val="21"/>
                      <w:highlight w:val="none"/>
                      <w:vertAlign w:val="baseline"/>
                      <w:lang w:val="en-US" w:eastAsia="zh-CN" w:bidi="ar-SA"/>
                    </w:rPr>
                    <w:t>1根</w:t>
                  </w:r>
                  <w:r>
                    <w:rPr>
                      <w:rFonts w:hint="eastAsia" w:cs="Times New Roman"/>
                      <w:b w:val="0"/>
                      <w:bCs w:val="0"/>
                      <w:color w:val="auto"/>
                      <w:kern w:val="2"/>
                      <w:sz w:val="21"/>
                      <w:szCs w:val="21"/>
                      <w:highlight w:val="none"/>
                      <w:vertAlign w:val="baseline"/>
                      <w:lang w:val="en-US" w:eastAsia="zh-CN" w:bidi="ar-SA"/>
                    </w:rPr>
                    <w:t>32</w:t>
                  </w:r>
                  <w:r>
                    <w:rPr>
                      <w:rFonts w:hint="default" w:ascii="Times New Roman" w:hAnsi="Times New Roman" w:eastAsia="宋体" w:cs="Times New Roman"/>
                      <w:b w:val="0"/>
                      <w:bCs w:val="0"/>
                      <w:color w:val="auto"/>
                      <w:kern w:val="2"/>
                      <w:sz w:val="21"/>
                      <w:szCs w:val="21"/>
                      <w:highlight w:val="none"/>
                      <w:vertAlign w:val="baseline"/>
                      <w:lang w:val="en-US" w:eastAsia="zh-CN" w:bidi="ar-SA"/>
                    </w:rPr>
                    <w:t>m高排气筒</w:t>
                  </w:r>
                  <w:r>
                    <w:rPr>
                      <w:rFonts w:hint="eastAsia" w:ascii="Times New Roman" w:hAnsi="Times New Roman" w:eastAsia="宋体" w:cs="Times New Roman"/>
                      <w:b w:val="0"/>
                      <w:bCs w:val="0"/>
                      <w:color w:val="auto"/>
                      <w:kern w:val="2"/>
                      <w:sz w:val="21"/>
                      <w:szCs w:val="21"/>
                      <w:highlight w:val="none"/>
                      <w:vertAlign w:val="baseline"/>
                      <w:lang w:val="en-US" w:eastAsia="zh-CN" w:bidi="ar-SA"/>
                    </w:rPr>
                    <w:t>（DA00</w:t>
                  </w:r>
                  <w:r>
                    <w:rPr>
                      <w:rFonts w:hint="eastAsia" w:cs="Times New Roman"/>
                      <w:b w:val="0"/>
                      <w:bCs w:val="0"/>
                      <w:color w:val="auto"/>
                      <w:kern w:val="2"/>
                      <w:sz w:val="21"/>
                      <w:szCs w:val="21"/>
                      <w:highlight w:val="none"/>
                      <w:vertAlign w:val="baseline"/>
                      <w:lang w:val="en-US" w:eastAsia="zh-CN" w:bidi="ar-SA"/>
                    </w:rPr>
                    <w:t>1</w:t>
                  </w: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default" w:ascii="Times New Roman" w:hAnsi="Times New Roman" w:eastAsia="宋体" w:cs="Times New Roman"/>
                      <w:b w:val="0"/>
                      <w:bCs w:val="0"/>
                      <w:color w:val="auto"/>
                      <w:kern w:val="2"/>
                      <w:sz w:val="21"/>
                      <w:szCs w:val="21"/>
                      <w:highlight w:val="none"/>
                      <w:vertAlign w:val="baseline"/>
                      <w:lang w:val="en-US" w:eastAsia="zh-CN" w:bidi="ar-SA"/>
                    </w:rPr>
                    <w:t>排放</w:t>
                  </w:r>
                </w:p>
              </w:tc>
              <w:tc>
                <w:tcPr>
                  <w:tcW w:w="487" w:type="pct"/>
                  <w:tcBorders>
                    <w:tl2br w:val="nil"/>
                    <w:tr2bl w:val="nil"/>
                  </w:tcBorders>
                  <w:noWrap w:val="0"/>
                  <w:vAlign w:val="center"/>
                </w:tcPr>
                <w:p w14:paraId="6A87FD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10</w:t>
                  </w:r>
                </w:p>
              </w:tc>
              <w:tc>
                <w:tcPr>
                  <w:tcW w:w="391" w:type="pct"/>
                  <w:tcBorders>
                    <w:tl2br w:val="nil"/>
                    <w:tr2bl w:val="nil"/>
                  </w:tcBorders>
                  <w:noWrap w:val="0"/>
                  <w:vAlign w:val="center"/>
                </w:tcPr>
                <w:p w14:paraId="240685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2.11</w:t>
                  </w:r>
                </w:p>
              </w:tc>
              <w:tc>
                <w:tcPr>
                  <w:tcW w:w="495" w:type="pct"/>
                  <w:tcBorders>
                    <w:tl2br w:val="nil"/>
                    <w:tr2bl w:val="nil"/>
                  </w:tcBorders>
                  <w:noWrap w:val="0"/>
                  <w:vAlign w:val="center"/>
                </w:tcPr>
                <w:p w14:paraId="1BDF38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16.7</w:t>
                  </w:r>
                </w:p>
              </w:tc>
            </w:tr>
            <w:tr w14:paraId="0DDCD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noWrap w:val="0"/>
                  <w:vAlign w:val="center"/>
                </w:tcPr>
                <w:p w14:paraId="35E0F4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NOx</w:t>
                  </w:r>
                </w:p>
              </w:tc>
              <w:tc>
                <w:tcPr>
                  <w:tcW w:w="677" w:type="pct"/>
                  <w:vMerge w:val="continue"/>
                  <w:tcBorders>
                    <w:tl2br w:val="nil"/>
                    <w:tr2bl w:val="nil"/>
                  </w:tcBorders>
                  <w:noWrap w:val="0"/>
                  <w:vAlign w:val="center"/>
                </w:tcPr>
                <w:p w14:paraId="5C23C3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519" w:type="pct"/>
                  <w:tcBorders>
                    <w:tl2br w:val="nil"/>
                    <w:tr2bl w:val="nil"/>
                  </w:tcBorders>
                  <w:noWrap w:val="0"/>
                  <w:vAlign w:val="center"/>
                </w:tcPr>
                <w:p w14:paraId="7BCCB7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53.75</w:t>
                  </w:r>
                </w:p>
              </w:tc>
              <w:tc>
                <w:tcPr>
                  <w:tcW w:w="449" w:type="pct"/>
                  <w:tcBorders>
                    <w:tl2br w:val="nil"/>
                    <w:tr2bl w:val="nil"/>
                  </w:tcBorders>
                  <w:noWrap w:val="0"/>
                  <w:vAlign w:val="center"/>
                </w:tcPr>
                <w:p w14:paraId="0E2029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11.33</w:t>
                  </w:r>
                </w:p>
              </w:tc>
              <w:tc>
                <w:tcPr>
                  <w:tcW w:w="502" w:type="pct"/>
                  <w:tcBorders>
                    <w:tl2br w:val="nil"/>
                    <w:tr2bl w:val="nil"/>
                  </w:tcBorders>
                  <w:noWrap w:val="0"/>
                  <w:vAlign w:val="center"/>
                </w:tcPr>
                <w:p w14:paraId="13F60F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89.76</w:t>
                  </w:r>
                </w:p>
              </w:tc>
              <w:tc>
                <w:tcPr>
                  <w:tcW w:w="969" w:type="pct"/>
                  <w:vMerge w:val="continue"/>
                  <w:tcBorders>
                    <w:tl2br w:val="nil"/>
                    <w:tr2bl w:val="nil"/>
                  </w:tcBorders>
                  <w:noWrap w:val="0"/>
                  <w:vAlign w:val="center"/>
                </w:tcPr>
                <w:p w14:paraId="4517CD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487" w:type="pct"/>
                  <w:tcBorders>
                    <w:tl2br w:val="nil"/>
                    <w:tr2bl w:val="nil"/>
                  </w:tcBorders>
                  <w:noWrap w:val="0"/>
                  <w:vAlign w:val="center"/>
                </w:tcPr>
                <w:p w14:paraId="7ABD9F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26.88</w:t>
                  </w:r>
                </w:p>
              </w:tc>
              <w:tc>
                <w:tcPr>
                  <w:tcW w:w="391" w:type="pct"/>
                  <w:tcBorders>
                    <w:tl2br w:val="nil"/>
                    <w:tr2bl w:val="nil"/>
                  </w:tcBorders>
                  <w:noWrap w:val="0"/>
                  <w:vAlign w:val="center"/>
                </w:tcPr>
                <w:p w14:paraId="1E8B6F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5.67</w:t>
                  </w:r>
                </w:p>
              </w:tc>
              <w:tc>
                <w:tcPr>
                  <w:tcW w:w="495" w:type="pct"/>
                  <w:tcBorders>
                    <w:tl2br w:val="nil"/>
                    <w:tr2bl w:val="nil"/>
                  </w:tcBorders>
                  <w:noWrap w:val="0"/>
                  <w:vAlign w:val="center"/>
                </w:tcPr>
                <w:p w14:paraId="765B65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44.88</w:t>
                  </w:r>
                </w:p>
              </w:tc>
            </w:tr>
            <w:tr w14:paraId="3DE51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noWrap w:val="0"/>
                  <w:vAlign w:val="center"/>
                </w:tcPr>
                <w:p w14:paraId="0050F1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SO</w:t>
                  </w:r>
                  <w:r>
                    <w:rPr>
                      <w:rFonts w:hint="default" w:ascii="Times New Roman" w:hAnsi="Times New Roman" w:eastAsia="宋体" w:cs="Times New Roman"/>
                      <w:b w:val="0"/>
                      <w:bCs w:val="0"/>
                      <w:color w:val="auto"/>
                      <w:kern w:val="2"/>
                      <w:sz w:val="21"/>
                      <w:szCs w:val="21"/>
                      <w:highlight w:val="none"/>
                      <w:vertAlign w:val="subscript"/>
                      <w:lang w:val="en-US" w:eastAsia="zh-CN" w:bidi="ar-SA"/>
                    </w:rPr>
                    <w:t>2</w:t>
                  </w:r>
                </w:p>
              </w:tc>
              <w:tc>
                <w:tcPr>
                  <w:tcW w:w="677" w:type="pct"/>
                  <w:vMerge w:val="continue"/>
                  <w:tcBorders>
                    <w:tl2br w:val="nil"/>
                    <w:tr2bl w:val="nil"/>
                  </w:tcBorders>
                  <w:noWrap w:val="0"/>
                  <w:vAlign w:val="center"/>
                </w:tcPr>
                <w:p w14:paraId="5818EB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519" w:type="pct"/>
                  <w:tcBorders>
                    <w:tl2br w:val="nil"/>
                    <w:tr2bl w:val="nil"/>
                  </w:tcBorders>
                  <w:noWrap w:val="0"/>
                  <w:vAlign w:val="center"/>
                </w:tcPr>
                <w:p w14:paraId="144B37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83.07</w:t>
                  </w:r>
                </w:p>
              </w:tc>
              <w:tc>
                <w:tcPr>
                  <w:tcW w:w="449" w:type="pct"/>
                  <w:tcBorders>
                    <w:tl2br w:val="nil"/>
                    <w:tr2bl w:val="nil"/>
                  </w:tcBorders>
                  <w:noWrap w:val="0"/>
                  <w:vAlign w:val="center"/>
                </w:tcPr>
                <w:p w14:paraId="187F7C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17.52</w:t>
                  </w:r>
                </w:p>
              </w:tc>
              <w:tc>
                <w:tcPr>
                  <w:tcW w:w="502" w:type="pct"/>
                  <w:tcBorders>
                    <w:tl2br w:val="nil"/>
                    <w:tr2bl w:val="nil"/>
                  </w:tcBorders>
                  <w:noWrap w:val="0"/>
                  <w:vAlign w:val="center"/>
                </w:tcPr>
                <w:p w14:paraId="2C8F32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138.72</w:t>
                  </w:r>
                </w:p>
              </w:tc>
              <w:tc>
                <w:tcPr>
                  <w:tcW w:w="969" w:type="pct"/>
                  <w:vMerge w:val="continue"/>
                  <w:tcBorders>
                    <w:tl2br w:val="nil"/>
                    <w:tr2bl w:val="nil"/>
                  </w:tcBorders>
                  <w:noWrap w:val="0"/>
                  <w:vAlign w:val="center"/>
                </w:tcPr>
                <w:p w14:paraId="5207CC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487" w:type="pct"/>
                  <w:tcBorders>
                    <w:tl2br w:val="nil"/>
                    <w:tr2bl w:val="nil"/>
                  </w:tcBorders>
                  <w:noWrap w:val="0"/>
                  <w:vAlign w:val="center"/>
                </w:tcPr>
                <w:p w14:paraId="0770D7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8.31</w:t>
                  </w:r>
                </w:p>
              </w:tc>
              <w:tc>
                <w:tcPr>
                  <w:tcW w:w="391" w:type="pct"/>
                  <w:tcBorders>
                    <w:tl2br w:val="nil"/>
                    <w:tr2bl w:val="nil"/>
                  </w:tcBorders>
                  <w:noWrap w:val="0"/>
                  <w:vAlign w:val="center"/>
                </w:tcPr>
                <w:p w14:paraId="307918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1.75</w:t>
                  </w:r>
                </w:p>
              </w:tc>
              <w:tc>
                <w:tcPr>
                  <w:tcW w:w="495" w:type="pct"/>
                  <w:tcBorders>
                    <w:tl2br w:val="nil"/>
                    <w:tr2bl w:val="nil"/>
                  </w:tcBorders>
                  <w:noWrap w:val="0"/>
                  <w:vAlign w:val="center"/>
                </w:tcPr>
                <w:p w14:paraId="048701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13.87</w:t>
                  </w:r>
                </w:p>
              </w:tc>
            </w:tr>
            <w:tr w14:paraId="466F7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noWrap w:val="0"/>
                  <w:vAlign w:val="center"/>
                </w:tcPr>
                <w:p w14:paraId="0F3C66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氟化物</w:t>
                  </w:r>
                </w:p>
              </w:tc>
              <w:tc>
                <w:tcPr>
                  <w:tcW w:w="677" w:type="pct"/>
                  <w:vMerge w:val="continue"/>
                  <w:tcBorders>
                    <w:tl2br w:val="nil"/>
                    <w:tr2bl w:val="nil"/>
                  </w:tcBorders>
                  <w:noWrap w:val="0"/>
                  <w:vAlign w:val="center"/>
                </w:tcPr>
                <w:p w14:paraId="0DA5AF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519" w:type="pct"/>
                  <w:tcBorders>
                    <w:tl2br w:val="nil"/>
                    <w:tr2bl w:val="nil"/>
                  </w:tcBorders>
                  <w:noWrap w:val="0"/>
                  <w:vAlign w:val="center"/>
                </w:tcPr>
                <w:p w14:paraId="36926A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9</w:t>
                  </w:r>
                  <w:r>
                    <w:rPr>
                      <w:rFonts w:hint="eastAsia" w:cs="Times New Roman"/>
                      <w:b w:val="0"/>
                      <w:bCs w:val="0"/>
                      <w:color w:val="auto"/>
                      <w:kern w:val="2"/>
                      <w:sz w:val="21"/>
                      <w:szCs w:val="21"/>
                      <w:highlight w:val="none"/>
                      <w:vertAlign w:val="baseline"/>
                      <w:lang w:val="en-US" w:eastAsia="zh-CN" w:bidi="ar-SA"/>
                    </w:rPr>
                    <w:t>.01</w:t>
                  </w:r>
                </w:p>
              </w:tc>
              <w:tc>
                <w:tcPr>
                  <w:tcW w:w="449" w:type="pct"/>
                  <w:tcBorders>
                    <w:tl2br w:val="nil"/>
                    <w:tr2bl w:val="nil"/>
                  </w:tcBorders>
                  <w:noWrap w:val="0"/>
                  <w:vAlign w:val="center"/>
                </w:tcPr>
                <w:p w14:paraId="379D23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1.90</w:t>
                  </w:r>
                </w:p>
              </w:tc>
              <w:tc>
                <w:tcPr>
                  <w:tcW w:w="502" w:type="pct"/>
                  <w:tcBorders>
                    <w:tl2br w:val="nil"/>
                    <w:tr2bl w:val="nil"/>
                  </w:tcBorders>
                  <w:noWrap w:val="0"/>
                  <w:vAlign w:val="center"/>
                </w:tcPr>
                <w:p w14:paraId="1B2E2A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15.05</w:t>
                  </w:r>
                </w:p>
              </w:tc>
              <w:tc>
                <w:tcPr>
                  <w:tcW w:w="969" w:type="pct"/>
                  <w:vMerge w:val="continue"/>
                  <w:tcBorders>
                    <w:tl2br w:val="nil"/>
                    <w:tr2bl w:val="nil"/>
                  </w:tcBorders>
                  <w:noWrap w:val="0"/>
                  <w:vAlign w:val="center"/>
                </w:tcPr>
                <w:p w14:paraId="501A92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487" w:type="pct"/>
                  <w:tcBorders>
                    <w:tl2br w:val="nil"/>
                    <w:tr2bl w:val="nil"/>
                  </w:tcBorders>
                  <w:noWrap w:val="0"/>
                  <w:vAlign w:val="center"/>
                </w:tcPr>
                <w:p w14:paraId="6964ED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1.8</w:t>
                  </w:r>
                </w:p>
              </w:tc>
              <w:tc>
                <w:tcPr>
                  <w:tcW w:w="391" w:type="pct"/>
                  <w:tcBorders>
                    <w:tl2br w:val="nil"/>
                    <w:tr2bl w:val="nil"/>
                  </w:tcBorders>
                  <w:noWrap w:val="0"/>
                  <w:vAlign w:val="center"/>
                </w:tcPr>
                <w:p w14:paraId="7670FB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0.38</w:t>
                  </w:r>
                </w:p>
              </w:tc>
              <w:tc>
                <w:tcPr>
                  <w:tcW w:w="495" w:type="pct"/>
                  <w:tcBorders>
                    <w:tl2br w:val="nil"/>
                    <w:tr2bl w:val="nil"/>
                  </w:tcBorders>
                  <w:noWrap w:val="0"/>
                  <w:vAlign w:val="center"/>
                </w:tcPr>
                <w:p w14:paraId="097357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3.01</w:t>
                  </w:r>
                </w:p>
              </w:tc>
            </w:tr>
          </w:tbl>
          <w:p w14:paraId="16EDE42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宋体" w:eastAsia="宋体" w:cs="宋体"/>
                <w:b/>
                <w:bCs w:val="0"/>
                <w:color w:val="auto"/>
                <w:kern w:val="2"/>
                <w:sz w:val="24"/>
                <w:szCs w:val="24"/>
                <w:highlight w:val="none"/>
                <w:lang w:val="en-US" w:eastAsia="zh-CN" w:bidi="ar-SA"/>
              </w:rPr>
            </w:pPr>
            <w:r>
              <w:rPr>
                <w:rFonts w:hint="default" w:ascii="Times New Roman" w:hAnsi="宋体" w:eastAsia="宋体" w:cs="宋体"/>
                <w:b/>
                <w:bCs w:val="0"/>
                <w:color w:val="auto"/>
                <w:kern w:val="2"/>
                <w:sz w:val="24"/>
                <w:szCs w:val="24"/>
                <w:highlight w:val="none"/>
                <w:lang w:val="en-US" w:eastAsia="zh-CN" w:bidi="ar-SA"/>
              </w:rPr>
              <w:t>（4）道路运输扬尘</w:t>
            </w:r>
          </w:p>
          <w:p w14:paraId="22FEBE6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宋体" w:eastAsia="宋体" w:cs="宋体"/>
                <w:bCs/>
                <w:color w:val="auto"/>
                <w:kern w:val="2"/>
                <w:sz w:val="24"/>
                <w:szCs w:val="24"/>
                <w:highlight w:val="none"/>
                <w:lang w:val="en-US" w:eastAsia="zh-CN" w:bidi="ar-SA"/>
              </w:rPr>
            </w:pPr>
            <w:r>
              <w:rPr>
                <w:rFonts w:hint="default" w:ascii="Times New Roman" w:hAnsi="宋体" w:eastAsia="宋体" w:cs="宋体"/>
                <w:bCs/>
                <w:color w:val="auto"/>
                <w:kern w:val="2"/>
                <w:sz w:val="24"/>
                <w:szCs w:val="24"/>
                <w:highlight w:val="none"/>
                <w:lang w:val="en-US" w:eastAsia="zh-CN" w:bidi="ar-SA"/>
              </w:rPr>
              <w:t>本项目原料采用汽车运输会产生一定的运输车辆动力起尘。汽车运输时产生的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14:paraId="447FB6B8">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027" o:spt="75" type="#_x0000_t75" style="height:46.9pt;width:208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p>
          <w:p w14:paraId="40E50A6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 w:val="24"/>
                <w:szCs w:val="24"/>
                <w:highlight w:val="none"/>
              </w:rPr>
              <w:object>
                <v:shape id="_x0000_i1028" o:spt="75" type="#_x0000_t75" style="height:20.95pt;width:104.25pt;" o:ole="t" fillcolor="#000011"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p>
          <w:p w14:paraId="40DACD6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式中：Qp—交通运输起尘量，kg/km·辆；</w:t>
            </w:r>
          </w:p>
          <w:p w14:paraId="03DE9971">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V—车辆行驶速度，km/h，取10km/h；</w:t>
            </w:r>
          </w:p>
          <w:p w14:paraId="1D40CF97">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M—车辆载重，t/辆，取</w:t>
            </w:r>
            <w:r>
              <w:rPr>
                <w:rFonts w:hint="eastAsia" w:ascii="Times New Roman" w:hAnsi="Times New Roman" w:eastAsia="宋体" w:cs="Times New Roman"/>
                <w:bCs/>
                <w:color w:val="auto"/>
                <w:kern w:val="2"/>
                <w:sz w:val="24"/>
                <w:szCs w:val="24"/>
                <w:highlight w:val="none"/>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0t/辆；</w:t>
            </w:r>
          </w:p>
          <w:p w14:paraId="2E818B7A">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P—路面状况，以每平米路面灰尘覆盖率表示，kg/m</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，取0.2kg/m</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p>
          <w:p w14:paraId="4A69D877">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Qˊp—运输途中起尘量，kg/a；</w:t>
            </w:r>
          </w:p>
          <w:p w14:paraId="09FC11EA">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L—运输距离，km，取0.</w:t>
            </w: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km；</w:t>
            </w:r>
          </w:p>
          <w:p w14:paraId="55A3B6E4">
            <w:pPr>
              <w:keepNext w:val="0"/>
              <w:keepLines w:val="0"/>
              <w:pageBreakBefore w:val="0"/>
              <w:widowControl w:val="0"/>
              <w:kinsoku/>
              <w:wordWrap/>
              <w:overflowPunct/>
              <w:topLinePunct w:val="0"/>
              <w:autoSpaceDE/>
              <w:autoSpaceDN/>
              <w:bidi w:val="0"/>
              <w:adjustRightInd/>
              <w:snapToGrid/>
              <w:spacing w:line="480" w:lineRule="exact"/>
              <w:ind w:firstLine="1267" w:firstLineChars="528"/>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Q—运输量，t/a，取</w:t>
            </w:r>
            <w:r>
              <w:rPr>
                <w:rFonts w:hint="eastAsia" w:ascii="Times New Roman" w:hAnsi="Times New Roman" w:eastAsia="宋体" w:cs="Times New Roman"/>
                <w:bCs/>
                <w:color w:val="auto"/>
                <w:kern w:val="2"/>
                <w:sz w:val="24"/>
                <w:szCs w:val="24"/>
                <w:highlight w:val="none"/>
                <w:lang w:val="en-US" w:eastAsia="zh-CN" w:bidi="ar-SA"/>
              </w:rPr>
              <w:t>3</w:t>
            </w:r>
            <w:r>
              <w:rPr>
                <w:rFonts w:hint="eastAsia"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6</w:t>
            </w:r>
            <w:r>
              <w:rPr>
                <w:rFonts w:hint="eastAsia" w:ascii="Times New Roman" w:hAnsi="Times New Roman" w:eastAsia="宋体" w:cs="Times New Roman"/>
                <w:bCs/>
                <w:color w:val="auto"/>
                <w:kern w:val="2"/>
                <w:sz w:val="24"/>
                <w:szCs w:val="24"/>
                <w:highlight w:val="none"/>
                <w:lang w:val="en-US" w:eastAsia="zh-CN" w:bidi="ar-SA"/>
              </w:rPr>
              <w:t>5</w:t>
            </w:r>
            <w:r>
              <w:rPr>
                <w:rFonts w:hint="default" w:ascii="Times New Roman" w:hAnsi="Times New Roman" w:eastAsia="宋体" w:cs="Times New Roman"/>
                <w:bCs/>
                <w:color w:val="auto"/>
                <w:kern w:val="2"/>
                <w:sz w:val="24"/>
                <w:szCs w:val="24"/>
                <w:highlight w:val="none"/>
                <w:lang w:val="en-US" w:eastAsia="zh-CN" w:bidi="ar-SA"/>
              </w:rPr>
              <w:t>万t；</w:t>
            </w:r>
          </w:p>
          <w:p w14:paraId="1939BF4D">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车流量核算：项目年周转量约</w:t>
            </w:r>
            <w:r>
              <w:rPr>
                <w:rFonts w:hint="eastAsia" w:cs="Times New Roman"/>
                <w:bCs/>
                <w:color w:val="auto"/>
                <w:kern w:val="2"/>
                <w:sz w:val="24"/>
                <w:szCs w:val="24"/>
                <w:highlight w:val="none"/>
                <w:lang w:val="en-US" w:eastAsia="zh-CN" w:bidi="ar-SA"/>
              </w:rPr>
              <w:t>34.65</w:t>
            </w:r>
            <w:r>
              <w:rPr>
                <w:rFonts w:hint="default" w:ascii="Times New Roman" w:hAnsi="Times New Roman" w:eastAsia="宋体" w:cs="Times New Roman"/>
                <w:bCs/>
                <w:color w:val="auto"/>
                <w:kern w:val="2"/>
                <w:sz w:val="24"/>
                <w:szCs w:val="24"/>
                <w:highlight w:val="none"/>
                <w:lang w:val="en-US" w:eastAsia="zh-CN" w:bidi="ar-SA"/>
              </w:rPr>
              <w:t>万t。每辆汽车载重按照</w:t>
            </w:r>
            <w:r>
              <w:rPr>
                <w:rFonts w:hint="eastAsia" w:ascii="Times New Roman" w:hAnsi="Times New Roman" w:eastAsia="宋体" w:cs="Times New Roman"/>
                <w:bCs/>
                <w:color w:val="auto"/>
                <w:kern w:val="2"/>
                <w:sz w:val="24"/>
                <w:szCs w:val="24"/>
                <w:highlight w:val="none"/>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0t计算，则每年厂区过往车辆约</w:t>
            </w:r>
            <w:r>
              <w:rPr>
                <w:rFonts w:hint="eastAsia" w:cs="Times New Roman"/>
                <w:bCs/>
                <w:color w:val="auto"/>
                <w:kern w:val="2"/>
                <w:sz w:val="24"/>
                <w:szCs w:val="24"/>
                <w:highlight w:val="none"/>
                <w:lang w:val="en-US" w:eastAsia="zh-CN" w:bidi="ar-SA"/>
              </w:rPr>
              <w:t>8663</w:t>
            </w:r>
            <w:r>
              <w:rPr>
                <w:rFonts w:hint="default" w:ascii="Times New Roman" w:hAnsi="Times New Roman" w:eastAsia="宋体" w:cs="Times New Roman"/>
                <w:bCs/>
                <w:color w:val="auto"/>
                <w:kern w:val="2"/>
                <w:sz w:val="24"/>
                <w:szCs w:val="24"/>
                <w:highlight w:val="none"/>
                <w:lang w:val="en-US" w:eastAsia="zh-CN" w:bidi="ar-SA"/>
              </w:rPr>
              <w:t>车·次，在不同负载情况下的扬尘量见下表。</w:t>
            </w:r>
          </w:p>
          <w:p w14:paraId="3DC5ACA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经计算，Q</w:t>
            </w:r>
            <w:r>
              <w:rPr>
                <w:rFonts w:hint="default" w:ascii="Times New Roman" w:hAnsi="Times New Roman" w:eastAsia="宋体" w:cs="Times New Roman"/>
                <w:bCs/>
                <w:color w:val="auto"/>
                <w:kern w:val="2"/>
                <w:sz w:val="24"/>
                <w:szCs w:val="24"/>
                <w:highlight w:val="none"/>
                <w:vertAlign w:val="subscript"/>
                <w:lang w:val="en-US" w:eastAsia="zh-CN" w:bidi="ar-SA"/>
              </w:rPr>
              <w:t>P</w:t>
            </w:r>
            <w:r>
              <w:rPr>
                <w:rFonts w:hint="default" w:ascii="Times New Roman" w:hAnsi="Times New Roman" w:eastAsia="宋体" w:cs="Times New Roman"/>
                <w:bCs/>
                <w:color w:val="auto"/>
                <w:kern w:val="2"/>
                <w:sz w:val="24"/>
                <w:szCs w:val="24"/>
                <w:highlight w:val="none"/>
                <w:lang w:val="en-US" w:eastAsia="zh-CN" w:bidi="ar-SA"/>
              </w:rPr>
              <w:t>=0.</w:t>
            </w:r>
            <w:r>
              <w:rPr>
                <w:rFonts w:hint="eastAsia" w:ascii="Times New Roman" w:hAnsi="Times New Roman" w:eastAsia="宋体" w:cs="Times New Roman"/>
                <w:bCs/>
                <w:color w:val="auto"/>
                <w:kern w:val="2"/>
                <w:sz w:val="24"/>
                <w:szCs w:val="24"/>
                <w:highlight w:val="none"/>
                <w:lang w:val="en-US" w:eastAsia="zh-CN" w:bidi="ar-SA"/>
              </w:rPr>
              <w:t>57</w:t>
            </w:r>
            <w:r>
              <w:rPr>
                <w:rFonts w:hint="default" w:ascii="Times New Roman" w:hAnsi="Times New Roman" w:eastAsia="宋体" w:cs="Times New Roman"/>
                <w:bCs/>
                <w:color w:val="auto"/>
                <w:kern w:val="2"/>
                <w:sz w:val="24"/>
                <w:szCs w:val="24"/>
                <w:highlight w:val="none"/>
                <w:lang w:val="en-US" w:eastAsia="zh-CN" w:bidi="ar-SA"/>
              </w:rPr>
              <w:t>kg/km·每车，Q′</w:t>
            </w:r>
            <w:r>
              <w:rPr>
                <w:rFonts w:hint="default" w:ascii="Times New Roman" w:hAnsi="Times New Roman" w:eastAsia="宋体" w:cs="Times New Roman"/>
                <w:bCs/>
                <w:color w:val="auto"/>
                <w:kern w:val="2"/>
                <w:sz w:val="24"/>
                <w:szCs w:val="24"/>
                <w:highlight w:val="none"/>
                <w:vertAlign w:val="subscript"/>
                <w:lang w:val="en-US" w:eastAsia="zh-CN" w:bidi="ar-SA"/>
              </w:rPr>
              <w:t>P</w:t>
            </w:r>
            <w:r>
              <w:rPr>
                <w:rFonts w:hint="default" w:ascii="Times New Roman" w:hAnsi="Times New Roman" w:eastAsia="宋体" w:cs="Times New Roman"/>
                <w:bCs/>
                <w:color w:val="auto"/>
                <w:kern w:val="2"/>
                <w:sz w:val="24"/>
                <w:szCs w:val="24"/>
                <w:highlight w:val="none"/>
                <w:lang w:val="en-US" w:eastAsia="zh-CN" w:bidi="ar-SA"/>
              </w:rPr>
              <w:t>=0.</w:t>
            </w:r>
            <w:r>
              <w:rPr>
                <w:rFonts w:hint="eastAsia" w:ascii="Times New Roman" w:hAnsi="Times New Roman" w:eastAsia="宋体" w:cs="Times New Roman"/>
                <w:bCs/>
                <w:color w:val="auto"/>
                <w:kern w:val="2"/>
                <w:sz w:val="24"/>
                <w:szCs w:val="24"/>
                <w:highlight w:val="none"/>
                <w:lang w:val="en-US" w:eastAsia="zh-CN" w:bidi="ar-SA"/>
              </w:rPr>
              <w:t>9</w:t>
            </w:r>
            <w:r>
              <w:rPr>
                <w:rFonts w:hint="eastAsia" w:cs="Times New Roman"/>
                <w:bCs/>
                <w:color w:val="auto"/>
                <w:kern w:val="2"/>
                <w:sz w:val="24"/>
                <w:szCs w:val="24"/>
                <w:highlight w:val="none"/>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t/a。</w:t>
            </w:r>
          </w:p>
          <w:p w14:paraId="6780F43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长治市大气污染防治工作领导组办公室关于进一步加强工业企业污染治理的通知》（长气防办〔2023〕6号）中有关道路运输的控制要求：项目运营期应做到块状物料及产品运输必须苫盖，采取密闭运输，严禁沿路抛洒逸散。厂区内道路及厂区至主干公路的道路必须硬化，设置洒水车进行喷洒抑尘、道路洗扫，厂区、道路两侧及路面不得有明显积尘；厂区出入口设置车辆冲洗平台，保证进出厂区运输车辆全部冲洗到位。</w:t>
            </w:r>
          </w:p>
          <w:p w14:paraId="101767C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采取以上措施后，运输扬尘产生量可减少</w:t>
            </w:r>
            <w:r>
              <w:rPr>
                <w:rFonts w:hint="eastAsia" w:ascii="Times New Roman" w:hAnsi="Times New Roman" w:eastAsia="宋体" w:cs="Times New Roman"/>
                <w:bCs/>
                <w:color w:val="auto"/>
                <w:kern w:val="2"/>
                <w:sz w:val="24"/>
                <w:szCs w:val="24"/>
                <w:highlight w:val="none"/>
                <w:lang w:val="en-US" w:eastAsia="zh-CN" w:bidi="ar-SA"/>
              </w:rPr>
              <w:t>8</w:t>
            </w:r>
            <w:r>
              <w:rPr>
                <w:rFonts w:hint="default" w:ascii="Times New Roman" w:hAnsi="Times New Roman" w:eastAsia="宋体" w:cs="Times New Roman"/>
                <w:bCs/>
                <w:color w:val="auto"/>
                <w:kern w:val="2"/>
                <w:sz w:val="24"/>
                <w:szCs w:val="24"/>
                <w:highlight w:val="none"/>
                <w:lang w:val="en-US" w:eastAsia="zh-CN" w:bidi="ar-SA"/>
              </w:rPr>
              <w:t>0%，</w:t>
            </w:r>
            <w:r>
              <w:rPr>
                <w:rFonts w:hint="eastAsia" w:ascii="Times New Roman" w:hAnsi="Times New Roman" w:eastAsia="宋体" w:cs="Times New Roman"/>
                <w:bCs/>
                <w:color w:val="auto"/>
                <w:kern w:val="2"/>
                <w:sz w:val="24"/>
                <w:szCs w:val="24"/>
                <w:highlight w:val="none"/>
                <w:lang w:val="en-US" w:eastAsia="zh-CN" w:bidi="ar-SA"/>
              </w:rPr>
              <w:t>故</w:t>
            </w:r>
            <w:r>
              <w:rPr>
                <w:rFonts w:hint="default" w:ascii="Times New Roman" w:hAnsi="Times New Roman" w:eastAsia="宋体" w:cs="Times New Roman"/>
                <w:bCs/>
                <w:color w:val="auto"/>
                <w:kern w:val="2"/>
                <w:sz w:val="24"/>
                <w:szCs w:val="24"/>
                <w:highlight w:val="none"/>
                <w:lang w:val="en-US" w:eastAsia="zh-CN" w:bidi="ar-SA"/>
              </w:rPr>
              <w:t>汽车运输扬尘排放量约为0.</w:t>
            </w:r>
            <w:r>
              <w:rPr>
                <w:rFonts w:hint="eastAsia" w:cs="Times New Roman"/>
                <w:bCs/>
                <w:color w:val="auto"/>
                <w:kern w:val="2"/>
                <w:sz w:val="24"/>
                <w:szCs w:val="24"/>
                <w:highlight w:val="none"/>
                <w:lang w:val="en-US" w:eastAsia="zh-CN" w:bidi="ar-SA"/>
              </w:rPr>
              <w:t>20</w:t>
            </w:r>
            <w:r>
              <w:rPr>
                <w:rFonts w:hint="default" w:ascii="Times New Roman" w:hAnsi="Times New Roman" w:eastAsia="宋体" w:cs="Times New Roman"/>
                <w:bCs/>
                <w:color w:val="auto"/>
                <w:kern w:val="2"/>
                <w:sz w:val="24"/>
                <w:szCs w:val="24"/>
                <w:highlight w:val="none"/>
                <w:lang w:val="en-US" w:eastAsia="zh-CN" w:bidi="ar-SA"/>
              </w:rPr>
              <w:t>t/a，大大降低了运输粉尘对外环境的影响。</w:t>
            </w:r>
          </w:p>
          <w:p w14:paraId="30EA9F9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厂外运输对沿线保护目标的影响分析及保护措施</w:t>
            </w:r>
            <w:r>
              <w:rPr>
                <w:rFonts w:hint="eastAsia" w:cs="Times New Roman"/>
                <w:b/>
                <w:bCs w:val="0"/>
                <w:color w:val="auto"/>
                <w:kern w:val="2"/>
                <w:sz w:val="24"/>
                <w:szCs w:val="24"/>
                <w:highlight w:val="none"/>
                <w:lang w:val="en-US" w:eastAsia="zh-CN" w:bidi="ar-SA"/>
              </w:rPr>
              <w:t>:</w:t>
            </w:r>
          </w:p>
          <w:p w14:paraId="1FA17F8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影响分析：项目原辅料厂外运输时会对沿线村庄居民产生影响，沿线村庄主要为</w:t>
            </w:r>
            <w:r>
              <w:rPr>
                <w:rFonts w:hint="eastAsia" w:cs="Times New Roman"/>
                <w:bCs/>
                <w:color w:val="auto"/>
                <w:kern w:val="2"/>
                <w:sz w:val="24"/>
                <w:szCs w:val="24"/>
                <w:highlight w:val="none"/>
                <w:lang w:val="en-US" w:eastAsia="zh-CN" w:bidi="ar-SA"/>
              </w:rPr>
              <w:t>前苏村、后苏村</w:t>
            </w:r>
            <w:r>
              <w:rPr>
                <w:rFonts w:hint="default" w:ascii="Times New Roman" w:hAnsi="Times New Roman" w:eastAsia="宋体" w:cs="Times New Roman"/>
                <w:bCs/>
                <w:color w:val="auto"/>
                <w:kern w:val="2"/>
                <w:sz w:val="24"/>
                <w:szCs w:val="24"/>
                <w:highlight w:val="none"/>
                <w:lang w:val="en-US" w:eastAsia="zh-CN" w:bidi="ar-SA"/>
              </w:rPr>
              <w:t>，车辆经过易起尘路段时产生的扬尘和运输车辆排放汽车尾气，但这种影响是暂时的，仅在车辆经过的时间段内对道路两侧一定范围内的人群产生影响，短时间内污染物的产生量较少，后经自然沉降或大气扩散而减少，随车辆驶离，对其产生的影响也随即消失。</w:t>
            </w:r>
          </w:p>
          <w:p w14:paraId="4001BB0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保护措施：项目物料运输车辆要使用达到国</w:t>
            </w:r>
            <w:r>
              <w:rPr>
                <w:rFonts w:hint="eastAsia" w:ascii="Times New Roman" w:hAnsi="Times New Roman" w:eastAsia="宋体" w:cs="Times New Roman"/>
                <w:bCs/>
                <w:color w:val="auto"/>
                <w:kern w:val="2"/>
                <w:sz w:val="24"/>
                <w:szCs w:val="24"/>
                <w:highlight w:val="none"/>
                <w:lang w:val="en-US" w:eastAsia="zh-CN" w:bidi="ar-SA"/>
              </w:rPr>
              <w:t>五</w:t>
            </w:r>
            <w:r>
              <w:rPr>
                <w:rFonts w:hint="default" w:ascii="Times New Roman" w:hAnsi="Times New Roman" w:eastAsia="宋体" w:cs="Times New Roman"/>
                <w:bCs/>
                <w:color w:val="auto"/>
                <w:kern w:val="2"/>
                <w:sz w:val="24"/>
                <w:szCs w:val="24"/>
                <w:highlight w:val="none"/>
                <w:lang w:val="en-US" w:eastAsia="zh-CN" w:bidi="ar-SA"/>
              </w:rPr>
              <w:t>排放标准的重型载货车辆或新能源车辆，运输过程物料需苫盖，采用封闭运输方式；运输车辆应尽可能避让村庄、水源地以及其他环境敏感区，运输路线尽量规划在国道、省道等道路上，遇到村庄、学校等应减速慢行，</w:t>
            </w:r>
            <w:r>
              <w:rPr>
                <w:rFonts w:hint="eastAsia" w:ascii="Times New Roman" w:hAnsi="Times New Roman" w:eastAsia="宋体" w:cs="Times New Roman"/>
                <w:bCs/>
                <w:color w:val="auto"/>
                <w:kern w:val="2"/>
                <w:sz w:val="24"/>
                <w:szCs w:val="24"/>
                <w:highlight w:val="none"/>
                <w:lang w:val="en-US" w:eastAsia="zh-CN" w:bidi="ar-SA"/>
              </w:rPr>
              <w:t>禁止鸣笛。</w:t>
            </w:r>
            <w:r>
              <w:rPr>
                <w:rFonts w:hint="default" w:ascii="Times New Roman" w:hAnsi="Times New Roman" w:eastAsia="宋体" w:cs="Times New Roman"/>
                <w:bCs/>
                <w:color w:val="auto"/>
                <w:kern w:val="2"/>
                <w:sz w:val="24"/>
                <w:szCs w:val="24"/>
                <w:highlight w:val="none"/>
                <w:lang w:val="en-US" w:eastAsia="zh-CN" w:bidi="ar-SA"/>
              </w:rPr>
              <w:t>以减少运输过程对沿线环境的影响。</w:t>
            </w:r>
          </w:p>
          <w:p w14:paraId="1EC1408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p>
          <w:p w14:paraId="6172814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w:t>
            </w:r>
            <w:r>
              <w:rPr>
                <w:rFonts w:hint="eastAsia" w:ascii="Times New Roman" w:hAnsi="Times New Roman" w:eastAsia="宋体" w:cs="Times New Roman"/>
                <w:b/>
                <w:bCs w:val="0"/>
                <w:color w:val="auto"/>
                <w:kern w:val="2"/>
                <w:sz w:val="24"/>
                <w:szCs w:val="24"/>
                <w:highlight w:val="none"/>
                <w:lang w:val="en-US" w:eastAsia="zh-CN" w:bidi="ar-SA"/>
              </w:rPr>
              <w:t>5</w:t>
            </w:r>
            <w:r>
              <w:rPr>
                <w:rFonts w:hint="default" w:ascii="Times New Roman" w:hAnsi="Times New Roman" w:eastAsia="宋体" w:cs="Times New Roman"/>
                <w:b/>
                <w:bCs w:val="0"/>
                <w:color w:val="auto"/>
                <w:kern w:val="2"/>
                <w:sz w:val="24"/>
                <w:szCs w:val="24"/>
                <w:highlight w:val="none"/>
                <w:lang w:val="en-US" w:eastAsia="zh-CN" w:bidi="ar-SA"/>
              </w:rPr>
              <w:t>）</w:t>
            </w:r>
            <w:r>
              <w:rPr>
                <w:rFonts w:hint="eastAsia" w:ascii="Times New Roman" w:hAnsi="Times New Roman" w:eastAsia="宋体" w:cs="Times New Roman"/>
                <w:b/>
                <w:bCs w:val="0"/>
                <w:color w:val="auto"/>
                <w:kern w:val="2"/>
                <w:sz w:val="24"/>
                <w:szCs w:val="24"/>
                <w:highlight w:val="none"/>
                <w:lang w:val="en-US" w:eastAsia="zh-CN" w:bidi="ar-SA"/>
              </w:rPr>
              <w:t>皮带机</w:t>
            </w:r>
            <w:r>
              <w:rPr>
                <w:rFonts w:hint="default" w:ascii="Times New Roman" w:hAnsi="Times New Roman" w:eastAsia="宋体" w:cs="Times New Roman"/>
                <w:b/>
                <w:bCs w:val="0"/>
                <w:color w:val="auto"/>
                <w:kern w:val="2"/>
                <w:sz w:val="24"/>
                <w:szCs w:val="24"/>
                <w:highlight w:val="none"/>
                <w:lang w:val="en-US" w:eastAsia="zh-CN" w:bidi="ar-SA"/>
              </w:rPr>
              <w:t>输送粉尘</w:t>
            </w:r>
          </w:p>
          <w:p w14:paraId="1AF367E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本项目物料在皮带输送过程会产生一定的粉尘，参考《逸散性工业粉尘控制技术》中逸散粉尘0.02kg/t物料，输送物料约</w:t>
            </w:r>
            <w:r>
              <w:rPr>
                <w:rFonts w:hint="eastAsia" w:cs="Times New Roman"/>
                <w:bCs/>
                <w:color w:val="auto"/>
                <w:kern w:val="2"/>
                <w:sz w:val="24"/>
                <w:szCs w:val="24"/>
                <w:highlight w:val="none"/>
                <w:lang w:val="en-US" w:eastAsia="zh-CN" w:bidi="ar-SA"/>
              </w:rPr>
              <w:t>34.65</w:t>
            </w:r>
            <w:r>
              <w:rPr>
                <w:rFonts w:hint="default" w:ascii="Times New Roman" w:hAnsi="Times New Roman" w:eastAsia="宋体" w:cs="Times New Roman"/>
                <w:bCs/>
                <w:color w:val="auto"/>
                <w:kern w:val="2"/>
                <w:sz w:val="24"/>
                <w:szCs w:val="24"/>
                <w:highlight w:val="none"/>
                <w:lang w:val="en-US" w:eastAsia="zh-CN" w:bidi="ar-SA"/>
              </w:rPr>
              <w:t>万t/a，粉尘产生量为</w:t>
            </w:r>
            <w:r>
              <w:rPr>
                <w:rFonts w:hint="eastAsia" w:cs="Times New Roman"/>
                <w:bCs/>
                <w:color w:val="auto"/>
                <w:kern w:val="2"/>
                <w:sz w:val="24"/>
                <w:szCs w:val="24"/>
                <w:highlight w:val="none"/>
                <w:lang w:val="en-US" w:eastAsia="zh-CN" w:bidi="ar-SA"/>
              </w:rPr>
              <w:t>6.93</w:t>
            </w:r>
            <w:r>
              <w:rPr>
                <w:rFonts w:hint="default" w:ascii="Times New Roman" w:hAnsi="Times New Roman" w:eastAsia="宋体" w:cs="Times New Roman"/>
                <w:bCs/>
                <w:color w:val="auto"/>
                <w:kern w:val="2"/>
                <w:sz w:val="24"/>
                <w:szCs w:val="24"/>
                <w:highlight w:val="none"/>
                <w:lang w:val="en-US" w:eastAsia="zh-CN" w:bidi="ar-SA"/>
              </w:rPr>
              <w:t>t/a，该过程在全封闭输送皮带内进行，可抑制粉尘</w:t>
            </w:r>
            <w:r>
              <w:rPr>
                <w:rFonts w:hint="eastAsia" w:ascii="Times New Roman" w:hAnsi="Times New Roman" w:eastAsia="宋体" w:cs="Times New Roman"/>
                <w:bCs/>
                <w:color w:val="auto"/>
                <w:kern w:val="2"/>
                <w:sz w:val="24"/>
                <w:szCs w:val="24"/>
                <w:highlight w:val="none"/>
                <w:lang w:val="en-US" w:eastAsia="zh-CN" w:bidi="ar-SA"/>
              </w:rPr>
              <w:t>90</w:t>
            </w:r>
            <w:r>
              <w:rPr>
                <w:rFonts w:hint="default" w:ascii="Times New Roman" w:hAnsi="Times New Roman" w:eastAsia="宋体" w:cs="Times New Roman"/>
                <w:bCs/>
                <w:color w:val="auto"/>
                <w:kern w:val="2"/>
                <w:sz w:val="24"/>
                <w:szCs w:val="24"/>
                <w:highlight w:val="none"/>
                <w:lang w:val="en-US" w:eastAsia="zh-CN" w:bidi="ar-SA"/>
              </w:rPr>
              <w:t>%，则粉尘排放量</w:t>
            </w:r>
            <w:r>
              <w:rPr>
                <w:rFonts w:hint="eastAsia" w:cs="Times New Roman"/>
                <w:bCs/>
                <w:color w:val="auto"/>
                <w:kern w:val="2"/>
                <w:sz w:val="24"/>
                <w:szCs w:val="24"/>
                <w:highlight w:val="none"/>
                <w:lang w:val="en-US" w:eastAsia="zh-CN" w:bidi="ar-SA"/>
              </w:rPr>
              <w:t>0.69</w:t>
            </w:r>
            <w:r>
              <w:rPr>
                <w:rFonts w:hint="default" w:ascii="Times New Roman" w:hAnsi="Times New Roman" w:eastAsia="宋体" w:cs="Times New Roman"/>
                <w:bCs/>
                <w:color w:val="auto"/>
                <w:kern w:val="2"/>
                <w:sz w:val="24"/>
                <w:szCs w:val="24"/>
                <w:highlight w:val="none"/>
                <w:lang w:val="en-US" w:eastAsia="zh-CN" w:bidi="ar-SA"/>
              </w:rPr>
              <w:t>t/a。</w:t>
            </w:r>
          </w:p>
          <w:p w14:paraId="1633A65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w:t>
            </w:r>
            <w:r>
              <w:rPr>
                <w:rFonts w:hint="eastAsia" w:ascii="Times New Roman" w:hAnsi="Times New Roman" w:eastAsia="宋体" w:cs="Times New Roman"/>
                <w:b/>
                <w:bCs w:val="0"/>
                <w:color w:val="auto"/>
                <w:kern w:val="2"/>
                <w:sz w:val="24"/>
                <w:szCs w:val="24"/>
                <w:highlight w:val="none"/>
                <w:lang w:val="en-US" w:eastAsia="zh-CN" w:bidi="ar-SA"/>
              </w:rPr>
              <w:t>6</w:t>
            </w:r>
            <w:r>
              <w:rPr>
                <w:rFonts w:hint="default" w:ascii="Times New Roman" w:hAnsi="Times New Roman" w:eastAsia="宋体" w:cs="Times New Roman"/>
                <w:b/>
                <w:bCs w:val="0"/>
                <w:color w:val="auto"/>
                <w:kern w:val="2"/>
                <w:sz w:val="24"/>
                <w:szCs w:val="24"/>
                <w:highlight w:val="none"/>
                <w:lang w:val="en-US" w:eastAsia="zh-CN" w:bidi="ar-SA"/>
              </w:rPr>
              <w:t>）</w:t>
            </w:r>
            <w:r>
              <w:rPr>
                <w:rFonts w:hint="eastAsia" w:ascii="Times New Roman" w:hAnsi="Times New Roman" w:eastAsia="宋体" w:cs="Times New Roman"/>
                <w:b/>
                <w:bCs w:val="0"/>
                <w:color w:val="auto"/>
                <w:kern w:val="2"/>
                <w:sz w:val="24"/>
                <w:szCs w:val="24"/>
                <w:highlight w:val="none"/>
                <w:lang w:val="en-US" w:eastAsia="zh-CN" w:bidi="ar-SA"/>
              </w:rPr>
              <w:t>石灰筒仓</w:t>
            </w:r>
            <w:r>
              <w:rPr>
                <w:rFonts w:hint="default" w:ascii="Times New Roman" w:hAnsi="Times New Roman" w:eastAsia="宋体" w:cs="Times New Roman"/>
                <w:b/>
                <w:bCs w:val="0"/>
                <w:color w:val="auto"/>
                <w:kern w:val="2"/>
                <w:sz w:val="24"/>
                <w:szCs w:val="24"/>
                <w:highlight w:val="none"/>
                <w:lang w:val="en-US" w:eastAsia="zh-CN" w:bidi="ar-SA"/>
              </w:rPr>
              <w:t>粉尘</w:t>
            </w:r>
          </w:p>
          <w:p w14:paraId="2B94D66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项目石灰年用量为400</w:t>
            </w:r>
            <w:r>
              <w:rPr>
                <w:rFonts w:hint="default" w:ascii="Times New Roman" w:hAnsi="Times New Roman" w:eastAsia="宋体" w:cs="Times New Roman"/>
                <w:bCs/>
                <w:color w:val="auto"/>
                <w:kern w:val="2"/>
                <w:sz w:val="24"/>
                <w:szCs w:val="24"/>
                <w:highlight w:val="none"/>
                <w:lang w:val="en-US" w:eastAsia="zh-CN" w:bidi="ar-SA"/>
              </w:rPr>
              <w:t>t</w:t>
            </w:r>
            <w:r>
              <w:rPr>
                <w:rFonts w:hint="eastAsia" w:ascii="Times New Roman" w:hAnsi="Times New Roman" w:eastAsia="宋体" w:cs="Times New Roman"/>
                <w:bCs/>
                <w:color w:val="auto"/>
                <w:kern w:val="2"/>
                <w:sz w:val="24"/>
                <w:szCs w:val="24"/>
                <w:highlight w:val="none"/>
                <w:lang w:val="en-US" w:eastAsia="zh-CN" w:bidi="ar-SA"/>
              </w:rPr>
              <w:t>，在石灰筒仓中储存。本项目现有石灰石筒仓仓顶配有布袋除尘器，除尘器风量为900m</w:t>
            </w:r>
            <w:r>
              <w:rPr>
                <w:rFonts w:hint="eastAsia" w:ascii="Times New Roman" w:hAnsi="Times New Roman" w:eastAsia="宋体" w:cs="Times New Roman"/>
                <w:bCs/>
                <w:color w:val="auto"/>
                <w:kern w:val="2"/>
                <w:sz w:val="24"/>
                <w:szCs w:val="24"/>
                <w:highlight w:val="none"/>
                <w:vertAlign w:val="superscript"/>
                <w:lang w:val="en-US" w:eastAsia="zh-CN" w:bidi="ar-SA"/>
              </w:rPr>
              <w:t>3</w:t>
            </w:r>
            <w:r>
              <w:rPr>
                <w:rFonts w:hint="eastAsia" w:ascii="Times New Roman" w:hAnsi="Times New Roman" w:eastAsia="宋体" w:cs="Times New Roman"/>
                <w:bCs/>
                <w:color w:val="auto"/>
                <w:kern w:val="2"/>
                <w:sz w:val="24"/>
                <w:szCs w:val="24"/>
                <w:highlight w:val="none"/>
                <w:lang w:val="en-US" w:eastAsia="zh-CN" w:bidi="ar-SA"/>
              </w:rPr>
              <w:t>/h，废气经过处理后由仓顶设置的15m高排气筒排放。石灰筒仓仓顶呼吸孔粉尘产生量依据《排污申报登记实用手册》（国家环保总局编著，中国环境科学出版社）提供的数据计算，筒仓库顶呼吸孔粉尘产污系数为</w:t>
            </w:r>
            <w:r>
              <w:rPr>
                <w:rFonts w:hint="default" w:ascii="Times New Roman" w:hAnsi="Times New Roman" w:eastAsia="宋体" w:cs="Times New Roman"/>
                <w:bCs/>
                <w:color w:val="auto"/>
                <w:kern w:val="2"/>
                <w:sz w:val="24"/>
                <w:szCs w:val="24"/>
                <w:highlight w:val="none"/>
                <w:lang w:val="en-US" w:eastAsia="zh-CN" w:bidi="ar-SA"/>
              </w:rPr>
              <w:t>0.12kg/t</w:t>
            </w:r>
            <w:r>
              <w:rPr>
                <w:rFonts w:hint="eastAsia" w:ascii="Times New Roman" w:hAnsi="Times New Roman" w:eastAsia="宋体" w:cs="Times New Roman"/>
                <w:bCs/>
                <w:color w:val="auto"/>
                <w:kern w:val="2"/>
                <w:sz w:val="24"/>
                <w:szCs w:val="24"/>
                <w:highlight w:val="none"/>
                <w:lang w:val="en-US" w:eastAsia="zh-CN" w:bidi="ar-SA"/>
              </w:rPr>
              <w:t>，据此计算，石灰筒仓粉尘产生量为400t×0.12kg/t=</w:t>
            </w:r>
            <w:r>
              <w:rPr>
                <w:rFonts w:hint="default" w:ascii="Times New Roman" w:hAnsi="Times New Roman" w:eastAsia="宋体" w:cs="Times New Roman"/>
                <w:bCs/>
                <w:color w:val="auto"/>
                <w:kern w:val="2"/>
                <w:sz w:val="24"/>
                <w:szCs w:val="24"/>
                <w:highlight w:val="none"/>
                <w:lang w:val="en-US" w:eastAsia="zh-CN" w:bidi="ar-SA"/>
              </w:rPr>
              <w:t>0.0</w:t>
            </w:r>
            <w:r>
              <w:rPr>
                <w:rFonts w:hint="eastAsia" w:ascii="Times New Roman" w:hAnsi="Times New Roman" w:eastAsia="宋体" w:cs="Times New Roman"/>
                <w:bCs/>
                <w:color w:val="auto"/>
                <w:kern w:val="2"/>
                <w:sz w:val="24"/>
                <w:szCs w:val="24"/>
                <w:highlight w:val="none"/>
                <w:lang w:val="en-US" w:eastAsia="zh-CN" w:bidi="ar-SA"/>
              </w:rPr>
              <w:t>48</w:t>
            </w:r>
            <w:r>
              <w:rPr>
                <w:rFonts w:hint="default" w:ascii="Times New Roman" w:hAnsi="Times New Roman" w:eastAsia="宋体" w:cs="Times New Roman"/>
                <w:bCs/>
                <w:color w:val="auto"/>
                <w:kern w:val="2"/>
                <w:sz w:val="24"/>
                <w:szCs w:val="24"/>
                <w:highlight w:val="none"/>
                <w:lang w:val="en-US" w:eastAsia="zh-CN" w:bidi="ar-SA"/>
              </w:rPr>
              <w:t>t/a</w:t>
            </w:r>
            <w:r>
              <w:rPr>
                <w:rFonts w:hint="eastAsia" w:ascii="Times New Roman" w:hAnsi="Times New Roman" w:eastAsia="宋体" w:cs="Times New Roman"/>
                <w:bCs/>
                <w:color w:val="auto"/>
                <w:kern w:val="2"/>
                <w:sz w:val="24"/>
                <w:szCs w:val="24"/>
                <w:highlight w:val="none"/>
                <w:lang w:val="en-US" w:eastAsia="zh-CN" w:bidi="ar-SA"/>
              </w:rPr>
              <w:t>（4.8kg/h）。根据类比同类建设项目以及现场调查资料：每辆石灰车可装石灰20t，卸完一车石灰所需时间约为0.5h。本生产线石灰筒仓每次罐量为30t，则罐完一个石灰筒仓所需时间约为0.75h。则石灰筒仓全年装罐时间为10h。</w:t>
            </w:r>
          </w:p>
          <w:p w14:paraId="2823F20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计算可知：</w:t>
            </w:r>
          </w:p>
          <w:p w14:paraId="69354195">
            <w:pPr>
              <w:pStyle w:val="29"/>
              <w:keepNext w:val="0"/>
              <w:keepLines w:val="0"/>
              <w:pageBreakBefore w:val="0"/>
              <w:widowControl w:val="0"/>
              <w:kinsoku/>
              <w:wordWrap/>
              <w:overflowPunct/>
              <w:topLinePunct w:val="0"/>
              <w:autoSpaceDE/>
              <w:autoSpaceDN/>
              <w:bidi w:val="0"/>
              <w:snapToGrid/>
              <w:spacing w:beforeLines="0" w:afterLines="0" w:line="480" w:lineRule="exact"/>
              <w:ind w:left="0" w:right="0" w:firstLine="480" w:firstLineChars="200"/>
              <w:jc w:val="both"/>
              <w:rPr>
                <w:rFonts w:hint="default"/>
                <w:lang w:val="en-US" w:eastAsia="zh-CN"/>
              </w:rPr>
            </w:pPr>
            <w:r>
              <w:rPr>
                <w:rFonts w:hint="eastAsia" w:ascii="Times New Roman" w:hAnsi="Times New Roman" w:eastAsia="宋体" w:cs="Times New Roman"/>
                <w:bCs/>
                <w:color w:val="auto"/>
                <w:kern w:val="2"/>
                <w:sz w:val="24"/>
                <w:szCs w:val="24"/>
                <w:highlight w:val="none"/>
                <w:lang w:val="en-US" w:eastAsia="zh-CN" w:bidi="ar-SA"/>
              </w:rPr>
              <w:t>石灰筒仓粉尘产生浓度为0.048t/a×10</w:t>
            </w:r>
            <w:r>
              <w:rPr>
                <w:rFonts w:hint="eastAsia" w:ascii="Times New Roman" w:hAnsi="Times New Roman" w:eastAsia="宋体" w:cs="Times New Roman"/>
                <w:bCs/>
                <w:color w:val="auto"/>
                <w:kern w:val="2"/>
                <w:sz w:val="24"/>
                <w:szCs w:val="24"/>
                <w:highlight w:val="none"/>
                <w:vertAlign w:val="superscript"/>
                <w:lang w:val="en-US" w:eastAsia="zh-CN" w:bidi="ar-SA"/>
              </w:rPr>
              <w:t>9</w:t>
            </w:r>
            <w:r>
              <w:rPr>
                <w:rFonts w:hint="eastAsia" w:ascii="Times New Roman" w:hAnsi="Times New Roman" w:eastAsia="宋体" w:cs="Times New Roman"/>
                <w:bCs/>
                <w:color w:val="auto"/>
                <w:kern w:val="2"/>
                <w:sz w:val="24"/>
                <w:szCs w:val="24"/>
                <w:highlight w:val="none"/>
                <w:lang w:val="en-US" w:eastAsia="zh-CN" w:bidi="ar-SA"/>
              </w:rPr>
              <w:t>÷900m</w:t>
            </w:r>
            <w:r>
              <w:rPr>
                <w:rFonts w:hint="eastAsia" w:ascii="Times New Roman" w:hAnsi="Times New Roman" w:eastAsia="宋体" w:cs="Times New Roman"/>
                <w:bCs/>
                <w:color w:val="auto"/>
                <w:kern w:val="2"/>
                <w:sz w:val="24"/>
                <w:szCs w:val="24"/>
                <w:highlight w:val="none"/>
                <w:vertAlign w:val="superscript"/>
                <w:lang w:val="en-US" w:eastAsia="zh-CN" w:bidi="ar-SA"/>
              </w:rPr>
              <w:t>3</w:t>
            </w:r>
            <w:r>
              <w:rPr>
                <w:rFonts w:hint="eastAsia" w:ascii="Times New Roman" w:hAnsi="Times New Roman" w:eastAsia="宋体" w:cs="Times New Roman"/>
                <w:bCs/>
                <w:color w:val="auto"/>
                <w:kern w:val="2"/>
                <w:sz w:val="24"/>
                <w:szCs w:val="24"/>
                <w:highlight w:val="none"/>
                <w:lang w:val="en-US" w:eastAsia="zh-CN" w:bidi="ar-SA"/>
              </w:rPr>
              <w:t>/h÷10h=5333mg/m</w:t>
            </w:r>
            <w:r>
              <w:rPr>
                <w:rFonts w:hint="eastAsia" w:ascii="Times New Roman" w:hAnsi="Times New Roman" w:eastAsia="宋体" w:cs="Times New Roman"/>
                <w:bCs/>
                <w:color w:val="auto"/>
                <w:kern w:val="2"/>
                <w:sz w:val="24"/>
                <w:szCs w:val="24"/>
                <w:highlight w:val="none"/>
                <w:vertAlign w:val="superscript"/>
                <w:lang w:val="en-US" w:eastAsia="zh-CN" w:bidi="ar-SA"/>
              </w:rPr>
              <w:t>3</w:t>
            </w:r>
            <w:r>
              <w:rPr>
                <w:rFonts w:hint="eastAsia" w:ascii="Times New Roman" w:hAnsi="Times New Roman" w:eastAsia="宋体" w:cs="Times New Roman"/>
                <w:bCs/>
                <w:color w:val="auto"/>
                <w:kern w:val="2"/>
                <w:sz w:val="24"/>
                <w:szCs w:val="24"/>
                <w:highlight w:val="none"/>
                <w:lang w:val="en-US" w:eastAsia="zh-CN" w:bidi="ar-SA"/>
              </w:rPr>
              <w:t>。</w:t>
            </w:r>
          </w:p>
          <w:p w14:paraId="37FEAF39">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bottom"/>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项目筒仓配套除尘器设计排放浓度为</w:t>
            </w:r>
            <w:r>
              <w:rPr>
                <w:rFonts w:hint="default" w:ascii="Times New Roman" w:hAnsi="Times New Roman" w:eastAsia="宋体" w:cs="Times New Roman"/>
                <w:bCs/>
                <w:color w:val="auto"/>
                <w:kern w:val="2"/>
                <w:sz w:val="24"/>
                <w:szCs w:val="24"/>
                <w:highlight w:val="none"/>
                <w:lang w:val="en-US" w:eastAsia="zh-CN" w:bidi="ar-SA"/>
              </w:rPr>
              <w:t>10mg/m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eastAsia" w:ascii="Times New Roman" w:hAnsi="Times New Roman" w:eastAsia="宋体" w:cs="Times New Roman"/>
                <w:bCs/>
                <w:color w:val="auto"/>
                <w:kern w:val="2"/>
                <w:sz w:val="24"/>
                <w:szCs w:val="24"/>
                <w:highlight w:val="none"/>
                <w:lang w:val="en-US" w:eastAsia="zh-CN" w:bidi="ar-SA"/>
              </w:rPr>
              <w:t>，则石灰筒仓粉尘排放量为：</w:t>
            </w:r>
            <w:r>
              <w:rPr>
                <w:rFonts w:hint="default" w:ascii="Times New Roman" w:hAnsi="Times New Roman" w:eastAsia="宋体" w:cs="Times New Roman"/>
                <w:bCs/>
                <w:color w:val="auto"/>
                <w:kern w:val="2"/>
                <w:sz w:val="24"/>
                <w:szCs w:val="24"/>
                <w:highlight w:val="none"/>
                <w:lang w:val="en-US" w:eastAsia="zh-CN" w:bidi="ar-SA"/>
              </w:rPr>
              <w:t>10mg/m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00m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/h×</w:t>
            </w:r>
            <w:r>
              <w:rPr>
                <w:rFonts w:hint="eastAsia"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lang w:val="en-US" w:eastAsia="zh-CN" w:bidi="ar-SA"/>
              </w:rPr>
              <w:t>h/a÷10</w:t>
            </w:r>
            <w:r>
              <w:rPr>
                <w:rFonts w:hint="default" w:ascii="Times New Roman" w:hAnsi="Times New Roman" w:eastAsia="宋体" w:cs="Times New Roman"/>
                <w:bCs/>
                <w:color w:val="auto"/>
                <w:kern w:val="2"/>
                <w:sz w:val="24"/>
                <w:szCs w:val="24"/>
                <w:highlight w:val="none"/>
                <w:vertAlign w:val="superscript"/>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=0.000</w:t>
            </w:r>
            <w:r>
              <w:rPr>
                <w:rFonts w:hint="eastAsia" w:ascii="Times New Roman" w:hAnsi="Times New Roman" w:eastAsia="宋体" w:cs="Times New Roman"/>
                <w:bCs/>
                <w:color w:val="auto"/>
                <w:kern w:val="2"/>
                <w:sz w:val="24"/>
                <w:szCs w:val="24"/>
                <w:highlight w:val="none"/>
                <w:lang w:val="en-US" w:eastAsia="zh-CN" w:bidi="ar-SA"/>
              </w:rPr>
              <w:t>09t</w:t>
            </w:r>
            <w:r>
              <w:rPr>
                <w:rFonts w:hint="default" w:ascii="Times New Roman" w:hAnsi="Times New Roman" w:eastAsia="宋体" w:cs="Times New Roman"/>
                <w:bCs/>
                <w:color w:val="auto"/>
                <w:kern w:val="2"/>
                <w:sz w:val="24"/>
                <w:szCs w:val="24"/>
                <w:highlight w:val="none"/>
                <w:lang w:val="en-US" w:eastAsia="zh-CN" w:bidi="ar-SA"/>
              </w:rPr>
              <w:t>/a</w:t>
            </w:r>
            <w:r>
              <w:rPr>
                <w:rFonts w:hint="eastAsia" w:ascii="Times New Roman" w:hAnsi="Times New Roman" w:eastAsia="宋体" w:cs="Times New Roman"/>
                <w:bCs/>
                <w:color w:val="auto"/>
                <w:kern w:val="2"/>
                <w:sz w:val="24"/>
                <w:szCs w:val="24"/>
                <w:highlight w:val="none"/>
                <w:lang w:val="en-US" w:eastAsia="zh-CN" w:bidi="ar-SA"/>
              </w:rPr>
              <w:t>。</w:t>
            </w:r>
          </w:p>
          <w:p w14:paraId="7F1895A4">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4-14</w:t>
            </w:r>
            <w:r>
              <w:rPr>
                <w:rFonts w:hint="default" w:ascii="Times New Roman" w:hAnsi="Times New Roman" w:eastAsia="黑体" w:cs="Times New Roman"/>
                <w:b w:val="0"/>
                <w:bCs w:val="0"/>
                <w:color w:val="auto"/>
                <w:kern w:val="2"/>
                <w:sz w:val="24"/>
                <w:szCs w:val="24"/>
                <w:highlight w:val="none"/>
                <w:lang w:val="en-US" w:eastAsia="zh-CN" w:bidi="ar-SA"/>
              </w:rPr>
              <w:t xml:space="preserve">  石灰筒仓污染物产生及排放情况</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34"/>
              <w:gridCol w:w="869"/>
              <w:gridCol w:w="752"/>
              <w:gridCol w:w="842"/>
              <w:gridCol w:w="1623"/>
              <w:gridCol w:w="816"/>
              <w:gridCol w:w="655"/>
              <w:gridCol w:w="831"/>
            </w:tblGrid>
            <w:tr w14:paraId="0DF55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noWrap w:val="0"/>
                  <w:vAlign w:val="center"/>
                </w:tcPr>
                <w:p w14:paraId="1BE2BBE3">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zh-CN" w:eastAsia="zh-CN" w:bidi="ar-SA"/>
                    </w:rPr>
                    <w:t>污染物</w:t>
                  </w:r>
                </w:p>
              </w:tc>
              <w:tc>
                <w:tcPr>
                  <w:tcW w:w="677" w:type="pct"/>
                  <w:vMerge w:val="restart"/>
                  <w:tcBorders>
                    <w:tl2br w:val="nil"/>
                    <w:tr2bl w:val="nil"/>
                  </w:tcBorders>
                  <w:noWrap w:val="0"/>
                  <w:vAlign w:val="center"/>
                </w:tcPr>
                <w:p w14:paraId="109D36F8">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zh-CN" w:eastAsia="zh-CN" w:bidi="ar-SA"/>
                    </w:rPr>
                    <w:t>风量</w:t>
                  </w:r>
                  <w:r>
                    <w:rPr>
                      <w:rFonts w:hint="default" w:ascii="Times New Roman" w:hAnsi="Times New Roman" w:eastAsia="宋体" w:cs="Times New Roman"/>
                      <w:b/>
                      <w:bCs/>
                      <w:color w:val="auto"/>
                      <w:kern w:val="21"/>
                      <w:sz w:val="21"/>
                      <w:szCs w:val="21"/>
                      <w:lang w:val="en-US" w:eastAsia="zh-CN" w:bidi="ar-SA"/>
                    </w:rPr>
                    <w:t>m</w:t>
                  </w:r>
                  <w:r>
                    <w:rPr>
                      <w:rFonts w:hint="default" w:ascii="Times New Roman" w:hAnsi="Times New Roman" w:eastAsia="宋体" w:cs="Times New Roman"/>
                      <w:b/>
                      <w:bCs/>
                      <w:color w:val="auto"/>
                      <w:kern w:val="21"/>
                      <w:sz w:val="21"/>
                      <w:szCs w:val="21"/>
                      <w:vertAlign w:val="superscript"/>
                      <w:lang w:val="en-US" w:eastAsia="zh-CN" w:bidi="ar-SA"/>
                    </w:rPr>
                    <w:t>3</w:t>
                  </w:r>
                  <w:r>
                    <w:rPr>
                      <w:rFonts w:hint="default" w:ascii="Times New Roman" w:hAnsi="Times New Roman" w:eastAsia="宋体" w:cs="Times New Roman"/>
                      <w:b/>
                      <w:bCs/>
                      <w:color w:val="auto"/>
                      <w:kern w:val="21"/>
                      <w:sz w:val="21"/>
                      <w:szCs w:val="21"/>
                      <w:lang w:val="en-US" w:eastAsia="zh-CN" w:bidi="ar-SA"/>
                    </w:rPr>
                    <w:t>/h</w:t>
                  </w:r>
                </w:p>
              </w:tc>
              <w:tc>
                <w:tcPr>
                  <w:tcW w:w="1471" w:type="pct"/>
                  <w:gridSpan w:val="3"/>
                  <w:tcBorders>
                    <w:tl2br w:val="nil"/>
                    <w:tr2bl w:val="nil"/>
                  </w:tcBorders>
                  <w:noWrap w:val="0"/>
                  <w:vAlign w:val="center"/>
                </w:tcPr>
                <w:p w14:paraId="7AECE1F9">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产生情况</w:t>
                  </w:r>
                </w:p>
              </w:tc>
              <w:tc>
                <w:tcPr>
                  <w:tcW w:w="969" w:type="pct"/>
                  <w:vMerge w:val="restart"/>
                  <w:tcBorders>
                    <w:tl2br w:val="nil"/>
                    <w:tr2bl w:val="nil"/>
                  </w:tcBorders>
                  <w:noWrap w:val="0"/>
                  <w:vAlign w:val="center"/>
                </w:tcPr>
                <w:p w14:paraId="6614C35D">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治理措施</w:t>
                  </w:r>
                </w:p>
              </w:tc>
              <w:tc>
                <w:tcPr>
                  <w:tcW w:w="1374" w:type="pct"/>
                  <w:gridSpan w:val="3"/>
                  <w:tcBorders>
                    <w:tl2br w:val="nil"/>
                    <w:tr2bl w:val="nil"/>
                  </w:tcBorders>
                  <w:noWrap w:val="0"/>
                  <w:vAlign w:val="center"/>
                </w:tcPr>
                <w:p w14:paraId="10F5688C">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排放情况</w:t>
                  </w:r>
                </w:p>
              </w:tc>
            </w:tr>
            <w:tr w14:paraId="76B40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noWrap w:val="0"/>
                  <w:vAlign w:val="center"/>
                </w:tcPr>
                <w:p w14:paraId="5B6226EF">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zh-CN" w:eastAsia="zh-CN" w:bidi="ar-SA"/>
                    </w:rPr>
                  </w:pPr>
                </w:p>
              </w:tc>
              <w:tc>
                <w:tcPr>
                  <w:tcW w:w="677" w:type="pct"/>
                  <w:vMerge w:val="continue"/>
                  <w:tcBorders>
                    <w:tl2br w:val="nil"/>
                    <w:tr2bl w:val="nil"/>
                  </w:tcBorders>
                  <w:noWrap w:val="0"/>
                  <w:vAlign w:val="center"/>
                </w:tcPr>
                <w:p w14:paraId="7692C22B">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zh-CN" w:eastAsia="zh-CN" w:bidi="ar-SA"/>
                    </w:rPr>
                  </w:pPr>
                </w:p>
              </w:tc>
              <w:tc>
                <w:tcPr>
                  <w:tcW w:w="519" w:type="pct"/>
                  <w:tcBorders>
                    <w:tl2br w:val="nil"/>
                    <w:tr2bl w:val="nil"/>
                  </w:tcBorders>
                  <w:noWrap w:val="0"/>
                  <w:vAlign w:val="center"/>
                </w:tcPr>
                <w:p w14:paraId="06BA130A">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产生</w:t>
                  </w:r>
                </w:p>
                <w:p w14:paraId="0CEA8475">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浓度mg/m</w:t>
                  </w:r>
                  <w:r>
                    <w:rPr>
                      <w:rFonts w:hint="default" w:ascii="Times New Roman" w:hAnsi="Times New Roman" w:eastAsia="宋体" w:cs="Times New Roman"/>
                      <w:b/>
                      <w:bCs/>
                      <w:color w:val="auto"/>
                      <w:kern w:val="21"/>
                      <w:sz w:val="21"/>
                      <w:szCs w:val="21"/>
                      <w:vertAlign w:val="superscript"/>
                      <w:lang w:val="en-US" w:eastAsia="zh-CN" w:bidi="ar-SA"/>
                    </w:rPr>
                    <w:t>3</w:t>
                  </w:r>
                </w:p>
              </w:tc>
              <w:tc>
                <w:tcPr>
                  <w:tcW w:w="449" w:type="pct"/>
                  <w:tcBorders>
                    <w:tl2br w:val="nil"/>
                    <w:tr2bl w:val="nil"/>
                  </w:tcBorders>
                  <w:noWrap w:val="0"/>
                  <w:vAlign w:val="center"/>
                </w:tcPr>
                <w:p w14:paraId="19419A1E">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产生速率kg/h</w:t>
                  </w:r>
                </w:p>
              </w:tc>
              <w:tc>
                <w:tcPr>
                  <w:tcW w:w="502" w:type="pct"/>
                  <w:tcBorders>
                    <w:tl2br w:val="nil"/>
                    <w:tr2bl w:val="nil"/>
                  </w:tcBorders>
                  <w:noWrap w:val="0"/>
                  <w:vAlign w:val="center"/>
                </w:tcPr>
                <w:p w14:paraId="38A42DAF">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产生量t/a</w:t>
                  </w:r>
                </w:p>
              </w:tc>
              <w:tc>
                <w:tcPr>
                  <w:tcW w:w="969" w:type="pct"/>
                  <w:vMerge w:val="continue"/>
                  <w:tcBorders>
                    <w:tl2br w:val="nil"/>
                    <w:tr2bl w:val="nil"/>
                  </w:tcBorders>
                  <w:noWrap w:val="0"/>
                  <w:vAlign w:val="center"/>
                </w:tcPr>
                <w:p w14:paraId="4AE2F5E3">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p>
              </w:tc>
              <w:tc>
                <w:tcPr>
                  <w:tcW w:w="487" w:type="pct"/>
                  <w:tcBorders>
                    <w:tl2br w:val="nil"/>
                    <w:tr2bl w:val="nil"/>
                  </w:tcBorders>
                  <w:noWrap w:val="0"/>
                  <w:vAlign w:val="center"/>
                </w:tcPr>
                <w:p w14:paraId="146D6976">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排放</w:t>
                  </w:r>
                </w:p>
                <w:p w14:paraId="3326345A">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浓度mg/m</w:t>
                  </w:r>
                  <w:r>
                    <w:rPr>
                      <w:rFonts w:hint="default" w:ascii="Times New Roman" w:hAnsi="Times New Roman" w:eastAsia="宋体" w:cs="Times New Roman"/>
                      <w:b/>
                      <w:bCs/>
                      <w:color w:val="auto"/>
                      <w:kern w:val="21"/>
                      <w:sz w:val="21"/>
                      <w:szCs w:val="21"/>
                      <w:vertAlign w:val="superscript"/>
                      <w:lang w:val="en-US" w:eastAsia="zh-CN" w:bidi="ar-SA"/>
                    </w:rPr>
                    <w:t>3</w:t>
                  </w:r>
                </w:p>
              </w:tc>
              <w:tc>
                <w:tcPr>
                  <w:tcW w:w="391" w:type="pct"/>
                  <w:tcBorders>
                    <w:tl2br w:val="nil"/>
                    <w:tr2bl w:val="nil"/>
                  </w:tcBorders>
                  <w:noWrap w:val="0"/>
                  <w:vAlign w:val="center"/>
                </w:tcPr>
                <w:p w14:paraId="4DB313D9">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排放速率kg/h</w:t>
                  </w:r>
                </w:p>
              </w:tc>
              <w:tc>
                <w:tcPr>
                  <w:tcW w:w="496" w:type="pct"/>
                  <w:tcBorders>
                    <w:tl2br w:val="nil"/>
                    <w:tr2bl w:val="nil"/>
                  </w:tcBorders>
                  <w:noWrap w:val="0"/>
                  <w:vAlign w:val="center"/>
                </w:tcPr>
                <w:p w14:paraId="7D3A9165">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kern w:val="21"/>
                      <w:sz w:val="21"/>
                      <w:szCs w:val="21"/>
                      <w:lang w:val="en-US" w:eastAsia="zh-CN" w:bidi="ar-SA"/>
                    </w:rPr>
                  </w:pPr>
                  <w:r>
                    <w:rPr>
                      <w:rFonts w:hint="default" w:ascii="Times New Roman" w:hAnsi="Times New Roman" w:eastAsia="宋体" w:cs="Times New Roman"/>
                      <w:b/>
                      <w:bCs/>
                      <w:color w:val="auto"/>
                      <w:kern w:val="21"/>
                      <w:sz w:val="21"/>
                      <w:szCs w:val="21"/>
                      <w:lang w:val="en-US" w:eastAsia="zh-CN" w:bidi="ar-SA"/>
                    </w:rPr>
                    <w:t>排放量t/a</w:t>
                  </w:r>
                </w:p>
              </w:tc>
            </w:tr>
            <w:tr w14:paraId="7F26D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noWrap w:val="0"/>
                  <w:vAlign w:val="center"/>
                </w:tcPr>
                <w:p w14:paraId="3755453F">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SA"/>
                    </w:rPr>
                    <w:t>颗粒物</w:t>
                  </w:r>
                </w:p>
              </w:tc>
              <w:tc>
                <w:tcPr>
                  <w:tcW w:w="677" w:type="pct"/>
                  <w:tcBorders>
                    <w:tl2br w:val="nil"/>
                    <w:tr2bl w:val="nil"/>
                  </w:tcBorders>
                  <w:noWrap w:val="0"/>
                  <w:vAlign w:val="center"/>
                </w:tcPr>
                <w:p w14:paraId="00D4F863">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900</w:t>
                  </w:r>
                </w:p>
              </w:tc>
              <w:tc>
                <w:tcPr>
                  <w:tcW w:w="519" w:type="pct"/>
                  <w:tcBorders>
                    <w:tl2br w:val="nil"/>
                    <w:tr2bl w:val="nil"/>
                  </w:tcBorders>
                  <w:noWrap w:val="0"/>
                  <w:vAlign w:val="center"/>
                </w:tcPr>
                <w:p w14:paraId="0EBF8FB3">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cs="Times New Roman"/>
                      <w:color w:val="auto"/>
                      <w:kern w:val="21"/>
                      <w:sz w:val="21"/>
                      <w:szCs w:val="21"/>
                      <w:lang w:val="en-US" w:eastAsia="zh-CN" w:bidi="ar-SA"/>
                    </w:rPr>
                    <w:t>5333</w:t>
                  </w:r>
                </w:p>
              </w:tc>
              <w:tc>
                <w:tcPr>
                  <w:tcW w:w="449" w:type="pct"/>
                  <w:tcBorders>
                    <w:tl2br w:val="nil"/>
                    <w:tr2bl w:val="nil"/>
                  </w:tcBorders>
                  <w:noWrap w:val="0"/>
                  <w:vAlign w:val="center"/>
                </w:tcPr>
                <w:p w14:paraId="14F7C7EE">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4.</w:t>
                  </w:r>
                  <w:r>
                    <w:rPr>
                      <w:rFonts w:hint="eastAsia" w:cs="Times New Roman"/>
                      <w:color w:val="auto"/>
                      <w:kern w:val="21"/>
                      <w:sz w:val="21"/>
                      <w:szCs w:val="21"/>
                      <w:lang w:val="en-US" w:eastAsia="zh-CN" w:bidi="ar-SA"/>
                    </w:rPr>
                    <w:t>8</w:t>
                  </w:r>
                </w:p>
              </w:tc>
              <w:tc>
                <w:tcPr>
                  <w:tcW w:w="502" w:type="pct"/>
                  <w:tcBorders>
                    <w:tl2br w:val="nil"/>
                    <w:tr2bl w:val="nil"/>
                  </w:tcBorders>
                  <w:noWrap w:val="0"/>
                  <w:vAlign w:val="center"/>
                </w:tcPr>
                <w:p w14:paraId="113D944F">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0.0</w:t>
                  </w:r>
                  <w:r>
                    <w:rPr>
                      <w:rFonts w:hint="eastAsia" w:cs="Times New Roman"/>
                      <w:color w:val="auto"/>
                      <w:kern w:val="21"/>
                      <w:sz w:val="21"/>
                      <w:szCs w:val="21"/>
                      <w:lang w:val="en-US" w:eastAsia="zh-CN" w:bidi="ar-SA"/>
                    </w:rPr>
                    <w:t>48</w:t>
                  </w:r>
                </w:p>
              </w:tc>
              <w:tc>
                <w:tcPr>
                  <w:tcW w:w="969" w:type="pct"/>
                  <w:tcBorders>
                    <w:tl2br w:val="nil"/>
                    <w:tr2bl w:val="nil"/>
                  </w:tcBorders>
                  <w:noWrap w:val="0"/>
                  <w:vAlign w:val="center"/>
                </w:tcPr>
                <w:p w14:paraId="571A53A4">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SA"/>
                    </w:rPr>
                    <w:t>强制式脉冲布袋除尘器+1根</w:t>
                  </w:r>
                  <w:r>
                    <w:rPr>
                      <w:rFonts w:hint="eastAsia" w:cs="Times New Roman"/>
                      <w:color w:val="auto"/>
                      <w:kern w:val="21"/>
                      <w:sz w:val="21"/>
                      <w:szCs w:val="21"/>
                      <w:lang w:val="en-US" w:eastAsia="zh-CN" w:bidi="ar-SA"/>
                    </w:rPr>
                    <w:t>15</w:t>
                  </w:r>
                  <w:r>
                    <w:rPr>
                      <w:rFonts w:hint="default" w:ascii="Times New Roman" w:hAnsi="Times New Roman" w:eastAsia="宋体" w:cs="Times New Roman"/>
                      <w:color w:val="auto"/>
                      <w:kern w:val="21"/>
                      <w:sz w:val="21"/>
                      <w:szCs w:val="21"/>
                      <w:lang w:val="en-US" w:eastAsia="zh-CN" w:bidi="ar-SA"/>
                    </w:rPr>
                    <w:t>m高排气筒（DA00</w:t>
                  </w:r>
                  <w:r>
                    <w:rPr>
                      <w:rFonts w:hint="eastAsia" w:ascii="Times New Roman" w:hAnsi="Times New Roman" w:eastAsia="宋体" w:cs="Times New Roman"/>
                      <w:color w:val="auto"/>
                      <w:kern w:val="21"/>
                      <w:sz w:val="21"/>
                      <w:szCs w:val="21"/>
                      <w:lang w:val="en-US" w:eastAsia="zh-CN" w:bidi="ar-SA"/>
                    </w:rPr>
                    <w:t>3</w:t>
                  </w:r>
                  <w:r>
                    <w:rPr>
                      <w:rFonts w:hint="default" w:ascii="Times New Roman" w:hAnsi="Times New Roman" w:eastAsia="宋体" w:cs="Times New Roman"/>
                      <w:color w:val="auto"/>
                      <w:kern w:val="21"/>
                      <w:sz w:val="21"/>
                      <w:szCs w:val="21"/>
                      <w:lang w:val="en-US" w:eastAsia="zh-CN" w:bidi="ar-SA"/>
                    </w:rPr>
                    <w:t>）排放</w:t>
                  </w:r>
                </w:p>
              </w:tc>
              <w:tc>
                <w:tcPr>
                  <w:tcW w:w="487" w:type="pct"/>
                  <w:tcBorders>
                    <w:tl2br w:val="nil"/>
                    <w:tr2bl w:val="nil"/>
                  </w:tcBorders>
                  <w:noWrap w:val="0"/>
                  <w:vAlign w:val="center"/>
                </w:tcPr>
                <w:p w14:paraId="2D6B02DC">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SA"/>
                    </w:rPr>
                    <w:t>10</w:t>
                  </w:r>
                </w:p>
              </w:tc>
              <w:tc>
                <w:tcPr>
                  <w:tcW w:w="391" w:type="pct"/>
                  <w:tcBorders>
                    <w:tl2br w:val="nil"/>
                    <w:tr2bl w:val="nil"/>
                  </w:tcBorders>
                  <w:noWrap w:val="0"/>
                  <w:vAlign w:val="center"/>
                </w:tcPr>
                <w:p w14:paraId="2F6B60CE">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0.0</w:t>
                  </w:r>
                  <w:r>
                    <w:rPr>
                      <w:rFonts w:hint="eastAsia" w:cs="Times New Roman"/>
                      <w:color w:val="auto"/>
                      <w:kern w:val="21"/>
                      <w:sz w:val="21"/>
                      <w:szCs w:val="21"/>
                      <w:lang w:val="en-US" w:eastAsia="zh-CN" w:bidi="ar-SA"/>
                    </w:rPr>
                    <w:t>09</w:t>
                  </w:r>
                </w:p>
              </w:tc>
              <w:tc>
                <w:tcPr>
                  <w:tcW w:w="496" w:type="pct"/>
                  <w:tcBorders>
                    <w:tl2br w:val="nil"/>
                    <w:tr2bl w:val="nil"/>
                  </w:tcBorders>
                  <w:noWrap w:val="0"/>
                  <w:vAlign w:val="center"/>
                </w:tcPr>
                <w:p w14:paraId="661C0F58">
                  <w:pPr>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0.000</w:t>
                  </w:r>
                  <w:r>
                    <w:rPr>
                      <w:rFonts w:hint="eastAsia" w:cs="Times New Roman"/>
                      <w:color w:val="auto"/>
                      <w:kern w:val="21"/>
                      <w:sz w:val="21"/>
                      <w:szCs w:val="21"/>
                      <w:lang w:val="en-US" w:eastAsia="zh-CN" w:bidi="ar-SA"/>
                    </w:rPr>
                    <w:t>09</w:t>
                  </w:r>
                </w:p>
              </w:tc>
            </w:tr>
          </w:tbl>
          <w:p w14:paraId="37518842">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outlineLvl w:val="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本项目大气污染物排放核算汇总</w:t>
            </w:r>
          </w:p>
          <w:p w14:paraId="5882F6B4">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4-15</w:t>
            </w:r>
            <w:r>
              <w:rPr>
                <w:rFonts w:hint="default" w:ascii="Times New Roman" w:hAnsi="Times New Roman" w:eastAsia="黑体" w:cs="Times New Roman"/>
                <w:b w:val="0"/>
                <w:bCs w:val="0"/>
                <w:color w:val="auto"/>
                <w:kern w:val="2"/>
                <w:sz w:val="24"/>
                <w:szCs w:val="24"/>
                <w:highlight w:val="none"/>
                <w:lang w:val="en-US" w:eastAsia="zh-CN" w:bidi="ar-SA"/>
              </w:rPr>
              <w:t xml:space="preserve">  大气污染物无组织排放量核算表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82"/>
              <w:gridCol w:w="883"/>
              <w:gridCol w:w="1992"/>
              <w:gridCol w:w="1690"/>
              <w:gridCol w:w="1275"/>
              <w:gridCol w:w="1132"/>
            </w:tblGrid>
            <w:tr w14:paraId="02C7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restart"/>
                  <w:tcBorders>
                    <w:tl2br w:val="nil"/>
                    <w:tr2bl w:val="nil"/>
                  </w:tcBorders>
                  <w:noWrap w:val="0"/>
                  <w:vAlign w:val="center"/>
                </w:tcPr>
                <w:p w14:paraId="7E06018E">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586" w:type="pct"/>
                  <w:vMerge w:val="restart"/>
                  <w:tcBorders>
                    <w:tl2br w:val="nil"/>
                    <w:tr2bl w:val="nil"/>
                  </w:tcBorders>
                  <w:noWrap w:val="0"/>
                  <w:vAlign w:val="center"/>
                </w:tcPr>
                <w:p w14:paraId="5352429B">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产污环节</w:t>
                  </w:r>
                </w:p>
              </w:tc>
              <w:tc>
                <w:tcPr>
                  <w:tcW w:w="526" w:type="pct"/>
                  <w:vMerge w:val="restart"/>
                  <w:tcBorders>
                    <w:tl2br w:val="nil"/>
                    <w:tr2bl w:val="nil"/>
                  </w:tcBorders>
                  <w:noWrap w:val="0"/>
                  <w:vAlign w:val="center"/>
                </w:tcPr>
                <w:p w14:paraId="24B42EB8">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污染物</w:t>
                  </w:r>
                </w:p>
              </w:tc>
              <w:tc>
                <w:tcPr>
                  <w:tcW w:w="1189" w:type="pct"/>
                  <w:vMerge w:val="restart"/>
                  <w:tcBorders>
                    <w:tl2br w:val="nil"/>
                    <w:tr2bl w:val="nil"/>
                  </w:tcBorders>
                  <w:noWrap w:val="0"/>
                  <w:vAlign w:val="center"/>
                </w:tcPr>
                <w:p w14:paraId="2DC22087">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主要污染防治措施</w:t>
                  </w:r>
                </w:p>
              </w:tc>
              <w:tc>
                <w:tcPr>
                  <w:tcW w:w="1770" w:type="pct"/>
                  <w:gridSpan w:val="2"/>
                  <w:tcBorders>
                    <w:tl2br w:val="nil"/>
                    <w:tr2bl w:val="nil"/>
                  </w:tcBorders>
                  <w:noWrap w:val="0"/>
                  <w:vAlign w:val="center"/>
                </w:tcPr>
                <w:p w14:paraId="39E78525">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国家或地方污染物排放标准</w:t>
                  </w:r>
                </w:p>
              </w:tc>
              <w:tc>
                <w:tcPr>
                  <w:tcW w:w="674" w:type="pct"/>
                  <w:vMerge w:val="restart"/>
                  <w:tcBorders>
                    <w:tl2br w:val="nil"/>
                    <w:tr2bl w:val="nil"/>
                  </w:tcBorders>
                  <w:noWrap w:val="0"/>
                  <w:vAlign w:val="center"/>
                </w:tcPr>
                <w:p w14:paraId="6AC6A09A">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年排放量/（</w:t>
                  </w:r>
                  <w:r>
                    <w:rPr>
                      <w:rFonts w:hint="default" w:ascii="Times New Roman" w:hAnsi="Times New Roman" w:cs="Times New Roman"/>
                      <w:bCs/>
                      <w:szCs w:val="21"/>
                    </w:rPr>
                    <w:t>t/a</w:t>
                  </w:r>
                  <w:r>
                    <w:rPr>
                      <w:rFonts w:hint="default" w:ascii="Times New Roman" w:hAnsi="Times New Roman" w:cs="Times New Roman"/>
                      <w:b/>
                      <w:szCs w:val="21"/>
                    </w:rPr>
                    <w:t>）</w:t>
                  </w:r>
                </w:p>
              </w:tc>
            </w:tr>
            <w:tr w14:paraId="0E6D5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tcBorders>
                    <w:tl2br w:val="nil"/>
                    <w:tr2bl w:val="nil"/>
                  </w:tcBorders>
                  <w:noWrap w:val="0"/>
                  <w:vAlign w:val="center"/>
                </w:tcPr>
                <w:p w14:paraId="2DA52463">
                  <w:pPr>
                    <w:adjustRightInd w:val="0"/>
                    <w:snapToGrid w:val="0"/>
                    <w:jc w:val="center"/>
                    <w:rPr>
                      <w:rFonts w:hint="default" w:ascii="Times New Roman" w:hAnsi="Times New Roman" w:cs="Times New Roman"/>
                      <w:b/>
                      <w:szCs w:val="21"/>
                    </w:rPr>
                  </w:pPr>
                </w:p>
              </w:tc>
              <w:tc>
                <w:tcPr>
                  <w:tcW w:w="586" w:type="pct"/>
                  <w:vMerge w:val="continue"/>
                  <w:tcBorders>
                    <w:tl2br w:val="nil"/>
                    <w:tr2bl w:val="nil"/>
                  </w:tcBorders>
                  <w:noWrap w:val="0"/>
                  <w:vAlign w:val="center"/>
                </w:tcPr>
                <w:p w14:paraId="26F24EED">
                  <w:pPr>
                    <w:adjustRightInd w:val="0"/>
                    <w:snapToGrid w:val="0"/>
                    <w:jc w:val="center"/>
                    <w:rPr>
                      <w:rFonts w:hint="default" w:ascii="Times New Roman" w:hAnsi="Times New Roman" w:cs="Times New Roman"/>
                      <w:b/>
                      <w:szCs w:val="21"/>
                    </w:rPr>
                  </w:pPr>
                </w:p>
              </w:tc>
              <w:tc>
                <w:tcPr>
                  <w:tcW w:w="526" w:type="pct"/>
                  <w:vMerge w:val="continue"/>
                  <w:tcBorders>
                    <w:tl2br w:val="nil"/>
                    <w:tr2bl w:val="nil"/>
                  </w:tcBorders>
                  <w:noWrap w:val="0"/>
                  <w:vAlign w:val="center"/>
                </w:tcPr>
                <w:p w14:paraId="0B77FA3D">
                  <w:pPr>
                    <w:adjustRightInd w:val="0"/>
                    <w:snapToGrid w:val="0"/>
                    <w:jc w:val="center"/>
                    <w:rPr>
                      <w:rFonts w:hint="default" w:ascii="Times New Roman" w:hAnsi="Times New Roman" w:cs="Times New Roman"/>
                      <w:b/>
                      <w:szCs w:val="21"/>
                    </w:rPr>
                  </w:pPr>
                </w:p>
              </w:tc>
              <w:tc>
                <w:tcPr>
                  <w:tcW w:w="1189" w:type="pct"/>
                  <w:vMerge w:val="continue"/>
                  <w:tcBorders>
                    <w:tl2br w:val="nil"/>
                    <w:tr2bl w:val="nil"/>
                  </w:tcBorders>
                  <w:noWrap w:val="0"/>
                  <w:vAlign w:val="center"/>
                </w:tcPr>
                <w:p w14:paraId="3D2297E5">
                  <w:pPr>
                    <w:adjustRightInd w:val="0"/>
                    <w:snapToGrid w:val="0"/>
                    <w:jc w:val="center"/>
                    <w:rPr>
                      <w:rFonts w:hint="default" w:ascii="Times New Roman" w:hAnsi="Times New Roman" w:cs="Times New Roman"/>
                      <w:b/>
                      <w:szCs w:val="21"/>
                    </w:rPr>
                  </w:pPr>
                </w:p>
              </w:tc>
              <w:tc>
                <w:tcPr>
                  <w:tcW w:w="1009" w:type="pct"/>
                  <w:tcBorders>
                    <w:tl2br w:val="nil"/>
                    <w:tr2bl w:val="nil"/>
                  </w:tcBorders>
                  <w:noWrap w:val="0"/>
                  <w:vAlign w:val="center"/>
                </w:tcPr>
                <w:p w14:paraId="161C1ED2">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标准名称</w:t>
                  </w:r>
                </w:p>
              </w:tc>
              <w:tc>
                <w:tcPr>
                  <w:tcW w:w="760" w:type="pct"/>
                  <w:tcBorders>
                    <w:tl2br w:val="nil"/>
                    <w:tr2bl w:val="nil"/>
                  </w:tcBorders>
                  <w:noWrap w:val="0"/>
                  <w:vAlign w:val="center"/>
                </w:tcPr>
                <w:p w14:paraId="1D2A5D83">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浓度限值/（mg/m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674" w:type="pct"/>
                  <w:vMerge w:val="continue"/>
                  <w:tcBorders>
                    <w:tl2br w:val="nil"/>
                    <w:tr2bl w:val="nil"/>
                  </w:tcBorders>
                  <w:noWrap w:val="0"/>
                  <w:vAlign w:val="center"/>
                </w:tcPr>
                <w:p w14:paraId="4C310986">
                  <w:pPr>
                    <w:adjustRightInd w:val="0"/>
                    <w:snapToGrid w:val="0"/>
                    <w:jc w:val="center"/>
                    <w:rPr>
                      <w:rFonts w:hint="default" w:ascii="Times New Roman" w:hAnsi="Times New Roman" w:cs="Times New Roman"/>
                      <w:bCs/>
                      <w:szCs w:val="21"/>
                    </w:rPr>
                  </w:pPr>
                </w:p>
              </w:tc>
            </w:tr>
            <w:tr w14:paraId="2981A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3A97720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586" w:type="pct"/>
                  <w:tcBorders>
                    <w:tl2br w:val="nil"/>
                    <w:tr2bl w:val="nil"/>
                  </w:tcBorders>
                  <w:noWrap w:val="0"/>
                  <w:vAlign w:val="center"/>
                </w:tcPr>
                <w:p w14:paraId="762BF8E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原料堆存、装卸</w:t>
                  </w:r>
                </w:p>
              </w:tc>
              <w:tc>
                <w:tcPr>
                  <w:tcW w:w="526" w:type="pct"/>
                  <w:tcBorders>
                    <w:tl2br w:val="nil"/>
                    <w:tr2bl w:val="nil"/>
                  </w:tcBorders>
                  <w:noWrap w:val="0"/>
                  <w:vAlign w:val="center"/>
                </w:tcPr>
                <w:p w14:paraId="53A8AA0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189" w:type="pct"/>
                  <w:tcBorders>
                    <w:tl2br w:val="nil"/>
                    <w:tr2bl w:val="nil"/>
                  </w:tcBorders>
                  <w:noWrap w:val="0"/>
                  <w:vAlign w:val="center"/>
                </w:tcPr>
                <w:p w14:paraId="29B72D2E">
                  <w:pPr>
                    <w:adjustRightInd w:val="0"/>
                    <w:snapToGrid w:val="0"/>
                    <w:jc w:val="center"/>
                    <w:rPr>
                      <w:rFonts w:hint="default" w:ascii="Times New Roman" w:hAnsi="Times New Roman" w:cs="Times New Roman"/>
                      <w:spacing w:val="-6"/>
                      <w:szCs w:val="21"/>
                    </w:rPr>
                  </w:pPr>
                  <w:r>
                    <w:rPr>
                      <w:rFonts w:hint="default" w:ascii="Times New Roman" w:hAnsi="Times New Roman" w:eastAsia="宋体" w:cs="Times New Roman"/>
                      <w:snapToGrid w:val="0"/>
                      <w:color w:val="auto"/>
                      <w:spacing w:val="0"/>
                      <w:kern w:val="0"/>
                      <w:position w:val="0"/>
                      <w:sz w:val="21"/>
                      <w:szCs w:val="21"/>
                      <w:lang w:val="en-US" w:eastAsia="zh-CN" w:bidi="ar"/>
                    </w:rPr>
                    <w:t>原料车间全封闭，地面硬化，厂房顶部配套建设覆盖该全场的喷淋洒水装置，以及1台移动式雾炮机</w:t>
                  </w:r>
                </w:p>
              </w:tc>
              <w:tc>
                <w:tcPr>
                  <w:tcW w:w="1009" w:type="pct"/>
                  <w:vMerge w:val="restart"/>
                  <w:tcBorders>
                    <w:tl2br w:val="nil"/>
                    <w:tr2bl w:val="nil"/>
                  </w:tcBorders>
                  <w:noWrap w:val="0"/>
                  <w:vAlign w:val="center"/>
                </w:tcPr>
                <w:p w14:paraId="576581C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《长治市人民政府办公室关于印发长治市大气和水污染物排放管控要求的通知》（长政办规〔2023〕1号）</w:t>
                  </w:r>
                </w:p>
              </w:tc>
              <w:tc>
                <w:tcPr>
                  <w:tcW w:w="760" w:type="pct"/>
                  <w:vMerge w:val="restart"/>
                  <w:tcBorders>
                    <w:tl2br w:val="nil"/>
                    <w:tr2bl w:val="nil"/>
                  </w:tcBorders>
                  <w:noWrap w:val="0"/>
                  <w:vAlign w:val="center"/>
                </w:tcPr>
                <w:p w14:paraId="33C968E0">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1.0</w:t>
                  </w:r>
                </w:p>
              </w:tc>
              <w:tc>
                <w:tcPr>
                  <w:tcW w:w="674" w:type="pct"/>
                  <w:tcBorders>
                    <w:tl2br w:val="nil"/>
                    <w:tr2bl w:val="nil"/>
                  </w:tcBorders>
                  <w:noWrap w:val="0"/>
                  <w:vAlign w:val="center"/>
                </w:tcPr>
                <w:p w14:paraId="1B4D6937">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1.23</w:t>
                  </w:r>
                </w:p>
              </w:tc>
            </w:tr>
            <w:tr w14:paraId="31757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2" w:type="pct"/>
                  <w:vMerge w:val="restart"/>
                  <w:tcBorders>
                    <w:tl2br w:val="nil"/>
                    <w:tr2bl w:val="nil"/>
                  </w:tcBorders>
                  <w:noWrap w:val="0"/>
                  <w:vAlign w:val="center"/>
                </w:tcPr>
                <w:p w14:paraId="058DC5F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586" w:type="pct"/>
                  <w:tcBorders>
                    <w:tl2br w:val="nil"/>
                    <w:tr2bl w:val="nil"/>
                  </w:tcBorders>
                  <w:noWrap w:val="0"/>
                  <w:vAlign w:val="center"/>
                </w:tcPr>
                <w:p w14:paraId="4E52135C">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napToGrid w:val="0"/>
                      <w:color w:val="auto"/>
                      <w:spacing w:val="0"/>
                      <w:kern w:val="0"/>
                      <w:position w:val="0"/>
                      <w:sz w:val="21"/>
                      <w:szCs w:val="21"/>
                      <w:lang w:val="en-US" w:eastAsia="zh-CN" w:bidi="ar-SA"/>
                    </w:rPr>
                    <w:t>破碎</w:t>
                  </w:r>
                </w:p>
              </w:tc>
              <w:tc>
                <w:tcPr>
                  <w:tcW w:w="526" w:type="pct"/>
                  <w:vMerge w:val="restart"/>
                  <w:tcBorders>
                    <w:tl2br w:val="nil"/>
                    <w:tr2bl w:val="nil"/>
                  </w:tcBorders>
                  <w:noWrap w:val="0"/>
                  <w:vAlign w:val="center"/>
                </w:tcPr>
                <w:p w14:paraId="3EC4AB3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189" w:type="pct"/>
                  <w:tcBorders>
                    <w:tl2br w:val="nil"/>
                    <w:tr2bl w:val="nil"/>
                  </w:tcBorders>
                  <w:noWrap w:val="0"/>
                  <w:vAlign w:val="center"/>
                </w:tcPr>
                <w:p w14:paraId="1FCFBC1C">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在破碎处设置集尘罩（收集效率90%）</w:t>
                  </w:r>
                </w:p>
              </w:tc>
              <w:tc>
                <w:tcPr>
                  <w:tcW w:w="1009" w:type="pct"/>
                  <w:vMerge w:val="continue"/>
                  <w:tcBorders>
                    <w:tl2br w:val="nil"/>
                    <w:tr2bl w:val="nil"/>
                  </w:tcBorders>
                  <w:noWrap w:val="0"/>
                  <w:vAlign w:val="center"/>
                </w:tcPr>
                <w:p w14:paraId="01217742">
                  <w:pPr>
                    <w:adjustRightInd w:val="0"/>
                    <w:snapToGrid w:val="0"/>
                    <w:jc w:val="center"/>
                    <w:rPr>
                      <w:rFonts w:hint="default" w:ascii="Times New Roman" w:hAnsi="Times New Roman" w:cs="Times New Roman"/>
                      <w:szCs w:val="21"/>
                    </w:rPr>
                  </w:pPr>
                </w:p>
              </w:tc>
              <w:tc>
                <w:tcPr>
                  <w:tcW w:w="760" w:type="pct"/>
                  <w:vMerge w:val="continue"/>
                  <w:tcBorders>
                    <w:tl2br w:val="nil"/>
                    <w:tr2bl w:val="nil"/>
                  </w:tcBorders>
                  <w:noWrap w:val="0"/>
                  <w:vAlign w:val="center"/>
                </w:tcPr>
                <w:p w14:paraId="07A9C17B">
                  <w:pPr>
                    <w:adjustRightInd w:val="0"/>
                    <w:snapToGrid w:val="0"/>
                    <w:jc w:val="center"/>
                    <w:rPr>
                      <w:rFonts w:hint="default" w:ascii="Times New Roman" w:hAnsi="Times New Roman" w:eastAsia="宋体" w:cs="Times New Roman"/>
                      <w:bCs/>
                      <w:szCs w:val="21"/>
                      <w:lang w:val="en-US" w:eastAsia="zh-CN"/>
                    </w:rPr>
                  </w:pPr>
                </w:p>
              </w:tc>
              <w:tc>
                <w:tcPr>
                  <w:tcW w:w="674" w:type="pct"/>
                  <w:tcBorders>
                    <w:tl2br w:val="nil"/>
                    <w:tr2bl w:val="nil"/>
                  </w:tcBorders>
                  <w:noWrap w:val="0"/>
                  <w:vAlign w:val="center"/>
                </w:tcPr>
                <w:p w14:paraId="5ABF1D57">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0.271</w:t>
                  </w:r>
                </w:p>
              </w:tc>
            </w:tr>
            <w:tr w14:paraId="318CA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2" w:type="pct"/>
                  <w:vMerge w:val="continue"/>
                  <w:tcBorders>
                    <w:tl2br w:val="nil"/>
                    <w:tr2bl w:val="nil"/>
                  </w:tcBorders>
                  <w:noWrap w:val="0"/>
                  <w:vAlign w:val="center"/>
                </w:tcPr>
                <w:p w14:paraId="4CE2AF13">
                  <w:pPr>
                    <w:adjustRightInd w:val="0"/>
                    <w:snapToGrid w:val="0"/>
                    <w:jc w:val="center"/>
                  </w:pPr>
                </w:p>
              </w:tc>
              <w:tc>
                <w:tcPr>
                  <w:tcW w:w="586" w:type="pct"/>
                  <w:tcBorders>
                    <w:tl2br w:val="nil"/>
                    <w:tr2bl w:val="nil"/>
                  </w:tcBorders>
                  <w:noWrap w:val="0"/>
                  <w:vAlign w:val="center"/>
                </w:tcPr>
                <w:p w14:paraId="08933ACA">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r>
                    <w:rPr>
                      <w:rFonts w:hint="default" w:ascii="Times New Roman" w:hAnsi="Times New Roman" w:eastAsia="宋体" w:cs="Times New Roman"/>
                      <w:snapToGrid w:val="0"/>
                      <w:color w:val="auto"/>
                      <w:spacing w:val="0"/>
                      <w:kern w:val="0"/>
                      <w:position w:val="0"/>
                      <w:sz w:val="21"/>
                      <w:szCs w:val="21"/>
                      <w:lang w:val="en-US" w:eastAsia="zh-CN" w:bidi="ar-SA"/>
                    </w:rPr>
                    <w:t>筛分</w:t>
                  </w:r>
                </w:p>
              </w:tc>
              <w:tc>
                <w:tcPr>
                  <w:tcW w:w="526" w:type="pct"/>
                  <w:vMerge w:val="continue"/>
                  <w:tcBorders>
                    <w:tl2br w:val="nil"/>
                    <w:tr2bl w:val="nil"/>
                  </w:tcBorders>
                  <w:noWrap w:val="0"/>
                  <w:vAlign w:val="center"/>
                </w:tcPr>
                <w:p w14:paraId="53AFFC70">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1189" w:type="pct"/>
                  <w:tcBorders>
                    <w:tl2br w:val="nil"/>
                    <w:tr2bl w:val="nil"/>
                  </w:tcBorders>
                  <w:noWrap w:val="0"/>
                  <w:vAlign w:val="center"/>
                </w:tcPr>
                <w:p w14:paraId="219FD46E">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r>
                    <w:rPr>
                      <w:rFonts w:hint="default" w:ascii="Times New Roman" w:hAnsi="Times New Roman" w:cs="Times New Roman"/>
                      <w:spacing w:val="-6"/>
                      <w:szCs w:val="21"/>
                    </w:rPr>
                    <w:t>在筛分处设置集尘罩（收集效率90%）</w:t>
                  </w:r>
                </w:p>
              </w:tc>
              <w:tc>
                <w:tcPr>
                  <w:tcW w:w="1009" w:type="pct"/>
                  <w:vMerge w:val="continue"/>
                  <w:tcBorders>
                    <w:tl2br w:val="nil"/>
                    <w:tr2bl w:val="nil"/>
                  </w:tcBorders>
                  <w:noWrap w:val="0"/>
                  <w:vAlign w:val="center"/>
                </w:tcPr>
                <w:p w14:paraId="024D9216">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760" w:type="pct"/>
                  <w:vMerge w:val="continue"/>
                  <w:tcBorders>
                    <w:tl2br w:val="nil"/>
                    <w:tr2bl w:val="nil"/>
                  </w:tcBorders>
                  <w:noWrap w:val="0"/>
                  <w:vAlign w:val="center"/>
                </w:tcPr>
                <w:p w14:paraId="193584D0">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p>
              </w:tc>
              <w:tc>
                <w:tcPr>
                  <w:tcW w:w="674" w:type="pct"/>
                  <w:tcBorders>
                    <w:tl2br w:val="nil"/>
                    <w:tr2bl w:val="nil"/>
                  </w:tcBorders>
                  <w:noWrap w:val="0"/>
                  <w:vAlign w:val="center"/>
                </w:tcPr>
                <w:p w14:paraId="61F6BA4B">
                  <w:pPr>
                    <w:adjustRightInd w:val="0"/>
                    <w:snapToGrid w:val="0"/>
                    <w:jc w:val="center"/>
                    <w:rPr>
                      <w:rFonts w:hint="default" w:ascii="Times New Roman" w:hAnsi="Times New Roman" w:eastAsia="宋体" w:cs="Times New Roman"/>
                      <w:snapToGrid w:val="0"/>
                      <w:color w:val="auto"/>
                      <w:spacing w:val="0"/>
                      <w:kern w:val="0"/>
                      <w:position w:val="0"/>
                      <w:sz w:val="21"/>
                      <w:szCs w:val="21"/>
                      <w:lang w:val="en-US" w:eastAsia="zh-CN" w:bidi="ar-SA"/>
                    </w:rPr>
                  </w:pPr>
                  <w:r>
                    <w:rPr>
                      <w:rFonts w:hint="eastAsia" w:ascii="Times New Roman" w:hAnsi="Times New Roman" w:eastAsia="宋体" w:cs="Times New Roman"/>
                      <w:snapToGrid w:val="0"/>
                      <w:color w:val="auto"/>
                      <w:spacing w:val="0"/>
                      <w:kern w:val="0"/>
                      <w:position w:val="0"/>
                      <w:sz w:val="21"/>
                      <w:szCs w:val="21"/>
                      <w:lang w:val="en-US" w:eastAsia="zh-CN" w:bidi="ar-SA"/>
                    </w:rPr>
                    <w:t>0.271</w:t>
                  </w:r>
                </w:p>
              </w:tc>
            </w:tr>
            <w:tr w14:paraId="5387F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2CF2F81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586" w:type="pct"/>
                  <w:tcBorders>
                    <w:tl2br w:val="nil"/>
                    <w:tr2bl w:val="nil"/>
                  </w:tcBorders>
                  <w:noWrap w:val="0"/>
                  <w:vAlign w:val="center"/>
                </w:tcPr>
                <w:p w14:paraId="598C86E5">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皮带输送</w:t>
                  </w:r>
                </w:p>
              </w:tc>
              <w:tc>
                <w:tcPr>
                  <w:tcW w:w="526" w:type="pct"/>
                  <w:tcBorders>
                    <w:tl2br w:val="nil"/>
                    <w:tr2bl w:val="nil"/>
                  </w:tcBorders>
                  <w:noWrap w:val="0"/>
                  <w:vAlign w:val="center"/>
                </w:tcPr>
                <w:p w14:paraId="31BDD5F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189" w:type="pct"/>
                  <w:tcBorders>
                    <w:tl2br w:val="nil"/>
                    <w:tr2bl w:val="nil"/>
                  </w:tcBorders>
                  <w:noWrap w:val="0"/>
                  <w:vAlign w:val="center"/>
                </w:tcPr>
                <w:p w14:paraId="0B14529E">
                  <w:pPr>
                    <w:adjustRightInd w:val="0"/>
                    <w:snapToGrid w:val="0"/>
                    <w:jc w:val="center"/>
                    <w:rPr>
                      <w:rFonts w:hint="default" w:ascii="Times New Roman" w:hAnsi="Times New Roman" w:cs="Times New Roman"/>
                      <w:spacing w:val="-6"/>
                      <w:szCs w:val="21"/>
                    </w:rPr>
                  </w:pPr>
                  <w:r>
                    <w:rPr>
                      <w:rFonts w:hint="default" w:ascii="Times New Roman" w:hAnsi="Times New Roman" w:eastAsia="宋体" w:cs="Times New Roman"/>
                      <w:snapToGrid w:val="0"/>
                      <w:color w:val="auto"/>
                      <w:spacing w:val="0"/>
                      <w:kern w:val="0"/>
                      <w:position w:val="0"/>
                      <w:sz w:val="21"/>
                      <w:szCs w:val="21"/>
                      <w:lang w:val="en-US" w:eastAsia="zh-CN" w:bidi="ar-SA"/>
                    </w:rPr>
                    <w:t>库内物料运输多采用全封闭皮带走廊，物料转载、转运跌落点要降低物料跌落高度</w:t>
                  </w:r>
                </w:p>
              </w:tc>
              <w:tc>
                <w:tcPr>
                  <w:tcW w:w="1009" w:type="pct"/>
                  <w:vMerge w:val="continue"/>
                  <w:tcBorders>
                    <w:tl2br w:val="nil"/>
                    <w:tr2bl w:val="nil"/>
                  </w:tcBorders>
                  <w:noWrap w:val="0"/>
                  <w:vAlign w:val="center"/>
                </w:tcPr>
                <w:p w14:paraId="0EABBA45">
                  <w:pPr>
                    <w:adjustRightInd w:val="0"/>
                    <w:snapToGrid w:val="0"/>
                    <w:jc w:val="center"/>
                    <w:rPr>
                      <w:rFonts w:hint="default" w:ascii="Times New Roman" w:hAnsi="Times New Roman" w:cs="Times New Roman"/>
                      <w:szCs w:val="21"/>
                    </w:rPr>
                  </w:pPr>
                </w:p>
              </w:tc>
              <w:tc>
                <w:tcPr>
                  <w:tcW w:w="760" w:type="pct"/>
                  <w:vMerge w:val="continue"/>
                  <w:tcBorders>
                    <w:tl2br w:val="nil"/>
                    <w:tr2bl w:val="nil"/>
                  </w:tcBorders>
                  <w:noWrap w:val="0"/>
                  <w:vAlign w:val="center"/>
                </w:tcPr>
                <w:p w14:paraId="1CD3E8C1">
                  <w:pPr>
                    <w:adjustRightInd w:val="0"/>
                    <w:snapToGrid w:val="0"/>
                    <w:jc w:val="center"/>
                    <w:rPr>
                      <w:rFonts w:hint="default" w:ascii="Times New Roman" w:hAnsi="Times New Roman" w:cs="Times New Roman"/>
                      <w:bCs/>
                      <w:szCs w:val="21"/>
                    </w:rPr>
                  </w:pPr>
                </w:p>
              </w:tc>
              <w:tc>
                <w:tcPr>
                  <w:tcW w:w="674" w:type="pct"/>
                  <w:tcBorders>
                    <w:tl2br w:val="nil"/>
                    <w:tr2bl w:val="nil"/>
                  </w:tcBorders>
                  <w:noWrap w:val="0"/>
                  <w:vAlign w:val="center"/>
                </w:tcPr>
                <w:p w14:paraId="390F6CFB">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0.69</w:t>
                  </w:r>
                </w:p>
              </w:tc>
            </w:tr>
            <w:tr w14:paraId="46BB0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tcBorders>
                    <w:tl2br w:val="nil"/>
                    <w:tr2bl w:val="nil"/>
                  </w:tcBorders>
                  <w:noWrap w:val="0"/>
                  <w:vAlign w:val="center"/>
                </w:tcPr>
                <w:p w14:paraId="3EE75478">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无组织排放总计</w:t>
                  </w:r>
                </w:p>
              </w:tc>
            </w:tr>
            <w:tr w14:paraId="6CEB3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5" w:type="pct"/>
                  <w:gridSpan w:val="3"/>
                  <w:tcBorders>
                    <w:tl2br w:val="nil"/>
                    <w:tr2bl w:val="nil"/>
                  </w:tcBorders>
                  <w:noWrap w:val="0"/>
                  <w:vAlign w:val="center"/>
                </w:tcPr>
                <w:p w14:paraId="7F845BB1">
                  <w:pPr>
                    <w:adjustRightInd w:val="0"/>
                    <w:snapToGrid w:val="0"/>
                    <w:jc w:val="center"/>
                    <w:rPr>
                      <w:rFonts w:hint="default" w:ascii="Times New Roman" w:hAnsi="Times New Roman" w:cs="Times New Roman"/>
                      <w:szCs w:val="21"/>
                    </w:rPr>
                  </w:pPr>
                  <w:r>
                    <w:rPr>
                      <w:rFonts w:hint="default" w:ascii="Times New Roman" w:hAnsi="Times New Roman" w:cs="Times New Roman"/>
                      <w:bCs/>
                      <w:szCs w:val="21"/>
                    </w:rPr>
                    <w:t>无组织排放总计</w:t>
                  </w:r>
                </w:p>
              </w:tc>
              <w:tc>
                <w:tcPr>
                  <w:tcW w:w="1189" w:type="pct"/>
                  <w:tcBorders>
                    <w:tl2br w:val="nil"/>
                    <w:tr2bl w:val="nil"/>
                  </w:tcBorders>
                  <w:noWrap w:val="0"/>
                  <w:vAlign w:val="center"/>
                </w:tcPr>
                <w:p w14:paraId="27E292D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2444" w:type="pct"/>
                  <w:gridSpan w:val="3"/>
                  <w:tcBorders>
                    <w:tl2br w:val="nil"/>
                    <w:tr2bl w:val="nil"/>
                  </w:tcBorders>
                  <w:noWrap w:val="0"/>
                  <w:vAlign w:val="center"/>
                </w:tcPr>
                <w:p w14:paraId="59C5F596">
                  <w:pPr>
                    <w:adjustRightInd w:val="0"/>
                    <w:snapToGrid w:val="0"/>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2.462</w:t>
                  </w:r>
                </w:p>
              </w:tc>
            </w:tr>
          </w:tbl>
          <w:p w14:paraId="5B272F07">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4-16</w:t>
            </w:r>
            <w:r>
              <w:rPr>
                <w:rFonts w:hint="default" w:ascii="Times New Roman" w:hAnsi="Times New Roman" w:eastAsia="黑体" w:cs="Times New Roman"/>
                <w:b w:val="0"/>
                <w:bCs w:val="0"/>
                <w:color w:val="auto"/>
                <w:kern w:val="2"/>
                <w:sz w:val="24"/>
                <w:szCs w:val="24"/>
                <w:highlight w:val="none"/>
                <w:lang w:val="en-US" w:eastAsia="zh-CN" w:bidi="ar-SA"/>
              </w:rPr>
              <w:t xml:space="preserve">  大气污染物有组织排放量核算表</w:t>
            </w:r>
          </w:p>
          <w:tbl>
            <w:tblPr>
              <w:tblStyle w:val="23"/>
              <w:tblW w:w="50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3"/>
              <w:gridCol w:w="1343"/>
              <w:gridCol w:w="1326"/>
              <w:gridCol w:w="1944"/>
              <w:gridCol w:w="1854"/>
              <w:gridCol w:w="1407"/>
            </w:tblGrid>
            <w:tr w14:paraId="4E996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4DFD7DB1">
                  <w:pPr>
                    <w:adjustRightInd w:val="0"/>
                    <w:snapToGrid w:val="0"/>
                    <w:jc w:val="center"/>
                    <w:rPr>
                      <w:b/>
                      <w:bCs/>
                      <w:szCs w:val="21"/>
                    </w:rPr>
                  </w:pPr>
                  <w:r>
                    <w:rPr>
                      <w:b/>
                      <w:bCs/>
                      <w:szCs w:val="21"/>
                    </w:rPr>
                    <w:t>序号</w:t>
                  </w:r>
                </w:p>
              </w:tc>
              <w:tc>
                <w:tcPr>
                  <w:tcW w:w="793" w:type="pct"/>
                  <w:tcBorders>
                    <w:tl2br w:val="nil"/>
                    <w:tr2bl w:val="nil"/>
                  </w:tcBorders>
                  <w:noWrap w:val="0"/>
                  <w:vAlign w:val="center"/>
                </w:tcPr>
                <w:p w14:paraId="744D231F">
                  <w:pPr>
                    <w:adjustRightInd w:val="0"/>
                    <w:snapToGrid w:val="0"/>
                    <w:jc w:val="center"/>
                    <w:rPr>
                      <w:b/>
                      <w:bCs/>
                      <w:szCs w:val="21"/>
                    </w:rPr>
                  </w:pPr>
                  <w:r>
                    <w:rPr>
                      <w:b/>
                      <w:bCs/>
                      <w:szCs w:val="21"/>
                    </w:rPr>
                    <w:t>排放口编</w:t>
                  </w:r>
                  <w:r>
                    <w:rPr>
                      <w:b/>
                      <w:bCs/>
                      <w:w w:val="99"/>
                      <w:szCs w:val="21"/>
                    </w:rPr>
                    <w:t>号</w:t>
                  </w:r>
                </w:p>
              </w:tc>
              <w:tc>
                <w:tcPr>
                  <w:tcW w:w="783" w:type="pct"/>
                  <w:tcBorders>
                    <w:tl2br w:val="nil"/>
                    <w:tr2bl w:val="nil"/>
                  </w:tcBorders>
                  <w:noWrap w:val="0"/>
                  <w:vAlign w:val="center"/>
                </w:tcPr>
                <w:p w14:paraId="2D3D02AB">
                  <w:pPr>
                    <w:adjustRightInd w:val="0"/>
                    <w:snapToGrid w:val="0"/>
                    <w:jc w:val="center"/>
                    <w:rPr>
                      <w:b/>
                      <w:bCs/>
                      <w:szCs w:val="21"/>
                    </w:rPr>
                  </w:pPr>
                  <w:r>
                    <w:rPr>
                      <w:b/>
                      <w:bCs/>
                      <w:szCs w:val="21"/>
                    </w:rPr>
                    <w:t>污染物</w:t>
                  </w:r>
                </w:p>
              </w:tc>
              <w:tc>
                <w:tcPr>
                  <w:tcW w:w="1148" w:type="pct"/>
                  <w:tcBorders>
                    <w:tl2br w:val="nil"/>
                    <w:tr2bl w:val="nil"/>
                  </w:tcBorders>
                  <w:noWrap w:val="0"/>
                  <w:vAlign w:val="center"/>
                </w:tcPr>
                <w:p w14:paraId="48582AEE">
                  <w:pPr>
                    <w:adjustRightInd w:val="0"/>
                    <w:snapToGrid w:val="0"/>
                    <w:jc w:val="center"/>
                    <w:rPr>
                      <w:b/>
                      <w:bCs/>
                      <w:szCs w:val="21"/>
                    </w:rPr>
                  </w:pPr>
                  <w:r>
                    <w:rPr>
                      <w:b/>
                      <w:bCs/>
                      <w:szCs w:val="21"/>
                    </w:rPr>
                    <w:t>核算排放浓度</w:t>
                  </w:r>
                  <w:r>
                    <w:rPr>
                      <w:rFonts w:hint="eastAsia"/>
                      <w:b/>
                      <w:bCs/>
                      <w:szCs w:val="21"/>
                    </w:rPr>
                    <w:t>/（</w:t>
                  </w:r>
                  <w:r>
                    <w:rPr>
                      <w:b/>
                      <w:bCs/>
                      <w:szCs w:val="21"/>
                    </w:rPr>
                    <w:t>mg/m</w:t>
                  </w:r>
                  <w:r>
                    <w:rPr>
                      <w:b/>
                      <w:bCs/>
                      <w:szCs w:val="21"/>
                      <w:vertAlign w:val="superscript"/>
                    </w:rPr>
                    <w:t>3</w:t>
                  </w:r>
                  <w:r>
                    <w:rPr>
                      <w:rFonts w:hint="eastAsia"/>
                      <w:b/>
                      <w:bCs/>
                      <w:szCs w:val="21"/>
                    </w:rPr>
                    <w:t>）</w:t>
                  </w:r>
                </w:p>
              </w:tc>
              <w:tc>
                <w:tcPr>
                  <w:tcW w:w="1093" w:type="pct"/>
                  <w:tcBorders>
                    <w:tl2br w:val="nil"/>
                    <w:tr2bl w:val="nil"/>
                  </w:tcBorders>
                  <w:noWrap w:val="0"/>
                  <w:vAlign w:val="center"/>
                </w:tcPr>
                <w:p w14:paraId="6103DA1D">
                  <w:pPr>
                    <w:adjustRightInd w:val="0"/>
                    <w:snapToGrid w:val="0"/>
                    <w:jc w:val="center"/>
                    <w:rPr>
                      <w:b/>
                      <w:bCs/>
                      <w:szCs w:val="21"/>
                    </w:rPr>
                  </w:pPr>
                  <w:r>
                    <w:rPr>
                      <w:b/>
                      <w:bCs/>
                      <w:szCs w:val="21"/>
                    </w:rPr>
                    <w:t>核算排放速率</w:t>
                  </w:r>
                  <w:r>
                    <w:rPr>
                      <w:rFonts w:hint="eastAsia"/>
                      <w:b/>
                      <w:bCs/>
                      <w:szCs w:val="21"/>
                    </w:rPr>
                    <w:t>/（</w:t>
                  </w:r>
                  <w:r>
                    <w:rPr>
                      <w:b/>
                      <w:bCs/>
                      <w:szCs w:val="21"/>
                    </w:rPr>
                    <w:t>kg/h</w:t>
                  </w:r>
                  <w:r>
                    <w:rPr>
                      <w:rFonts w:hint="eastAsia"/>
                      <w:b/>
                      <w:bCs/>
                      <w:szCs w:val="21"/>
                    </w:rPr>
                    <w:t>）</w:t>
                  </w:r>
                </w:p>
              </w:tc>
              <w:tc>
                <w:tcPr>
                  <w:tcW w:w="830" w:type="pct"/>
                  <w:tcBorders>
                    <w:tl2br w:val="nil"/>
                    <w:tr2bl w:val="nil"/>
                  </w:tcBorders>
                  <w:noWrap w:val="0"/>
                  <w:vAlign w:val="center"/>
                </w:tcPr>
                <w:p w14:paraId="4B33950A">
                  <w:pPr>
                    <w:adjustRightInd w:val="0"/>
                    <w:snapToGrid w:val="0"/>
                    <w:jc w:val="center"/>
                    <w:rPr>
                      <w:b/>
                      <w:bCs/>
                      <w:szCs w:val="21"/>
                    </w:rPr>
                  </w:pPr>
                  <w:r>
                    <w:rPr>
                      <w:b/>
                      <w:bCs/>
                      <w:szCs w:val="21"/>
                    </w:rPr>
                    <w:t>核算年排放量</w:t>
                  </w:r>
                  <w:r>
                    <w:rPr>
                      <w:rFonts w:hint="eastAsia"/>
                      <w:b/>
                      <w:bCs/>
                      <w:szCs w:val="21"/>
                    </w:rPr>
                    <w:t>/（</w:t>
                  </w:r>
                  <w:r>
                    <w:rPr>
                      <w:b/>
                      <w:bCs/>
                      <w:szCs w:val="21"/>
                    </w:rPr>
                    <w:t>t/a</w:t>
                  </w:r>
                  <w:r>
                    <w:rPr>
                      <w:rFonts w:hint="eastAsia"/>
                      <w:b/>
                      <w:bCs/>
                      <w:szCs w:val="21"/>
                    </w:rPr>
                    <w:t>）</w:t>
                  </w:r>
                </w:p>
              </w:tc>
            </w:tr>
            <w:tr w14:paraId="7BC7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noWrap w:val="0"/>
                  <w:vAlign w:val="center"/>
                </w:tcPr>
                <w:p w14:paraId="7BE5DFD4">
                  <w:pPr>
                    <w:adjustRightInd w:val="0"/>
                    <w:snapToGrid w:val="0"/>
                    <w:jc w:val="center"/>
                    <w:rPr>
                      <w:b/>
                      <w:bCs/>
                      <w:szCs w:val="21"/>
                    </w:rPr>
                  </w:pPr>
                  <w:r>
                    <w:rPr>
                      <w:rFonts w:hint="eastAsia"/>
                      <w:b/>
                      <w:bCs/>
                      <w:szCs w:val="21"/>
                    </w:rPr>
                    <w:t>一般排放口</w:t>
                  </w:r>
                </w:p>
              </w:tc>
            </w:tr>
            <w:tr w14:paraId="1063C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41106191">
                  <w:pPr>
                    <w:adjustRightInd w:val="0"/>
                    <w:snapToGrid w:val="0"/>
                    <w:jc w:val="center"/>
                    <w:rPr>
                      <w:b/>
                      <w:bCs/>
                      <w:szCs w:val="21"/>
                    </w:rPr>
                  </w:pPr>
                  <w:r>
                    <w:rPr>
                      <w:szCs w:val="21"/>
                    </w:rPr>
                    <w:t>1</w:t>
                  </w:r>
                </w:p>
              </w:tc>
              <w:tc>
                <w:tcPr>
                  <w:tcW w:w="793" w:type="pct"/>
                  <w:tcBorders>
                    <w:tl2br w:val="nil"/>
                    <w:tr2bl w:val="nil"/>
                  </w:tcBorders>
                  <w:noWrap w:val="0"/>
                  <w:vAlign w:val="center"/>
                </w:tcPr>
                <w:p w14:paraId="3D287DEC">
                  <w:pPr>
                    <w:adjustRightInd w:val="0"/>
                    <w:snapToGrid w:val="0"/>
                    <w:jc w:val="center"/>
                    <w:rPr>
                      <w:rFonts w:hint="eastAsia" w:eastAsia="宋体"/>
                      <w:b/>
                      <w:bCs/>
                      <w:szCs w:val="21"/>
                      <w:lang w:eastAsia="zh-CN"/>
                    </w:rPr>
                  </w:pPr>
                  <w:r>
                    <w:rPr>
                      <w:szCs w:val="21"/>
                    </w:rPr>
                    <w:t>DA00</w:t>
                  </w:r>
                  <w:r>
                    <w:rPr>
                      <w:rFonts w:hint="eastAsia"/>
                      <w:szCs w:val="21"/>
                      <w:lang w:val="en-US" w:eastAsia="zh-CN"/>
                    </w:rPr>
                    <w:t>4</w:t>
                  </w:r>
                </w:p>
              </w:tc>
              <w:tc>
                <w:tcPr>
                  <w:tcW w:w="783" w:type="pct"/>
                  <w:tcBorders>
                    <w:tl2br w:val="nil"/>
                    <w:tr2bl w:val="nil"/>
                  </w:tcBorders>
                  <w:noWrap w:val="0"/>
                  <w:vAlign w:val="center"/>
                </w:tcPr>
                <w:p w14:paraId="68994C58">
                  <w:pPr>
                    <w:adjustRightInd w:val="0"/>
                    <w:snapToGrid w:val="0"/>
                    <w:jc w:val="center"/>
                    <w:rPr>
                      <w:b/>
                      <w:bCs/>
                      <w:szCs w:val="21"/>
                    </w:rPr>
                  </w:pPr>
                  <w:r>
                    <w:rPr>
                      <w:rFonts w:hint="eastAsia"/>
                      <w:szCs w:val="21"/>
                    </w:rPr>
                    <w:t>颗粒物</w:t>
                  </w:r>
                </w:p>
              </w:tc>
              <w:tc>
                <w:tcPr>
                  <w:tcW w:w="1148" w:type="pct"/>
                  <w:tcBorders>
                    <w:tl2br w:val="nil"/>
                    <w:tr2bl w:val="nil"/>
                  </w:tcBorders>
                  <w:noWrap w:val="0"/>
                  <w:vAlign w:val="center"/>
                </w:tcPr>
                <w:p w14:paraId="3DB15D5A">
                  <w:pPr>
                    <w:adjustRightInd w:val="0"/>
                    <w:snapToGrid w:val="0"/>
                    <w:jc w:val="center"/>
                    <w:rPr>
                      <w:szCs w:val="21"/>
                    </w:rPr>
                  </w:pPr>
                  <w:r>
                    <w:rPr>
                      <w:rFonts w:hint="eastAsia"/>
                      <w:szCs w:val="21"/>
                    </w:rPr>
                    <w:t>1</w:t>
                  </w:r>
                  <w:r>
                    <w:rPr>
                      <w:szCs w:val="21"/>
                    </w:rPr>
                    <w:t>0</w:t>
                  </w:r>
                </w:p>
              </w:tc>
              <w:tc>
                <w:tcPr>
                  <w:tcW w:w="1093" w:type="pct"/>
                  <w:tcBorders>
                    <w:tl2br w:val="nil"/>
                    <w:tr2bl w:val="nil"/>
                  </w:tcBorders>
                  <w:noWrap w:val="0"/>
                  <w:vAlign w:val="center"/>
                </w:tcPr>
                <w:p w14:paraId="1583C831">
                  <w:pPr>
                    <w:adjustRightInd w:val="0"/>
                    <w:snapToGrid w:val="0"/>
                    <w:jc w:val="center"/>
                    <w:rPr>
                      <w:rFonts w:hint="default" w:eastAsia="宋体"/>
                      <w:szCs w:val="21"/>
                      <w:lang w:val="en-US" w:eastAsia="zh-CN"/>
                    </w:rPr>
                  </w:pPr>
                  <w:r>
                    <w:rPr>
                      <w:rFonts w:hint="eastAsia"/>
                      <w:szCs w:val="21"/>
                      <w:lang w:val="en-US" w:eastAsia="zh-CN"/>
                    </w:rPr>
                    <w:t>0.12</w:t>
                  </w:r>
                </w:p>
              </w:tc>
              <w:tc>
                <w:tcPr>
                  <w:tcW w:w="830" w:type="pct"/>
                  <w:tcBorders>
                    <w:tl2br w:val="nil"/>
                    <w:tr2bl w:val="nil"/>
                  </w:tcBorders>
                  <w:noWrap w:val="0"/>
                  <w:vAlign w:val="center"/>
                </w:tcPr>
                <w:p w14:paraId="47045166">
                  <w:pPr>
                    <w:adjustRightInd w:val="0"/>
                    <w:snapToGrid w:val="0"/>
                    <w:jc w:val="center"/>
                    <w:rPr>
                      <w:rFonts w:hint="default" w:eastAsia="宋体"/>
                      <w:szCs w:val="21"/>
                      <w:lang w:val="en-US" w:eastAsia="zh-CN"/>
                    </w:rPr>
                  </w:pPr>
                  <w:r>
                    <w:rPr>
                      <w:rFonts w:hint="eastAsia"/>
                      <w:szCs w:val="21"/>
                      <w:lang w:val="en-US" w:eastAsia="zh-CN"/>
                    </w:rPr>
                    <w:t>0.475</w:t>
                  </w:r>
                </w:p>
              </w:tc>
            </w:tr>
            <w:tr w14:paraId="1E407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05B237E9">
                  <w:pPr>
                    <w:adjustRightInd w:val="0"/>
                    <w:snapToGrid w:val="0"/>
                    <w:jc w:val="center"/>
                    <w:rPr>
                      <w:rFonts w:hint="eastAsia" w:ascii="Times New Roman" w:hAnsi="Times New Roman" w:eastAsia="宋体"/>
                      <w:kern w:val="2"/>
                      <w:sz w:val="21"/>
                      <w:szCs w:val="21"/>
                      <w:lang w:val="en-US" w:eastAsia="zh-CN" w:bidi="ar-SA"/>
                    </w:rPr>
                  </w:pPr>
                  <w:r>
                    <w:rPr>
                      <w:rFonts w:hint="eastAsia"/>
                      <w:szCs w:val="21"/>
                      <w:lang w:val="en-US" w:eastAsia="zh-CN"/>
                    </w:rPr>
                    <w:t>2</w:t>
                  </w:r>
                </w:p>
              </w:tc>
              <w:tc>
                <w:tcPr>
                  <w:tcW w:w="793" w:type="pct"/>
                  <w:tcBorders>
                    <w:tl2br w:val="nil"/>
                    <w:tr2bl w:val="nil"/>
                  </w:tcBorders>
                  <w:noWrap w:val="0"/>
                  <w:vAlign w:val="center"/>
                </w:tcPr>
                <w:p w14:paraId="030B51BE">
                  <w:pPr>
                    <w:adjustRightInd w:val="0"/>
                    <w:snapToGrid w:val="0"/>
                    <w:jc w:val="center"/>
                    <w:rPr>
                      <w:rFonts w:hint="eastAsia"/>
                      <w:szCs w:val="21"/>
                      <w:lang w:val="en-US" w:eastAsia="zh-CN"/>
                    </w:rPr>
                  </w:pPr>
                  <w:r>
                    <w:rPr>
                      <w:rFonts w:hint="eastAsia"/>
                      <w:szCs w:val="21"/>
                      <w:lang w:val="en-US" w:eastAsia="zh-CN"/>
                    </w:rPr>
                    <w:t>DA005</w:t>
                  </w:r>
                </w:p>
              </w:tc>
              <w:tc>
                <w:tcPr>
                  <w:tcW w:w="783" w:type="pct"/>
                  <w:tcBorders>
                    <w:tl2br w:val="nil"/>
                    <w:tr2bl w:val="nil"/>
                  </w:tcBorders>
                  <w:noWrap w:val="0"/>
                  <w:vAlign w:val="center"/>
                </w:tcPr>
                <w:p w14:paraId="67363DC1">
                  <w:pPr>
                    <w:adjustRightInd w:val="0"/>
                    <w:snapToGrid w:val="0"/>
                    <w:jc w:val="center"/>
                    <w:rPr>
                      <w:rFonts w:hint="eastAsia"/>
                      <w:szCs w:val="21"/>
                      <w:lang w:val="en-US" w:eastAsia="zh-CN"/>
                    </w:rPr>
                  </w:pPr>
                  <w:r>
                    <w:rPr>
                      <w:rFonts w:hint="eastAsia"/>
                      <w:szCs w:val="21"/>
                    </w:rPr>
                    <w:t>颗粒物</w:t>
                  </w:r>
                </w:p>
              </w:tc>
              <w:tc>
                <w:tcPr>
                  <w:tcW w:w="1148" w:type="pct"/>
                  <w:tcBorders>
                    <w:tl2br w:val="nil"/>
                    <w:tr2bl w:val="nil"/>
                  </w:tcBorders>
                  <w:noWrap w:val="0"/>
                  <w:vAlign w:val="center"/>
                </w:tcPr>
                <w:p w14:paraId="1896B464">
                  <w:pPr>
                    <w:adjustRightInd w:val="0"/>
                    <w:snapToGrid w:val="0"/>
                    <w:jc w:val="center"/>
                    <w:rPr>
                      <w:rFonts w:hint="default"/>
                      <w:szCs w:val="21"/>
                      <w:lang w:val="en-US" w:eastAsia="zh-CN"/>
                    </w:rPr>
                  </w:pPr>
                  <w:r>
                    <w:rPr>
                      <w:rFonts w:hint="eastAsia"/>
                      <w:szCs w:val="21"/>
                      <w:lang w:val="en-US" w:eastAsia="zh-CN"/>
                    </w:rPr>
                    <w:t>10</w:t>
                  </w:r>
                </w:p>
              </w:tc>
              <w:tc>
                <w:tcPr>
                  <w:tcW w:w="1093" w:type="pct"/>
                  <w:tcBorders>
                    <w:tl2br w:val="nil"/>
                    <w:tr2bl w:val="nil"/>
                  </w:tcBorders>
                  <w:noWrap w:val="0"/>
                  <w:vAlign w:val="center"/>
                </w:tcPr>
                <w:p w14:paraId="1AD15A8B">
                  <w:pPr>
                    <w:adjustRightInd w:val="0"/>
                    <w:snapToGrid w:val="0"/>
                    <w:jc w:val="center"/>
                    <w:rPr>
                      <w:rFonts w:hint="default"/>
                      <w:szCs w:val="21"/>
                      <w:lang w:val="en-US" w:eastAsia="zh-CN"/>
                    </w:rPr>
                  </w:pPr>
                  <w:r>
                    <w:rPr>
                      <w:rFonts w:hint="eastAsia"/>
                      <w:szCs w:val="21"/>
                      <w:lang w:val="en-US" w:eastAsia="zh-CN"/>
                    </w:rPr>
                    <w:t>0.12</w:t>
                  </w:r>
                </w:p>
              </w:tc>
              <w:tc>
                <w:tcPr>
                  <w:tcW w:w="830" w:type="pct"/>
                  <w:tcBorders>
                    <w:tl2br w:val="nil"/>
                    <w:tr2bl w:val="nil"/>
                  </w:tcBorders>
                  <w:noWrap w:val="0"/>
                  <w:vAlign w:val="center"/>
                </w:tcPr>
                <w:p w14:paraId="65286AED">
                  <w:pPr>
                    <w:adjustRightInd w:val="0"/>
                    <w:snapToGrid w:val="0"/>
                    <w:jc w:val="center"/>
                    <w:rPr>
                      <w:rFonts w:hint="default"/>
                      <w:szCs w:val="21"/>
                      <w:lang w:val="en-US" w:eastAsia="zh-CN"/>
                    </w:rPr>
                  </w:pPr>
                  <w:r>
                    <w:rPr>
                      <w:rFonts w:hint="eastAsia"/>
                      <w:szCs w:val="21"/>
                      <w:lang w:val="en-US" w:eastAsia="zh-CN"/>
                    </w:rPr>
                    <w:t>0.475</w:t>
                  </w:r>
                </w:p>
              </w:tc>
            </w:tr>
            <w:tr w14:paraId="26613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6EC4F063">
                  <w:pPr>
                    <w:adjustRightInd w:val="0"/>
                    <w:snapToGrid w:val="0"/>
                    <w:jc w:val="center"/>
                    <w:rPr>
                      <w:rFonts w:hint="eastAsia" w:ascii="Times New Roman" w:hAnsi="Times New Roman" w:eastAsia="宋体"/>
                      <w:kern w:val="2"/>
                      <w:sz w:val="21"/>
                      <w:szCs w:val="21"/>
                      <w:lang w:val="en-US" w:eastAsia="zh-CN" w:bidi="ar-SA"/>
                    </w:rPr>
                  </w:pPr>
                  <w:r>
                    <w:rPr>
                      <w:rFonts w:hint="eastAsia"/>
                      <w:szCs w:val="21"/>
                      <w:lang w:val="en-US" w:eastAsia="zh-CN"/>
                    </w:rPr>
                    <w:t>3</w:t>
                  </w:r>
                </w:p>
              </w:tc>
              <w:tc>
                <w:tcPr>
                  <w:tcW w:w="793" w:type="pct"/>
                  <w:vMerge w:val="restart"/>
                  <w:tcBorders>
                    <w:tl2br w:val="nil"/>
                    <w:tr2bl w:val="nil"/>
                  </w:tcBorders>
                  <w:noWrap w:val="0"/>
                  <w:vAlign w:val="center"/>
                </w:tcPr>
                <w:p w14:paraId="71770DD5">
                  <w:pPr>
                    <w:adjustRightInd w:val="0"/>
                    <w:snapToGrid w:val="0"/>
                    <w:jc w:val="center"/>
                    <w:rPr>
                      <w:rFonts w:hint="default" w:eastAsia="宋体"/>
                      <w:szCs w:val="21"/>
                      <w:lang w:val="en-US" w:eastAsia="zh-CN"/>
                    </w:rPr>
                  </w:pPr>
                  <w:r>
                    <w:rPr>
                      <w:rFonts w:hint="eastAsia"/>
                      <w:szCs w:val="21"/>
                      <w:lang w:val="en-US" w:eastAsia="zh-CN"/>
                    </w:rPr>
                    <w:t>DA001</w:t>
                  </w:r>
                </w:p>
              </w:tc>
              <w:tc>
                <w:tcPr>
                  <w:tcW w:w="783" w:type="pct"/>
                  <w:tcBorders>
                    <w:tl2br w:val="nil"/>
                    <w:tr2bl w:val="nil"/>
                  </w:tcBorders>
                  <w:noWrap w:val="0"/>
                  <w:vAlign w:val="center"/>
                </w:tcPr>
                <w:p w14:paraId="133CAB95">
                  <w:pPr>
                    <w:adjustRightInd w:val="0"/>
                    <w:snapToGrid w:val="0"/>
                    <w:jc w:val="center"/>
                    <w:rPr>
                      <w:rFonts w:hint="eastAsia" w:eastAsia="宋体"/>
                      <w:szCs w:val="21"/>
                      <w:lang w:val="en-US" w:eastAsia="zh-CN"/>
                    </w:rPr>
                  </w:pPr>
                  <w:r>
                    <w:rPr>
                      <w:rFonts w:hint="eastAsia"/>
                      <w:szCs w:val="21"/>
                      <w:lang w:val="en-US" w:eastAsia="zh-CN"/>
                    </w:rPr>
                    <w:t>颗粒物</w:t>
                  </w:r>
                </w:p>
              </w:tc>
              <w:tc>
                <w:tcPr>
                  <w:tcW w:w="1148" w:type="pct"/>
                  <w:tcBorders>
                    <w:tl2br w:val="nil"/>
                    <w:tr2bl w:val="nil"/>
                  </w:tcBorders>
                  <w:noWrap w:val="0"/>
                  <w:vAlign w:val="center"/>
                </w:tcPr>
                <w:p w14:paraId="06EE75D5">
                  <w:pPr>
                    <w:adjustRightInd w:val="0"/>
                    <w:snapToGrid w:val="0"/>
                    <w:jc w:val="center"/>
                    <w:rPr>
                      <w:rFonts w:hint="default" w:eastAsia="宋体"/>
                      <w:szCs w:val="21"/>
                      <w:lang w:val="en-US" w:eastAsia="zh-CN"/>
                    </w:rPr>
                  </w:pPr>
                  <w:r>
                    <w:rPr>
                      <w:rFonts w:hint="eastAsia"/>
                      <w:szCs w:val="21"/>
                      <w:lang w:val="en-US" w:eastAsia="zh-CN"/>
                    </w:rPr>
                    <w:t>10</w:t>
                  </w:r>
                </w:p>
              </w:tc>
              <w:tc>
                <w:tcPr>
                  <w:tcW w:w="1093" w:type="pct"/>
                  <w:tcBorders>
                    <w:tl2br w:val="nil"/>
                    <w:tr2bl w:val="nil"/>
                  </w:tcBorders>
                  <w:noWrap w:val="0"/>
                  <w:vAlign w:val="center"/>
                </w:tcPr>
                <w:p w14:paraId="6B914FFE">
                  <w:pPr>
                    <w:adjustRightInd w:val="0"/>
                    <w:snapToGrid w:val="0"/>
                    <w:jc w:val="center"/>
                    <w:rPr>
                      <w:rFonts w:hint="default" w:eastAsia="宋体"/>
                      <w:szCs w:val="21"/>
                      <w:lang w:val="en-US" w:eastAsia="zh-CN"/>
                    </w:rPr>
                  </w:pPr>
                  <w:r>
                    <w:rPr>
                      <w:rFonts w:hint="eastAsia"/>
                      <w:szCs w:val="21"/>
                      <w:lang w:val="en-US" w:eastAsia="zh-CN"/>
                    </w:rPr>
                    <w:t>2.11</w:t>
                  </w:r>
                </w:p>
              </w:tc>
              <w:tc>
                <w:tcPr>
                  <w:tcW w:w="830" w:type="pct"/>
                  <w:tcBorders>
                    <w:tl2br w:val="nil"/>
                    <w:tr2bl w:val="nil"/>
                  </w:tcBorders>
                  <w:noWrap w:val="0"/>
                  <w:vAlign w:val="center"/>
                </w:tcPr>
                <w:p w14:paraId="09E21911">
                  <w:pPr>
                    <w:adjustRightInd w:val="0"/>
                    <w:snapToGrid w:val="0"/>
                    <w:jc w:val="center"/>
                    <w:rPr>
                      <w:rFonts w:hint="default" w:eastAsia="宋体"/>
                      <w:szCs w:val="21"/>
                      <w:lang w:val="en-US" w:eastAsia="zh-CN"/>
                    </w:rPr>
                  </w:pPr>
                  <w:r>
                    <w:rPr>
                      <w:rFonts w:hint="eastAsia"/>
                      <w:szCs w:val="21"/>
                      <w:lang w:val="en-US" w:eastAsia="zh-CN"/>
                    </w:rPr>
                    <w:t>16.7</w:t>
                  </w:r>
                </w:p>
              </w:tc>
            </w:tr>
            <w:tr w14:paraId="13ACB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7536577B">
                  <w:pPr>
                    <w:adjustRightInd w:val="0"/>
                    <w:snapToGrid w:val="0"/>
                    <w:jc w:val="center"/>
                    <w:rPr>
                      <w:rFonts w:hint="default" w:ascii="Times New Roman" w:hAnsi="Times New Roman" w:eastAsia="宋体"/>
                      <w:kern w:val="2"/>
                      <w:sz w:val="21"/>
                      <w:szCs w:val="21"/>
                      <w:lang w:val="en-US" w:eastAsia="zh-CN" w:bidi="ar-SA"/>
                    </w:rPr>
                  </w:pPr>
                  <w:r>
                    <w:rPr>
                      <w:rFonts w:hint="eastAsia"/>
                      <w:szCs w:val="21"/>
                      <w:lang w:val="en-US" w:eastAsia="zh-CN"/>
                    </w:rPr>
                    <w:t>4</w:t>
                  </w:r>
                </w:p>
              </w:tc>
              <w:tc>
                <w:tcPr>
                  <w:tcW w:w="793" w:type="pct"/>
                  <w:vMerge w:val="continue"/>
                  <w:tcBorders>
                    <w:tl2br w:val="nil"/>
                    <w:tr2bl w:val="nil"/>
                  </w:tcBorders>
                  <w:noWrap w:val="0"/>
                  <w:vAlign w:val="center"/>
                </w:tcPr>
                <w:p w14:paraId="34EE97D1">
                  <w:pPr>
                    <w:adjustRightInd w:val="0"/>
                    <w:snapToGrid w:val="0"/>
                    <w:jc w:val="center"/>
                    <w:rPr>
                      <w:szCs w:val="21"/>
                    </w:rPr>
                  </w:pPr>
                </w:p>
              </w:tc>
              <w:tc>
                <w:tcPr>
                  <w:tcW w:w="783" w:type="pct"/>
                  <w:tcBorders>
                    <w:tl2br w:val="nil"/>
                    <w:tr2bl w:val="nil"/>
                  </w:tcBorders>
                  <w:noWrap w:val="0"/>
                  <w:vAlign w:val="center"/>
                </w:tcPr>
                <w:p w14:paraId="4B181D74">
                  <w:pPr>
                    <w:adjustRightInd w:val="0"/>
                    <w:snapToGrid w:val="0"/>
                    <w:jc w:val="center"/>
                    <w:rPr>
                      <w:rFonts w:hint="default" w:eastAsia="宋体"/>
                      <w:szCs w:val="21"/>
                      <w:lang w:val="en-US" w:eastAsia="zh-CN"/>
                    </w:rPr>
                  </w:pPr>
                  <w:r>
                    <w:rPr>
                      <w:rFonts w:hint="eastAsia"/>
                      <w:szCs w:val="21"/>
                      <w:lang w:val="en-US" w:eastAsia="zh-CN"/>
                    </w:rPr>
                    <w:t>氮氧化物</w:t>
                  </w:r>
                </w:p>
              </w:tc>
              <w:tc>
                <w:tcPr>
                  <w:tcW w:w="1148" w:type="pct"/>
                  <w:tcBorders>
                    <w:tl2br w:val="nil"/>
                    <w:tr2bl w:val="nil"/>
                  </w:tcBorders>
                  <w:noWrap w:val="0"/>
                  <w:vAlign w:val="center"/>
                </w:tcPr>
                <w:p w14:paraId="7C8B55A4">
                  <w:pPr>
                    <w:adjustRightInd w:val="0"/>
                    <w:snapToGrid w:val="0"/>
                    <w:jc w:val="center"/>
                    <w:rPr>
                      <w:rFonts w:hint="default" w:eastAsia="宋体"/>
                      <w:szCs w:val="21"/>
                      <w:lang w:val="en-US" w:eastAsia="zh-CN"/>
                    </w:rPr>
                  </w:pPr>
                  <w:r>
                    <w:rPr>
                      <w:rFonts w:hint="eastAsia"/>
                      <w:szCs w:val="21"/>
                      <w:lang w:val="en-US" w:eastAsia="zh-CN"/>
                    </w:rPr>
                    <w:t>50</w:t>
                  </w:r>
                </w:p>
              </w:tc>
              <w:tc>
                <w:tcPr>
                  <w:tcW w:w="1093" w:type="pct"/>
                  <w:tcBorders>
                    <w:tl2br w:val="nil"/>
                    <w:tr2bl w:val="nil"/>
                  </w:tcBorders>
                  <w:noWrap w:val="0"/>
                  <w:vAlign w:val="center"/>
                </w:tcPr>
                <w:p w14:paraId="2D7A4EE9">
                  <w:pPr>
                    <w:adjustRightInd w:val="0"/>
                    <w:snapToGrid w:val="0"/>
                    <w:jc w:val="center"/>
                    <w:rPr>
                      <w:rFonts w:hint="default" w:eastAsia="宋体"/>
                      <w:szCs w:val="21"/>
                      <w:lang w:val="en-US" w:eastAsia="zh-CN"/>
                    </w:rPr>
                  </w:pPr>
                  <w:r>
                    <w:rPr>
                      <w:rFonts w:hint="eastAsia"/>
                      <w:szCs w:val="21"/>
                      <w:lang w:val="en-US" w:eastAsia="zh-CN"/>
                    </w:rPr>
                    <w:t>5.67</w:t>
                  </w:r>
                </w:p>
              </w:tc>
              <w:tc>
                <w:tcPr>
                  <w:tcW w:w="830" w:type="pct"/>
                  <w:tcBorders>
                    <w:tl2br w:val="nil"/>
                    <w:tr2bl w:val="nil"/>
                  </w:tcBorders>
                  <w:noWrap w:val="0"/>
                  <w:vAlign w:val="center"/>
                </w:tcPr>
                <w:p w14:paraId="3075E01D">
                  <w:pPr>
                    <w:adjustRightInd w:val="0"/>
                    <w:snapToGrid w:val="0"/>
                    <w:jc w:val="center"/>
                    <w:rPr>
                      <w:rFonts w:hint="default" w:eastAsia="宋体"/>
                      <w:szCs w:val="21"/>
                      <w:lang w:val="en-US" w:eastAsia="zh-CN"/>
                    </w:rPr>
                  </w:pPr>
                  <w:r>
                    <w:rPr>
                      <w:rFonts w:hint="eastAsia"/>
                      <w:szCs w:val="21"/>
                      <w:lang w:val="en-US" w:eastAsia="zh-CN"/>
                    </w:rPr>
                    <w:t>44.88</w:t>
                  </w:r>
                </w:p>
              </w:tc>
            </w:tr>
            <w:tr w14:paraId="141D5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2427FA57">
                  <w:pPr>
                    <w:adjustRightInd w:val="0"/>
                    <w:snapToGrid w:val="0"/>
                    <w:jc w:val="center"/>
                    <w:rPr>
                      <w:rFonts w:hint="eastAsia" w:ascii="Times New Roman" w:hAnsi="Times New Roman" w:eastAsia="宋体"/>
                      <w:kern w:val="2"/>
                      <w:sz w:val="21"/>
                      <w:szCs w:val="21"/>
                      <w:lang w:val="en-US" w:eastAsia="zh-CN" w:bidi="ar-SA"/>
                    </w:rPr>
                  </w:pPr>
                  <w:r>
                    <w:rPr>
                      <w:rFonts w:hint="eastAsia"/>
                      <w:szCs w:val="21"/>
                      <w:lang w:val="en-US" w:eastAsia="zh-CN"/>
                    </w:rPr>
                    <w:t>5</w:t>
                  </w:r>
                </w:p>
              </w:tc>
              <w:tc>
                <w:tcPr>
                  <w:tcW w:w="793" w:type="pct"/>
                  <w:vMerge w:val="continue"/>
                  <w:tcBorders>
                    <w:tl2br w:val="nil"/>
                    <w:tr2bl w:val="nil"/>
                  </w:tcBorders>
                  <w:noWrap w:val="0"/>
                  <w:vAlign w:val="center"/>
                </w:tcPr>
                <w:p w14:paraId="722F9490">
                  <w:pPr>
                    <w:adjustRightInd w:val="0"/>
                    <w:snapToGrid w:val="0"/>
                    <w:jc w:val="center"/>
                    <w:rPr>
                      <w:szCs w:val="21"/>
                    </w:rPr>
                  </w:pPr>
                </w:p>
              </w:tc>
              <w:tc>
                <w:tcPr>
                  <w:tcW w:w="783" w:type="pct"/>
                  <w:tcBorders>
                    <w:tl2br w:val="nil"/>
                    <w:tr2bl w:val="nil"/>
                  </w:tcBorders>
                  <w:noWrap w:val="0"/>
                  <w:vAlign w:val="center"/>
                </w:tcPr>
                <w:p w14:paraId="5D830AEE">
                  <w:pPr>
                    <w:adjustRightInd w:val="0"/>
                    <w:snapToGrid w:val="0"/>
                    <w:jc w:val="center"/>
                    <w:rPr>
                      <w:rFonts w:hint="eastAsia" w:eastAsia="宋体"/>
                      <w:szCs w:val="21"/>
                      <w:lang w:val="en-US" w:eastAsia="zh-CN"/>
                    </w:rPr>
                  </w:pPr>
                  <w:r>
                    <w:rPr>
                      <w:rFonts w:hint="eastAsia"/>
                      <w:szCs w:val="21"/>
                      <w:lang w:val="en-US" w:eastAsia="zh-CN"/>
                    </w:rPr>
                    <w:t>二氧化硫</w:t>
                  </w:r>
                </w:p>
              </w:tc>
              <w:tc>
                <w:tcPr>
                  <w:tcW w:w="1148" w:type="pct"/>
                  <w:tcBorders>
                    <w:tl2br w:val="nil"/>
                    <w:tr2bl w:val="nil"/>
                  </w:tcBorders>
                  <w:noWrap w:val="0"/>
                  <w:vAlign w:val="center"/>
                </w:tcPr>
                <w:p w14:paraId="3BA8F4CF">
                  <w:pPr>
                    <w:adjustRightInd w:val="0"/>
                    <w:snapToGrid w:val="0"/>
                    <w:jc w:val="center"/>
                    <w:rPr>
                      <w:rFonts w:hint="default" w:eastAsia="宋体"/>
                      <w:szCs w:val="21"/>
                      <w:lang w:val="en-US" w:eastAsia="zh-CN"/>
                    </w:rPr>
                  </w:pPr>
                  <w:r>
                    <w:rPr>
                      <w:rFonts w:hint="eastAsia"/>
                      <w:szCs w:val="21"/>
                      <w:lang w:val="en-US" w:eastAsia="zh-CN"/>
                    </w:rPr>
                    <w:t>50</w:t>
                  </w:r>
                </w:p>
              </w:tc>
              <w:tc>
                <w:tcPr>
                  <w:tcW w:w="1093" w:type="pct"/>
                  <w:tcBorders>
                    <w:tl2br w:val="nil"/>
                    <w:tr2bl w:val="nil"/>
                  </w:tcBorders>
                  <w:noWrap w:val="0"/>
                  <w:vAlign w:val="center"/>
                </w:tcPr>
                <w:p w14:paraId="700716E9">
                  <w:pPr>
                    <w:adjustRightInd w:val="0"/>
                    <w:snapToGrid w:val="0"/>
                    <w:jc w:val="center"/>
                    <w:rPr>
                      <w:rFonts w:hint="default" w:eastAsia="宋体"/>
                      <w:szCs w:val="21"/>
                      <w:lang w:val="en-US" w:eastAsia="zh-CN"/>
                    </w:rPr>
                  </w:pPr>
                  <w:r>
                    <w:rPr>
                      <w:rFonts w:hint="eastAsia"/>
                      <w:szCs w:val="21"/>
                      <w:lang w:val="en-US" w:eastAsia="zh-CN"/>
                    </w:rPr>
                    <w:t>1.75</w:t>
                  </w:r>
                </w:p>
              </w:tc>
              <w:tc>
                <w:tcPr>
                  <w:tcW w:w="830" w:type="pct"/>
                  <w:tcBorders>
                    <w:tl2br w:val="nil"/>
                    <w:tr2bl w:val="nil"/>
                  </w:tcBorders>
                  <w:noWrap w:val="0"/>
                  <w:vAlign w:val="center"/>
                </w:tcPr>
                <w:p w14:paraId="34C86375">
                  <w:pPr>
                    <w:adjustRightInd w:val="0"/>
                    <w:snapToGrid w:val="0"/>
                    <w:jc w:val="center"/>
                    <w:rPr>
                      <w:rFonts w:hint="default" w:eastAsia="宋体"/>
                      <w:szCs w:val="21"/>
                      <w:lang w:val="en-US" w:eastAsia="zh-CN"/>
                    </w:rPr>
                  </w:pPr>
                  <w:r>
                    <w:rPr>
                      <w:rFonts w:hint="eastAsia"/>
                      <w:szCs w:val="21"/>
                      <w:lang w:val="en-US" w:eastAsia="zh-CN"/>
                    </w:rPr>
                    <w:t>13.87</w:t>
                  </w:r>
                </w:p>
              </w:tc>
            </w:tr>
            <w:tr w14:paraId="72B92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0" w:type="pct"/>
                  <w:tcBorders>
                    <w:tl2br w:val="nil"/>
                    <w:tr2bl w:val="nil"/>
                  </w:tcBorders>
                  <w:noWrap w:val="0"/>
                  <w:vAlign w:val="center"/>
                </w:tcPr>
                <w:p w14:paraId="0790FC26">
                  <w:pPr>
                    <w:adjustRightInd w:val="0"/>
                    <w:snapToGrid w:val="0"/>
                    <w:jc w:val="center"/>
                    <w:rPr>
                      <w:rFonts w:hint="default" w:eastAsia="宋体"/>
                      <w:szCs w:val="21"/>
                      <w:lang w:val="en-US" w:eastAsia="zh-CN"/>
                    </w:rPr>
                  </w:pPr>
                  <w:r>
                    <w:rPr>
                      <w:rFonts w:hint="eastAsia" w:eastAsia="宋体"/>
                      <w:szCs w:val="21"/>
                      <w:lang w:val="en-US" w:eastAsia="zh-CN"/>
                    </w:rPr>
                    <w:t>6</w:t>
                  </w:r>
                </w:p>
              </w:tc>
              <w:tc>
                <w:tcPr>
                  <w:tcW w:w="793" w:type="pct"/>
                  <w:tcBorders>
                    <w:tl2br w:val="nil"/>
                    <w:tr2bl w:val="nil"/>
                  </w:tcBorders>
                  <w:noWrap w:val="0"/>
                  <w:vAlign w:val="center"/>
                </w:tcPr>
                <w:p w14:paraId="5ECA29D1">
                  <w:pPr>
                    <w:adjustRightInd w:val="0"/>
                    <w:snapToGrid w:val="0"/>
                    <w:jc w:val="center"/>
                    <w:rPr>
                      <w:rFonts w:hint="default" w:eastAsia="宋体"/>
                      <w:szCs w:val="21"/>
                      <w:lang w:val="en-US" w:eastAsia="zh-CN"/>
                    </w:rPr>
                  </w:pPr>
                  <w:r>
                    <w:rPr>
                      <w:rFonts w:hint="eastAsia" w:eastAsia="宋体"/>
                      <w:szCs w:val="21"/>
                      <w:lang w:val="en-US" w:eastAsia="zh-CN"/>
                    </w:rPr>
                    <w:t>DA003</w:t>
                  </w:r>
                </w:p>
              </w:tc>
              <w:tc>
                <w:tcPr>
                  <w:tcW w:w="783" w:type="pct"/>
                  <w:tcBorders>
                    <w:tl2br w:val="nil"/>
                    <w:tr2bl w:val="nil"/>
                  </w:tcBorders>
                  <w:noWrap w:val="0"/>
                  <w:vAlign w:val="center"/>
                </w:tcPr>
                <w:p w14:paraId="1EDA9E63">
                  <w:pPr>
                    <w:adjustRightInd w:val="0"/>
                    <w:snapToGrid w:val="0"/>
                    <w:jc w:val="center"/>
                    <w:rPr>
                      <w:rFonts w:hint="eastAsia" w:eastAsia="宋体"/>
                      <w:szCs w:val="21"/>
                      <w:lang w:val="en-US" w:eastAsia="zh-CN"/>
                    </w:rPr>
                  </w:pPr>
                  <w:r>
                    <w:rPr>
                      <w:rFonts w:hint="eastAsia"/>
                      <w:szCs w:val="21"/>
                      <w:lang w:val="en-US" w:eastAsia="zh-CN"/>
                    </w:rPr>
                    <w:t>颗粒物</w:t>
                  </w:r>
                </w:p>
              </w:tc>
              <w:tc>
                <w:tcPr>
                  <w:tcW w:w="1148" w:type="pct"/>
                  <w:tcBorders>
                    <w:tl2br w:val="nil"/>
                    <w:tr2bl w:val="nil"/>
                  </w:tcBorders>
                  <w:noWrap w:val="0"/>
                  <w:vAlign w:val="center"/>
                </w:tcPr>
                <w:p w14:paraId="13A1A455">
                  <w:pPr>
                    <w:adjustRightInd w:val="0"/>
                    <w:snapToGrid w:val="0"/>
                    <w:jc w:val="center"/>
                    <w:rPr>
                      <w:rFonts w:hint="default" w:eastAsia="宋体"/>
                      <w:szCs w:val="21"/>
                      <w:lang w:val="en-US" w:eastAsia="zh-CN"/>
                    </w:rPr>
                  </w:pPr>
                  <w:r>
                    <w:rPr>
                      <w:rFonts w:hint="eastAsia"/>
                      <w:szCs w:val="21"/>
                      <w:lang w:val="en-US" w:eastAsia="zh-CN"/>
                    </w:rPr>
                    <w:t>10</w:t>
                  </w:r>
                </w:p>
              </w:tc>
              <w:tc>
                <w:tcPr>
                  <w:tcW w:w="1093" w:type="pct"/>
                  <w:tcBorders>
                    <w:tl2br w:val="nil"/>
                    <w:tr2bl w:val="nil"/>
                  </w:tcBorders>
                  <w:noWrap w:val="0"/>
                  <w:vAlign w:val="center"/>
                </w:tcPr>
                <w:p w14:paraId="0081AC5C">
                  <w:pPr>
                    <w:adjustRightInd w:val="0"/>
                    <w:snapToGrid w:val="0"/>
                    <w:jc w:val="center"/>
                    <w:rPr>
                      <w:rFonts w:hint="default" w:eastAsia="宋体"/>
                      <w:szCs w:val="21"/>
                      <w:lang w:val="en-US" w:eastAsia="zh-CN"/>
                    </w:rPr>
                  </w:pPr>
                  <w:r>
                    <w:rPr>
                      <w:rFonts w:hint="eastAsia"/>
                      <w:szCs w:val="21"/>
                      <w:lang w:val="en-US" w:eastAsia="zh-CN"/>
                    </w:rPr>
                    <w:t>0.009</w:t>
                  </w:r>
                </w:p>
              </w:tc>
              <w:tc>
                <w:tcPr>
                  <w:tcW w:w="830" w:type="pct"/>
                  <w:tcBorders>
                    <w:tl2br w:val="nil"/>
                    <w:tr2bl w:val="nil"/>
                  </w:tcBorders>
                  <w:noWrap w:val="0"/>
                  <w:vAlign w:val="center"/>
                </w:tcPr>
                <w:p w14:paraId="2A00C473">
                  <w:pPr>
                    <w:adjustRightInd w:val="0"/>
                    <w:snapToGrid w:val="0"/>
                    <w:jc w:val="center"/>
                    <w:rPr>
                      <w:rFonts w:hint="default" w:eastAsia="宋体"/>
                      <w:szCs w:val="21"/>
                      <w:lang w:val="en-US" w:eastAsia="zh-CN"/>
                    </w:rPr>
                  </w:pPr>
                  <w:r>
                    <w:rPr>
                      <w:rFonts w:hint="eastAsia"/>
                      <w:szCs w:val="21"/>
                      <w:lang w:val="en-US" w:eastAsia="zh-CN"/>
                    </w:rPr>
                    <w:t>0.00009</w:t>
                  </w:r>
                </w:p>
              </w:tc>
            </w:tr>
            <w:tr w14:paraId="0CF34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3" w:type="pct"/>
                  <w:gridSpan w:val="2"/>
                  <w:vMerge w:val="restart"/>
                  <w:tcBorders>
                    <w:tl2br w:val="nil"/>
                    <w:tr2bl w:val="nil"/>
                  </w:tcBorders>
                  <w:noWrap w:val="0"/>
                  <w:vAlign w:val="center"/>
                </w:tcPr>
                <w:p w14:paraId="4988786A">
                  <w:pPr>
                    <w:adjustRightInd w:val="0"/>
                    <w:snapToGrid w:val="0"/>
                    <w:jc w:val="center"/>
                    <w:rPr>
                      <w:szCs w:val="21"/>
                    </w:rPr>
                  </w:pPr>
                  <w:r>
                    <w:rPr>
                      <w:szCs w:val="21"/>
                    </w:rPr>
                    <w:t>有组织排放总计</w:t>
                  </w:r>
                </w:p>
              </w:tc>
              <w:tc>
                <w:tcPr>
                  <w:tcW w:w="3026" w:type="pct"/>
                  <w:gridSpan w:val="3"/>
                  <w:tcBorders>
                    <w:tl2br w:val="nil"/>
                    <w:tr2bl w:val="nil"/>
                  </w:tcBorders>
                  <w:noWrap w:val="0"/>
                  <w:vAlign w:val="center"/>
                </w:tcPr>
                <w:p w14:paraId="1F7C4930">
                  <w:pPr>
                    <w:adjustRightInd w:val="0"/>
                    <w:snapToGrid w:val="0"/>
                    <w:jc w:val="center"/>
                    <w:rPr>
                      <w:szCs w:val="21"/>
                    </w:rPr>
                  </w:pPr>
                  <w:r>
                    <w:rPr>
                      <w:rFonts w:hint="eastAsia"/>
                      <w:szCs w:val="21"/>
                      <w:lang w:val="en-US" w:eastAsia="zh-CN"/>
                    </w:rPr>
                    <w:t>颗粒物</w:t>
                  </w:r>
                </w:p>
              </w:tc>
              <w:tc>
                <w:tcPr>
                  <w:tcW w:w="830" w:type="pct"/>
                  <w:tcBorders>
                    <w:tl2br w:val="nil"/>
                    <w:tr2bl w:val="nil"/>
                  </w:tcBorders>
                  <w:noWrap w:val="0"/>
                  <w:vAlign w:val="center"/>
                </w:tcPr>
                <w:p w14:paraId="0804B2FE">
                  <w:pPr>
                    <w:adjustRightInd w:val="0"/>
                    <w:snapToGrid w:val="0"/>
                    <w:jc w:val="center"/>
                    <w:rPr>
                      <w:rFonts w:hint="default" w:eastAsia="宋体"/>
                      <w:bCs/>
                      <w:szCs w:val="21"/>
                      <w:lang w:val="en-US" w:eastAsia="zh-CN"/>
                    </w:rPr>
                  </w:pPr>
                  <w:r>
                    <w:rPr>
                      <w:rFonts w:hint="eastAsia"/>
                      <w:bCs/>
                      <w:szCs w:val="21"/>
                      <w:lang w:val="en-US" w:eastAsia="zh-CN"/>
                    </w:rPr>
                    <w:t>17.65</w:t>
                  </w:r>
                </w:p>
              </w:tc>
            </w:tr>
            <w:tr w14:paraId="6C2E3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3" w:type="pct"/>
                  <w:gridSpan w:val="2"/>
                  <w:vMerge w:val="continue"/>
                  <w:tcBorders>
                    <w:tl2br w:val="nil"/>
                    <w:tr2bl w:val="nil"/>
                  </w:tcBorders>
                  <w:noWrap w:val="0"/>
                  <w:vAlign w:val="center"/>
                </w:tcPr>
                <w:p w14:paraId="56A583BD">
                  <w:pPr>
                    <w:adjustRightInd w:val="0"/>
                    <w:snapToGrid w:val="0"/>
                    <w:jc w:val="center"/>
                    <w:rPr>
                      <w:szCs w:val="21"/>
                    </w:rPr>
                  </w:pPr>
                </w:p>
              </w:tc>
              <w:tc>
                <w:tcPr>
                  <w:tcW w:w="3026" w:type="pct"/>
                  <w:gridSpan w:val="3"/>
                  <w:tcBorders>
                    <w:tl2br w:val="nil"/>
                    <w:tr2bl w:val="nil"/>
                  </w:tcBorders>
                  <w:noWrap w:val="0"/>
                  <w:vAlign w:val="center"/>
                </w:tcPr>
                <w:p w14:paraId="0E617963">
                  <w:pPr>
                    <w:adjustRightInd w:val="0"/>
                    <w:snapToGrid w:val="0"/>
                    <w:jc w:val="center"/>
                    <w:rPr>
                      <w:rFonts w:hint="eastAsia"/>
                      <w:szCs w:val="21"/>
                    </w:rPr>
                  </w:pPr>
                  <w:r>
                    <w:rPr>
                      <w:rFonts w:hint="eastAsia"/>
                      <w:szCs w:val="21"/>
                      <w:lang w:val="en-US" w:eastAsia="zh-CN"/>
                    </w:rPr>
                    <w:t>氮氧化物</w:t>
                  </w:r>
                </w:p>
              </w:tc>
              <w:tc>
                <w:tcPr>
                  <w:tcW w:w="830" w:type="pct"/>
                  <w:tcBorders>
                    <w:tl2br w:val="nil"/>
                    <w:tr2bl w:val="nil"/>
                  </w:tcBorders>
                  <w:noWrap w:val="0"/>
                  <w:vAlign w:val="center"/>
                </w:tcPr>
                <w:p w14:paraId="3C047AC6">
                  <w:pPr>
                    <w:adjustRightInd w:val="0"/>
                    <w:snapToGrid w:val="0"/>
                    <w:jc w:val="center"/>
                    <w:rPr>
                      <w:rFonts w:hint="default" w:eastAsia="宋体"/>
                      <w:bCs/>
                      <w:szCs w:val="21"/>
                      <w:lang w:val="en-US" w:eastAsia="zh-CN"/>
                    </w:rPr>
                  </w:pPr>
                  <w:r>
                    <w:rPr>
                      <w:rFonts w:hint="eastAsia"/>
                      <w:bCs/>
                      <w:szCs w:val="21"/>
                      <w:lang w:val="en-US" w:eastAsia="zh-CN"/>
                    </w:rPr>
                    <w:t>44.88</w:t>
                  </w:r>
                </w:p>
              </w:tc>
            </w:tr>
            <w:tr w14:paraId="18D1A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3" w:type="pct"/>
                  <w:gridSpan w:val="2"/>
                  <w:vMerge w:val="continue"/>
                  <w:tcBorders>
                    <w:tl2br w:val="nil"/>
                    <w:tr2bl w:val="nil"/>
                  </w:tcBorders>
                  <w:noWrap w:val="0"/>
                  <w:vAlign w:val="center"/>
                </w:tcPr>
                <w:p w14:paraId="12D36AC5">
                  <w:pPr>
                    <w:adjustRightInd w:val="0"/>
                    <w:snapToGrid w:val="0"/>
                    <w:jc w:val="center"/>
                    <w:rPr>
                      <w:szCs w:val="21"/>
                    </w:rPr>
                  </w:pPr>
                </w:p>
              </w:tc>
              <w:tc>
                <w:tcPr>
                  <w:tcW w:w="3026" w:type="pct"/>
                  <w:gridSpan w:val="3"/>
                  <w:tcBorders>
                    <w:tl2br w:val="nil"/>
                    <w:tr2bl w:val="nil"/>
                  </w:tcBorders>
                  <w:noWrap w:val="0"/>
                  <w:vAlign w:val="center"/>
                </w:tcPr>
                <w:p w14:paraId="373BCC73">
                  <w:pPr>
                    <w:adjustRightInd w:val="0"/>
                    <w:snapToGrid w:val="0"/>
                    <w:jc w:val="center"/>
                    <w:rPr>
                      <w:rFonts w:hint="eastAsia"/>
                      <w:szCs w:val="21"/>
                    </w:rPr>
                  </w:pPr>
                  <w:r>
                    <w:rPr>
                      <w:rFonts w:hint="eastAsia"/>
                      <w:szCs w:val="21"/>
                      <w:lang w:val="en-US" w:eastAsia="zh-CN"/>
                    </w:rPr>
                    <w:t>二氧化硫</w:t>
                  </w:r>
                </w:p>
              </w:tc>
              <w:tc>
                <w:tcPr>
                  <w:tcW w:w="830" w:type="pct"/>
                  <w:tcBorders>
                    <w:tl2br w:val="nil"/>
                    <w:tr2bl w:val="nil"/>
                  </w:tcBorders>
                  <w:noWrap w:val="0"/>
                  <w:vAlign w:val="center"/>
                </w:tcPr>
                <w:p w14:paraId="37EC644C">
                  <w:pPr>
                    <w:adjustRightInd w:val="0"/>
                    <w:snapToGrid w:val="0"/>
                    <w:jc w:val="center"/>
                    <w:rPr>
                      <w:rFonts w:hint="default" w:eastAsia="宋体"/>
                      <w:bCs/>
                      <w:szCs w:val="21"/>
                      <w:lang w:val="en-US" w:eastAsia="zh-CN"/>
                    </w:rPr>
                  </w:pPr>
                  <w:r>
                    <w:rPr>
                      <w:rFonts w:hint="eastAsia"/>
                      <w:bCs/>
                      <w:szCs w:val="21"/>
                      <w:lang w:val="en-US" w:eastAsia="zh-CN"/>
                    </w:rPr>
                    <w:t>13.87</w:t>
                  </w:r>
                </w:p>
              </w:tc>
            </w:tr>
          </w:tbl>
          <w:p w14:paraId="2159760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4.1.</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废气治理设施可行性分析</w:t>
            </w:r>
          </w:p>
          <w:p w14:paraId="03C2A32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本项目污染防治措施可行性分析见下表。</w:t>
            </w:r>
          </w:p>
          <w:p w14:paraId="7A680DCF">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表4</w:t>
            </w:r>
            <w:r>
              <w:rPr>
                <w:rFonts w:hint="eastAsia" w:ascii="Times New Roman" w:hAnsi="Times New Roman" w:eastAsia="黑体" w:cs="Times New Roman"/>
                <w:b w:val="0"/>
                <w:bCs w:val="0"/>
                <w:color w:val="auto"/>
                <w:kern w:val="2"/>
                <w:sz w:val="24"/>
                <w:szCs w:val="24"/>
                <w:highlight w:val="none"/>
                <w:lang w:val="en-US" w:eastAsia="zh-CN" w:bidi="ar-SA"/>
              </w:rPr>
              <w:t>-17</w:t>
            </w:r>
            <w:r>
              <w:rPr>
                <w:rFonts w:hint="default" w:ascii="Times New Roman" w:hAnsi="Times New Roman" w:eastAsia="黑体" w:cs="Times New Roman"/>
                <w:b w:val="0"/>
                <w:bCs w:val="0"/>
                <w:color w:val="auto"/>
                <w:kern w:val="2"/>
                <w:sz w:val="24"/>
                <w:szCs w:val="24"/>
                <w:highlight w:val="none"/>
                <w:lang w:val="en-US" w:eastAsia="zh-CN" w:bidi="ar-SA"/>
              </w:rPr>
              <w:t xml:space="preserve">  大气污染防治措施情况表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398"/>
              <w:gridCol w:w="609"/>
              <w:gridCol w:w="975"/>
              <w:gridCol w:w="1930"/>
              <w:gridCol w:w="1783"/>
              <w:gridCol w:w="1843"/>
              <w:gridCol w:w="418"/>
            </w:tblGrid>
            <w:tr w14:paraId="23EC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tcBorders>
                    <w:tl2br w:val="nil"/>
                    <w:tr2bl w:val="nil"/>
                  </w:tcBorders>
                  <w:noWrap w:val="0"/>
                  <w:vAlign w:val="center"/>
                </w:tcPr>
                <w:p w14:paraId="6C328D33">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内容</w:t>
                  </w:r>
                </w:p>
              </w:tc>
              <w:tc>
                <w:tcPr>
                  <w:tcW w:w="1183" w:type="pct"/>
                  <w:gridSpan w:val="3"/>
                  <w:tcBorders>
                    <w:tl2br w:val="nil"/>
                    <w:tr2bl w:val="nil"/>
                  </w:tcBorders>
                  <w:noWrap w:val="0"/>
                  <w:vAlign w:val="center"/>
                </w:tcPr>
                <w:p w14:paraId="368D300E">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本项目</w:t>
                  </w:r>
                </w:p>
              </w:tc>
              <w:tc>
                <w:tcPr>
                  <w:tcW w:w="1152" w:type="pct"/>
                  <w:tcBorders>
                    <w:tl2br w:val="nil"/>
                    <w:tr2bl w:val="nil"/>
                  </w:tcBorders>
                  <w:noWrap w:val="0"/>
                  <w:vAlign w:val="center"/>
                </w:tcPr>
                <w:p w14:paraId="7D8869A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《排污许可证申请与核发技术规范陶瓷砖瓦工业》(HJ954-2018)</w:t>
                  </w:r>
                </w:p>
              </w:tc>
              <w:tc>
                <w:tcPr>
                  <w:tcW w:w="1064" w:type="pct"/>
                  <w:tcBorders>
                    <w:tl2br w:val="nil"/>
                    <w:tr2bl w:val="nil"/>
                  </w:tcBorders>
                  <w:noWrap w:val="0"/>
                  <w:vAlign w:val="center"/>
                </w:tcPr>
                <w:p w14:paraId="32185514">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《烧结砖瓦工业大气污染物治理设施技术要求》（GB/T42264-2022）</w:t>
                  </w:r>
                </w:p>
              </w:tc>
              <w:tc>
                <w:tcPr>
                  <w:tcW w:w="1100" w:type="pct"/>
                  <w:tcBorders>
                    <w:tl2br w:val="nil"/>
                    <w:tr2bl w:val="nil"/>
                  </w:tcBorders>
                  <w:noWrap w:val="0"/>
                  <w:vAlign w:val="center"/>
                </w:tcPr>
                <w:p w14:paraId="77ACF19D">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重污染天气重点行业应急减排措施制定技术指南（2020年修订版）</w:t>
                  </w:r>
                </w:p>
              </w:tc>
              <w:tc>
                <w:tcPr>
                  <w:tcW w:w="249" w:type="pct"/>
                  <w:tcBorders>
                    <w:tl2br w:val="nil"/>
                    <w:tr2bl w:val="nil"/>
                  </w:tcBorders>
                  <w:noWrap w:val="0"/>
                  <w:vAlign w:val="center"/>
                </w:tcPr>
                <w:p w14:paraId="58727093">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相符性</w:t>
                  </w:r>
                </w:p>
              </w:tc>
            </w:tr>
            <w:tr w14:paraId="559A2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tcBorders>
                    <w:tl2br w:val="nil"/>
                    <w:tr2bl w:val="nil"/>
                  </w:tcBorders>
                  <w:noWrap w:val="0"/>
                  <w:vAlign w:val="center"/>
                </w:tcPr>
                <w:p w14:paraId="1D6DBB64">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废气污染防治可行技术</w:t>
                  </w:r>
                </w:p>
              </w:tc>
              <w:tc>
                <w:tcPr>
                  <w:tcW w:w="238" w:type="pct"/>
                  <w:vMerge w:val="restart"/>
                  <w:tcBorders>
                    <w:tl2br w:val="nil"/>
                    <w:tr2bl w:val="nil"/>
                  </w:tcBorders>
                  <w:noWrap w:val="0"/>
                  <w:vAlign w:val="center"/>
                </w:tcPr>
                <w:p w14:paraId="737BFB67">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原料</w:t>
                  </w:r>
                </w:p>
              </w:tc>
              <w:tc>
                <w:tcPr>
                  <w:tcW w:w="363" w:type="pct"/>
                  <w:vMerge w:val="restart"/>
                  <w:tcBorders>
                    <w:tl2br w:val="nil"/>
                    <w:tr2bl w:val="nil"/>
                  </w:tcBorders>
                  <w:noWrap w:val="0"/>
                  <w:vAlign w:val="center"/>
                </w:tcPr>
                <w:p w14:paraId="2AA20689">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581" w:type="pct"/>
                  <w:tcBorders>
                    <w:tl2br w:val="nil"/>
                    <w:tr2bl w:val="nil"/>
                  </w:tcBorders>
                  <w:noWrap w:val="0"/>
                  <w:vAlign w:val="center"/>
                </w:tcPr>
                <w:p w14:paraId="1EBB96EE">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全封闭原料库，喷雾设施、雾炮机。</w:t>
                  </w:r>
                </w:p>
              </w:tc>
              <w:tc>
                <w:tcPr>
                  <w:tcW w:w="1152" w:type="pct"/>
                  <w:tcBorders>
                    <w:tl2br w:val="nil"/>
                    <w:tr2bl w:val="nil"/>
                  </w:tcBorders>
                  <w:noWrap w:val="0"/>
                  <w:vAlign w:val="center"/>
                </w:tcPr>
                <w:p w14:paraId="6E6212AD">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原煤、块石、粘</w:t>
                  </w:r>
                </w:p>
                <w:p w14:paraId="2D11C07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湿物料等料场应采用封闭、半封闭料场（仓、库、棚）</w:t>
                  </w:r>
                </w:p>
              </w:tc>
              <w:tc>
                <w:tcPr>
                  <w:tcW w:w="1064" w:type="pct"/>
                  <w:tcBorders>
                    <w:tl2br w:val="nil"/>
                    <w:tr2bl w:val="nil"/>
                  </w:tcBorders>
                  <w:noWrap w:val="0"/>
                  <w:vAlign w:val="center"/>
                </w:tcPr>
                <w:p w14:paraId="6B00C621">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料储存于封闭、半封闭料场（仓、库、棚）中</w:t>
                  </w:r>
                </w:p>
              </w:tc>
              <w:tc>
                <w:tcPr>
                  <w:tcW w:w="1100" w:type="pct"/>
                  <w:tcBorders>
                    <w:tl2br w:val="nil"/>
                    <w:tr2bl w:val="nil"/>
                  </w:tcBorders>
                  <w:noWrap w:val="0"/>
                  <w:vAlign w:val="center"/>
                </w:tcPr>
                <w:p w14:paraId="193230A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燃料应密闭或封闭储存，并采取喷淋等有效抑尘措施</w:t>
                  </w:r>
                </w:p>
              </w:tc>
              <w:tc>
                <w:tcPr>
                  <w:tcW w:w="249" w:type="pct"/>
                  <w:vMerge w:val="restart"/>
                  <w:tcBorders>
                    <w:tl2br w:val="nil"/>
                    <w:tr2bl w:val="nil"/>
                  </w:tcBorders>
                  <w:noWrap w:val="0"/>
                  <w:vAlign w:val="center"/>
                </w:tcPr>
                <w:p w14:paraId="0BEAD7F3">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r w14:paraId="209B7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627C5383">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vMerge w:val="continue"/>
                  <w:tcBorders>
                    <w:tl2br w:val="nil"/>
                    <w:tr2bl w:val="nil"/>
                  </w:tcBorders>
                  <w:noWrap w:val="0"/>
                  <w:vAlign w:val="center"/>
                </w:tcPr>
                <w:p w14:paraId="1240A962">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363" w:type="pct"/>
                  <w:vMerge w:val="continue"/>
                  <w:tcBorders>
                    <w:tl2br w:val="nil"/>
                    <w:tr2bl w:val="nil"/>
                  </w:tcBorders>
                  <w:noWrap w:val="0"/>
                  <w:vAlign w:val="center"/>
                </w:tcPr>
                <w:p w14:paraId="3121C26E">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581" w:type="pct"/>
                  <w:tcBorders>
                    <w:tl2br w:val="nil"/>
                    <w:tr2bl w:val="nil"/>
                  </w:tcBorders>
                  <w:noWrap w:val="0"/>
                  <w:vAlign w:val="center"/>
                </w:tcPr>
                <w:p w14:paraId="50E0F474">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原料陈化在封闭陈化库中进行</w:t>
                  </w:r>
                </w:p>
              </w:tc>
              <w:tc>
                <w:tcPr>
                  <w:tcW w:w="1152" w:type="pct"/>
                  <w:tcBorders>
                    <w:tl2br w:val="nil"/>
                    <w:tr2bl w:val="nil"/>
                  </w:tcBorders>
                  <w:noWrap w:val="0"/>
                  <w:vAlign w:val="center"/>
                </w:tcPr>
                <w:p w14:paraId="70BCAD5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原料均化应在封闭、半封闭料场（仓、库、棚）中进行。</w:t>
                  </w:r>
                </w:p>
              </w:tc>
              <w:tc>
                <w:tcPr>
                  <w:tcW w:w="1064" w:type="pct"/>
                  <w:tcBorders>
                    <w:tl2br w:val="nil"/>
                    <w:tr2bl w:val="nil"/>
                  </w:tcBorders>
                  <w:noWrap w:val="0"/>
                  <w:vAlign w:val="center"/>
                </w:tcPr>
                <w:p w14:paraId="348B55D1">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原料陈化在封闭陈化库中进行。</w:t>
                  </w:r>
                </w:p>
              </w:tc>
              <w:tc>
                <w:tcPr>
                  <w:tcW w:w="1100" w:type="pct"/>
                  <w:tcBorders>
                    <w:tl2br w:val="nil"/>
                    <w:tr2bl w:val="nil"/>
                  </w:tcBorders>
                  <w:noWrap w:val="0"/>
                  <w:vAlign w:val="center"/>
                </w:tcPr>
                <w:p w14:paraId="1166201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249" w:type="pct"/>
                  <w:vMerge w:val="continue"/>
                  <w:tcBorders>
                    <w:tl2br w:val="nil"/>
                    <w:tr2bl w:val="nil"/>
                  </w:tcBorders>
                  <w:noWrap w:val="0"/>
                  <w:vAlign w:val="center"/>
                </w:tcPr>
                <w:p w14:paraId="21652356">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r>
            <w:tr w14:paraId="5407F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0D15BC9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tcBorders>
                    <w:tl2br w:val="nil"/>
                    <w:tr2bl w:val="nil"/>
                  </w:tcBorders>
                  <w:noWrap w:val="0"/>
                  <w:vAlign w:val="center"/>
                </w:tcPr>
                <w:p w14:paraId="658308CE">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道路运输</w:t>
                  </w:r>
                </w:p>
              </w:tc>
              <w:tc>
                <w:tcPr>
                  <w:tcW w:w="363" w:type="pct"/>
                  <w:tcBorders>
                    <w:tl2br w:val="nil"/>
                    <w:tr2bl w:val="nil"/>
                  </w:tcBorders>
                  <w:noWrap w:val="0"/>
                  <w:vAlign w:val="center"/>
                </w:tcPr>
                <w:p w14:paraId="72CD1B19">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扬尘</w:t>
                  </w:r>
                </w:p>
              </w:tc>
              <w:tc>
                <w:tcPr>
                  <w:tcW w:w="581" w:type="pct"/>
                  <w:tcBorders>
                    <w:tl2br w:val="nil"/>
                    <w:tr2bl w:val="nil"/>
                  </w:tcBorders>
                  <w:noWrap w:val="0"/>
                  <w:vAlign w:val="center"/>
                </w:tcPr>
                <w:p w14:paraId="3843CD72">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厂区内道路硬化，洒水抑尘，设置洗车平台</w:t>
                  </w:r>
                </w:p>
              </w:tc>
              <w:tc>
                <w:tcPr>
                  <w:tcW w:w="1152" w:type="pct"/>
                  <w:tcBorders>
                    <w:tl2br w:val="nil"/>
                    <w:tr2bl w:val="nil"/>
                  </w:tcBorders>
                  <w:noWrap w:val="0"/>
                  <w:vAlign w:val="center"/>
                </w:tcPr>
                <w:p w14:paraId="5F66A8E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厂区道路应硬化。道路采取清扫、洒水等措施，保持清洁。厂区应设置车轮冲洗设施，或采取其他有效控制措施。</w:t>
                  </w:r>
                </w:p>
              </w:tc>
              <w:tc>
                <w:tcPr>
                  <w:tcW w:w="1064" w:type="pct"/>
                  <w:tcBorders>
                    <w:tl2br w:val="nil"/>
                    <w:tr2bl w:val="nil"/>
                  </w:tcBorders>
                  <w:noWrap w:val="0"/>
                  <w:vAlign w:val="center"/>
                </w:tcPr>
                <w:p w14:paraId="17841D20">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企业道路硬化，道路采取清扫、洒水、雾泡等降尘措施,保持清洁。企业设置车轮清洗设施，或采取其他有效控制措施。</w:t>
                  </w:r>
                </w:p>
              </w:tc>
              <w:tc>
                <w:tcPr>
                  <w:tcW w:w="1100" w:type="pct"/>
                  <w:tcBorders>
                    <w:tl2br w:val="nil"/>
                    <w:tr2bl w:val="nil"/>
                  </w:tcBorders>
                  <w:noWrap w:val="0"/>
                  <w:vAlign w:val="center"/>
                </w:tcPr>
                <w:p w14:paraId="3952ADA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物料公路运输全部使用达到国五及以上排放标准重型载货车辆(含燃气)或新能源车辆；2、厂内运输车辆全部达到国五及以上排放标准(含燃气)或使用新能源车辆；3、厂内非道路移动机械全部达到国三及以上排放标准或使用新能源机械</w:t>
                  </w:r>
                </w:p>
              </w:tc>
              <w:tc>
                <w:tcPr>
                  <w:tcW w:w="249" w:type="pct"/>
                  <w:tcBorders>
                    <w:tl2br w:val="nil"/>
                    <w:tr2bl w:val="nil"/>
                  </w:tcBorders>
                  <w:noWrap w:val="0"/>
                  <w:vAlign w:val="center"/>
                </w:tcPr>
                <w:p w14:paraId="7A3F9191">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r w14:paraId="44295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398E6815">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tcBorders>
                    <w:tl2br w:val="nil"/>
                    <w:tr2bl w:val="nil"/>
                  </w:tcBorders>
                  <w:noWrap w:val="0"/>
                  <w:vAlign w:val="center"/>
                </w:tcPr>
                <w:p w14:paraId="4D639480">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原料破碎筛分</w:t>
                  </w:r>
                </w:p>
              </w:tc>
              <w:tc>
                <w:tcPr>
                  <w:tcW w:w="363" w:type="pct"/>
                  <w:tcBorders>
                    <w:tl2br w:val="nil"/>
                    <w:tr2bl w:val="nil"/>
                  </w:tcBorders>
                  <w:noWrap w:val="0"/>
                  <w:vAlign w:val="center"/>
                </w:tcPr>
                <w:p w14:paraId="199BFAC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581" w:type="pct"/>
                  <w:tcBorders>
                    <w:tl2br w:val="nil"/>
                    <w:tr2bl w:val="nil"/>
                  </w:tcBorders>
                  <w:noWrap w:val="0"/>
                  <w:vAlign w:val="center"/>
                </w:tcPr>
                <w:p w14:paraId="1D3C841F">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集尘罩+布袋除尘器</w:t>
                  </w:r>
                </w:p>
              </w:tc>
              <w:tc>
                <w:tcPr>
                  <w:tcW w:w="1152" w:type="pct"/>
                  <w:tcBorders>
                    <w:tl2br w:val="nil"/>
                    <w:tr2bl w:val="nil"/>
                  </w:tcBorders>
                  <w:noWrap w:val="0"/>
                  <w:vAlign w:val="center"/>
                </w:tcPr>
                <w:p w14:paraId="1A2C0DC9">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集尘罩+布袋除尘器</w:t>
                  </w:r>
                </w:p>
              </w:tc>
              <w:tc>
                <w:tcPr>
                  <w:tcW w:w="1064" w:type="pct"/>
                  <w:tcBorders>
                    <w:tl2br w:val="nil"/>
                    <w:tr2bl w:val="nil"/>
                  </w:tcBorders>
                  <w:noWrap w:val="0"/>
                  <w:vAlign w:val="center"/>
                </w:tcPr>
                <w:p w14:paraId="2CE0E85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集尘罩+布袋除尘器</w:t>
                  </w:r>
                </w:p>
              </w:tc>
              <w:tc>
                <w:tcPr>
                  <w:tcW w:w="1100" w:type="pct"/>
                  <w:tcBorders>
                    <w:tl2br w:val="nil"/>
                    <w:tr2bl w:val="nil"/>
                  </w:tcBorders>
                  <w:noWrap w:val="0"/>
                  <w:vAlign w:val="center"/>
                </w:tcPr>
                <w:p w14:paraId="3CD401A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249" w:type="pct"/>
                  <w:tcBorders>
                    <w:tl2br w:val="nil"/>
                    <w:tr2bl w:val="nil"/>
                  </w:tcBorders>
                  <w:noWrap w:val="0"/>
                  <w:vAlign w:val="center"/>
                </w:tcPr>
                <w:p w14:paraId="5191CDCA">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r w14:paraId="1B983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526F197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vMerge w:val="restart"/>
                  <w:tcBorders>
                    <w:tl2br w:val="nil"/>
                    <w:tr2bl w:val="nil"/>
                  </w:tcBorders>
                  <w:noWrap w:val="0"/>
                  <w:vAlign w:val="center"/>
                </w:tcPr>
                <w:p w14:paraId="7A5DD493">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隧道窑烟气</w:t>
                  </w:r>
                </w:p>
              </w:tc>
              <w:tc>
                <w:tcPr>
                  <w:tcW w:w="363" w:type="pct"/>
                  <w:tcBorders>
                    <w:tl2br w:val="nil"/>
                    <w:tr2bl w:val="nil"/>
                  </w:tcBorders>
                  <w:noWrap w:val="0"/>
                  <w:vAlign w:val="center"/>
                </w:tcPr>
                <w:p w14:paraId="05C0490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581" w:type="pct"/>
                  <w:tcBorders>
                    <w:tl2br w:val="nil"/>
                    <w:tr2bl w:val="nil"/>
                  </w:tcBorders>
                  <w:noWrap w:val="0"/>
                  <w:vAlign w:val="center"/>
                </w:tcPr>
                <w:p w14:paraId="686D9CC6">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湿电除尘器</w:t>
                  </w:r>
                </w:p>
              </w:tc>
              <w:tc>
                <w:tcPr>
                  <w:tcW w:w="1152" w:type="pct"/>
                  <w:tcBorders>
                    <w:tl2br w:val="nil"/>
                    <w:tr2bl w:val="nil"/>
                  </w:tcBorders>
                  <w:noWrap w:val="0"/>
                  <w:vAlign w:val="center"/>
                </w:tcPr>
                <w:p w14:paraId="3CC2EC44">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袋式除尘、电除尘、电袋复合除尘、湿式电除尘等技术，可根据需要采用多级除尘</w:t>
                  </w:r>
                </w:p>
              </w:tc>
              <w:tc>
                <w:tcPr>
                  <w:tcW w:w="1064" w:type="pct"/>
                  <w:tcBorders>
                    <w:tl2br w:val="nil"/>
                    <w:tr2bl w:val="nil"/>
                  </w:tcBorders>
                  <w:noWrap w:val="0"/>
                  <w:vAlign w:val="center"/>
                </w:tcPr>
                <w:p w14:paraId="72C8924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湿电除尘器</w:t>
                  </w:r>
                </w:p>
              </w:tc>
              <w:tc>
                <w:tcPr>
                  <w:tcW w:w="1100" w:type="pct"/>
                  <w:tcBorders>
                    <w:tl2br w:val="nil"/>
                    <w:tr2bl w:val="nil"/>
                  </w:tcBorders>
                  <w:noWrap w:val="0"/>
                  <w:vAlign w:val="center"/>
                </w:tcPr>
                <w:p w14:paraId="23629B06">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除尘采用袋式除尘、湿式电除尘、独立除尘塔等工艺</w:t>
                  </w:r>
                </w:p>
              </w:tc>
              <w:tc>
                <w:tcPr>
                  <w:tcW w:w="249" w:type="pct"/>
                  <w:tcBorders>
                    <w:tl2br w:val="nil"/>
                    <w:tr2bl w:val="nil"/>
                  </w:tcBorders>
                  <w:noWrap w:val="0"/>
                  <w:vAlign w:val="center"/>
                </w:tcPr>
                <w:p w14:paraId="2A7349D7">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r w14:paraId="0B8A8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1F6D010D">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vMerge w:val="continue"/>
                  <w:tcBorders>
                    <w:tl2br w:val="nil"/>
                    <w:tr2bl w:val="nil"/>
                  </w:tcBorders>
                  <w:noWrap w:val="0"/>
                  <w:vAlign w:val="center"/>
                </w:tcPr>
                <w:p w14:paraId="75670859">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363" w:type="pct"/>
                  <w:tcBorders>
                    <w:tl2br w:val="nil"/>
                    <w:tr2bl w:val="nil"/>
                  </w:tcBorders>
                  <w:noWrap w:val="0"/>
                  <w:vAlign w:val="center"/>
                </w:tcPr>
                <w:p w14:paraId="1D264127">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581" w:type="pct"/>
                  <w:tcBorders>
                    <w:tl2br w:val="nil"/>
                    <w:tr2bl w:val="nil"/>
                  </w:tcBorders>
                  <w:noWrap w:val="0"/>
                  <w:vAlign w:val="center"/>
                </w:tcPr>
                <w:p w14:paraId="4B7BEF5C">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SNCR脱硝</w:t>
                  </w:r>
                </w:p>
              </w:tc>
              <w:tc>
                <w:tcPr>
                  <w:tcW w:w="1152" w:type="pct"/>
                  <w:tcBorders>
                    <w:tl2br w:val="nil"/>
                    <w:tr2bl w:val="nil"/>
                  </w:tcBorders>
                  <w:noWrap w:val="0"/>
                  <w:vAlign w:val="center"/>
                </w:tcPr>
                <w:p w14:paraId="4617C288">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低氮燃烧技术、其他组合降氮技术</w:t>
                  </w:r>
                </w:p>
              </w:tc>
              <w:tc>
                <w:tcPr>
                  <w:tcW w:w="1064" w:type="pct"/>
                  <w:tcBorders>
                    <w:tl2br w:val="nil"/>
                    <w:tr2bl w:val="nil"/>
                  </w:tcBorders>
                  <w:noWrap w:val="0"/>
                  <w:vAlign w:val="center"/>
                </w:tcPr>
                <w:p w14:paraId="4C4E9A1F">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应采用低氮燃烧与湿式或干法脱硫脱硝一体化技术、低氮燃烧与SNCR脱硝或</w:t>
                  </w:r>
                </w:p>
                <w:p w14:paraId="59DF144F">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SNCR/SCR联合脱硝技术、复合脱硝液脱硝技术等治理NOx排放。</w:t>
                  </w:r>
                </w:p>
              </w:tc>
              <w:tc>
                <w:tcPr>
                  <w:tcW w:w="1100" w:type="pct"/>
                  <w:tcBorders>
                    <w:tl2br w:val="nil"/>
                    <w:tr2bl w:val="nil"/>
                  </w:tcBorders>
                  <w:noWrap w:val="0"/>
                  <w:vAlign w:val="center"/>
                </w:tcPr>
                <w:p w14:paraId="337E865C">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249" w:type="pct"/>
                  <w:tcBorders>
                    <w:tl2br w:val="nil"/>
                    <w:tr2bl w:val="nil"/>
                  </w:tcBorders>
                  <w:noWrap w:val="0"/>
                  <w:vAlign w:val="center"/>
                </w:tcPr>
                <w:p w14:paraId="1EB46700">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r w14:paraId="1C6BC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tcBorders>
                    <w:tl2br w:val="nil"/>
                    <w:tr2bl w:val="nil"/>
                  </w:tcBorders>
                  <w:noWrap w:val="0"/>
                  <w:vAlign w:val="center"/>
                </w:tcPr>
                <w:p w14:paraId="08A91401">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38" w:type="pct"/>
                  <w:vMerge w:val="continue"/>
                  <w:tcBorders>
                    <w:tl2br w:val="nil"/>
                    <w:tr2bl w:val="nil"/>
                  </w:tcBorders>
                  <w:noWrap w:val="0"/>
                  <w:vAlign w:val="center"/>
                </w:tcPr>
                <w:p w14:paraId="6467CC2D">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363" w:type="pct"/>
                  <w:tcBorders>
                    <w:tl2br w:val="nil"/>
                    <w:tr2bl w:val="nil"/>
                  </w:tcBorders>
                  <w:noWrap w:val="0"/>
                  <w:vAlign w:val="center"/>
                </w:tcPr>
                <w:p w14:paraId="1A81B5F1">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二氧化硫</w:t>
                  </w:r>
                </w:p>
              </w:tc>
              <w:tc>
                <w:tcPr>
                  <w:tcW w:w="581" w:type="pct"/>
                  <w:tcBorders>
                    <w:tl2br w:val="nil"/>
                    <w:tr2bl w:val="nil"/>
                  </w:tcBorders>
                  <w:noWrap w:val="0"/>
                  <w:vAlign w:val="center"/>
                </w:tcPr>
                <w:p w14:paraId="23A94F06">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双碱脱硫</w:t>
                  </w:r>
                  <w:r>
                    <w:rPr>
                      <w:rFonts w:hint="default" w:ascii="Times New Roman" w:hAnsi="Times New Roman" w:eastAsia="宋体" w:cs="Times New Roman"/>
                      <w:bCs/>
                      <w:color w:val="auto"/>
                      <w:kern w:val="2"/>
                      <w:sz w:val="21"/>
                      <w:szCs w:val="21"/>
                      <w:highlight w:val="none"/>
                      <w:lang w:val="en-US" w:eastAsia="zh-CN" w:bidi="ar-SA"/>
                    </w:rPr>
                    <w:t>（配备自动加碱、测 PH 值装置）</w:t>
                  </w:r>
                </w:p>
              </w:tc>
              <w:tc>
                <w:tcPr>
                  <w:tcW w:w="1152" w:type="pct"/>
                  <w:tcBorders>
                    <w:tl2br w:val="nil"/>
                    <w:tr2bl w:val="nil"/>
                  </w:tcBorders>
                  <w:noWrap w:val="0"/>
                  <w:vAlign w:val="center"/>
                </w:tcPr>
                <w:p w14:paraId="4531DF9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湿法脱硫技术、干法/半干法脱硫技术等</w:t>
                  </w:r>
                </w:p>
              </w:tc>
              <w:tc>
                <w:tcPr>
                  <w:tcW w:w="1064" w:type="pct"/>
                  <w:tcBorders>
                    <w:tl2br w:val="nil"/>
                    <w:tr2bl w:val="nil"/>
                  </w:tcBorders>
                  <w:noWrap w:val="0"/>
                  <w:vAlign w:val="center"/>
                </w:tcPr>
                <w:p w14:paraId="6602698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石灰法、钠钙双碱法、氧化镁法、石灰石/石灰-石膏法等，宜优先采用石灰石/石灰-石膏法</w:t>
                  </w:r>
                </w:p>
              </w:tc>
              <w:tc>
                <w:tcPr>
                  <w:tcW w:w="1100" w:type="pct"/>
                  <w:tcBorders>
                    <w:tl2br w:val="nil"/>
                    <w:tr2bl w:val="nil"/>
                  </w:tcBorders>
                  <w:noWrap w:val="0"/>
                  <w:vAlign w:val="center"/>
                </w:tcPr>
                <w:p w14:paraId="14E5A40B">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脱硫采用石灰-石膏湿法脱硫、双碱法脱硫（配备自动加碱、测PH值装置）等工艺（不含全部使用天然气、液化石油气为燃料）</w:t>
                  </w:r>
                </w:p>
              </w:tc>
              <w:tc>
                <w:tcPr>
                  <w:tcW w:w="249" w:type="pct"/>
                  <w:tcBorders>
                    <w:tl2br w:val="nil"/>
                    <w:tr2bl w:val="nil"/>
                  </w:tcBorders>
                  <w:noWrap w:val="0"/>
                  <w:vAlign w:val="center"/>
                </w:tcPr>
                <w:p w14:paraId="7DA9D504">
                  <w:pPr>
                    <w:pStyle w:val="9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符合</w:t>
                  </w:r>
                </w:p>
              </w:tc>
            </w:tr>
          </w:tbl>
          <w:p w14:paraId="1A7E653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（1）无组织废气控制措施</w:t>
            </w:r>
          </w:p>
          <w:p w14:paraId="444ABBE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项目物料堆存、装卸颗粒物无组织采用喷雾抑尘系统。喷雾抑尘系统是</w:t>
            </w:r>
            <w:r>
              <w:rPr>
                <w:rFonts w:hint="default" w:ascii="Times New Roman" w:hAnsi="Times New Roman" w:eastAsia="宋体" w:cs="Times New Roman"/>
                <w:bCs/>
                <w:color w:val="auto"/>
                <w:kern w:val="2"/>
                <w:sz w:val="24"/>
                <w:szCs w:val="24"/>
                <w:highlight w:val="none"/>
                <w:lang w:val="en-US" w:eastAsia="zh-CN" w:bidi="ar-SA"/>
              </w:rPr>
              <w:t>用压缩空气把水雾化为10微米以下的水雾，在起尘点上方形成雾团完全罩住起尘点，这样在物料起尘的时候粉尘完全进入雾团，与水雾充分结合，并且逐渐加大，在重力的作用下落到地面。干雾最突出的优势就是和空气的接触面积较大，而且具有较高的蒸发率，使得含尘区域的水蒸气能够在短时间内饱和。</w:t>
            </w:r>
          </w:p>
          <w:p w14:paraId="7CFB769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（2）有组织废气控制措施</w:t>
            </w:r>
          </w:p>
          <w:p w14:paraId="3FE6E82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fldChar w:fldCharType="begin"/>
            </w:r>
            <w:r>
              <w:rPr>
                <w:rFonts w:hint="default" w:ascii="Times New Roman" w:hAnsi="Times New Roman" w:eastAsia="宋体" w:cs="Times New Roman"/>
                <w:bCs/>
                <w:color w:val="auto"/>
                <w:kern w:val="2"/>
                <w:sz w:val="24"/>
                <w:szCs w:val="24"/>
                <w:highlight w:val="none"/>
                <w:lang w:val="en-US" w:eastAsia="zh-CN" w:bidi="ar-SA"/>
              </w:rPr>
              <w:instrText xml:space="preserve"> = 1 \* GB3 \* MERGEFORMAT </w:instrText>
            </w:r>
            <w:r>
              <w:rPr>
                <w:rFonts w:hint="default" w:ascii="Times New Roman" w:hAnsi="Times New Roman" w:eastAsia="宋体" w:cs="Times New Roman"/>
                <w:bCs/>
                <w:color w:val="auto"/>
                <w:kern w:val="2"/>
                <w:sz w:val="24"/>
                <w:szCs w:val="24"/>
                <w:highlight w:val="none"/>
                <w:lang w:val="en-US" w:eastAsia="zh-CN" w:bidi="ar-SA"/>
              </w:rPr>
              <w:fldChar w:fldCharType="separate"/>
            </w:r>
            <w:r>
              <w:rPr>
                <w:rFonts w:hint="default" w:ascii="Times New Roman" w:hAnsi="Times New Roman" w:eastAsia="宋体" w:cs="Times New Roman"/>
                <w:bCs/>
                <w:color w:val="auto"/>
                <w:kern w:val="2"/>
                <w:sz w:val="24"/>
                <w:szCs w:val="24"/>
                <w:highlight w:val="none"/>
                <w:lang w:val="en-US" w:eastAsia="zh-CN" w:bidi="ar-SA"/>
              </w:rPr>
              <w:t>①</w:t>
            </w:r>
            <w:r>
              <w:rPr>
                <w:rFonts w:hint="default" w:ascii="Times New Roman" w:hAnsi="Times New Roman" w:eastAsia="宋体" w:cs="Times New Roman"/>
                <w:bCs/>
                <w:color w:val="auto"/>
                <w:kern w:val="2"/>
                <w:sz w:val="24"/>
                <w:szCs w:val="24"/>
                <w:highlight w:val="none"/>
                <w:lang w:val="en-US" w:eastAsia="zh-CN" w:bidi="ar-SA"/>
              </w:rPr>
              <w:fldChar w:fldCharType="end"/>
            </w:r>
            <w:r>
              <w:rPr>
                <w:rFonts w:hint="default" w:ascii="Times New Roman" w:hAnsi="Times New Roman" w:eastAsia="宋体" w:cs="Times New Roman"/>
                <w:bCs/>
                <w:color w:val="auto"/>
                <w:kern w:val="2"/>
                <w:sz w:val="24"/>
                <w:szCs w:val="24"/>
                <w:highlight w:val="none"/>
                <w:lang w:val="en-US" w:eastAsia="zh-CN" w:bidi="ar-SA"/>
              </w:rPr>
              <w:t>布袋除尘器</w:t>
            </w:r>
          </w:p>
          <w:p w14:paraId="26983F3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布袋除尘器的工作原理是含尘气流从下部孔板进入圆筒形滤袋内，在通过滤料的孔隙时，粉尘被捕集于滤料上，透过滤料的清洁气体由排出口排出。沉积在滤料上的粉尘，可在机械振动的作用下从滤料表面脱落，落入灰斗中。用以捕集非粘结非纤维性的工业粉尘，捕获粉尘微粒可达0.1微米。袋式除尘器具有很高的净化效率，捕集细微的粉尘效率可达99%以上，其效率比较高。对于微细的干燥颗粒物，采用袋式除尘器捕集是适宜的。经以上计算，在采用布袋除尘器后，粉尘排放浓度不大于10m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，满足《长治市人民政府办公室关于印发长治市大气和水污染物排放管控要求的通知》（长政办规〔2023〕1号）砖瓦管控要求，实现达标排放。</w:t>
            </w:r>
          </w:p>
          <w:p w14:paraId="7620F8F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fldChar w:fldCharType="begin"/>
            </w:r>
            <w:r>
              <w:rPr>
                <w:rFonts w:hint="default" w:ascii="Times New Roman" w:hAnsi="Times New Roman" w:eastAsia="宋体" w:cs="Times New Roman"/>
                <w:bCs/>
                <w:color w:val="auto"/>
                <w:kern w:val="2"/>
                <w:sz w:val="24"/>
                <w:szCs w:val="24"/>
                <w:highlight w:val="none"/>
                <w:lang w:val="en-US" w:eastAsia="zh-CN" w:bidi="ar-SA"/>
              </w:rPr>
              <w:instrText xml:space="preserve"> = 2 \* GB3 \* MERGEFORMAT </w:instrText>
            </w:r>
            <w:r>
              <w:rPr>
                <w:rFonts w:hint="default" w:ascii="Times New Roman" w:hAnsi="Times New Roman" w:eastAsia="宋体" w:cs="Times New Roman"/>
                <w:bCs/>
                <w:color w:val="auto"/>
                <w:kern w:val="2"/>
                <w:sz w:val="24"/>
                <w:szCs w:val="24"/>
                <w:highlight w:val="none"/>
                <w:lang w:val="en-US" w:eastAsia="zh-CN" w:bidi="ar-SA"/>
              </w:rPr>
              <w:fldChar w:fldCharType="separate"/>
            </w:r>
            <w:r>
              <w:rPr>
                <w:rFonts w:hint="default" w:ascii="Times New Roman" w:hAnsi="Times New Roman" w:eastAsia="宋体" w:cs="Times New Roman"/>
                <w:bCs/>
                <w:color w:val="auto"/>
                <w:kern w:val="2"/>
                <w:sz w:val="24"/>
                <w:szCs w:val="24"/>
                <w:highlight w:val="none"/>
                <w:lang w:val="en-US" w:eastAsia="zh-CN" w:bidi="ar-SA"/>
              </w:rPr>
              <w:t>②</w:t>
            </w:r>
            <w:r>
              <w:rPr>
                <w:rFonts w:hint="default" w:ascii="Times New Roman" w:hAnsi="Times New Roman" w:eastAsia="宋体" w:cs="Times New Roman"/>
                <w:bCs/>
                <w:color w:val="auto"/>
                <w:kern w:val="2"/>
                <w:sz w:val="24"/>
                <w:szCs w:val="24"/>
                <w:highlight w:val="none"/>
                <w:lang w:val="en-US" w:eastAsia="zh-CN" w:bidi="ar-SA"/>
              </w:rPr>
              <w:fldChar w:fldCharType="end"/>
            </w:r>
            <w:r>
              <w:rPr>
                <w:rFonts w:hint="default" w:ascii="Times New Roman" w:hAnsi="Times New Roman" w:eastAsia="宋体" w:cs="Times New Roman"/>
                <w:bCs/>
                <w:color w:val="auto"/>
                <w:kern w:val="2"/>
                <w:sz w:val="24"/>
                <w:szCs w:val="24"/>
                <w:highlight w:val="none"/>
                <w:lang w:val="en-US" w:eastAsia="zh-CN" w:bidi="ar-SA"/>
              </w:rPr>
              <w:t>湿式电除尘</w:t>
            </w:r>
          </w:p>
          <w:p w14:paraId="780D835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湿式电除尘技术的工作原理主要是向除尘板上喷射水雾。水雾冲击产生的粒子通过冲击爆破和雾的吸附、凝结被收集，最后在电场强度的作用下到达收集极。湿电除尘设备应用是除尘和除雾。它能抑制传统干式电除尘技术的反电晕、二次除尘等瓶颈，具有很高的除尘效率。根据国外相关经验和国内相关单位的试验结果，湿式湿电除尘器对酸雾、有毒重金属和PM</w:t>
            </w:r>
            <w:r>
              <w:rPr>
                <w:rFonts w:hint="default" w:ascii="Times New Roman" w:hAnsi="Times New Roman" w:eastAsia="宋体" w:cs="Times New Roman"/>
                <w:bCs/>
                <w:color w:val="auto"/>
                <w:kern w:val="2"/>
                <w:sz w:val="24"/>
                <w:szCs w:val="24"/>
                <w:highlight w:val="none"/>
                <w:vertAlign w:val="subscript"/>
                <w:lang w:val="en-US" w:eastAsia="zh-CN" w:bidi="ar-SA"/>
              </w:rPr>
              <w:t>10</w:t>
            </w:r>
            <w:r>
              <w:rPr>
                <w:rFonts w:hint="default" w:ascii="Times New Roman" w:hAnsi="Times New Roman" w:eastAsia="宋体" w:cs="Times New Roman"/>
                <w:bCs/>
                <w:color w:val="auto"/>
                <w:kern w:val="2"/>
                <w:sz w:val="24"/>
                <w:szCs w:val="24"/>
                <w:highlight w:val="none"/>
                <w:lang w:val="en-US" w:eastAsia="zh-CN" w:bidi="ar-SA"/>
              </w:rPr>
              <w:t>有较好的去除效果，对细微粉尘的脱除效率达85%以上，同时能够有效脱除NOx、PM</w:t>
            </w:r>
            <w:r>
              <w:rPr>
                <w:rFonts w:hint="default" w:ascii="Times New Roman" w:hAnsi="Times New Roman" w:eastAsia="宋体" w:cs="Times New Roman"/>
                <w:bCs/>
                <w:color w:val="auto"/>
                <w:kern w:val="2"/>
                <w:sz w:val="24"/>
                <w:szCs w:val="24"/>
                <w:highlight w:val="none"/>
                <w:vertAlign w:val="subscript"/>
                <w:lang w:val="en-US" w:eastAsia="zh-CN" w:bidi="ar-SA"/>
              </w:rPr>
              <w:t>2.5</w:t>
            </w: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、NH</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气溶胶、水雾、重金属离子等，污染物综合脱除效率达99%以上，可满足生产需求。经以上</w:t>
            </w:r>
            <w:r>
              <w:rPr>
                <w:rFonts w:hint="eastAsia" w:ascii="Times New Roman" w:hAnsi="Times New Roman" w:eastAsia="宋体" w:cs="Times New Roman"/>
                <w:bCs/>
                <w:color w:val="auto"/>
                <w:kern w:val="2"/>
                <w:sz w:val="24"/>
                <w:szCs w:val="24"/>
                <w:highlight w:val="none"/>
                <w:lang w:val="en-US" w:eastAsia="zh-CN" w:bidi="ar-SA"/>
              </w:rPr>
              <w:t>处理，粒物排放浓度不大于10mg/m</w:t>
            </w:r>
            <w:r>
              <w:rPr>
                <w:rFonts w:hint="eastAsia" w:ascii="Times New Roman" w:hAnsi="Times New Roman" w:eastAsia="宋体" w:cs="Times New Roman"/>
                <w:bCs/>
                <w:color w:val="auto"/>
                <w:kern w:val="2"/>
                <w:sz w:val="24"/>
                <w:szCs w:val="24"/>
                <w:highlight w:val="none"/>
                <w:vertAlign w:val="superscript"/>
                <w:lang w:val="en-US" w:eastAsia="zh-CN" w:bidi="ar-SA"/>
              </w:rPr>
              <w:t>3</w:t>
            </w:r>
            <w:r>
              <w:rPr>
                <w:rFonts w:hint="eastAsia" w:ascii="Times New Roman" w:hAnsi="Times New Roman" w:eastAsia="宋体" w:cs="Times New Roman"/>
                <w:bCs/>
                <w:color w:val="auto"/>
                <w:kern w:val="2"/>
                <w:sz w:val="24"/>
                <w:szCs w:val="24"/>
                <w:highlight w:val="none"/>
                <w:lang w:val="en-US" w:eastAsia="zh-CN" w:bidi="ar-SA"/>
              </w:rPr>
              <w:t>，实现达标排放。</w:t>
            </w:r>
          </w:p>
          <w:p w14:paraId="49573C90">
            <w:pPr>
              <w:keepNext w:val="0"/>
              <w:keepLines w:val="0"/>
              <w:pageBreakBefore w:val="0"/>
              <w:widowControl w:val="0"/>
              <w:kinsoku/>
              <w:wordWrap/>
              <w:overflowPunct/>
              <w:topLinePunct w:val="0"/>
              <w:autoSpaceDE/>
              <w:autoSpaceDN/>
              <w:bidi w:val="0"/>
              <w:adjustRightInd/>
              <w:snapToGrid/>
              <w:spacing w:line="42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本项目湿电除尘器设计技术参数见表4-1</w:t>
            </w:r>
            <w:r>
              <w:rPr>
                <w:rFonts w:hint="eastAsia" w:cs="Times New Roman"/>
                <w:bCs/>
                <w:color w:val="auto"/>
                <w:kern w:val="2"/>
                <w:sz w:val="24"/>
                <w:szCs w:val="24"/>
                <w:highlight w:val="none"/>
                <w:lang w:val="en-US" w:eastAsia="zh-CN" w:bidi="ar-SA"/>
              </w:rPr>
              <w:t>8</w:t>
            </w:r>
            <w:r>
              <w:rPr>
                <w:rFonts w:hint="eastAsia" w:ascii="Times New Roman" w:hAnsi="Times New Roman" w:eastAsia="宋体" w:cs="Times New Roman"/>
                <w:bCs/>
                <w:color w:val="auto"/>
                <w:kern w:val="2"/>
                <w:sz w:val="24"/>
                <w:szCs w:val="24"/>
                <w:highlight w:val="none"/>
                <w:lang w:val="en-US" w:eastAsia="zh-CN" w:bidi="ar-SA"/>
              </w:rPr>
              <w:t>。</w:t>
            </w:r>
          </w:p>
          <w:p w14:paraId="5F5AB8F2">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表4</w:t>
            </w:r>
            <w:r>
              <w:rPr>
                <w:rFonts w:hint="eastAsia" w:ascii="Times New Roman" w:hAnsi="Times New Roman" w:eastAsia="黑体" w:cs="Times New Roman"/>
                <w:b w:val="0"/>
                <w:bCs w:val="0"/>
                <w:color w:val="auto"/>
                <w:kern w:val="2"/>
                <w:sz w:val="24"/>
                <w:szCs w:val="24"/>
                <w:highlight w:val="none"/>
                <w:lang w:val="en-US" w:eastAsia="zh-CN" w:bidi="ar-SA"/>
              </w:rPr>
              <w:t>-18</w:t>
            </w:r>
            <w:r>
              <w:rPr>
                <w:rFonts w:hint="default" w:ascii="Times New Roman" w:hAnsi="Times New Roman" w:eastAsia="黑体" w:cs="Times New Roman"/>
                <w:b w:val="0"/>
                <w:bCs w:val="0"/>
                <w:color w:val="auto"/>
                <w:kern w:val="2"/>
                <w:sz w:val="24"/>
                <w:szCs w:val="24"/>
                <w:highlight w:val="none"/>
                <w:lang w:val="en-US" w:eastAsia="zh-CN" w:bidi="ar-SA"/>
              </w:rPr>
              <w:t xml:space="preserve">  湿电除尘器设计技术参数表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1617"/>
              <w:gridCol w:w="4122"/>
            </w:tblGrid>
            <w:tr w14:paraId="4F724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207526E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项目</w:t>
                  </w:r>
                </w:p>
              </w:tc>
              <w:tc>
                <w:tcPr>
                  <w:tcW w:w="965" w:type="pct"/>
                  <w:tcBorders>
                    <w:tl2br w:val="nil"/>
                    <w:tr2bl w:val="nil"/>
                  </w:tcBorders>
                  <w:noWrap w:val="0"/>
                  <w:vAlign w:val="center"/>
                </w:tcPr>
                <w:p w14:paraId="2A32284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单位</w:t>
                  </w:r>
                </w:p>
              </w:tc>
              <w:tc>
                <w:tcPr>
                  <w:tcW w:w="2460" w:type="pct"/>
                  <w:tcBorders>
                    <w:tl2br w:val="nil"/>
                    <w:tr2bl w:val="nil"/>
                  </w:tcBorders>
                  <w:noWrap w:val="0"/>
                  <w:vAlign w:val="center"/>
                </w:tcPr>
                <w:p w14:paraId="1402D69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技术参数</w:t>
                  </w:r>
                </w:p>
              </w:tc>
            </w:tr>
            <w:tr w14:paraId="4E295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50AFDF6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湿式除尘器型号</w:t>
                  </w:r>
                </w:p>
              </w:tc>
              <w:tc>
                <w:tcPr>
                  <w:tcW w:w="965" w:type="pct"/>
                  <w:tcBorders>
                    <w:tl2br w:val="nil"/>
                    <w:tr2bl w:val="nil"/>
                  </w:tcBorders>
                  <w:noWrap w:val="0"/>
                  <w:vAlign w:val="center"/>
                </w:tcPr>
                <w:p w14:paraId="43E76F0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26FAD93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WESP360-288</w:t>
                  </w:r>
                </w:p>
              </w:tc>
            </w:tr>
            <w:tr w14:paraId="4B7CB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18EB08E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入口烟气量</w:t>
                  </w:r>
                </w:p>
              </w:tc>
              <w:tc>
                <w:tcPr>
                  <w:tcW w:w="965" w:type="pct"/>
                  <w:tcBorders>
                    <w:tl2br w:val="nil"/>
                    <w:tr2bl w:val="nil"/>
                  </w:tcBorders>
                  <w:noWrap w:val="0"/>
                  <w:vAlign w:val="center"/>
                </w:tcPr>
                <w:p w14:paraId="0138F04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Nm³/h</w:t>
                  </w:r>
                </w:p>
              </w:tc>
              <w:tc>
                <w:tcPr>
                  <w:tcW w:w="2460" w:type="pct"/>
                  <w:tcBorders>
                    <w:tl2br w:val="nil"/>
                    <w:tr2bl w:val="nil"/>
                  </w:tcBorders>
                  <w:noWrap w:val="0"/>
                  <w:vAlign w:val="center"/>
                </w:tcPr>
                <w:p w14:paraId="0566DB3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21111</w:t>
                  </w:r>
                  <w:r>
                    <w:rPr>
                      <w:rFonts w:hint="eastAsia" w:cs="Times New Roman"/>
                      <w:bCs/>
                      <w:color w:val="auto"/>
                      <w:kern w:val="2"/>
                      <w:sz w:val="21"/>
                      <w:szCs w:val="21"/>
                      <w:highlight w:val="none"/>
                      <w:lang w:val="en-US" w:eastAsia="zh-CN" w:bidi="ar-SA"/>
                    </w:rPr>
                    <w:t>1</w:t>
                  </w:r>
                </w:p>
              </w:tc>
            </w:tr>
            <w:tr w14:paraId="41BC9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4A6ED88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进口烟气温度</w:t>
                  </w:r>
                </w:p>
              </w:tc>
              <w:tc>
                <w:tcPr>
                  <w:tcW w:w="965" w:type="pct"/>
                  <w:tcBorders>
                    <w:tl2br w:val="nil"/>
                    <w:tr2bl w:val="nil"/>
                  </w:tcBorders>
                  <w:noWrap w:val="0"/>
                  <w:vAlign w:val="center"/>
                </w:tcPr>
                <w:p w14:paraId="3776BE7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2460" w:type="pct"/>
                  <w:tcBorders>
                    <w:tl2br w:val="nil"/>
                    <w:tr2bl w:val="nil"/>
                  </w:tcBorders>
                  <w:noWrap w:val="0"/>
                  <w:vAlign w:val="center"/>
                </w:tcPr>
                <w:p w14:paraId="3BABB13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≤60</w:t>
                  </w:r>
                </w:p>
              </w:tc>
            </w:tr>
            <w:tr w14:paraId="45557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36AD4CF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湿电出口粉尘含量</w:t>
                  </w:r>
                </w:p>
              </w:tc>
              <w:tc>
                <w:tcPr>
                  <w:tcW w:w="965" w:type="pct"/>
                  <w:tcBorders>
                    <w:tl2br w:val="nil"/>
                    <w:tr2bl w:val="nil"/>
                  </w:tcBorders>
                  <w:noWrap w:val="0"/>
                  <w:vAlign w:val="center"/>
                </w:tcPr>
                <w:p w14:paraId="19E95B0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mg/Nm³</w:t>
                  </w:r>
                </w:p>
              </w:tc>
              <w:tc>
                <w:tcPr>
                  <w:tcW w:w="2460" w:type="pct"/>
                  <w:tcBorders>
                    <w:tl2br w:val="nil"/>
                    <w:tr2bl w:val="nil"/>
                  </w:tcBorders>
                  <w:noWrap w:val="0"/>
                  <w:vAlign w:val="center"/>
                </w:tcPr>
                <w:p w14:paraId="2FB2B4E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≤10（折算浓度，含氧量18%）</w:t>
                  </w:r>
                </w:p>
              </w:tc>
            </w:tr>
            <w:tr w14:paraId="594A8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13B575E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颗粒捕集率</w:t>
                  </w:r>
                </w:p>
              </w:tc>
              <w:tc>
                <w:tcPr>
                  <w:tcW w:w="965" w:type="pct"/>
                  <w:tcBorders>
                    <w:tl2br w:val="nil"/>
                    <w:tr2bl w:val="nil"/>
                  </w:tcBorders>
                  <w:noWrap w:val="0"/>
                  <w:vAlign w:val="center"/>
                </w:tcPr>
                <w:p w14:paraId="38135FE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2460" w:type="pct"/>
                  <w:tcBorders>
                    <w:tl2br w:val="nil"/>
                    <w:tr2bl w:val="nil"/>
                  </w:tcBorders>
                  <w:noWrap w:val="0"/>
                  <w:vAlign w:val="center"/>
                </w:tcPr>
                <w:p w14:paraId="4E81544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85%以上</w:t>
                  </w:r>
                </w:p>
              </w:tc>
            </w:tr>
            <w:tr w14:paraId="0CBE9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3F552FC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湿式除尘器布置型式</w:t>
                  </w:r>
                </w:p>
              </w:tc>
              <w:tc>
                <w:tcPr>
                  <w:tcW w:w="965" w:type="pct"/>
                  <w:tcBorders>
                    <w:tl2br w:val="nil"/>
                    <w:tr2bl w:val="nil"/>
                  </w:tcBorders>
                  <w:noWrap w:val="0"/>
                  <w:vAlign w:val="center"/>
                </w:tcPr>
                <w:p w14:paraId="5EB64C6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2460" w:type="pct"/>
                  <w:tcBorders>
                    <w:tl2br w:val="nil"/>
                    <w:tr2bl w:val="nil"/>
                  </w:tcBorders>
                  <w:noWrap w:val="0"/>
                  <w:vAlign w:val="center"/>
                </w:tcPr>
                <w:p w14:paraId="78133B7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独立布置</w:t>
                  </w:r>
                </w:p>
              </w:tc>
            </w:tr>
            <w:tr w14:paraId="7976A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747D7D9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除尘器进出风口布置</w:t>
                  </w:r>
                </w:p>
              </w:tc>
              <w:tc>
                <w:tcPr>
                  <w:tcW w:w="965" w:type="pct"/>
                  <w:tcBorders>
                    <w:tl2br w:val="nil"/>
                    <w:tr2bl w:val="nil"/>
                  </w:tcBorders>
                  <w:noWrap w:val="0"/>
                  <w:vAlign w:val="center"/>
                </w:tcPr>
                <w:p w14:paraId="594D561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5D11D67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下部进气上部出气</w:t>
                  </w:r>
                </w:p>
              </w:tc>
            </w:tr>
            <w:tr w14:paraId="774AC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65F98006">
                  <w:pPr>
                    <w:widowControl/>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高频恒流电源型号</w:t>
                  </w:r>
                </w:p>
              </w:tc>
              <w:tc>
                <w:tcPr>
                  <w:tcW w:w="965" w:type="pct"/>
                  <w:tcBorders>
                    <w:tl2br w:val="nil"/>
                    <w:tr2bl w:val="nil"/>
                  </w:tcBorders>
                  <w:noWrap w:val="0"/>
                  <w:vAlign w:val="center"/>
                </w:tcPr>
                <w:p w14:paraId="2B577946">
                  <w:pPr>
                    <w:widowControl/>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KV/mA</w:t>
                  </w:r>
                </w:p>
              </w:tc>
              <w:tc>
                <w:tcPr>
                  <w:tcW w:w="2460" w:type="pct"/>
                  <w:tcBorders>
                    <w:tl2br w:val="nil"/>
                    <w:tr2bl w:val="nil"/>
                  </w:tcBorders>
                  <w:noWrap w:val="0"/>
                  <w:vAlign w:val="center"/>
                </w:tcPr>
                <w:p w14:paraId="356A9E57">
                  <w:pPr>
                    <w:snapToGrid/>
                    <w:spacing w:before="0" w:beforeAutospacing="0" w:after="0" w:afterAutospacing="0" w:line="240" w:lineRule="auto"/>
                    <w:ind w:left="100" w:left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0"/>
                      <w:sz w:val="21"/>
                      <w:szCs w:val="21"/>
                      <w:lang w:val="en-US" w:eastAsia="zh-CN" w:bidi="ar-SA"/>
                    </w:rPr>
                    <w:t>80/1600</w:t>
                  </w:r>
                </w:p>
              </w:tc>
            </w:tr>
            <w:tr w14:paraId="2BB72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28D4330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烟气流速</w:t>
                  </w:r>
                </w:p>
              </w:tc>
              <w:tc>
                <w:tcPr>
                  <w:tcW w:w="965" w:type="pct"/>
                  <w:tcBorders>
                    <w:tl2br w:val="nil"/>
                    <w:tr2bl w:val="nil"/>
                  </w:tcBorders>
                  <w:noWrap w:val="0"/>
                  <w:vAlign w:val="center"/>
                </w:tcPr>
                <w:p w14:paraId="421E771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m/s</w:t>
                  </w:r>
                </w:p>
              </w:tc>
              <w:tc>
                <w:tcPr>
                  <w:tcW w:w="2460" w:type="pct"/>
                  <w:tcBorders>
                    <w:tl2br w:val="nil"/>
                    <w:tr2bl w:val="nil"/>
                  </w:tcBorders>
                  <w:noWrap w:val="0"/>
                  <w:vAlign w:val="center"/>
                </w:tcPr>
                <w:p w14:paraId="0A0246B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ottom"/>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w:t>
                  </w:r>
                  <w:r>
                    <w:rPr>
                      <w:rFonts w:hint="eastAsia" w:cs="Times New Roman"/>
                      <w:bCs/>
                      <w:color w:val="auto"/>
                      <w:kern w:val="2"/>
                      <w:sz w:val="21"/>
                      <w:szCs w:val="21"/>
                      <w:highlight w:val="none"/>
                      <w:lang w:val="en-US" w:eastAsia="zh-CN" w:bidi="ar-SA"/>
                    </w:rPr>
                    <w:t>1.2</w:t>
                  </w:r>
                </w:p>
              </w:tc>
            </w:tr>
            <w:tr w14:paraId="3542D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74AF7565">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阳极规格</w:t>
                  </w:r>
                </w:p>
              </w:tc>
              <w:tc>
                <w:tcPr>
                  <w:tcW w:w="965" w:type="pct"/>
                  <w:tcBorders>
                    <w:tl2br w:val="nil"/>
                    <w:tr2bl w:val="nil"/>
                  </w:tcBorders>
                  <w:noWrap w:val="0"/>
                  <w:vAlign w:val="center"/>
                </w:tcPr>
                <w:p w14:paraId="75433E06">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406D3095">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六边形内切圆直径</w:t>
                  </w:r>
                  <w:r>
                    <w:rPr>
                      <w:rStyle w:val="108"/>
                      <w:rFonts w:hint="eastAsia" w:eastAsia="Times New Roman" w:cs="Times New Roman"/>
                      <w:color w:val="auto"/>
                      <w:spacing w:val="0"/>
                      <w:w w:val="100"/>
                      <w:kern w:val="2"/>
                      <w:sz w:val="21"/>
                      <w:szCs w:val="21"/>
                      <w:lang w:val="en-US" w:eastAsia="zh-CN" w:bidi="ar-SA"/>
                    </w:rPr>
                    <w:t>400</w:t>
                  </w:r>
                  <w:r>
                    <w:rPr>
                      <w:rStyle w:val="108"/>
                      <w:rFonts w:hint="default" w:ascii="Times New Roman" w:hAnsi="Times New Roman" w:eastAsia="Times New Roman" w:cs="Times New Roman"/>
                      <w:color w:val="auto"/>
                      <w:spacing w:val="0"/>
                      <w:w w:val="100"/>
                      <w:kern w:val="2"/>
                      <w:sz w:val="21"/>
                      <w:szCs w:val="21"/>
                      <w:lang w:val="en-US" w:eastAsia="zh-CN" w:bidi="ar-SA"/>
                    </w:rPr>
                    <w:t>mm</w:t>
                  </w:r>
                </w:p>
              </w:tc>
            </w:tr>
            <w:tr w14:paraId="6A4ED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2CE5D20C">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阳极长度</w:t>
                  </w:r>
                </w:p>
              </w:tc>
              <w:tc>
                <w:tcPr>
                  <w:tcW w:w="965" w:type="pct"/>
                  <w:tcBorders>
                    <w:tl2br w:val="nil"/>
                    <w:tr2bl w:val="nil"/>
                  </w:tcBorders>
                  <w:noWrap w:val="0"/>
                  <w:vAlign w:val="center"/>
                </w:tcPr>
                <w:p w14:paraId="0509F8E4">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m</w:t>
                  </w:r>
                </w:p>
              </w:tc>
              <w:tc>
                <w:tcPr>
                  <w:tcW w:w="2460" w:type="pct"/>
                  <w:tcBorders>
                    <w:tl2br w:val="nil"/>
                    <w:tr2bl w:val="nil"/>
                  </w:tcBorders>
                  <w:noWrap w:val="0"/>
                  <w:vAlign w:val="center"/>
                </w:tcPr>
                <w:p w14:paraId="04E9DBD6">
                  <w:pPr>
                    <w:snapToGrid/>
                    <w:spacing w:before="0" w:beforeAutospacing="0" w:after="0" w:afterAutospacing="0" w:line="240" w:lineRule="auto"/>
                    <w:ind w:left="100" w:left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eastAsia="Times New Roman" w:cs="Times New Roman"/>
                      <w:color w:val="auto"/>
                      <w:spacing w:val="0"/>
                      <w:w w:val="100"/>
                      <w:kern w:val="2"/>
                      <w:sz w:val="21"/>
                      <w:szCs w:val="21"/>
                      <w:lang w:val="en-US" w:eastAsia="zh-CN" w:bidi="ar-SA"/>
                    </w:rPr>
                    <w:t>6</w:t>
                  </w:r>
                </w:p>
              </w:tc>
            </w:tr>
            <w:tr w14:paraId="1A066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0A2D0FB3">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阳极材质</w:t>
                  </w:r>
                </w:p>
              </w:tc>
              <w:tc>
                <w:tcPr>
                  <w:tcW w:w="965" w:type="pct"/>
                  <w:tcBorders>
                    <w:tl2br w:val="nil"/>
                    <w:tr2bl w:val="nil"/>
                  </w:tcBorders>
                  <w:noWrap w:val="0"/>
                  <w:vAlign w:val="center"/>
                </w:tcPr>
                <w:p w14:paraId="49F21B51">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640AA9AF">
                  <w:pPr>
                    <w:snapToGrid/>
                    <w:spacing w:before="0" w:beforeAutospacing="0" w:after="0" w:afterAutospacing="0" w:line="240" w:lineRule="auto"/>
                    <w:ind w:left="100" w:left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eastAsia="宋体" w:cs="Times New Roman"/>
                      <w:color w:val="auto"/>
                      <w:spacing w:val="0"/>
                      <w:w w:val="100"/>
                      <w:kern w:val="2"/>
                      <w:sz w:val="21"/>
                      <w:szCs w:val="21"/>
                      <w:lang w:val="en-US" w:eastAsia="zh-CN" w:bidi="ar-SA"/>
                    </w:rPr>
                    <w:t>导电玻璃钢</w:t>
                  </w:r>
                </w:p>
              </w:tc>
            </w:tr>
            <w:tr w14:paraId="55DE2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278F22FD">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极板厚度</w:t>
                  </w:r>
                </w:p>
              </w:tc>
              <w:tc>
                <w:tcPr>
                  <w:tcW w:w="965" w:type="pct"/>
                  <w:tcBorders>
                    <w:tl2br w:val="nil"/>
                    <w:tr2bl w:val="nil"/>
                  </w:tcBorders>
                  <w:noWrap w:val="0"/>
                  <w:vAlign w:val="center"/>
                </w:tcPr>
                <w:p w14:paraId="735033CD">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mm</w:t>
                  </w:r>
                </w:p>
              </w:tc>
              <w:tc>
                <w:tcPr>
                  <w:tcW w:w="2460" w:type="pct"/>
                  <w:tcBorders>
                    <w:tl2br w:val="nil"/>
                    <w:tr2bl w:val="nil"/>
                  </w:tcBorders>
                  <w:noWrap w:val="0"/>
                  <w:vAlign w:val="center"/>
                </w:tcPr>
                <w:p w14:paraId="1A9B6FA7">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3</w:t>
                  </w:r>
                </w:p>
              </w:tc>
            </w:tr>
            <w:tr w14:paraId="4A9D6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0541E249">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阳极组数</w:t>
                  </w:r>
                </w:p>
              </w:tc>
              <w:tc>
                <w:tcPr>
                  <w:tcW w:w="965" w:type="pct"/>
                  <w:tcBorders>
                    <w:tl2br w:val="nil"/>
                    <w:tr2bl w:val="nil"/>
                  </w:tcBorders>
                  <w:noWrap w:val="0"/>
                  <w:vAlign w:val="center"/>
                </w:tcPr>
                <w:p w14:paraId="008D2AAC">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组</w:t>
                  </w:r>
                </w:p>
              </w:tc>
              <w:tc>
                <w:tcPr>
                  <w:tcW w:w="2460" w:type="pct"/>
                  <w:tcBorders>
                    <w:tl2br w:val="nil"/>
                    <w:tr2bl w:val="nil"/>
                  </w:tcBorders>
                  <w:noWrap w:val="0"/>
                  <w:vAlign w:val="center"/>
                </w:tcPr>
                <w:p w14:paraId="1A4754F1">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6</w:t>
                  </w:r>
                </w:p>
              </w:tc>
            </w:tr>
            <w:tr w14:paraId="61270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476BED52">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阳极数量</w:t>
                  </w:r>
                </w:p>
              </w:tc>
              <w:tc>
                <w:tcPr>
                  <w:tcW w:w="965" w:type="pct"/>
                  <w:tcBorders>
                    <w:tl2br w:val="nil"/>
                    <w:tr2bl w:val="nil"/>
                  </w:tcBorders>
                  <w:noWrap w:val="0"/>
                  <w:vAlign w:val="center"/>
                </w:tcPr>
                <w:p w14:paraId="595BB076">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件</w:t>
                  </w:r>
                </w:p>
              </w:tc>
              <w:tc>
                <w:tcPr>
                  <w:tcW w:w="2460" w:type="pct"/>
                  <w:tcBorders>
                    <w:tl2br w:val="nil"/>
                    <w:tr2bl w:val="nil"/>
                  </w:tcBorders>
                  <w:noWrap w:val="0"/>
                  <w:vAlign w:val="center"/>
                </w:tcPr>
                <w:p w14:paraId="6D0EA2E9">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456</w:t>
                  </w:r>
                </w:p>
              </w:tc>
            </w:tr>
            <w:tr w14:paraId="2F95D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1526F65C">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阴极线长度</w:t>
                  </w:r>
                </w:p>
              </w:tc>
              <w:tc>
                <w:tcPr>
                  <w:tcW w:w="965" w:type="pct"/>
                  <w:tcBorders>
                    <w:tl2br w:val="nil"/>
                    <w:tr2bl w:val="nil"/>
                  </w:tcBorders>
                  <w:noWrap w:val="0"/>
                  <w:vAlign w:val="center"/>
                </w:tcPr>
                <w:p w14:paraId="0D28A897">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mm</w:t>
                  </w:r>
                </w:p>
              </w:tc>
              <w:tc>
                <w:tcPr>
                  <w:tcW w:w="2460" w:type="pct"/>
                  <w:tcBorders>
                    <w:tl2br w:val="nil"/>
                    <w:tr2bl w:val="nil"/>
                  </w:tcBorders>
                  <w:noWrap w:val="0"/>
                  <w:vAlign w:val="center"/>
                </w:tcPr>
                <w:p w14:paraId="74AD4FEF">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7200</w:t>
                  </w:r>
                </w:p>
              </w:tc>
            </w:tr>
            <w:tr w14:paraId="1BFC0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374BC7AD">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阴极线材质</w:t>
                  </w:r>
                </w:p>
              </w:tc>
              <w:tc>
                <w:tcPr>
                  <w:tcW w:w="965" w:type="pct"/>
                  <w:tcBorders>
                    <w:tl2br w:val="nil"/>
                    <w:tr2bl w:val="nil"/>
                  </w:tcBorders>
                  <w:noWrap w:val="0"/>
                  <w:vAlign w:val="center"/>
                </w:tcPr>
                <w:p w14:paraId="6B1BB075">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7571B07C">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2205</w:t>
                  </w:r>
                </w:p>
              </w:tc>
            </w:tr>
            <w:tr w14:paraId="29727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4" w:type="pct"/>
                  <w:tcBorders>
                    <w:tl2br w:val="nil"/>
                    <w:tr2bl w:val="nil"/>
                  </w:tcBorders>
                  <w:noWrap w:val="0"/>
                  <w:vAlign w:val="center"/>
                </w:tcPr>
                <w:p w14:paraId="6B974E9C">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阴极线型式</w:t>
                  </w:r>
                </w:p>
              </w:tc>
              <w:tc>
                <w:tcPr>
                  <w:tcW w:w="965" w:type="pct"/>
                  <w:tcBorders>
                    <w:tl2br w:val="nil"/>
                    <w:tr2bl w:val="nil"/>
                  </w:tcBorders>
                  <w:noWrap w:val="0"/>
                  <w:vAlign w:val="center"/>
                </w:tcPr>
                <w:p w14:paraId="200E4255">
                  <w:pPr>
                    <w:snapToGrid/>
                    <w:spacing w:before="0" w:beforeAutospacing="0" w:after="0" w:afterAutospacing="0" w:line="240" w:lineRule="auto"/>
                    <w:ind w:firstLine="42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2460" w:type="pct"/>
                  <w:tcBorders>
                    <w:tl2br w:val="nil"/>
                    <w:tr2bl w:val="nil"/>
                  </w:tcBorders>
                  <w:noWrap w:val="0"/>
                  <w:vAlign w:val="center"/>
                </w:tcPr>
                <w:p w14:paraId="55A68EDD">
                  <w:pPr>
                    <w:snapToGrid/>
                    <w:spacing w:before="0" w:beforeAutospacing="0" w:after="0" w:afterAutospacing="0" w:line="240"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Style w:val="108"/>
                      <w:rFonts w:hint="default" w:ascii="Times New Roman" w:hAnsi="Times New Roman" w:cs="Times New Roman"/>
                      <w:color w:val="auto"/>
                      <w:spacing w:val="0"/>
                      <w:w w:val="100"/>
                      <w:kern w:val="2"/>
                      <w:sz w:val="21"/>
                      <w:szCs w:val="21"/>
                      <w:lang w:val="en-US" w:eastAsia="zh-CN" w:bidi="ar-SA"/>
                    </w:rPr>
                    <w:t>螺旋芒刺线</w:t>
                  </w:r>
                </w:p>
              </w:tc>
            </w:tr>
          </w:tbl>
          <w:p w14:paraId="55C375C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fldChar w:fldCharType="begin"/>
            </w:r>
            <w:r>
              <w:rPr>
                <w:rFonts w:hint="default" w:ascii="Times New Roman" w:hAnsi="Times New Roman" w:eastAsia="宋体" w:cs="Times New Roman"/>
                <w:bCs/>
                <w:color w:val="auto"/>
                <w:kern w:val="2"/>
                <w:sz w:val="24"/>
                <w:szCs w:val="24"/>
                <w:highlight w:val="none"/>
                <w:lang w:val="en-US" w:eastAsia="zh-CN" w:bidi="ar-SA"/>
              </w:rPr>
              <w:instrText xml:space="preserve"> = 3 \* GB3 \* MERGEFORMAT </w:instrText>
            </w:r>
            <w:r>
              <w:rPr>
                <w:rFonts w:hint="default" w:ascii="Times New Roman" w:hAnsi="Times New Roman" w:eastAsia="宋体" w:cs="Times New Roman"/>
                <w:bCs/>
                <w:color w:val="auto"/>
                <w:kern w:val="2"/>
                <w:sz w:val="24"/>
                <w:szCs w:val="24"/>
                <w:highlight w:val="none"/>
                <w:lang w:val="en-US" w:eastAsia="zh-CN" w:bidi="ar-SA"/>
              </w:rPr>
              <w:fldChar w:fldCharType="separate"/>
            </w:r>
            <w:r>
              <w:rPr>
                <w:rFonts w:hint="default" w:ascii="Times New Roman" w:hAnsi="Times New Roman" w:eastAsia="宋体" w:cs="Times New Roman"/>
                <w:bCs/>
                <w:color w:val="auto"/>
                <w:kern w:val="2"/>
                <w:sz w:val="24"/>
                <w:szCs w:val="24"/>
                <w:highlight w:val="none"/>
                <w:lang w:val="en-US" w:eastAsia="zh-CN" w:bidi="ar-SA"/>
              </w:rPr>
              <w:t>③</w:t>
            </w:r>
            <w:r>
              <w:rPr>
                <w:rFonts w:hint="default" w:ascii="Times New Roman" w:hAnsi="Times New Roman" w:eastAsia="宋体" w:cs="Times New Roman"/>
                <w:bCs/>
                <w:color w:val="auto"/>
                <w:kern w:val="2"/>
                <w:sz w:val="24"/>
                <w:szCs w:val="24"/>
                <w:highlight w:val="none"/>
                <w:lang w:val="en-US" w:eastAsia="zh-CN" w:bidi="ar-SA"/>
              </w:rPr>
              <w:fldChar w:fldCharType="end"/>
            </w:r>
            <w:r>
              <w:rPr>
                <w:rFonts w:hint="default" w:ascii="Times New Roman" w:hAnsi="Times New Roman" w:eastAsia="宋体" w:cs="Times New Roman"/>
                <w:bCs/>
                <w:color w:val="auto"/>
                <w:kern w:val="2"/>
                <w:sz w:val="24"/>
                <w:szCs w:val="24"/>
                <w:highlight w:val="none"/>
                <w:lang w:val="en-US" w:eastAsia="zh-CN" w:bidi="ar-SA"/>
              </w:rPr>
              <w:t>SNCR脱硝</w:t>
            </w:r>
          </w:p>
          <w:p w14:paraId="774D532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SNCR脱硝技术是将NH</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、尿素等还原剂喷入与NOX进行选择性反应，不使用催化剂，属于炉内脱硝，本项目还原剂选用尿素。该方法是把含有NHx基的还原剂喷入炉膛温度为900℃～1000℃的区域后，迅速热分解成NH</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和其他副产物，随后NH</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与烟气中的NOx进行反应而生成N</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典型的SNCR系统由还原剂储槽、多层还原剂喷入装置及相应的控制系统组成。将喷氨点布置在分离器可以使氨与烟气很好地混合，同时分离器内的温度也在最佳反应温度范围内。项目脱硝装置内的自动化控制系统，通过控制尿素液的喷射量来控制氨的产生量。</w:t>
            </w:r>
          </w:p>
          <w:p w14:paraId="02B76E3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具体脱硝工艺：尿素颗粒袋装进厂，存于车间内。开包后尿素颗粒由提升机送入尿素颗粒储罐中，然后再由给料装置机输送到溶解罐里，在加热的条件下，用除盐水将尿素颗粒溶解后50%质量浓度的尿素溶液，通过尿素溶液循环泵输送尿素溶液储罐。储罐中的尿素溶液通过尿素溶液供料泵和输送管道送到在线稀释系统。稀释后的10%质量溶液浓度尿素溶液送入喷射系统（焙烧段900℃～1000℃，4个喷氨头），通过分布于旋风分离器入口烟道处的喷射器，尿素迅速热分解出NH</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选择性与烟气中的NOx进行反应生成N</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和H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O，反应技术原理如下：2NO+2CO(NH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=4N</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+2CO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+2H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O</w:t>
            </w:r>
            <w:r>
              <w:rPr>
                <w:rFonts w:hint="eastAsia" w:ascii="Times New Roman" w:hAnsi="Times New Roman" w:eastAsia="宋体" w:cs="Times New Roman"/>
                <w:bCs/>
                <w:color w:val="auto"/>
                <w:kern w:val="2"/>
                <w:sz w:val="24"/>
                <w:szCs w:val="24"/>
                <w:highlight w:val="none"/>
                <w:lang w:val="en-US" w:eastAsia="zh-CN" w:bidi="ar-SA"/>
              </w:rPr>
              <w:t>。</w:t>
            </w:r>
          </w:p>
          <w:p w14:paraId="20B269E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fldChar w:fldCharType="begin"/>
            </w:r>
            <w:r>
              <w:rPr>
                <w:rFonts w:hint="default" w:ascii="Times New Roman" w:hAnsi="Times New Roman" w:eastAsia="宋体" w:cs="Times New Roman"/>
                <w:bCs/>
                <w:color w:val="auto"/>
                <w:kern w:val="2"/>
                <w:sz w:val="24"/>
                <w:szCs w:val="24"/>
                <w:highlight w:val="none"/>
                <w:lang w:val="en-US" w:eastAsia="zh-CN" w:bidi="ar-SA"/>
              </w:rPr>
              <w:instrText xml:space="preserve"> = 4 \* GB3 \* MERGEFORMAT </w:instrText>
            </w:r>
            <w:r>
              <w:rPr>
                <w:rFonts w:hint="default" w:ascii="Times New Roman" w:hAnsi="Times New Roman" w:eastAsia="宋体" w:cs="Times New Roman"/>
                <w:bCs/>
                <w:color w:val="auto"/>
                <w:kern w:val="2"/>
                <w:sz w:val="24"/>
                <w:szCs w:val="24"/>
                <w:highlight w:val="none"/>
                <w:lang w:val="en-US" w:eastAsia="zh-CN" w:bidi="ar-SA"/>
              </w:rPr>
              <w:fldChar w:fldCharType="separate"/>
            </w:r>
            <w:r>
              <w:rPr>
                <w:rFonts w:hint="default" w:ascii="Times New Roman" w:hAnsi="Times New Roman" w:eastAsia="宋体" w:cs="Times New Roman"/>
                <w:bCs/>
                <w:color w:val="auto"/>
                <w:kern w:val="2"/>
                <w:sz w:val="24"/>
                <w:szCs w:val="24"/>
                <w:highlight w:val="none"/>
                <w:lang w:val="en-US" w:eastAsia="zh-CN" w:bidi="ar-SA"/>
              </w:rPr>
              <w:t>④</w:t>
            </w:r>
            <w:r>
              <w:rPr>
                <w:rFonts w:hint="default" w:ascii="Times New Roman" w:hAnsi="Times New Roman" w:eastAsia="宋体" w:cs="Times New Roman"/>
                <w:bCs/>
                <w:color w:val="auto"/>
                <w:kern w:val="2"/>
                <w:sz w:val="24"/>
                <w:szCs w:val="24"/>
                <w:highlight w:val="none"/>
                <w:lang w:val="en-US" w:eastAsia="zh-CN" w:bidi="ar-SA"/>
              </w:rPr>
              <w:fldChar w:fldCharType="end"/>
            </w:r>
            <w:r>
              <w:rPr>
                <w:rFonts w:hint="default" w:ascii="Times New Roman" w:hAnsi="Times New Roman" w:eastAsia="宋体" w:cs="Times New Roman"/>
                <w:bCs/>
                <w:color w:val="auto"/>
                <w:kern w:val="2"/>
                <w:sz w:val="24"/>
                <w:szCs w:val="24"/>
                <w:highlight w:val="none"/>
                <w:lang w:val="en-US" w:eastAsia="zh-CN" w:bidi="ar-SA"/>
              </w:rPr>
              <w:t>双碱法脱硫</w:t>
            </w:r>
          </w:p>
          <w:p w14:paraId="2BDA45B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根据《排污许可证申请与核发技术规范 陶瓷砖瓦工业》（HJ954）、《烧结砖瓦工业大气污染物治理设施技术要求》（GB/T 42264）</w:t>
            </w:r>
            <w:r>
              <w:rPr>
                <w:rFonts w:hint="eastAsia" w:cs="Times New Roman"/>
                <w:bCs/>
                <w:color w:val="auto"/>
                <w:kern w:val="2"/>
                <w:sz w:val="24"/>
                <w:szCs w:val="24"/>
                <w:highlight w:val="none"/>
                <w:lang w:val="en-US" w:eastAsia="zh-CN" w:bidi="ar-SA"/>
              </w:rPr>
              <w:t>，以及《重污染天气重点行业应急减排措施制定技术指南（2020年修订版）》B级企业要求</w:t>
            </w:r>
            <w:r>
              <w:rPr>
                <w:rFonts w:hint="default" w:ascii="Times New Roman" w:hAnsi="Times New Roman" w:eastAsia="宋体" w:cs="Times New Roman"/>
                <w:bCs/>
                <w:color w:val="auto"/>
                <w:kern w:val="2"/>
                <w:sz w:val="24"/>
                <w:szCs w:val="24"/>
                <w:highlight w:val="none"/>
                <w:lang w:val="en-US" w:eastAsia="zh-CN" w:bidi="ar-SA"/>
              </w:rPr>
              <w:t>可知，本项目隧道窑烟气脱硫采用的</w:t>
            </w:r>
            <w:r>
              <w:rPr>
                <w:rFonts w:hint="eastAsia" w:cs="Times New Roman"/>
                <w:bCs/>
                <w:color w:val="auto"/>
                <w:kern w:val="2"/>
                <w:sz w:val="24"/>
                <w:szCs w:val="24"/>
                <w:highlight w:val="none"/>
                <w:lang w:val="en-US" w:eastAsia="zh-CN" w:bidi="ar-SA"/>
              </w:rPr>
              <w:t>双碱法</w:t>
            </w:r>
            <w:r>
              <w:rPr>
                <w:rFonts w:hint="default" w:ascii="Times New Roman" w:hAnsi="Times New Roman" w:eastAsia="宋体" w:cs="Times New Roman"/>
                <w:bCs/>
                <w:color w:val="auto"/>
                <w:kern w:val="2"/>
                <w:sz w:val="24"/>
                <w:szCs w:val="24"/>
                <w:highlight w:val="none"/>
                <w:lang w:val="en-US" w:eastAsia="zh-CN" w:bidi="ar-SA"/>
              </w:rPr>
              <w:t>脱硫，属于可行技术。</w:t>
            </w:r>
          </w:p>
          <w:p w14:paraId="3B66CBC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（1）基本原理</w:t>
            </w:r>
          </w:p>
          <w:p w14:paraId="7A69AB2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吸收阶段：在吸收塔内，首先使用钠碱（如氢氧化钠NaOH或碳酸钠Na</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CO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）的水溶液作为吸收剂，与烟气中的二氧化硫SO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发生反应。以氢氧化钠为例，其反应过程如下：</w:t>
            </w:r>
          </w:p>
          <w:p w14:paraId="3FE0A76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+2NaOH=Na</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+H2O（当SO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少量时）</w:t>
            </w:r>
          </w:p>
          <w:p w14:paraId="65658FD2">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+NaOH=NaHSO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（当SO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过量时）</w:t>
            </w:r>
          </w:p>
          <w:p w14:paraId="2663A3E2">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碳酸钠与SO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的反应类似，首先生成亚硫酸钠，进一步反应生成亚硫酸氢钠。由于钠碱具有良好的溶解性和反应活性，这一阶段能够快速有效地吸收烟气中的SO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，使烟气中SO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浓度大幅降低。</w:t>
            </w:r>
          </w:p>
          <w:p w14:paraId="5B14F59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再生阶段：吸收SO2后的钠碱吸收液（主要成分为Na</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、NaHSO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）被输送至再生池，与钙碱（如氢氧化钙Ca(OH)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）发生反应。钙碱价格相对低廉且来源广泛，其与吸收液的反应如下：</w:t>
            </w:r>
          </w:p>
          <w:p w14:paraId="534716A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Na</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+Ca(OH)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=CaSO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↓+2NaOH</w:t>
            </w:r>
          </w:p>
          <w:p w14:paraId="162B1ED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2NaHSO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+Ca(OH)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=CaSO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↓+Na</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+2H</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O</w:t>
            </w:r>
          </w:p>
          <w:p w14:paraId="7C8242E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通过这些反应，钠碱得以再生并重新返回吸收塔循环使用，而生成的亚硫酸钙CaSO3则以沉淀的形式析出。部分亚硫酸钙可进一步被氧化成硫酸钙CaSO</w:t>
            </w:r>
            <w:r>
              <w:rPr>
                <w:rFonts w:hint="default" w:ascii="Times New Roman" w:hAnsi="Times New Roman" w:eastAsia="宋体" w:cs="Times New Roman"/>
                <w:bCs/>
                <w:color w:val="auto"/>
                <w:kern w:val="2"/>
                <w:sz w:val="24"/>
                <w:szCs w:val="24"/>
                <w:highlight w:val="none"/>
                <w:vertAlign w:val="subscript"/>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（石膏），如2CaSO</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=2CaSO</w:t>
            </w:r>
            <w:r>
              <w:rPr>
                <w:rFonts w:hint="default" w:ascii="Times New Roman" w:hAnsi="Times New Roman" w:eastAsia="宋体" w:cs="Times New Roman"/>
                <w:bCs/>
                <w:color w:val="auto"/>
                <w:kern w:val="2"/>
                <w:sz w:val="24"/>
                <w:szCs w:val="24"/>
                <w:highlight w:val="none"/>
                <w:vertAlign w:val="subscript"/>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，石膏可作为建筑材料等进行综合利用。</w:t>
            </w:r>
          </w:p>
          <w:p w14:paraId="73990C7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工艺流程</w:t>
            </w:r>
          </w:p>
          <w:p w14:paraId="3BCAA4A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烟气系统：含硫烟气从燃烧设备引出后，经烟道进入吸收塔。在进入吸收塔前，通常会设置除尘器，以去除烟气中的烟尘等颗粒物，防止其对吸收塔内设备和脱硫反应造成不良影响。</w:t>
            </w:r>
          </w:p>
          <w:p w14:paraId="4CB6946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吸收系统：在吸收塔内，钠碱吸收液通过喷淋装置均匀地喷洒在烟气中，烟气与吸收液充分接触，发生上述吸收反应，从而脱除其中的SO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。吸收塔内部通常设置有填料或托盘等构件，以增加气液接触面积和接触时间，提高脱硫效率。净化后的烟气经除雾器去除携带的液滴后，通过烟囱排放到大气中。</w:t>
            </w:r>
          </w:p>
          <w:p w14:paraId="665A49D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再生系统：吸收了SO</w:t>
            </w:r>
            <w:r>
              <w:rPr>
                <w:rFonts w:hint="default" w:ascii="Times New Roman" w:hAnsi="Times New Roman" w:eastAsia="宋体" w:cs="Times New Roman"/>
                <w:bCs/>
                <w:color w:val="auto"/>
                <w:kern w:val="2"/>
                <w:sz w:val="24"/>
                <w:szCs w:val="24"/>
                <w:highlight w:val="none"/>
                <w:vertAlign w:val="sub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的钠碱吸收液从吸收塔底部排出，流入再生池。在再生池中，按一定比例加入钙碱浆液，搅拌反应使钠碱再生。反应生成的亚硫酸钙沉淀通过沉淀、过滤等固液分离手段与再生后的钠碱溶液分离。再生后的钠碱溶液经泵输送回吸收塔循环使用，而亚硫酸钙沉淀则进行后续处理。</w:t>
            </w:r>
          </w:p>
          <w:p w14:paraId="7C44F86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氧化系统（可选）：为了将亚硫酸钙氧化成硫酸钙（石膏），有时会设置氧化系统。向含有亚硫酸钙沉淀的浆液中鼓入空气，在一定条件下，亚硫酸钙被氧化为硫酸钙。氧化后的石膏浆液经过脱水处理，得到含水量较低的石膏产品。</w:t>
            </w:r>
          </w:p>
          <w:p w14:paraId="7CF3A0B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本项目脱硫系统</w:t>
            </w:r>
            <w:r>
              <w:rPr>
                <w:rFonts w:hint="default" w:ascii="Times New Roman" w:hAnsi="Times New Roman" w:eastAsia="宋体" w:cs="Times New Roman"/>
                <w:bCs/>
                <w:color w:val="auto"/>
                <w:kern w:val="2"/>
                <w:sz w:val="24"/>
                <w:szCs w:val="24"/>
                <w:highlight w:val="none"/>
                <w:lang w:val="en-US" w:eastAsia="zh-CN" w:bidi="ar-SA"/>
              </w:rPr>
              <w:t>配备自动加碱、测PH值装置</w:t>
            </w:r>
            <w:r>
              <w:rPr>
                <w:rFonts w:hint="eastAsia" w:ascii="Times New Roman" w:hAnsi="Times New Roman" w:eastAsia="宋体" w:cs="Times New Roman"/>
                <w:bCs/>
                <w:color w:val="auto"/>
                <w:kern w:val="2"/>
                <w:sz w:val="24"/>
                <w:szCs w:val="24"/>
                <w:highlight w:val="none"/>
                <w:lang w:val="en-US" w:eastAsia="zh-CN" w:bidi="ar-SA"/>
              </w:rPr>
              <w:t>。</w:t>
            </w:r>
          </w:p>
          <w:p w14:paraId="39BCD28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本项目双碱法脱硫塔装置主要技术参数见表4</w:t>
            </w:r>
            <w:r>
              <w:rPr>
                <w:rFonts w:hint="eastAsia"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9</w:t>
            </w:r>
            <w:r>
              <w:rPr>
                <w:rFonts w:hint="default" w:ascii="Times New Roman" w:hAnsi="Times New Roman" w:eastAsia="宋体" w:cs="Times New Roman"/>
                <w:bCs/>
                <w:color w:val="auto"/>
                <w:kern w:val="2"/>
                <w:sz w:val="24"/>
                <w:szCs w:val="24"/>
                <w:highlight w:val="none"/>
                <w:lang w:val="en-US" w:eastAsia="zh-CN" w:bidi="ar-SA"/>
              </w:rPr>
              <w:t>。</w:t>
            </w:r>
          </w:p>
          <w:p w14:paraId="7E15A51B">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表4</w:t>
            </w:r>
            <w:r>
              <w:rPr>
                <w:rFonts w:hint="eastAsia" w:ascii="Times New Roman" w:hAnsi="Times New Roman" w:eastAsia="黑体" w:cs="Times New Roman"/>
                <w:b w:val="0"/>
                <w:bCs w:val="0"/>
                <w:color w:val="auto"/>
                <w:kern w:val="2"/>
                <w:sz w:val="24"/>
                <w:szCs w:val="24"/>
                <w:highlight w:val="none"/>
                <w:lang w:val="en-US" w:eastAsia="zh-CN" w:bidi="ar-SA"/>
              </w:rPr>
              <w:t>-19</w:t>
            </w:r>
            <w:r>
              <w:rPr>
                <w:rFonts w:hint="default" w:ascii="Times New Roman" w:hAnsi="Times New Roman" w:eastAsia="黑体" w:cs="Times New Roman"/>
                <w:b w:val="0"/>
                <w:bCs w:val="0"/>
                <w:color w:val="auto"/>
                <w:kern w:val="2"/>
                <w:sz w:val="24"/>
                <w:szCs w:val="24"/>
                <w:highlight w:val="none"/>
                <w:lang w:val="en-US" w:eastAsia="zh-CN" w:bidi="ar-SA"/>
              </w:rPr>
              <w:t xml:space="preserve">  脱硫系统主要设计参数表</w:t>
            </w:r>
          </w:p>
          <w:tbl>
            <w:tblPr>
              <w:tblStyle w:val="24"/>
              <w:tblW w:w="85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650"/>
              <w:gridCol w:w="4200"/>
            </w:tblGrid>
            <w:tr w14:paraId="18E24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146B09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w:t>
                  </w:r>
                </w:p>
              </w:tc>
              <w:tc>
                <w:tcPr>
                  <w:tcW w:w="1650" w:type="dxa"/>
                  <w:tcBorders>
                    <w:tl2br w:val="nil"/>
                    <w:tr2bl w:val="nil"/>
                  </w:tcBorders>
                  <w:noWrap w:val="0"/>
                  <w:vAlign w:val="center"/>
                </w:tcPr>
                <w:p w14:paraId="1B7CA1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单位</w:t>
                  </w:r>
                </w:p>
              </w:tc>
              <w:tc>
                <w:tcPr>
                  <w:tcW w:w="4200" w:type="dxa"/>
                  <w:tcBorders>
                    <w:tl2br w:val="nil"/>
                    <w:tr2bl w:val="nil"/>
                  </w:tcBorders>
                  <w:noWrap w:val="0"/>
                  <w:vAlign w:val="center"/>
                </w:tcPr>
                <w:p w14:paraId="42DBD8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技术参数</w:t>
                  </w:r>
                </w:p>
              </w:tc>
            </w:tr>
            <w:tr w14:paraId="464B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6267E8F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引风机机风量</w:t>
                  </w:r>
                </w:p>
              </w:tc>
              <w:tc>
                <w:tcPr>
                  <w:tcW w:w="1650" w:type="dxa"/>
                  <w:tcBorders>
                    <w:tl2br w:val="nil"/>
                    <w:tr2bl w:val="nil"/>
                  </w:tcBorders>
                  <w:noWrap w:val="0"/>
                  <w:vAlign w:val="center"/>
                </w:tcPr>
                <w:p w14:paraId="718168F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Nm³/h</w:t>
                  </w:r>
                </w:p>
              </w:tc>
              <w:tc>
                <w:tcPr>
                  <w:tcW w:w="4200" w:type="dxa"/>
                  <w:tcBorders>
                    <w:tl2br w:val="nil"/>
                    <w:tr2bl w:val="nil"/>
                  </w:tcBorders>
                  <w:noWrap w:val="0"/>
                  <w:vAlign w:val="center"/>
                </w:tcPr>
                <w:p w14:paraId="250F13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211111</w:t>
                  </w:r>
                </w:p>
              </w:tc>
            </w:tr>
            <w:tr w14:paraId="49712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66E2BCB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脱硫剂</w:t>
                  </w:r>
                </w:p>
              </w:tc>
              <w:tc>
                <w:tcPr>
                  <w:tcW w:w="1650" w:type="dxa"/>
                  <w:tcBorders>
                    <w:tl2br w:val="nil"/>
                    <w:tr2bl w:val="nil"/>
                  </w:tcBorders>
                  <w:noWrap w:val="0"/>
                  <w:vAlign w:val="center"/>
                </w:tcPr>
                <w:p w14:paraId="09A6C0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w:t>
                  </w:r>
                </w:p>
              </w:tc>
              <w:tc>
                <w:tcPr>
                  <w:tcW w:w="4200" w:type="dxa"/>
                  <w:tcBorders>
                    <w:tl2br w:val="nil"/>
                    <w:tr2bl w:val="nil"/>
                  </w:tcBorders>
                  <w:noWrap w:val="0"/>
                  <w:vAlign w:val="center"/>
                </w:tcPr>
                <w:p w14:paraId="027458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CaO，纯度≥90%</w:t>
                  </w:r>
                </w:p>
                <w:p w14:paraId="610C6A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NaOH，纯度≥98%</w:t>
                  </w:r>
                </w:p>
              </w:tc>
            </w:tr>
            <w:tr w14:paraId="117D5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1F6CAB0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停留时间</w:t>
                  </w:r>
                </w:p>
              </w:tc>
              <w:tc>
                <w:tcPr>
                  <w:tcW w:w="1650" w:type="dxa"/>
                  <w:tcBorders>
                    <w:tl2br w:val="nil"/>
                    <w:tr2bl w:val="nil"/>
                  </w:tcBorders>
                  <w:noWrap w:val="0"/>
                  <w:vAlign w:val="center"/>
                </w:tcPr>
                <w:p w14:paraId="496A44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w:t>
                  </w:r>
                </w:p>
              </w:tc>
              <w:tc>
                <w:tcPr>
                  <w:tcW w:w="4200" w:type="dxa"/>
                  <w:tcBorders>
                    <w:tl2br w:val="nil"/>
                    <w:tr2bl w:val="nil"/>
                  </w:tcBorders>
                  <w:noWrap w:val="0"/>
                  <w:vAlign w:val="center"/>
                </w:tcPr>
                <w:p w14:paraId="003908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3~5</w:t>
                  </w:r>
                </w:p>
              </w:tc>
            </w:tr>
            <w:tr w14:paraId="1F04A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23C3772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液气比</w:t>
                  </w:r>
                </w:p>
              </w:tc>
              <w:tc>
                <w:tcPr>
                  <w:tcW w:w="1650" w:type="dxa"/>
                  <w:tcBorders>
                    <w:tl2br w:val="nil"/>
                    <w:tr2bl w:val="nil"/>
                  </w:tcBorders>
                  <w:noWrap w:val="0"/>
                  <w:vAlign w:val="center"/>
                </w:tcPr>
                <w:p w14:paraId="1CC241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L/m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4200" w:type="dxa"/>
                  <w:tcBorders>
                    <w:tl2br w:val="nil"/>
                    <w:tr2bl w:val="nil"/>
                  </w:tcBorders>
                  <w:noWrap w:val="0"/>
                  <w:vAlign w:val="center"/>
                </w:tcPr>
                <w:p w14:paraId="442CA7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2.5</w:t>
                  </w:r>
                </w:p>
              </w:tc>
            </w:tr>
            <w:tr w14:paraId="3E2C0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6D60174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出口烟气温度</w:t>
                  </w:r>
                </w:p>
              </w:tc>
              <w:tc>
                <w:tcPr>
                  <w:tcW w:w="1650" w:type="dxa"/>
                  <w:tcBorders>
                    <w:tl2br w:val="nil"/>
                    <w:tr2bl w:val="nil"/>
                  </w:tcBorders>
                  <w:noWrap w:val="0"/>
                  <w:vAlign w:val="center"/>
                </w:tcPr>
                <w:p w14:paraId="4521A8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4200" w:type="dxa"/>
                  <w:tcBorders>
                    <w:tl2br w:val="nil"/>
                    <w:tr2bl w:val="nil"/>
                  </w:tcBorders>
                  <w:noWrap w:val="0"/>
                  <w:vAlign w:val="center"/>
                </w:tcPr>
                <w:p w14:paraId="49C866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40-60</w:t>
                  </w:r>
                </w:p>
              </w:tc>
            </w:tr>
            <w:tr w14:paraId="7B7AE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688CE52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入口SO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浓度</w:t>
                  </w:r>
                </w:p>
              </w:tc>
              <w:tc>
                <w:tcPr>
                  <w:tcW w:w="1650" w:type="dxa"/>
                  <w:tcBorders>
                    <w:tl2br w:val="nil"/>
                    <w:tr2bl w:val="nil"/>
                  </w:tcBorders>
                  <w:noWrap w:val="0"/>
                  <w:vAlign w:val="center"/>
                </w:tcPr>
                <w:p w14:paraId="278175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mg/Nm³</w:t>
                  </w:r>
                </w:p>
              </w:tc>
              <w:tc>
                <w:tcPr>
                  <w:tcW w:w="4200" w:type="dxa"/>
                  <w:tcBorders>
                    <w:tl2br w:val="nil"/>
                    <w:tr2bl w:val="nil"/>
                  </w:tcBorders>
                  <w:noWrap w:val="0"/>
                  <w:vAlign w:val="center"/>
                </w:tcPr>
                <w:p w14:paraId="747194F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≤1000</w:t>
                  </w:r>
                </w:p>
              </w:tc>
            </w:tr>
            <w:tr w14:paraId="5BC2B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5FD917E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出口SO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浓度</w:t>
                  </w:r>
                </w:p>
              </w:tc>
              <w:tc>
                <w:tcPr>
                  <w:tcW w:w="1650" w:type="dxa"/>
                  <w:tcBorders>
                    <w:tl2br w:val="nil"/>
                    <w:tr2bl w:val="nil"/>
                  </w:tcBorders>
                  <w:noWrap w:val="0"/>
                  <w:vAlign w:val="center"/>
                </w:tcPr>
                <w:p w14:paraId="293A5A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mg/Nm³</w:t>
                  </w:r>
                </w:p>
              </w:tc>
              <w:tc>
                <w:tcPr>
                  <w:tcW w:w="4200" w:type="dxa"/>
                  <w:tcBorders>
                    <w:tl2br w:val="nil"/>
                    <w:tr2bl w:val="nil"/>
                  </w:tcBorders>
                  <w:noWrap w:val="0"/>
                  <w:vAlign w:val="center"/>
                </w:tcPr>
                <w:p w14:paraId="69FD69F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≤50</w:t>
                  </w:r>
                </w:p>
              </w:tc>
            </w:tr>
            <w:tr w14:paraId="2A4FD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3" w:type="dxa"/>
                  <w:tcBorders>
                    <w:tl2br w:val="nil"/>
                    <w:tr2bl w:val="nil"/>
                  </w:tcBorders>
                  <w:noWrap w:val="0"/>
                  <w:vAlign w:val="center"/>
                </w:tcPr>
                <w:p w14:paraId="136EF4B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脱硫效率</w:t>
                  </w:r>
                </w:p>
              </w:tc>
              <w:tc>
                <w:tcPr>
                  <w:tcW w:w="1650" w:type="dxa"/>
                  <w:tcBorders>
                    <w:tl2br w:val="nil"/>
                    <w:tr2bl w:val="nil"/>
                  </w:tcBorders>
                  <w:noWrap w:val="0"/>
                  <w:vAlign w:val="center"/>
                </w:tcPr>
                <w:p w14:paraId="0504CA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4200" w:type="dxa"/>
                  <w:tcBorders>
                    <w:tl2br w:val="nil"/>
                    <w:tr2bl w:val="nil"/>
                  </w:tcBorders>
                  <w:noWrap w:val="0"/>
                  <w:vAlign w:val="center"/>
                </w:tcPr>
                <w:p w14:paraId="41FB88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90</w:t>
                  </w:r>
                </w:p>
              </w:tc>
            </w:tr>
          </w:tbl>
          <w:p w14:paraId="5160C6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lang w:val="en-US" w:eastAsia="zh-CN"/>
              </w:rPr>
              <w:t>非正常排放情况</w:t>
            </w:r>
          </w:p>
          <w:p w14:paraId="5C82A3A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非正常工况指生产设施非正常工况或污染防治（控制）设施非正常状况，其中生产设施非正常工况指开停炉（机）、设备检修、工艺设备运转异常等工况，污染防治（控制）设施非正常状况指达不到应有治理效率或同步运转率等情况。</w:t>
            </w:r>
          </w:p>
          <w:p w14:paraId="269BA1B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本次评价考虑设备故障、停电等原因，导致不能正常运行，其处理效率急剧降为50%的情况，按照30min考虑。</w:t>
            </w:r>
          </w:p>
          <w:p w14:paraId="5293CBEA">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表4-</w:t>
            </w:r>
            <w:r>
              <w:rPr>
                <w:rFonts w:hint="eastAsia" w:ascii="Times New Roman" w:hAnsi="Times New Roman" w:eastAsia="黑体" w:cs="Times New Roman"/>
                <w:b w:val="0"/>
                <w:bCs w:val="0"/>
                <w:color w:val="auto"/>
                <w:kern w:val="2"/>
                <w:sz w:val="24"/>
                <w:szCs w:val="24"/>
                <w:highlight w:val="none"/>
                <w:lang w:val="en-US" w:eastAsia="zh-CN" w:bidi="ar-SA"/>
              </w:rPr>
              <w:t>20</w:t>
            </w:r>
            <w:r>
              <w:rPr>
                <w:rFonts w:hint="default" w:ascii="Times New Roman" w:hAnsi="Times New Roman" w:eastAsia="黑体" w:cs="Times New Roman"/>
                <w:b w:val="0"/>
                <w:bCs w:val="0"/>
                <w:color w:val="auto"/>
                <w:kern w:val="2"/>
                <w:sz w:val="24"/>
                <w:szCs w:val="24"/>
                <w:highlight w:val="none"/>
                <w:lang w:val="en-US" w:eastAsia="zh-CN" w:bidi="ar-SA"/>
              </w:rPr>
              <w:t xml:space="preserve"> </w:t>
            </w:r>
            <w:r>
              <w:rPr>
                <w:rFonts w:hint="eastAsia" w:ascii="Times New Roman" w:hAnsi="Times New Roman" w:eastAsia="黑体" w:cs="Times New Roman"/>
                <w:b w:val="0"/>
                <w:bCs w:val="0"/>
                <w:color w:val="auto"/>
                <w:kern w:val="2"/>
                <w:sz w:val="24"/>
                <w:szCs w:val="24"/>
                <w:highlight w:val="none"/>
                <w:lang w:val="en-US" w:eastAsia="zh-CN" w:bidi="ar-SA"/>
              </w:rPr>
              <w:t xml:space="preserve"> </w:t>
            </w:r>
            <w:r>
              <w:rPr>
                <w:rFonts w:hint="default" w:ascii="Times New Roman" w:hAnsi="Times New Roman" w:eastAsia="黑体" w:cs="Times New Roman"/>
                <w:b w:val="0"/>
                <w:bCs w:val="0"/>
                <w:color w:val="auto"/>
                <w:kern w:val="2"/>
                <w:sz w:val="24"/>
                <w:szCs w:val="24"/>
                <w:highlight w:val="none"/>
                <w:lang w:val="en-US" w:eastAsia="zh-CN" w:bidi="ar-SA"/>
              </w:rPr>
              <w:t>非正常工况各污染物排放一览表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267"/>
              <w:gridCol w:w="990"/>
              <w:gridCol w:w="1110"/>
              <w:gridCol w:w="910"/>
              <w:gridCol w:w="1010"/>
              <w:gridCol w:w="1090"/>
              <w:gridCol w:w="1679"/>
            </w:tblGrid>
            <w:tr w14:paraId="37BF6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tcBorders>
                    <w:tl2br w:val="nil"/>
                    <w:tr2bl w:val="nil"/>
                  </w:tcBorders>
                  <w:noWrap w:val="0"/>
                  <w:vAlign w:val="center"/>
                </w:tcPr>
                <w:p w14:paraId="773C1D29">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序号</w:t>
                  </w:r>
                </w:p>
              </w:tc>
              <w:tc>
                <w:tcPr>
                  <w:tcW w:w="1267" w:type="dxa"/>
                  <w:tcBorders>
                    <w:tl2br w:val="nil"/>
                    <w:tr2bl w:val="nil"/>
                  </w:tcBorders>
                  <w:noWrap w:val="0"/>
                  <w:vAlign w:val="center"/>
                </w:tcPr>
                <w:p w14:paraId="39FB2C98">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产污环节</w:t>
                  </w:r>
                </w:p>
              </w:tc>
              <w:tc>
                <w:tcPr>
                  <w:tcW w:w="990" w:type="dxa"/>
                  <w:tcBorders>
                    <w:tl2br w:val="nil"/>
                    <w:tr2bl w:val="nil"/>
                  </w:tcBorders>
                  <w:noWrap w:val="0"/>
                  <w:vAlign w:val="center"/>
                </w:tcPr>
                <w:p w14:paraId="315AC5B4">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污染物名称</w:t>
                  </w:r>
                </w:p>
              </w:tc>
              <w:tc>
                <w:tcPr>
                  <w:tcW w:w="1110" w:type="dxa"/>
                  <w:tcBorders>
                    <w:tl2br w:val="nil"/>
                    <w:tr2bl w:val="nil"/>
                  </w:tcBorders>
                  <w:noWrap w:val="0"/>
                  <w:vAlign w:val="center"/>
                </w:tcPr>
                <w:p w14:paraId="30E9E580">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排放浓度mg/m³</w:t>
                  </w:r>
                </w:p>
              </w:tc>
              <w:tc>
                <w:tcPr>
                  <w:tcW w:w="910" w:type="dxa"/>
                  <w:tcBorders>
                    <w:tl2br w:val="nil"/>
                    <w:tr2bl w:val="nil"/>
                  </w:tcBorders>
                  <w:noWrap w:val="0"/>
                  <w:vAlign w:val="center"/>
                </w:tcPr>
                <w:p w14:paraId="1D5DB1A0">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排放量kg/h</w:t>
                  </w:r>
                </w:p>
              </w:tc>
              <w:tc>
                <w:tcPr>
                  <w:tcW w:w="1010" w:type="dxa"/>
                  <w:tcBorders>
                    <w:tl2br w:val="nil"/>
                    <w:tr2bl w:val="nil"/>
                  </w:tcBorders>
                  <w:noWrap w:val="0"/>
                  <w:vAlign w:val="center"/>
                </w:tcPr>
                <w:p w14:paraId="198DDFF5">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频次</w:t>
                  </w:r>
                </w:p>
              </w:tc>
              <w:tc>
                <w:tcPr>
                  <w:tcW w:w="1090" w:type="dxa"/>
                  <w:tcBorders>
                    <w:tl2br w:val="nil"/>
                    <w:tr2bl w:val="nil"/>
                  </w:tcBorders>
                  <w:noWrap w:val="0"/>
                  <w:vAlign w:val="center"/>
                </w:tcPr>
                <w:p w14:paraId="4E0940BF">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持续时间</w:t>
                  </w:r>
                </w:p>
              </w:tc>
              <w:tc>
                <w:tcPr>
                  <w:tcW w:w="1679" w:type="dxa"/>
                  <w:tcBorders>
                    <w:tl2br w:val="nil"/>
                    <w:tr2bl w:val="nil"/>
                  </w:tcBorders>
                  <w:noWrap w:val="0"/>
                  <w:vAlign w:val="center"/>
                </w:tcPr>
                <w:p w14:paraId="2C6EB26E">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措施</w:t>
                  </w:r>
                </w:p>
              </w:tc>
            </w:tr>
            <w:tr w14:paraId="340F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tcBorders>
                    <w:tl2br w:val="nil"/>
                    <w:tr2bl w:val="nil"/>
                  </w:tcBorders>
                  <w:noWrap w:val="0"/>
                  <w:vAlign w:val="center"/>
                </w:tcPr>
                <w:p w14:paraId="1C6FD58C">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267" w:type="dxa"/>
                  <w:tcBorders>
                    <w:tl2br w:val="nil"/>
                    <w:tr2bl w:val="nil"/>
                  </w:tcBorders>
                  <w:noWrap w:val="0"/>
                  <w:vAlign w:val="center"/>
                </w:tcPr>
                <w:p w14:paraId="2E69F4D5">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破碎</w:t>
                  </w:r>
                  <w:r>
                    <w:rPr>
                      <w:rFonts w:hint="eastAsia" w:ascii="Times New Roman" w:hAnsi="Times New Roman" w:eastAsia="宋体" w:cs="Times New Roman"/>
                      <w:color w:val="auto"/>
                      <w:highlight w:val="none"/>
                      <w:lang w:val="en-US" w:eastAsia="zh-CN"/>
                    </w:rPr>
                    <w:t>工序</w:t>
                  </w:r>
                </w:p>
              </w:tc>
              <w:tc>
                <w:tcPr>
                  <w:tcW w:w="990" w:type="dxa"/>
                  <w:tcBorders>
                    <w:tl2br w:val="nil"/>
                    <w:tr2bl w:val="nil"/>
                  </w:tcBorders>
                  <w:noWrap w:val="0"/>
                  <w:vAlign w:val="center"/>
                </w:tcPr>
                <w:p w14:paraId="230224FC">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p>
              </w:tc>
              <w:tc>
                <w:tcPr>
                  <w:tcW w:w="1110" w:type="dxa"/>
                  <w:tcBorders>
                    <w:tl2br w:val="nil"/>
                    <w:tr2bl w:val="nil"/>
                  </w:tcBorders>
                  <w:noWrap w:val="0"/>
                  <w:vAlign w:val="center"/>
                </w:tcPr>
                <w:p w14:paraId="3C768AD0">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142.5</w:t>
                  </w:r>
                </w:p>
              </w:tc>
              <w:tc>
                <w:tcPr>
                  <w:tcW w:w="910" w:type="dxa"/>
                  <w:tcBorders>
                    <w:tl2br w:val="nil"/>
                    <w:tr2bl w:val="nil"/>
                  </w:tcBorders>
                  <w:noWrap w:val="0"/>
                  <w:vAlign w:val="center"/>
                </w:tcPr>
                <w:p w14:paraId="056D49A9">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1.685</w:t>
                  </w:r>
                </w:p>
              </w:tc>
              <w:tc>
                <w:tcPr>
                  <w:tcW w:w="1010" w:type="dxa"/>
                  <w:tcBorders>
                    <w:tl2br w:val="nil"/>
                    <w:tr2bl w:val="nil"/>
                  </w:tcBorders>
                  <w:noWrap w:val="0"/>
                  <w:vAlign w:val="center"/>
                </w:tcPr>
                <w:p w14:paraId="57ABD4F5">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3F3B0E3F">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restart"/>
                  <w:tcBorders>
                    <w:tl2br w:val="nil"/>
                    <w:tr2bl w:val="nil"/>
                  </w:tcBorders>
                  <w:noWrap w:val="0"/>
                  <w:vAlign w:val="center"/>
                </w:tcPr>
                <w:p w14:paraId="5247F674">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一旦发现环保设施运行异常，应立即停止生产，待废气处理装置正常运行后方可继续生产</w:t>
                  </w:r>
                </w:p>
              </w:tc>
            </w:tr>
            <w:tr w14:paraId="73B08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tcBorders>
                    <w:tl2br w:val="nil"/>
                    <w:tr2bl w:val="nil"/>
                  </w:tcBorders>
                  <w:noWrap w:val="0"/>
                  <w:vAlign w:val="center"/>
                </w:tcPr>
                <w:p w14:paraId="199710D5">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267" w:type="dxa"/>
                  <w:tcBorders>
                    <w:tl2br w:val="nil"/>
                    <w:tr2bl w:val="nil"/>
                  </w:tcBorders>
                  <w:noWrap w:val="0"/>
                  <w:vAlign w:val="center"/>
                </w:tcPr>
                <w:p w14:paraId="5369F4C4">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筛分</w:t>
                  </w:r>
                  <w:r>
                    <w:rPr>
                      <w:rFonts w:hint="eastAsia" w:ascii="Times New Roman" w:hAnsi="Times New Roman" w:eastAsia="宋体" w:cs="Times New Roman"/>
                      <w:color w:val="auto"/>
                      <w:highlight w:val="none"/>
                      <w:lang w:val="en-US" w:eastAsia="zh-CN"/>
                    </w:rPr>
                    <w:t>工序</w:t>
                  </w:r>
                </w:p>
              </w:tc>
              <w:tc>
                <w:tcPr>
                  <w:tcW w:w="990" w:type="dxa"/>
                  <w:tcBorders>
                    <w:tl2br w:val="nil"/>
                    <w:tr2bl w:val="nil"/>
                  </w:tcBorders>
                  <w:noWrap w:val="0"/>
                  <w:vAlign w:val="center"/>
                </w:tcPr>
                <w:p w14:paraId="1DFBFF0A">
                  <w:pPr>
                    <w:keepNext w:val="0"/>
                    <w:keepLines w:val="0"/>
                    <w:widowControl/>
                    <w:suppressLineNumbers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p>
              </w:tc>
              <w:tc>
                <w:tcPr>
                  <w:tcW w:w="1110" w:type="dxa"/>
                  <w:tcBorders>
                    <w:tl2br w:val="nil"/>
                    <w:tr2bl w:val="nil"/>
                  </w:tcBorders>
                  <w:noWrap w:val="0"/>
                  <w:vAlign w:val="center"/>
                </w:tcPr>
                <w:p w14:paraId="3782B063">
                  <w:pPr>
                    <w:keepNext w:val="0"/>
                    <w:keepLines w:val="0"/>
                    <w:widowControl/>
                    <w:suppressLineNumbers w:val="0"/>
                    <w:jc w:val="center"/>
                    <w:rPr>
                      <w:rFonts w:hint="default" w:cs="Times New Roman"/>
                      <w:color w:val="auto"/>
                      <w:highlight w:val="none"/>
                      <w:lang w:val="en-US" w:eastAsia="zh-CN"/>
                    </w:rPr>
                  </w:pPr>
                  <w:r>
                    <w:rPr>
                      <w:rFonts w:hint="eastAsia" w:cs="Times New Roman"/>
                      <w:color w:val="auto"/>
                      <w:highlight w:val="none"/>
                      <w:lang w:val="en-US" w:eastAsia="zh-CN"/>
                    </w:rPr>
                    <w:t>142.5</w:t>
                  </w:r>
                </w:p>
              </w:tc>
              <w:tc>
                <w:tcPr>
                  <w:tcW w:w="910" w:type="dxa"/>
                  <w:tcBorders>
                    <w:tl2br w:val="nil"/>
                    <w:tr2bl w:val="nil"/>
                  </w:tcBorders>
                  <w:noWrap w:val="0"/>
                  <w:vAlign w:val="center"/>
                </w:tcPr>
                <w:p w14:paraId="56C4DA98">
                  <w:pPr>
                    <w:keepNext w:val="0"/>
                    <w:keepLines w:val="0"/>
                    <w:widowControl/>
                    <w:suppressLineNumbers w:val="0"/>
                    <w:jc w:val="center"/>
                    <w:rPr>
                      <w:rFonts w:hint="default" w:cs="Times New Roman"/>
                      <w:color w:val="auto"/>
                      <w:highlight w:val="none"/>
                      <w:lang w:val="en-US" w:eastAsia="zh-CN"/>
                    </w:rPr>
                  </w:pPr>
                  <w:r>
                    <w:rPr>
                      <w:rFonts w:hint="eastAsia" w:cs="Times New Roman"/>
                      <w:color w:val="auto"/>
                      <w:highlight w:val="none"/>
                      <w:lang w:val="en-US" w:eastAsia="zh-CN"/>
                    </w:rPr>
                    <w:t>1.685</w:t>
                  </w:r>
                </w:p>
              </w:tc>
              <w:tc>
                <w:tcPr>
                  <w:tcW w:w="1010" w:type="dxa"/>
                  <w:tcBorders>
                    <w:tl2br w:val="nil"/>
                    <w:tr2bl w:val="nil"/>
                  </w:tcBorders>
                  <w:noWrap w:val="0"/>
                  <w:vAlign w:val="center"/>
                </w:tcPr>
                <w:p w14:paraId="1A98B2D6">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0B9BBEE1">
                  <w:pPr>
                    <w:keepNext w:val="0"/>
                    <w:keepLines w:val="0"/>
                    <w:widowControl/>
                    <w:suppressLineNumbers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58CAB7B4">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r w14:paraId="48458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vMerge w:val="restart"/>
                  <w:tcBorders>
                    <w:tl2br w:val="nil"/>
                    <w:tr2bl w:val="nil"/>
                  </w:tcBorders>
                  <w:noWrap w:val="0"/>
                  <w:vAlign w:val="center"/>
                </w:tcPr>
                <w:p w14:paraId="0EA35309">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1267" w:type="dxa"/>
                  <w:vMerge w:val="restart"/>
                  <w:tcBorders>
                    <w:tl2br w:val="nil"/>
                    <w:tr2bl w:val="nil"/>
                  </w:tcBorders>
                  <w:noWrap w:val="0"/>
                  <w:vAlign w:val="center"/>
                </w:tcPr>
                <w:p w14:paraId="4433F77B">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炉窑焙烧工序</w:t>
                  </w:r>
                </w:p>
              </w:tc>
              <w:tc>
                <w:tcPr>
                  <w:tcW w:w="990" w:type="dxa"/>
                  <w:tcBorders>
                    <w:tl2br w:val="nil"/>
                    <w:tr2bl w:val="nil"/>
                  </w:tcBorders>
                  <w:noWrap w:val="0"/>
                  <w:vAlign w:val="center"/>
                </w:tcPr>
                <w:p w14:paraId="37CD1A23">
                  <w:pPr>
                    <w:pStyle w:val="31"/>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110" w:type="dxa"/>
                  <w:tcBorders>
                    <w:tl2br w:val="nil"/>
                    <w:tr2bl w:val="nil"/>
                  </w:tcBorders>
                  <w:noWrap w:val="0"/>
                  <w:vAlign w:val="center"/>
                </w:tcPr>
                <w:p w14:paraId="509D2E87">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21.405</w:t>
                  </w:r>
                </w:p>
              </w:tc>
              <w:tc>
                <w:tcPr>
                  <w:tcW w:w="910" w:type="dxa"/>
                  <w:tcBorders>
                    <w:tl2br w:val="nil"/>
                    <w:tr2bl w:val="nil"/>
                  </w:tcBorders>
                  <w:noWrap w:val="0"/>
                  <w:vAlign w:val="center"/>
                </w:tcPr>
                <w:p w14:paraId="4A935D8F">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4.515</w:t>
                  </w:r>
                </w:p>
              </w:tc>
              <w:tc>
                <w:tcPr>
                  <w:tcW w:w="1010" w:type="dxa"/>
                  <w:tcBorders>
                    <w:tl2br w:val="nil"/>
                    <w:tr2bl w:val="nil"/>
                  </w:tcBorders>
                  <w:noWrap w:val="0"/>
                  <w:vAlign w:val="center"/>
                </w:tcPr>
                <w:p w14:paraId="01D8003D">
                  <w:pPr>
                    <w:keepNext w:val="0"/>
                    <w:keepLines w:val="0"/>
                    <w:widowControl/>
                    <w:suppressLineNumbers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080738BD">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33E0F831">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r w14:paraId="75D42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vMerge w:val="continue"/>
                  <w:tcBorders>
                    <w:tl2br w:val="nil"/>
                    <w:tr2bl w:val="nil"/>
                  </w:tcBorders>
                  <w:noWrap w:val="0"/>
                  <w:vAlign w:val="center"/>
                </w:tcPr>
                <w:p w14:paraId="4D44FE83">
                  <w:pPr>
                    <w:keepNext w:val="0"/>
                    <w:keepLines w:val="0"/>
                    <w:widowControl/>
                    <w:suppressLineNumbers w:val="0"/>
                    <w:jc w:val="center"/>
                    <w:rPr>
                      <w:rFonts w:hint="eastAsia" w:ascii="Times New Roman" w:hAnsi="Times New Roman" w:eastAsia="宋体" w:cs="Times New Roman"/>
                      <w:color w:val="auto"/>
                      <w:highlight w:val="none"/>
                      <w:lang w:val="en-US" w:eastAsia="zh-CN"/>
                    </w:rPr>
                  </w:pPr>
                </w:p>
              </w:tc>
              <w:tc>
                <w:tcPr>
                  <w:tcW w:w="1267" w:type="dxa"/>
                  <w:vMerge w:val="continue"/>
                  <w:tcBorders>
                    <w:tl2br w:val="nil"/>
                    <w:tr2bl w:val="nil"/>
                  </w:tcBorders>
                  <w:noWrap w:val="0"/>
                  <w:vAlign w:val="center"/>
                </w:tcPr>
                <w:p w14:paraId="41A3AC32">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c>
                <w:tcPr>
                  <w:tcW w:w="990" w:type="dxa"/>
                  <w:tcBorders>
                    <w:tl2br w:val="nil"/>
                    <w:tr2bl w:val="nil"/>
                  </w:tcBorders>
                  <w:noWrap w:val="0"/>
                  <w:vAlign w:val="center"/>
                </w:tcPr>
                <w:p w14:paraId="4CECE6F6">
                  <w:pPr>
                    <w:pStyle w:val="31"/>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110" w:type="dxa"/>
                  <w:tcBorders>
                    <w:tl2br w:val="nil"/>
                    <w:tr2bl w:val="nil"/>
                  </w:tcBorders>
                  <w:noWrap w:val="0"/>
                  <w:vAlign w:val="center"/>
                </w:tcPr>
                <w:p w14:paraId="159DE40F">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37.38</w:t>
                  </w:r>
                </w:p>
              </w:tc>
              <w:tc>
                <w:tcPr>
                  <w:tcW w:w="910" w:type="dxa"/>
                  <w:tcBorders>
                    <w:tl2br w:val="nil"/>
                    <w:tr2bl w:val="nil"/>
                  </w:tcBorders>
                  <w:noWrap w:val="0"/>
                  <w:vAlign w:val="center"/>
                </w:tcPr>
                <w:p w14:paraId="5E03D0D8">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7.88</w:t>
                  </w:r>
                </w:p>
              </w:tc>
              <w:tc>
                <w:tcPr>
                  <w:tcW w:w="1010" w:type="dxa"/>
                  <w:tcBorders>
                    <w:tl2br w:val="nil"/>
                    <w:tr2bl w:val="nil"/>
                  </w:tcBorders>
                  <w:noWrap w:val="0"/>
                  <w:vAlign w:val="center"/>
                </w:tcPr>
                <w:p w14:paraId="2C91F019">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4807607F">
                  <w:pPr>
                    <w:keepNext w:val="0"/>
                    <w:keepLines w:val="0"/>
                    <w:widowControl/>
                    <w:suppressLineNumbers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5BBF8C0A">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r w14:paraId="0CC67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vMerge w:val="continue"/>
                  <w:tcBorders>
                    <w:tl2br w:val="nil"/>
                    <w:tr2bl w:val="nil"/>
                  </w:tcBorders>
                  <w:noWrap w:val="0"/>
                  <w:vAlign w:val="center"/>
                </w:tcPr>
                <w:p w14:paraId="087017AD">
                  <w:pPr>
                    <w:keepNext w:val="0"/>
                    <w:keepLines w:val="0"/>
                    <w:widowControl/>
                    <w:suppressLineNumbers w:val="0"/>
                    <w:jc w:val="center"/>
                    <w:rPr>
                      <w:rFonts w:hint="eastAsia" w:ascii="Times New Roman" w:hAnsi="Times New Roman" w:eastAsia="宋体" w:cs="Times New Roman"/>
                      <w:color w:val="auto"/>
                      <w:highlight w:val="none"/>
                      <w:lang w:val="en-US" w:eastAsia="zh-CN"/>
                    </w:rPr>
                  </w:pPr>
                </w:p>
              </w:tc>
              <w:tc>
                <w:tcPr>
                  <w:tcW w:w="1267" w:type="dxa"/>
                  <w:vMerge w:val="continue"/>
                  <w:tcBorders>
                    <w:tl2br w:val="nil"/>
                    <w:tr2bl w:val="nil"/>
                  </w:tcBorders>
                  <w:noWrap w:val="0"/>
                  <w:vAlign w:val="center"/>
                </w:tcPr>
                <w:p w14:paraId="4A95CED5">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c>
                <w:tcPr>
                  <w:tcW w:w="990" w:type="dxa"/>
                  <w:tcBorders>
                    <w:tl2br w:val="nil"/>
                    <w:tr2bl w:val="nil"/>
                  </w:tcBorders>
                  <w:noWrap w:val="0"/>
                  <w:vAlign w:val="center"/>
                </w:tcPr>
                <w:p w14:paraId="1E9571EC">
                  <w:pPr>
                    <w:pStyle w:val="31"/>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NOx</w:t>
                  </w:r>
                </w:p>
              </w:tc>
              <w:tc>
                <w:tcPr>
                  <w:tcW w:w="1110" w:type="dxa"/>
                  <w:tcBorders>
                    <w:tl2br w:val="nil"/>
                    <w:tr2bl w:val="nil"/>
                  </w:tcBorders>
                  <w:noWrap w:val="0"/>
                  <w:vAlign w:val="center"/>
                </w:tcPr>
                <w:p w14:paraId="1D9BC2ED">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13.43</w:t>
                  </w:r>
                </w:p>
              </w:tc>
              <w:tc>
                <w:tcPr>
                  <w:tcW w:w="910" w:type="dxa"/>
                  <w:tcBorders>
                    <w:tl2br w:val="nil"/>
                    <w:tr2bl w:val="nil"/>
                  </w:tcBorders>
                  <w:noWrap w:val="0"/>
                  <w:vAlign w:val="center"/>
                </w:tcPr>
                <w:p w14:paraId="30C306A1">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2.83</w:t>
                  </w:r>
                </w:p>
              </w:tc>
              <w:tc>
                <w:tcPr>
                  <w:tcW w:w="1010" w:type="dxa"/>
                  <w:tcBorders>
                    <w:tl2br w:val="nil"/>
                    <w:tr2bl w:val="nil"/>
                  </w:tcBorders>
                  <w:noWrap w:val="0"/>
                  <w:vAlign w:val="center"/>
                </w:tcPr>
                <w:p w14:paraId="3855758B">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542749D7">
                  <w:pPr>
                    <w:keepNext w:val="0"/>
                    <w:keepLines w:val="0"/>
                    <w:widowControl/>
                    <w:suppressLineNumbers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2D5CBC0E">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r w14:paraId="1CBD5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vMerge w:val="continue"/>
                  <w:tcBorders>
                    <w:tl2br w:val="nil"/>
                    <w:tr2bl w:val="nil"/>
                  </w:tcBorders>
                  <w:noWrap w:val="0"/>
                  <w:vAlign w:val="center"/>
                </w:tcPr>
                <w:p w14:paraId="5A93E9A1">
                  <w:pPr>
                    <w:keepNext w:val="0"/>
                    <w:keepLines w:val="0"/>
                    <w:widowControl/>
                    <w:suppressLineNumbers w:val="0"/>
                    <w:jc w:val="center"/>
                    <w:rPr>
                      <w:rFonts w:hint="eastAsia" w:ascii="Times New Roman" w:hAnsi="Times New Roman" w:eastAsia="宋体" w:cs="Times New Roman"/>
                      <w:color w:val="auto"/>
                      <w:highlight w:val="none"/>
                      <w:lang w:val="en-US" w:eastAsia="zh-CN"/>
                    </w:rPr>
                  </w:pPr>
                </w:p>
              </w:tc>
              <w:tc>
                <w:tcPr>
                  <w:tcW w:w="1267" w:type="dxa"/>
                  <w:vMerge w:val="continue"/>
                  <w:tcBorders>
                    <w:tl2br w:val="nil"/>
                    <w:tr2bl w:val="nil"/>
                  </w:tcBorders>
                  <w:noWrap w:val="0"/>
                  <w:vAlign w:val="center"/>
                </w:tcPr>
                <w:p w14:paraId="43DDDFE6">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c>
                <w:tcPr>
                  <w:tcW w:w="990" w:type="dxa"/>
                  <w:tcBorders>
                    <w:tl2br w:val="nil"/>
                    <w:tr2bl w:val="nil"/>
                  </w:tcBorders>
                  <w:noWrap w:val="0"/>
                  <w:vAlign w:val="center"/>
                </w:tcPr>
                <w:p w14:paraId="75CBE43C">
                  <w:pPr>
                    <w:pStyle w:val="31"/>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氟化物</w:t>
                  </w:r>
                </w:p>
              </w:tc>
              <w:tc>
                <w:tcPr>
                  <w:tcW w:w="1110" w:type="dxa"/>
                  <w:tcBorders>
                    <w:tl2br w:val="nil"/>
                    <w:tr2bl w:val="nil"/>
                  </w:tcBorders>
                  <w:noWrap w:val="0"/>
                  <w:vAlign w:val="center"/>
                </w:tcPr>
                <w:p w14:paraId="5FE2FFEF">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w:t>
                  </w:r>
                </w:p>
              </w:tc>
              <w:tc>
                <w:tcPr>
                  <w:tcW w:w="910" w:type="dxa"/>
                  <w:tcBorders>
                    <w:tl2br w:val="nil"/>
                    <w:tr2bl w:val="nil"/>
                  </w:tcBorders>
                  <w:noWrap w:val="0"/>
                  <w:vAlign w:val="center"/>
                </w:tcPr>
                <w:p w14:paraId="3644CDCE">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0.76</w:t>
                  </w:r>
                </w:p>
              </w:tc>
              <w:tc>
                <w:tcPr>
                  <w:tcW w:w="1010" w:type="dxa"/>
                  <w:tcBorders>
                    <w:tl2br w:val="nil"/>
                    <w:tr2bl w:val="nil"/>
                  </w:tcBorders>
                  <w:noWrap w:val="0"/>
                  <w:vAlign w:val="center"/>
                </w:tcPr>
                <w:p w14:paraId="78FDC3CD">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4C49462A">
                  <w:pPr>
                    <w:keepNext w:val="0"/>
                    <w:keepLines w:val="0"/>
                    <w:widowControl/>
                    <w:suppressLineNumbers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3DAE9D0B">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r w14:paraId="6369E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dxa"/>
                  <w:tcBorders>
                    <w:tl2br w:val="nil"/>
                    <w:tr2bl w:val="nil"/>
                  </w:tcBorders>
                  <w:noWrap w:val="0"/>
                  <w:vAlign w:val="center"/>
                </w:tcPr>
                <w:p w14:paraId="60E28BEC">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1267" w:type="dxa"/>
                  <w:tcBorders>
                    <w:tl2br w:val="nil"/>
                    <w:tr2bl w:val="nil"/>
                  </w:tcBorders>
                  <w:noWrap w:val="0"/>
                  <w:vAlign w:val="center"/>
                </w:tcPr>
                <w:p w14:paraId="7F26F6C9">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石灰筒仓工序</w:t>
                  </w:r>
                </w:p>
              </w:tc>
              <w:tc>
                <w:tcPr>
                  <w:tcW w:w="990" w:type="dxa"/>
                  <w:tcBorders>
                    <w:tl2br w:val="nil"/>
                    <w:tr2bl w:val="nil"/>
                  </w:tcBorders>
                  <w:noWrap w:val="0"/>
                  <w:vAlign w:val="center"/>
                </w:tcPr>
                <w:p w14:paraId="78659C88">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110" w:type="dxa"/>
                  <w:tcBorders>
                    <w:tl2br w:val="nil"/>
                    <w:tr2bl w:val="nil"/>
                  </w:tcBorders>
                  <w:noWrap w:val="0"/>
                  <w:vAlign w:val="center"/>
                </w:tcPr>
                <w:p w14:paraId="5FA51AFA">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2666</w:t>
                  </w:r>
                </w:p>
              </w:tc>
              <w:tc>
                <w:tcPr>
                  <w:tcW w:w="910" w:type="dxa"/>
                  <w:tcBorders>
                    <w:tl2br w:val="nil"/>
                    <w:tr2bl w:val="nil"/>
                  </w:tcBorders>
                  <w:noWrap w:val="0"/>
                  <w:vAlign w:val="center"/>
                </w:tcPr>
                <w:p w14:paraId="1AD41834">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2.4</w:t>
                  </w:r>
                </w:p>
              </w:tc>
              <w:tc>
                <w:tcPr>
                  <w:tcW w:w="1010" w:type="dxa"/>
                  <w:tcBorders>
                    <w:tl2br w:val="nil"/>
                    <w:tr2bl w:val="nil"/>
                  </w:tcBorders>
                  <w:noWrap w:val="0"/>
                  <w:vAlign w:val="center"/>
                </w:tcPr>
                <w:p w14:paraId="6CC151C7">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1090" w:type="dxa"/>
                  <w:tcBorders>
                    <w:tl2br w:val="nil"/>
                    <w:tr2bl w:val="nil"/>
                  </w:tcBorders>
                  <w:noWrap w:val="0"/>
                  <w:vAlign w:val="center"/>
                </w:tcPr>
                <w:p w14:paraId="237BCA2A">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30min</w:t>
                  </w:r>
                </w:p>
              </w:tc>
              <w:tc>
                <w:tcPr>
                  <w:tcW w:w="1679" w:type="dxa"/>
                  <w:vMerge w:val="continue"/>
                  <w:tcBorders>
                    <w:tl2br w:val="nil"/>
                    <w:tr2bl w:val="nil"/>
                  </w:tcBorders>
                  <w:noWrap w:val="0"/>
                  <w:vAlign w:val="center"/>
                </w:tcPr>
                <w:p w14:paraId="35B767DA">
                  <w:pPr>
                    <w:keepNext w:val="0"/>
                    <w:keepLines w:val="0"/>
                    <w:widowControl/>
                    <w:suppressLineNumbers w:val="0"/>
                    <w:jc w:val="center"/>
                    <w:rPr>
                      <w:rFonts w:hint="default" w:ascii="Times New Roman" w:hAnsi="Times New Roman" w:eastAsia="宋体" w:cs="Times New Roman"/>
                      <w:color w:val="auto"/>
                      <w:highlight w:val="none"/>
                      <w:lang w:val="en-US" w:eastAsia="zh-CN"/>
                    </w:rPr>
                  </w:pPr>
                </w:p>
              </w:tc>
            </w:tr>
          </w:tbl>
          <w:p w14:paraId="78DBABB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当项目废气处理系统因出现故障不能正常运行时，采取暂时停产、抓紧维修措施，维修完毕</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处理装置正常运行后方</w:t>
            </w:r>
            <w:r>
              <w:rPr>
                <w:rFonts w:hint="eastAsia" w:ascii="Times New Roman" w:hAnsi="Times New Roman" w:eastAsia="宋体" w:cs="Times New Roman"/>
                <w:bCs/>
                <w:color w:val="auto"/>
                <w:kern w:val="2"/>
                <w:sz w:val="24"/>
                <w:szCs w:val="24"/>
                <w:highlight w:val="none"/>
                <w:lang w:val="en-US" w:eastAsia="zh-CN" w:bidi="ar-SA"/>
              </w:rPr>
              <w:t>可继续生产</w:t>
            </w:r>
            <w:r>
              <w:rPr>
                <w:rFonts w:hint="default" w:ascii="Times New Roman" w:hAnsi="Times New Roman" w:eastAsia="宋体" w:cs="Times New Roman"/>
                <w:bCs/>
                <w:color w:val="auto"/>
                <w:kern w:val="2"/>
                <w:sz w:val="24"/>
                <w:szCs w:val="24"/>
                <w:highlight w:val="none"/>
                <w:lang w:val="en-US" w:eastAsia="zh-CN" w:bidi="ar-SA"/>
              </w:rPr>
              <w:t>。</w:t>
            </w:r>
          </w:p>
          <w:p w14:paraId="079418B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遇到停电停车情况，立即启动紧急停车预案。正常生产后，也会因为工艺、设备、仪表、工程检修等原因存在短暂停车，对因上述原因导致的停车，可通过短暂停止生产来控制。</w:t>
            </w:r>
          </w:p>
          <w:p w14:paraId="590F73A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总之，建设单位应加强</w:t>
            </w:r>
            <w:r>
              <w:rPr>
                <w:rFonts w:hint="eastAsia" w:ascii="Times New Roman" w:hAnsi="Times New Roman" w:eastAsia="宋体" w:cs="Times New Roman"/>
                <w:bCs/>
                <w:color w:val="auto"/>
                <w:kern w:val="2"/>
                <w:sz w:val="24"/>
                <w:szCs w:val="24"/>
                <w:highlight w:val="none"/>
                <w:lang w:val="en-US" w:eastAsia="zh-CN" w:bidi="ar-SA"/>
              </w:rPr>
              <w:t>废气</w:t>
            </w:r>
            <w:r>
              <w:rPr>
                <w:rFonts w:hint="default" w:ascii="Times New Roman" w:hAnsi="Times New Roman" w:eastAsia="宋体" w:cs="Times New Roman"/>
                <w:bCs/>
                <w:color w:val="auto"/>
                <w:kern w:val="2"/>
                <w:sz w:val="24"/>
                <w:szCs w:val="24"/>
                <w:highlight w:val="none"/>
                <w:lang w:val="en-US" w:eastAsia="zh-CN" w:bidi="ar-SA"/>
              </w:rPr>
              <w:t>治理系统与管理，减小事故排放的可能性，事故发生后应先停车，并在最短的时间内排除故障，确保对周围环境的影响降到最低。</w:t>
            </w:r>
          </w:p>
          <w:p w14:paraId="4EE5A8B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4.1.</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大气环境影响评价结论</w:t>
            </w:r>
          </w:p>
          <w:p w14:paraId="220C7E0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根据上述分析，在采取评价提出的环保措施后，本项目有组织污染物氮氧化物、二氧化硫、颗粒物有组织排放</w:t>
            </w:r>
            <w:r>
              <w:rPr>
                <w:rFonts w:hint="eastAsia" w:cs="Times New Roman"/>
                <w:bCs/>
                <w:color w:val="auto"/>
                <w:kern w:val="2"/>
                <w:sz w:val="24"/>
                <w:szCs w:val="24"/>
                <w:highlight w:val="none"/>
                <w:lang w:val="en-US" w:eastAsia="zh-CN" w:bidi="ar-SA"/>
              </w:rPr>
              <w:t>浓度满足</w:t>
            </w:r>
            <w:r>
              <w:rPr>
                <w:rFonts w:hint="eastAsia" w:ascii="Times New Roman" w:hAnsi="Times New Roman" w:eastAsia="宋体" w:cs="Times New Roman"/>
                <w:bCs/>
                <w:color w:val="auto"/>
                <w:kern w:val="2"/>
                <w:sz w:val="24"/>
                <w:szCs w:val="24"/>
                <w:highlight w:val="none"/>
                <w:lang w:val="en-US" w:eastAsia="zh-CN" w:bidi="ar-SA"/>
              </w:rPr>
              <w:t>《长治市人民政府办公室关于印发长治市大气和水污染物排放管控要求的通知》（长政办规〔2023〕1号）砖瓦行业管控要求；氟化物</w:t>
            </w:r>
            <w:r>
              <w:rPr>
                <w:rFonts w:hint="eastAsia" w:cs="Times New Roman"/>
                <w:bCs/>
                <w:color w:val="auto"/>
                <w:kern w:val="2"/>
                <w:sz w:val="24"/>
                <w:szCs w:val="24"/>
                <w:highlight w:val="none"/>
                <w:lang w:val="en-US" w:eastAsia="zh-CN" w:bidi="ar-SA"/>
              </w:rPr>
              <w:t>满足</w:t>
            </w:r>
            <w:r>
              <w:rPr>
                <w:rFonts w:hint="eastAsia" w:ascii="Times New Roman" w:hAnsi="Times New Roman" w:eastAsia="宋体" w:cs="Times New Roman"/>
                <w:bCs/>
                <w:color w:val="auto"/>
                <w:kern w:val="2"/>
                <w:sz w:val="24"/>
                <w:szCs w:val="24"/>
                <w:highlight w:val="none"/>
                <w:lang w:val="en-US" w:eastAsia="zh-CN" w:bidi="ar-SA"/>
              </w:rPr>
              <w:t>长治市大气污染防治工作领导组办公室文件“关于印发长治市工业炉窑专项整治实施方案的通知”（长气防办〔2019〕8号）推荐的《建材工业大气污染物排放标准》（DB37/2373-2018）表2砖瓦工业重点控制区排放限值。</w:t>
            </w:r>
          </w:p>
          <w:p w14:paraId="3E8A07F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lang w:val="en-US" w:eastAsia="zh-CN"/>
              </w:rPr>
            </w:pPr>
            <w:r>
              <w:rPr>
                <w:rFonts w:hint="eastAsia" w:ascii="Times New Roman" w:hAnsi="Times New Roman" w:eastAsia="宋体" w:cs="Times New Roman"/>
                <w:bCs/>
                <w:color w:val="auto"/>
                <w:kern w:val="2"/>
                <w:sz w:val="24"/>
                <w:szCs w:val="24"/>
                <w:highlight w:val="none"/>
                <w:lang w:val="en-US" w:eastAsia="zh-CN" w:bidi="ar-SA"/>
              </w:rPr>
              <w:t>因此，本项目在采取相应的环保措施后能够实现达标排放，对区域环境空气产生的影响较小。</w:t>
            </w:r>
          </w:p>
          <w:p w14:paraId="0EDFBDD2">
            <w:pPr>
              <w:keepNext w:val="0"/>
              <w:keepLines w:val="0"/>
              <w:pageBreakBefore w:val="0"/>
              <w:kinsoku/>
              <w:wordWrap/>
              <w:overflowPunct/>
              <w:topLinePunct w:val="0"/>
              <w:autoSpaceDE/>
              <w:autoSpaceDN/>
              <w:bidi w:val="0"/>
              <w:spacing w:line="480" w:lineRule="exact"/>
              <w:ind w:firstLine="482" w:firstLineChars="200"/>
              <w:textAlignment w:val="auto"/>
              <w:rPr>
                <w:rFonts w:hint="eastAsia"/>
                <w:b/>
                <w:bCs/>
                <w:color w:val="auto"/>
                <w:sz w:val="24"/>
                <w:lang w:val="en-US" w:eastAsia="zh-CN"/>
              </w:rPr>
            </w:pPr>
            <w:r>
              <w:rPr>
                <w:rFonts w:hint="eastAsia"/>
                <w:b/>
                <w:bCs/>
                <w:color w:val="auto"/>
                <w:sz w:val="24"/>
                <w:lang w:val="en-US" w:eastAsia="zh-CN"/>
              </w:rPr>
              <w:t>4.2废水</w:t>
            </w:r>
          </w:p>
          <w:p w14:paraId="5B1B095B">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据水平衡分析，本项目废水产排及污染防治措施情况如下表。</w:t>
            </w:r>
          </w:p>
          <w:p w14:paraId="11E20681">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eastAsia" w:ascii="Times New Roman" w:hAnsi="Times New Roman" w:eastAsia="黑体" w:cs="Times New Roman"/>
                <w:b w:val="0"/>
                <w:bCs w:val="0"/>
                <w:color w:val="auto"/>
                <w:kern w:val="2"/>
                <w:sz w:val="24"/>
                <w:szCs w:val="24"/>
                <w:highlight w:val="none"/>
                <w:lang w:val="en-US" w:eastAsia="zh-CN" w:bidi="ar-SA"/>
              </w:rPr>
              <w:t>表4-21  废水污染源基本情况表</w:t>
            </w:r>
          </w:p>
          <w:tbl>
            <w:tblPr>
              <w:tblStyle w:val="24"/>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31"/>
              <w:gridCol w:w="1322"/>
              <w:gridCol w:w="1500"/>
              <w:gridCol w:w="2072"/>
              <w:gridCol w:w="1880"/>
            </w:tblGrid>
            <w:tr w14:paraId="04626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6750A7A4">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序号</w:t>
                  </w:r>
                </w:p>
              </w:tc>
              <w:tc>
                <w:tcPr>
                  <w:tcW w:w="1031" w:type="dxa"/>
                  <w:tcBorders>
                    <w:tl2br w:val="nil"/>
                    <w:tr2bl w:val="nil"/>
                  </w:tcBorders>
                  <w:noWrap w:val="0"/>
                  <w:vAlign w:val="center"/>
                </w:tcPr>
                <w:p w14:paraId="545AB8EA">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废水类别</w:t>
                  </w:r>
                </w:p>
              </w:tc>
              <w:tc>
                <w:tcPr>
                  <w:tcW w:w="1322" w:type="dxa"/>
                  <w:tcBorders>
                    <w:tl2br w:val="nil"/>
                    <w:tr2bl w:val="nil"/>
                  </w:tcBorders>
                  <w:noWrap w:val="0"/>
                  <w:vAlign w:val="center"/>
                </w:tcPr>
                <w:p w14:paraId="3AF264C1">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废水来源</w:t>
                  </w:r>
                </w:p>
              </w:tc>
              <w:tc>
                <w:tcPr>
                  <w:tcW w:w="1500" w:type="dxa"/>
                  <w:tcBorders>
                    <w:tl2br w:val="nil"/>
                    <w:tr2bl w:val="nil"/>
                  </w:tcBorders>
                  <w:noWrap w:val="0"/>
                  <w:vAlign w:val="center"/>
                </w:tcPr>
                <w:p w14:paraId="300D9CFB">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污染物种类</w:t>
                  </w:r>
                </w:p>
              </w:tc>
              <w:tc>
                <w:tcPr>
                  <w:tcW w:w="2072" w:type="dxa"/>
                  <w:tcBorders>
                    <w:tl2br w:val="nil"/>
                    <w:tr2bl w:val="nil"/>
                  </w:tcBorders>
                  <w:noWrap w:val="0"/>
                  <w:vAlign w:val="center"/>
                </w:tcPr>
                <w:p w14:paraId="20A43596">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污染治理设施</w:t>
                  </w:r>
                </w:p>
              </w:tc>
              <w:tc>
                <w:tcPr>
                  <w:tcW w:w="1880" w:type="dxa"/>
                  <w:tcBorders>
                    <w:tl2br w:val="nil"/>
                    <w:tr2bl w:val="nil"/>
                  </w:tcBorders>
                  <w:noWrap w:val="0"/>
                  <w:vAlign w:val="center"/>
                </w:tcPr>
                <w:p w14:paraId="02E47510">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去向</w:t>
                  </w:r>
                </w:p>
              </w:tc>
            </w:tr>
            <w:tr w14:paraId="7CCDC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51314F70">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031" w:type="dxa"/>
                  <w:tcBorders>
                    <w:tl2br w:val="nil"/>
                    <w:tr2bl w:val="nil"/>
                  </w:tcBorders>
                  <w:noWrap w:val="0"/>
                  <w:vAlign w:val="center"/>
                </w:tcPr>
                <w:p w14:paraId="1DCCACF5">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生活废水</w:t>
                  </w:r>
                </w:p>
              </w:tc>
              <w:tc>
                <w:tcPr>
                  <w:tcW w:w="1322" w:type="dxa"/>
                  <w:tcBorders>
                    <w:tl2br w:val="nil"/>
                    <w:tr2bl w:val="nil"/>
                  </w:tcBorders>
                  <w:noWrap w:val="0"/>
                  <w:vAlign w:val="center"/>
                </w:tcPr>
                <w:p w14:paraId="71699DAC">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职工生活</w:t>
                  </w:r>
                </w:p>
              </w:tc>
              <w:tc>
                <w:tcPr>
                  <w:tcW w:w="1500" w:type="dxa"/>
                  <w:tcBorders>
                    <w:tl2br w:val="nil"/>
                    <w:tr2bl w:val="nil"/>
                  </w:tcBorders>
                  <w:noWrap w:val="0"/>
                  <w:vAlign w:val="center"/>
                </w:tcPr>
                <w:p w14:paraId="334F95F1">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COD、BOD</w:t>
                  </w:r>
                  <w:r>
                    <w:rPr>
                      <w:rFonts w:hint="eastAsia" w:ascii="Times New Roman" w:hAnsi="Times New Roman" w:eastAsia="宋体" w:cs="Times New Roman"/>
                      <w:color w:val="auto"/>
                      <w:szCs w:val="21"/>
                      <w:highlight w:val="none"/>
                      <w:vertAlign w:val="subscript"/>
                      <w:lang w:val="en-US" w:eastAsia="zh-CN"/>
                    </w:rPr>
                    <w:t>5</w:t>
                  </w:r>
                  <w:r>
                    <w:rPr>
                      <w:rFonts w:hint="eastAsia" w:ascii="Times New Roman" w:hAnsi="Times New Roman" w:eastAsia="宋体" w:cs="Times New Roman"/>
                      <w:color w:val="auto"/>
                      <w:szCs w:val="21"/>
                      <w:highlight w:val="none"/>
                      <w:lang w:val="en-US" w:eastAsia="zh-CN"/>
                    </w:rPr>
                    <w:t>、SS、NH</w:t>
                  </w:r>
                  <w:r>
                    <w:rPr>
                      <w:rFonts w:hint="eastAsia" w:ascii="Times New Roman" w:hAnsi="Times New Roman" w:eastAsia="宋体" w:cs="Times New Roman"/>
                      <w:color w:val="auto"/>
                      <w:szCs w:val="21"/>
                      <w:highlight w:val="none"/>
                      <w:vertAlign w:val="subscript"/>
                      <w:lang w:val="en-US" w:eastAsia="zh-CN"/>
                    </w:rPr>
                    <w:t>3</w:t>
                  </w:r>
                  <w:r>
                    <w:rPr>
                      <w:rFonts w:hint="eastAsia" w:ascii="Times New Roman" w:hAnsi="Times New Roman" w:eastAsia="宋体" w:cs="Times New Roman"/>
                      <w:color w:val="auto"/>
                      <w:szCs w:val="21"/>
                      <w:highlight w:val="none"/>
                      <w:lang w:val="en-US" w:eastAsia="zh-CN"/>
                    </w:rPr>
                    <w:t>-N</w:t>
                  </w:r>
                </w:p>
              </w:tc>
              <w:tc>
                <w:tcPr>
                  <w:tcW w:w="2072" w:type="dxa"/>
                  <w:tcBorders>
                    <w:tl2br w:val="nil"/>
                    <w:tr2bl w:val="nil"/>
                  </w:tcBorders>
                  <w:noWrap w:val="0"/>
                  <w:vAlign w:val="center"/>
                </w:tcPr>
                <w:p w14:paraId="446D4A25">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化粪池</w:t>
                  </w:r>
                </w:p>
              </w:tc>
              <w:tc>
                <w:tcPr>
                  <w:tcW w:w="1880" w:type="dxa"/>
                  <w:tcBorders>
                    <w:tl2br w:val="nil"/>
                    <w:tr2bl w:val="nil"/>
                  </w:tcBorders>
                  <w:noWrap w:val="0"/>
                  <w:vAlign w:val="center"/>
                </w:tcPr>
                <w:p w14:paraId="39A23B47">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排于</w:t>
                  </w:r>
                  <w:r>
                    <w:rPr>
                      <w:rFonts w:hint="eastAsia" w:ascii="Times New Roman" w:hAnsi="Times New Roman" w:cs="Times New Roman"/>
                      <w:color w:val="auto"/>
                      <w:szCs w:val="21"/>
                      <w:highlight w:val="none"/>
                      <w:lang w:val="en-US" w:eastAsia="zh-CN"/>
                    </w:rPr>
                    <w:t>化粪池</w:t>
                  </w:r>
                  <w:r>
                    <w:rPr>
                      <w:rFonts w:hint="eastAsia" w:ascii="Times New Roman" w:hAnsi="Times New Roman" w:eastAsia="宋体" w:cs="Times New Roman"/>
                      <w:color w:val="auto"/>
                      <w:szCs w:val="21"/>
                      <w:highlight w:val="none"/>
                      <w:lang w:val="en-US" w:eastAsia="zh-CN"/>
                    </w:rPr>
                    <w:t>，定期清掏用作农肥</w:t>
                  </w:r>
                </w:p>
              </w:tc>
            </w:tr>
            <w:tr w14:paraId="12885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00DA32C3">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1031" w:type="dxa"/>
                  <w:tcBorders>
                    <w:tl2br w:val="nil"/>
                    <w:tr2bl w:val="nil"/>
                  </w:tcBorders>
                  <w:noWrap w:val="0"/>
                  <w:vAlign w:val="center"/>
                </w:tcPr>
                <w:p w14:paraId="486A5DB3">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生产废水</w:t>
                  </w:r>
                </w:p>
              </w:tc>
              <w:tc>
                <w:tcPr>
                  <w:tcW w:w="1322" w:type="dxa"/>
                  <w:tcBorders>
                    <w:tl2br w:val="nil"/>
                    <w:tr2bl w:val="nil"/>
                  </w:tcBorders>
                  <w:noWrap w:val="0"/>
                  <w:vAlign w:val="center"/>
                </w:tcPr>
                <w:p w14:paraId="2537FCC1">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运输车辆</w:t>
                  </w:r>
                </w:p>
              </w:tc>
              <w:tc>
                <w:tcPr>
                  <w:tcW w:w="1500" w:type="dxa"/>
                  <w:tcBorders>
                    <w:tl2br w:val="nil"/>
                    <w:tr2bl w:val="nil"/>
                  </w:tcBorders>
                  <w:noWrap w:val="0"/>
                  <w:vAlign w:val="center"/>
                </w:tcPr>
                <w:p w14:paraId="00DA3A9D">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SS</w:t>
                  </w:r>
                </w:p>
              </w:tc>
              <w:tc>
                <w:tcPr>
                  <w:tcW w:w="2072" w:type="dxa"/>
                  <w:tcBorders>
                    <w:tl2br w:val="nil"/>
                    <w:tr2bl w:val="nil"/>
                  </w:tcBorders>
                  <w:noWrap w:val="0"/>
                  <w:vAlign w:val="center"/>
                </w:tcPr>
                <w:p w14:paraId="02AA4551">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沉淀池</w:t>
                  </w:r>
                </w:p>
              </w:tc>
              <w:tc>
                <w:tcPr>
                  <w:tcW w:w="1880" w:type="dxa"/>
                  <w:tcBorders>
                    <w:tl2br w:val="nil"/>
                    <w:tr2bl w:val="nil"/>
                  </w:tcBorders>
                  <w:noWrap w:val="0"/>
                  <w:vAlign w:val="center"/>
                </w:tcPr>
                <w:p w14:paraId="3ABB68AA">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回用于车辆冲洗</w:t>
                  </w:r>
                </w:p>
              </w:tc>
            </w:tr>
            <w:tr w14:paraId="4D8AD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32C5FDF9">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1031" w:type="dxa"/>
                  <w:tcBorders>
                    <w:tl2br w:val="nil"/>
                    <w:tr2bl w:val="nil"/>
                  </w:tcBorders>
                  <w:noWrap w:val="0"/>
                  <w:vAlign w:val="center"/>
                </w:tcPr>
                <w:p w14:paraId="473B0819">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生产废水</w:t>
                  </w:r>
                </w:p>
              </w:tc>
              <w:tc>
                <w:tcPr>
                  <w:tcW w:w="1322" w:type="dxa"/>
                  <w:tcBorders>
                    <w:tl2br w:val="nil"/>
                    <w:tr2bl w:val="nil"/>
                  </w:tcBorders>
                  <w:noWrap w:val="0"/>
                  <w:vAlign w:val="center"/>
                </w:tcPr>
                <w:p w14:paraId="4DAD61E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pacing w:val="-2"/>
                      <w:sz w:val="21"/>
                      <w:szCs w:val="21"/>
                      <w:highlight w:val="none"/>
                      <w:lang w:val="en-US" w:eastAsia="zh-CN"/>
                    </w:rPr>
                    <w:t>湿电除尘</w:t>
                  </w:r>
                </w:p>
              </w:tc>
              <w:tc>
                <w:tcPr>
                  <w:tcW w:w="1500" w:type="dxa"/>
                  <w:tcBorders>
                    <w:tl2br w:val="nil"/>
                    <w:tr2bl w:val="nil"/>
                  </w:tcBorders>
                  <w:noWrap w:val="0"/>
                  <w:vAlign w:val="center"/>
                </w:tcPr>
                <w:p w14:paraId="726EC1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SS</w:t>
                  </w:r>
                </w:p>
              </w:tc>
              <w:tc>
                <w:tcPr>
                  <w:tcW w:w="2072" w:type="dxa"/>
                  <w:tcBorders>
                    <w:tl2br w:val="nil"/>
                    <w:tr2bl w:val="nil"/>
                  </w:tcBorders>
                  <w:noWrap w:val="0"/>
                  <w:vAlign w:val="center"/>
                </w:tcPr>
                <w:p w14:paraId="0110FF26">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湿电除尘器冲洗水进入全部进入脱硫塔循环池沉淀后循环使用</w:t>
                  </w:r>
                </w:p>
              </w:tc>
              <w:tc>
                <w:tcPr>
                  <w:tcW w:w="1880" w:type="dxa"/>
                  <w:tcBorders>
                    <w:tl2br w:val="nil"/>
                    <w:tr2bl w:val="nil"/>
                  </w:tcBorders>
                  <w:noWrap w:val="0"/>
                  <w:vAlign w:val="center"/>
                </w:tcPr>
                <w:p w14:paraId="10188FB6">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厂内回用</w:t>
                  </w:r>
                </w:p>
              </w:tc>
            </w:tr>
            <w:tr w14:paraId="1CB6E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5C5F9AE0">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4</w:t>
                  </w:r>
                </w:p>
              </w:tc>
              <w:tc>
                <w:tcPr>
                  <w:tcW w:w="1031" w:type="dxa"/>
                  <w:tcBorders>
                    <w:tl2br w:val="nil"/>
                    <w:tr2bl w:val="nil"/>
                  </w:tcBorders>
                  <w:noWrap w:val="0"/>
                  <w:vAlign w:val="center"/>
                </w:tcPr>
                <w:p w14:paraId="19E0A5EE">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生产废水</w:t>
                  </w:r>
                </w:p>
              </w:tc>
              <w:tc>
                <w:tcPr>
                  <w:tcW w:w="1322" w:type="dxa"/>
                  <w:tcBorders>
                    <w:tl2br w:val="nil"/>
                    <w:tr2bl w:val="nil"/>
                  </w:tcBorders>
                  <w:noWrap w:val="0"/>
                  <w:vAlign w:val="center"/>
                </w:tcPr>
                <w:p w14:paraId="231189C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脱硫</w:t>
                  </w:r>
                  <w:r>
                    <w:rPr>
                      <w:rFonts w:hint="eastAsia" w:ascii="Times New Roman" w:hAnsi="Times New Roman" w:eastAsia="宋体" w:cs="Times New Roman"/>
                      <w:color w:val="auto"/>
                      <w:spacing w:val="-2"/>
                      <w:sz w:val="21"/>
                      <w:szCs w:val="21"/>
                      <w:highlight w:val="none"/>
                      <w:lang w:val="en-US" w:eastAsia="zh-CN"/>
                    </w:rPr>
                    <w:t>装置</w:t>
                  </w:r>
                </w:p>
              </w:tc>
              <w:tc>
                <w:tcPr>
                  <w:tcW w:w="1500" w:type="dxa"/>
                  <w:tcBorders>
                    <w:tl2br w:val="nil"/>
                    <w:tr2bl w:val="nil"/>
                  </w:tcBorders>
                  <w:noWrap w:val="0"/>
                  <w:vAlign w:val="center"/>
                </w:tcPr>
                <w:p w14:paraId="41E8D4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SS</w:t>
                  </w:r>
                </w:p>
              </w:tc>
              <w:tc>
                <w:tcPr>
                  <w:tcW w:w="2072" w:type="dxa"/>
                  <w:tcBorders>
                    <w:tl2br w:val="nil"/>
                    <w:tr2bl w:val="nil"/>
                  </w:tcBorders>
                  <w:noWrap w:val="0"/>
                  <w:vAlign w:val="center"/>
                </w:tcPr>
                <w:p w14:paraId="2273D1FF">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脱硫浆液循环使用，循环池</w:t>
                  </w:r>
                  <w:r>
                    <w:rPr>
                      <w:rFonts w:hint="eastAsia" w:ascii="Times New Roman" w:hAnsi="Times New Roman" w:cs="Times New Roman"/>
                      <w:color w:val="auto"/>
                      <w:szCs w:val="21"/>
                      <w:highlight w:val="none"/>
                      <w:lang w:val="en-US" w:eastAsia="zh-CN"/>
                    </w:rPr>
                    <w:t>800</w:t>
                  </w: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；脱硫废水经压滤后，排入沉淀池，经沉淀再生处理后，送脱硫系统重复利用</w:t>
                  </w:r>
                </w:p>
              </w:tc>
              <w:tc>
                <w:tcPr>
                  <w:tcW w:w="1880" w:type="dxa"/>
                  <w:tcBorders>
                    <w:tl2br w:val="nil"/>
                    <w:tr2bl w:val="nil"/>
                  </w:tcBorders>
                  <w:noWrap w:val="0"/>
                  <w:vAlign w:val="center"/>
                </w:tcPr>
                <w:p w14:paraId="1B213B55">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厂内回用</w:t>
                  </w:r>
                </w:p>
              </w:tc>
            </w:tr>
            <w:tr w14:paraId="74077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22A05978">
                  <w:pPr>
                    <w:pStyle w:val="9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5</w:t>
                  </w:r>
                </w:p>
              </w:tc>
              <w:tc>
                <w:tcPr>
                  <w:tcW w:w="1031" w:type="dxa"/>
                  <w:tcBorders>
                    <w:tl2br w:val="nil"/>
                    <w:tr2bl w:val="nil"/>
                  </w:tcBorders>
                  <w:noWrap w:val="0"/>
                  <w:vAlign w:val="center"/>
                </w:tcPr>
                <w:p w14:paraId="36392D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生产废水</w:t>
                  </w:r>
                </w:p>
              </w:tc>
              <w:tc>
                <w:tcPr>
                  <w:tcW w:w="1322" w:type="dxa"/>
                  <w:tcBorders>
                    <w:tl2br w:val="nil"/>
                    <w:tr2bl w:val="nil"/>
                  </w:tcBorders>
                  <w:noWrap w:val="0"/>
                  <w:vAlign w:val="center"/>
                </w:tcPr>
                <w:p w14:paraId="4CA7F1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初期雨水</w:t>
                  </w:r>
                </w:p>
              </w:tc>
              <w:tc>
                <w:tcPr>
                  <w:tcW w:w="1500" w:type="dxa"/>
                  <w:tcBorders>
                    <w:tl2br w:val="nil"/>
                    <w:tr2bl w:val="nil"/>
                  </w:tcBorders>
                  <w:noWrap w:val="0"/>
                  <w:vAlign w:val="center"/>
                </w:tcPr>
                <w:p w14:paraId="22F9E1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SS</w:t>
                  </w:r>
                </w:p>
              </w:tc>
              <w:tc>
                <w:tcPr>
                  <w:tcW w:w="2072" w:type="dxa"/>
                  <w:tcBorders>
                    <w:tl2br w:val="nil"/>
                    <w:tr2bl w:val="nil"/>
                  </w:tcBorders>
                  <w:noWrap w:val="0"/>
                  <w:vAlign w:val="center"/>
                </w:tcPr>
                <w:p w14:paraId="23B9E38F">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550</w:t>
                  </w: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的初期雨水收集池</w:t>
                  </w:r>
                </w:p>
              </w:tc>
              <w:tc>
                <w:tcPr>
                  <w:tcW w:w="1880" w:type="dxa"/>
                  <w:tcBorders>
                    <w:tl2br w:val="nil"/>
                    <w:tr2bl w:val="nil"/>
                  </w:tcBorders>
                  <w:noWrap w:val="0"/>
                  <w:vAlign w:val="center"/>
                </w:tcPr>
                <w:p w14:paraId="33DB6055">
                  <w:pPr>
                    <w:pStyle w:val="94"/>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回用于</w:t>
                  </w:r>
                  <w:r>
                    <w:rPr>
                      <w:rFonts w:hint="eastAsia" w:ascii="Times New Roman" w:hAnsi="Times New Roman" w:eastAsia="宋体" w:cs="Times New Roman"/>
                      <w:color w:val="auto"/>
                      <w:szCs w:val="21"/>
                      <w:highlight w:val="none"/>
                      <w:lang w:val="en-US" w:eastAsia="zh-CN"/>
                    </w:rPr>
                    <w:t>厂区洒水</w:t>
                  </w:r>
                </w:p>
              </w:tc>
            </w:tr>
          </w:tbl>
          <w:p w14:paraId="18F3499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（1）生活污水</w:t>
            </w:r>
          </w:p>
          <w:p w14:paraId="0693A4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本项目生活废水量为1.28m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/d（422.4t/a），污染物主要为pH、COD、BOD</w:t>
            </w:r>
            <w:r>
              <w:rPr>
                <w:rFonts w:hint="eastAsia" w:ascii="Times New Roman" w:hAnsi="Times New Roman" w:eastAsia="宋体" w:cs="Times New Roman"/>
                <w:b w:val="0"/>
                <w:bCs/>
                <w:color w:val="auto"/>
                <w:kern w:val="2"/>
                <w:sz w:val="24"/>
                <w:szCs w:val="24"/>
                <w:vertAlign w:val="subscript"/>
                <w:lang w:val="en-US" w:eastAsia="zh-CN" w:bidi="ar-SA"/>
              </w:rPr>
              <w:t>5</w:t>
            </w:r>
            <w:r>
              <w:rPr>
                <w:rFonts w:hint="eastAsia" w:ascii="Times New Roman" w:hAnsi="Times New Roman" w:eastAsia="宋体" w:cs="Times New Roman"/>
                <w:b w:val="0"/>
                <w:bCs/>
                <w:color w:val="auto"/>
                <w:kern w:val="2"/>
                <w:sz w:val="24"/>
                <w:szCs w:val="24"/>
                <w:lang w:val="en-US" w:eastAsia="zh-CN" w:bidi="ar-SA"/>
              </w:rPr>
              <w:t>、SS、NH</w:t>
            </w:r>
            <w:r>
              <w:rPr>
                <w:rFonts w:hint="eastAsia" w:ascii="Times New Roman" w:hAnsi="Times New Roman" w:eastAsia="宋体" w:cs="Times New Roman"/>
                <w:b w:val="0"/>
                <w:bCs/>
                <w:color w:val="auto"/>
                <w:kern w:val="2"/>
                <w:sz w:val="24"/>
                <w:szCs w:val="24"/>
                <w:vertAlign w:val="sub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-N、TP等，经旱厕收集后定期清掏用作农肥不外排。</w:t>
            </w:r>
          </w:p>
          <w:p w14:paraId="72ADE87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（2）运输车辆冲洗废水W2</w:t>
            </w:r>
          </w:p>
          <w:p w14:paraId="4715454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污染物种类为SS，建设有5m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的沉淀池，沉淀后循环使用不外排。</w:t>
            </w:r>
          </w:p>
          <w:p w14:paraId="1E6A125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洗车平台设置要求：根据《长治市大气污染防治工作领导组办公室关于进一步加强工业企业污染治理的通知》（长气防办〔2023〕6 号）文件要求，企业应设置具有保温、烘干等功能的现代化冲洗平台，冲洗平台的长度和高度要确保货运重卡车辆的车身及车轮全部冲洗到位，货运车辆进、出厂区必须进行轮胎及车身清洗，车辆冲洗时间要求在100秒以上，有效将车轮及车身全部冲洗干净，确保车身整洁、车轮干净，不带泥带灰上路。</w:t>
            </w:r>
          </w:p>
          <w:p w14:paraId="34B20FA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现有洗车平台：厂区大门口设置有8m×4m洗车台，并配备5m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的沉淀池，冲洗平台的长度和高度能确保货运重卡车辆的车身及车轮全部冲洗到位，车辆冲洗时间能达到100秒以上，有效将车轮及车身全部冲洗干净，确保车身整洁、车轮干净，不带泥带灰上路。</w:t>
            </w:r>
          </w:p>
          <w:p w14:paraId="5B62C5A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（3）湿式电除尘废水</w:t>
            </w:r>
          </w:p>
          <w:p w14:paraId="09DF179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根据现场踏勘，本项目</w:t>
            </w:r>
            <w:r>
              <w:rPr>
                <w:rFonts w:hint="eastAsia" w:ascii="Times New Roman" w:hAnsi="Times New Roman" w:eastAsia="宋体" w:cs="Times New Roman"/>
                <w:b w:val="0"/>
                <w:bCs/>
                <w:color w:val="auto"/>
                <w:kern w:val="2"/>
                <w:sz w:val="24"/>
                <w:szCs w:val="24"/>
                <w:lang w:val="en-US" w:eastAsia="zh-CN" w:bidi="ar-SA"/>
              </w:rPr>
              <w:t>隧道窑废气除尘采用湿电除尘，湿电除尘器的除尘过程将水雾喷向放电极和电晕区，水雾在芒刺电极形成的强大的电晕场内荷电后分裂进一步雾化，电场力、荷电水雾的碰撞拦截、吸附凝并，共同对粉尘粒子起捕集作用，粉尘粒子在电场力的驱动下到达集尘极而被捕集。水在集尘极上形成连续的水膜，将捕获的粉尘冲刷到灰斗中随水排出，通过管道进入</w:t>
            </w:r>
            <w:r>
              <w:rPr>
                <w:rFonts w:hint="eastAsia" w:cs="Times New Roman"/>
                <w:b w:val="0"/>
                <w:bCs/>
                <w:color w:val="auto"/>
                <w:kern w:val="2"/>
                <w:sz w:val="24"/>
                <w:szCs w:val="24"/>
                <w:lang w:val="en-US" w:eastAsia="zh-CN" w:bidi="ar-SA"/>
              </w:rPr>
              <w:t>800</w:t>
            </w:r>
            <w:r>
              <w:rPr>
                <w:rFonts w:hint="eastAsia" w:ascii="Times New Roman" w:hAnsi="Times New Roman" w:eastAsia="宋体" w:cs="Times New Roman"/>
                <w:b w:val="0"/>
                <w:bCs/>
                <w:color w:val="auto"/>
                <w:kern w:val="2"/>
                <w:sz w:val="24"/>
                <w:szCs w:val="24"/>
                <w:lang w:val="en-US" w:eastAsia="zh-CN" w:bidi="ar-SA"/>
              </w:rPr>
              <w:t>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循环水池，该废水主要污染物为SS。湿式电除尘废水经处理后回用，不外排。</w:t>
            </w:r>
          </w:p>
          <w:p w14:paraId="5BBF0A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（4）脱硫装置废水</w:t>
            </w:r>
          </w:p>
          <w:p w14:paraId="353F3E0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根据现场踏勘，本项目徒留废水</w:t>
            </w:r>
            <w:r>
              <w:rPr>
                <w:rFonts w:hint="eastAsia" w:ascii="Times New Roman" w:hAnsi="Times New Roman" w:eastAsia="宋体" w:cs="Times New Roman"/>
                <w:b w:val="0"/>
                <w:bCs/>
                <w:color w:val="auto"/>
                <w:kern w:val="2"/>
                <w:sz w:val="24"/>
                <w:szCs w:val="24"/>
                <w:lang w:val="en-US" w:eastAsia="zh-CN" w:bidi="ar-SA"/>
              </w:rPr>
              <w:t>废水首先进入中和池，通过添加酸性药剂（如盐酸等，具体根据废水实际pH值确定），将废水的pH值调节至合适范围（一般为6-9）。在中和过程中，会发生酸碱中和反应，以调整废水的酸碱度，避免后续处理设备受到腐蚀，同时也为后续沉淀反应创造适宜条件。</w:t>
            </w:r>
          </w:p>
          <w:p w14:paraId="41BBE45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中和后的废水流入沉淀池中，添加絮凝剂（如聚合氯化铝等）和助凝剂（如聚丙烯酰胺等）。絮凝剂促使废水中的悬浮颗粒相互聚集，形成较大的絮体结构，助凝剂进一步增强絮体的稳定性，使其更易沉淀。在沉淀池中，重力作用下，絮体逐渐下沉至池底，从而与上清液分离，实现初步的固液分离，去除大部分的SS。</w:t>
            </w:r>
          </w:p>
          <w:p w14:paraId="48ADD63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经过沉淀后的上清液进入过滤装置，可采用砂滤、多介质过滤等方式，进一步去除残留的细小悬浮颗粒，确保出水的清澈度和低浊度。产水水质优良，可回用于脱硫系统的补水环节，重新参与到脱硫过程中，实现水资源的循环利用。</w:t>
            </w:r>
          </w:p>
          <w:p w14:paraId="32EBC03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此外，沉淀池中产生的含有亚硫酸钙、硫酸钙等的污泥，通过污泥泵输送至污泥脱水设备（如板框压滤机等）进行脱水处理，降低污泥的含水率，便于后续的污泥处置。通过这样的双碱法废水循环工艺流程，实现脱硫废水的有效处理与循环利用，确保脱硫系统稳定运行且废水不外排。</w:t>
            </w:r>
          </w:p>
          <w:p w14:paraId="6EA2E7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（5）初期雨水</w:t>
            </w:r>
          </w:p>
          <w:p w14:paraId="1DC4B2F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根据现场踏勘，厂内西侧设置有1座60m</w:t>
            </w:r>
            <w:r>
              <w:rPr>
                <w:rFonts w:hint="eastAsia" w:cs="Times New Roman"/>
                <w:b w:val="0"/>
                <w:bCs/>
                <w:color w:val="auto"/>
                <w:kern w:val="2"/>
                <w:sz w:val="24"/>
                <w:szCs w:val="24"/>
                <w:vertAlign w:val="superscript"/>
                <w:lang w:val="en-US" w:eastAsia="zh-CN" w:bidi="ar-SA"/>
              </w:rPr>
              <w:t>3</w:t>
            </w:r>
            <w:r>
              <w:rPr>
                <w:rFonts w:hint="eastAsia" w:cs="Times New Roman"/>
                <w:b w:val="0"/>
                <w:bCs/>
                <w:color w:val="auto"/>
                <w:kern w:val="2"/>
                <w:sz w:val="24"/>
                <w:szCs w:val="24"/>
                <w:vertAlign w:val="baseline"/>
                <w:lang w:val="en-US" w:eastAsia="zh-CN" w:bidi="ar-SA"/>
              </w:rPr>
              <w:t>的初期雨水池，本次评价经过计算，</w:t>
            </w:r>
            <w:r>
              <w:rPr>
                <w:rFonts w:hint="default" w:ascii="Times New Roman" w:hAnsi="Times New Roman" w:eastAsia="宋体" w:cs="Times New Roman"/>
                <w:color w:val="auto"/>
                <w:sz w:val="24"/>
                <w:szCs w:val="24"/>
                <w:highlight w:val="none"/>
                <w:lang w:val="en-US" w:eastAsia="zh-CN"/>
              </w:rPr>
              <w:t>企业</w:t>
            </w:r>
            <w:r>
              <w:rPr>
                <w:rFonts w:hint="eastAsia" w:ascii="Times New Roman" w:hAnsi="Times New Roman" w:eastAsia="宋体" w:cs="Times New Roman"/>
                <w:color w:val="auto"/>
                <w:sz w:val="24"/>
                <w:szCs w:val="24"/>
                <w:highlight w:val="none"/>
                <w:lang w:val="en-US" w:eastAsia="zh-CN"/>
              </w:rPr>
              <w:t>需扩建</w:t>
            </w:r>
            <w:r>
              <w:rPr>
                <w:rFonts w:hint="default"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val="en-US" w:eastAsia="zh-CN"/>
              </w:rPr>
              <w:t>550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的初期雨水收集池，基础采用混凝土防渗处理，厂区设置雨水收集沟渠，雨水可依据重力汇入雨水收集池内，沉淀后用于厂区洒水，不外排。</w:t>
            </w:r>
            <w:r>
              <w:rPr>
                <w:rFonts w:hint="eastAsia" w:ascii="Times New Roman" w:hAnsi="Times New Roman" w:eastAsia="宋体" w:cs="Times New Roman"/>
                <w:b w:val="0"/>
                <w:bCs/>
                <w:color w:val="auto"/>
                <w:kern w:val="2"/>
                <w:sz w:val="24"/>
                <w:szCs w:val="24"/>
                <w:lang w:val="en-US" w:eastAsia="zh-CN" w:bidi="ar-SA"/>
              </w:rPr>
              <w:t>在厂区雨水排口前设切换闸板阀，切换闸板阀设两个出口，一个出口与初期雨水收集池相连，一个与厂区外相通。降雨时，关闭阀门，初期雨水经排水沟收集汇入初期雨水收集池，收集的雨水沉淀后回用于厂区抑尘，不外排；15min后手动切换阀门，后期雨水经雨水排口排出厂区外。</w:t>
            </w:r>
          </w:p>
          <w:p w14:paraId="12FB38A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（6）废水不外排保证性分析</w:t>
            </w:r>
          </w:p>
          <w:p w14:paraId="5971186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0"/>
              <w:jc w:val="both"/>
              <w:textAlignment w:val="bottom"/>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项目生活污水排于化粪池，定期清掏用作农肥；洗车废水经过沉淀后回用于车辆冲洗；湿电除尘废水</w:t>
            </w:r>
            <w:r>
              <w:rPr>
                <w:rFonts w:hint="default" w:ascii="Times New Roman" w:hAnsi="Times New Roman" w:eastAsia="宋体" w:cs="Times New Roman"/>
                <w:b w:val="0"/>
                <w:bCs/>
                <w:color w:val="auto"/>
                <w:kern w:val="2"/>
                <w:sz w:val="24"/>
                <w:szCs w:val="24"/>
                <w:lang w:val="en-US" w:eastAsia="zh-CN" w:bidi="ar-SA"/>
              </w:rPr>
              <w:t>全部进入脱硫塔循环池沉淀后循环使用</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脱硫废水经压滤后，排入沉淀池，经沉淀再生处理后，送脱硫系统重复利用</w:t>
            </w:r>
            <w:r>
              <w:rPr>
                <w:rFonts w:hint="eastAsia" w:ascii="Times New Roman" w:hAnsi="Times New Roman" w:eastAsia="宋体" w:cs="Times New Roman"/>
                <w:b w:val="0"/>
                <w:bCs/>
                <w:color w:val="auto"/>
                <w:kern w:val="2"/>
                <w:sz w:val="24"/>
                <w:szCs w:val="24"/>
                <w:lang w:val="en-US" w:eastAsia="zh-CN" w:bidi="ar-SA"/>
              </w:rPr>
              <w:t>；初期雨水经收集沉淀后回用于厂区洒水。综上，本项目全厂无废水外排。</w:t>
            </w:r>
          </w:p>
          <w:p w14:paraId="0717DBAD">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4.3 噪声</w:t>
            </w:r>
          </w:p>
          <w:p w14:paraId="42EC27A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4.3.1</w:t>
            </w:r>
            <w:r>
              <w:rPr>
                <w:rFonts w:hint="eastAsia" w:ascii="Times New Roman" w:hAnsi="Times New Roman" w:eastAsia="宋体" w:cs="Times New Roman"/>
                <w:b/>
                <w:bCs w:val="0"/>
                <w:color w:val="auto"/>
                <w:kern w:val="2"/>
                <w:sz w:val="24"/>
                <w:szCs w:val="24"/>
                <w:highlight w:val="none"/>
                <w:lang w:val="en-US" w:eastAsia="zh-CN" w:bidi="ar-SA"/>
              </w:rPr>
              <w:t xml:space="preserve"> </w:t>
            </w:r>
            <w:r>
              <w:rPr>
                <w:rFonts w:hint="default" w:ascii="Times New Roman" w:hAnsi="Times New Roman" w:eastAsia="宋体" w:cs="Times New Roman"/>
                <w:b/>
                <w:bCs w:val="0"/>
                <w:color w:val="auto"/>
                <w:kern w:val="2"/>
                <w:sz w:val="24"/>
                <w:szCs w:val="24"/>
                <w:highlight w:val="none"/>
                <w:lang w:val="en-US" w:eastAsia="zh-CN" w:bidi="ar-SA"/>
              </w:rPr>
              <w:t>噪声源强</w:t>
            </w:r>
          </w:p>
          <w:p w14:paraId="24F54F4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color w:val="auto"/>
                <w:highlight w:val="none"/>
              </w:rPr>
            </w:pPr>
            <w:r>
              <w:rPr>
                <w:rFonts w:hint="default" w:ascii="Times New Roman" w:hAnsi="Times New Roman" w:eastAsia="宋体" w:cs="Times New Roman"/>
                <w:bCs/>
                <w:color w:val="auto"/>
                <w:kern w:val="2"/>
                <w:sz w:val="24"/>
                <w:szCs w:val="24"/>
                <w:highlight w:val="none"/>
                <w:lang w:val="en-US" w:eastAsia="zh-CN" w:bidi="ar-SA"/>
              </w:rPr>
              <w:t>本项目主要噪声源为</w:t>
            </w:r>
            <w:r>
              <w:rPr>
                <w:rFonts w:hint="eastAsia" w:ascii="Times New Roman" w:hAnsi="Times New Roman" w:eastAsia="宋体" w:cs="Times New Roman"/>
                <w:bCs/>
                <w:color w:val="auto"/>
                <w:kern w:val="2"/>
                <w:sz w:val="24"/>
                <w:szCs w:val="24"/>
                <w:highlight w:val="none"/>
                <w:lang w:val="en-US" w:eastAsia="zh-CN" w:bidi="ar-SA"/>
              </w:rPr>
              <w:t>搅拌机、</w:t>
            </w:r>
            <w:r>
              <w:rPr>
                <w:rFonts w:hint="eastAsia" w:cs="Times New Roman"/>
                <w:bCs/>
                <w:color w:val="auto"/>
                <w:kern w:val="2"/>
                <w:sz w:val="24"/>
                <w:szCs w:val="24"/>
                <w:highlight w:val="none"/>
                <w:lang w:val="en-US" w:eastAsia="zh-CN" w:bidi="ar-SA"/>
              </w:rPr>
              <w:t>破碎</w:t>
            </w:r>
            <w:r>
              <w:rPr>
                <w:rFonts w:hint="eastAsia" w:ascii="Times New Roman" w:hAnsi="Times New Roman" w:eastAsia="宋体" w:cs="Times New Roman"/>
                <w:bCs/>
                <w:color w:val="auto"/>
                <w:kern w:val="2"/>
                <w:sz w:val="24"/>
                <w:szCs w:val="24"/>
                <w:highlight w:val="none"/>
                <w:lang w:val="en-US" w:eastAsia="zh-CN" w:bidi="ar-SA"/>
              </w:rPr>
              <w:t>机、</w:t>
            </w:r>
            <w:r>
              <w:rPr>
                <w:rFonts w:hint="eastAsia" w:cs="Times New Roman"/>
                <w:bCs/>
                <w:color w:val="auto"/>
                <w:kern w:val="2"/>
                <w:sz w:val="24"/>
                <w:szCs w:val="24"/>
                <w:highlight w:val="none"/>
                <w:lang w:val="en-US" w:eastAsia="zh-CN" w:bidi="ar-SA"/>
              </w:rPr>
              <w:t>筛分机</w:t>
            </w:r>
            <w:r>
              <w:rPr>
                <w:rFonts w:hint="eastAsia" w:ascii="Times New Roman" w:hAnsi="Times New Roman" w:eastAsia="宋体" w:cs="Times New Roman"/>
                <w:bCs/>
                <w:color w:val="auto"/>
                <w:kern w:val="2"/>
                <w:sz w:val="24"/>
                <w:szCs w:val="24"/>
                <w:highlight w:val="none"/>
                <w:lang w:val="en-US" w:eastAsia="zh-CN" w:bidi="ar-SA"/>
              </w:rPr>
              <w:t>、挤砖机、切坯机、切条机、</w:t>
            </w:r>
            <w:r>
              <w:rPr>
                <w:rFonts w:hint="default" w:ascii="Times New Roman" w:hAnsi="Times New Roman" w:eastAsia="宋体" w:cs="Times New Roman"/>
                <w:bCs/>
                <w:color w:val="auto"/>
                <w:kern w:val="2"/>
                <w:sz w:val="24"/>
                <w:szCs w:val="24"/>
                <w:highlight w:val="none"/>
                <w:lang w:val="en-US" w:eastAsia="zh-CN" w:bidi="ar-SA"/>
              </w:rPr>
              <w:t>装载机</w:t>
            </w:r>
            <w:r>
              <w:rPr>
                <w:rFonts w:hint="eastAsia" w:ascii="Times New Roman" w:hAnsi="Times New Roman" w:eastAsia="宋体" w:cs="Times New Roman"/>
                <w:bCs/>
                <w:color w:val="auto"/>
                <w:kern w:val="2"/>
                <w:sz w:val="24"/>
                <w:szCs w:val="24"/>
                <w:highlight w:val="none"/>
                <w:lang w:val="en-US" w:eastAsia="zh-CN" w:bidi="ar-SA"/>
              </w:rPr>
              <w:t>等</w:t>
            </w:r>
            <w:r>
              <w:rPr>
                <w:rFonts w:hint="default" w:ascii="Times New Roman" w:hAnsi="Times New Roman" w:eastAsia="宋体" w:cs="Times New Roman"/>
                <w:bCs/>
                <w:color w:val="auto"/>
                <w:kern w:val="2"/>
                <w:sz w:val="24"/>
                <w:szCs w:val="24"/>
                <w:highlight w:val="none"/>
                <w:lang w:val="en-US" w:eastAsia="zh-CN" w:bidi="ar-SA"/>
              </w:rPr>
              <w:t>，声源强度一般在75~9</w:t>
            </w:r>
            <w:r>
              <w:rPr>
                <w:rFonts w:hint="eastAsia" w:ascii="Times New Roman" w:hAnsi="Times New Roman" w:eastAsia="宋体" w:cs="Times New Roman"/>
                <w:bCs/>
                <w:color w:val="auto"/>
                <w:kern w:val="2"/>
                <w:sz w:val="24"/>
                <w:szCs w:val="24"/>
                <w:highlight w:val="none"/>
                <w:lang w:val="en-US" w:eastAsia="zh-CN" w:bidi="ar-SA"/>
              </w:rPr>
              <w:t>5</w:t>
            </w:r>
            <w:r>
              <w:rPr>
                <w:rFonts w:hint="default" w:ascii="Times New Roman" w:hAnsi="Times New Roman" w:eastAsia="宋体" w:cs="Times New Roman"/>
                <w:bCs/>
                <w:color w:val="auto"/>
                <w:kern w:val="2"/>
                <w:sz w:val="24"/>
                <w:szCs w:val="24"/>
                <w:highlight w:val="none"/>
                <w:lang w:val="en-US" w:eastAsia="zh-CN" w:bidi="ar-SA"/>
              </w:rPr>
              <w:t>dB(A)。运输车辆限速、禁鸣笛；装载机定期维护保持良好工况</w:t>
            </w:r>
            <w:r>
              <w:rPr>
                <w:rFonts w:hint="eastAsia" w:ascii="Times New Roman" w:hAnsi="Times New Roman" w:eastAsia="宋体" w:cs="Times New Roman"/>
                <w:bCs/>
                <w:color w:val="auto"/>
                <w:kern w:val="2"/>
                <w:sz w:val="24"/>
                <w:szCs w:val="24"/>
                <w:highlight w:val="none"/>
                <w:lang w:val="en-US" w:eastAsia="zh-CN" w:bidi="ar-SA"/>
              </w:rPr>
              <w:t>。</w:t>
            </w:r>
            <w:r>
              <w:rPr>
                <w:rFonts w:hint="eastAsia"/>
                <w:color w:val="auto"/>
                <w:sz w:val="24"/>
                <w:highlight w:val="none"/>
              </w:rPr>
              <w:t>本次评价以厂区西南角为坐标原点，东西向为X坐标轴，南北向为Y坐标轴，垂向为Z坐标轴建立三维坐标系，各声源情况及控制措施</w:t>
            </w:r>
            <w:r>
              <w:rPr>
                <w:rFonts w:hint="default" w:ascii="Times New Roman" w:hAnsi="Times New Roman" w:cs="Times New Roman"/>
                <w:color w:val="auto"/>
                <w:sz w:val="24"/>
                <w:szCs w:val="24"/>
                <w:highlight w:val="none"/>
              </w:rPr>
              <w:t>见下表。</w:t>
            </w:r>
          </w:p>
          <w:p w14:paraId="4D18BEB9">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4-22</w:t>
            </w:r>
            <w:r>
              <w:rPr>
                <w:rFonts w:hint="default" w:ascii="Times New Roman" w:hAnsi="Times New Roman" w:eastAsia="黑体" w:cs="Times New Roman"/>
                <w:b w:val="0"/>
                <w:bCs w:val="0"/>
                <w:color w:val="auto"/>
                <w:kern w:val="2"/>
                <w:sz w:val="24"/>
                <w:szCs w:val="24"/>
                <w:highlight w:val="none"/>
                <w:lang w:val="en-US" w:eastAsia="zh-CN" w:bidi="ar-SA"/>
              </w:rPr>
              <w:t xml:space="preserve">  </w:t>
            </w:r>
            <w:r>
              <w:rPr>
                <w:rFonts w:hint="eastAsia" w:ascii="Times New Roman" w:hAnsi="Times New Roman" w:eastAsia="黑体" w:cs="Times New Roman"/>
                <w:b w:val="0"/>
                <w:bCs w:val="0"/>
                <w:color w:val="auto"/>
                <w:kern w:val="2"/>
                <w:sz w:val="24"/>
                <w:szCs w:val="24"/>
                <w:highlight w:val="none"/>
                <w:lang w:val="en-US" w:eastAsia="zh-CN" w:bidi="ar-SA"/>
              </w:rPr>
              <w:t>改建后</w:t>
            </w:r>
            <w:r>
              <w:rPr>
                <w:rFonts w:hint="default" w:ascii="Times New Roman" w:hAnsi="Times New Roman" w:eastAsia="黑体" w:cs="Times New Roman"/>
                <w:b w:val="0"/>
                <w:bCs w:val="0"/>
                <w:color w:val="auto"/>
                <w:kern w:val="2"/>
                <w:sz w:val="24"/>
                <w:szCs w:val="24"/>
                <w:highlight w:val="none"/>
                <w:lang w:val="en-US" w:eastAsia="zh-CN" w:bidi="ar-SA"/>
              </w:rPr>
              <w:t>工业企业噪声源强调查清单（室内声源）</w:t>
            </w:r>
          </w:p>
          <w:tbl>
            <w:tblPr>
              <w:tblStyle w:val="23"/>
              <w:tblW w:w="4993"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6"/>
              <w:gridCol w:w="879"/>
              <w:gridCol w:w="802"/>
              <w:gridCol w:w="902"/>
              <w:gridCol w:w="573"/>
              <w:gridCol w:w="628"/>
              <w:gridCol w:w="583"/>
              <w:gridCol w:w="710"/>
              <w:gridCol w:w="603"/>
              <w:gridCol w:w="486"/>
              <w:gridCol w:w="644"/>
              <w:gridCol w:w="584"/>
              <w:gridCol w:w="595"/>
            </w:tblGrid>
            <w:tr w14:paraId="626CB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vMerge w:val="restart"/>
                  <w:tcBorders>
                    <w:tl2br w:val="nil"/>
                    <w:tr2bl w:val="nil"/>
                  </w:tcBorders>
                  <w:noWrap w:val="0"/>
                  <w:vAlign w:val="center"/>
                </w:tcPr>
                <w:p w14:paraId="59AEC667">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525" w:type="pct"/>
                  <w:vMerge w:val="restart"/>
                  <w:tcBorders>
                    <w:tl2br w:val="nil"/>
                    <w:tr2bl w:val="nil"/>
                  </w:tcBorders>
                  <w:noWrap w:val="0"/>
                  <w:vAlign w:val="center"/>
                </w:tcPr>
                <w:p w14:paraId="6AD3763D">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声源名称</w:t>
                  </w:r>
                </w:p>
              </w:tc>
              <w:tc>
                <w:tcPr>
                  <w:tcW w:w="479" w:type="pct"/>
                  <w:vMerge w:val="restart"/>
                  <w:tcBorders>
                    <w:tl2br w:val="nil"/>
                    <w:tr2bl w:val="nil"/>
                  </w:tcBorders>
                  <w:noWrap w:val="0"/>
                  <w:vAlign w:val="center"/>
                </w:tcPr>
                <w:p w14:paraId="15B5EBF1">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声源</w:t>
                  </w:r>
                </w:p>
                <w:p w14:paraId="4CF6F71E">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源强</w:t>
                  </w:r>
                  <w:r>
                    <w:rPr>
                      <w:rFonts w:hint="eastAsia" w:ascii="Times New Roman" w:hAnsi="Times New Roman"/>
                      <w:b/>
                      <w:bCs/>
                      <w:color w:val="auto"/>
                      <w:sz w:val="21"/>
                      <w:szCs w:val="21"/>
                      <w:highlight w:val="none"/>
                    </w:rPr>
                    <w:t>/</w:t>
                  </w:r>
                  <w:r>
                    <w:rPr>
                      <w:rFonts w:ascii="Times New Roman" w:hAnsi="Times New Roman"/>
                      <w:b/>
                      <w:bCs/>
                      <w:color w:val="auto"/>
                      <w:sz w:val="21"/>
                      <w:szCs w:val="21"/>
                      <w:highlight w:val="none"/>
                    </w:rPr>
                    <w:t>dB(A)</w:t>
                  </w:r>
                </w:p>
              </w:tc>
              <w:tc>
                <w:tcPr>
                  <w:tcW w:w="539" w:type="pct"/>
                  <w:vMerge w:val="restart"/>
                  <w:tcBorders>
                    <w:tl2br w:val="nil"/>
                    <w:tr2bl w:val="nil"/>
                  </w:tcBorders>
                  <w:noWrap w:val="0"/>
                  <w:vAlign w:val="center"/>
                </w:tcPr>
                <w:p w14:paraId="2D4716A8">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声源控制措施</w:t>
                  </w:r>
                </w:p>
              </w:tc>
              <w:tc>
                <w:tcPr>
                  <w:tcW w:w="1066" w:type="pct"/>
                  <w:gridSpan w:val="3"/>
                  <w:tcBorders>
                    <w:tl2br w:val="nil"/>
                    <w:tr2bl w:val="nil"/>
                  </w:tcBorders>
                  <w:noWrap w:val="0"/>
                  <w:vAlign w:val="center"/>
                </w:tcPr>
                <w:p w14:paraId="1921BA20">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空间相对位置/m</w:t>
                  </w:r>
                </w:p>
              </w:tc>
              <w:tc>
                <w:tcPr>
                  <w:tcW w:w="1075" w:type="pct"/>
                  <w:gridSpan w:val="3"/>
                  <w:tcBorders>
                    <w:tl2br w:val="nil"/>
                    <w:tr2bl w:val="nil"/>
                  </w:tcBorders>
                  <w:noWrap w:val="0"/>
                  <w:vAlign w:val="center"/>
                </w:tcPr>
                <w:p w14:paraId="6A66722D">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室内边界声级</w:t>
                  </w:r>
                </w:p>
              </w:tc>
              <w:tc>
                <w:tcPr>
                  <w:tcW w:w="384" w:type="pct"/>
                  <w:vMerge w:val="restart"/>
                  <w:tcBorders>
                    <w:tl2br w:val="nil"/>
                    <w:tr2bl w:val="nil"/>
                  </w:tcBorders>
                  <w:noWrap w:val="0"/>
                  <w:vAlign w:val="center"/>
                </w:tcPr>
                <w:p w14:paraId="15034642">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建筑物插入损失/</w:t>
                  </w:r>
                  <w:r>
                    <w:rPr>
                      <w:rFonts w:ascii="Times New Roman" w:hAnsi="Times New Roman"/>
                      <w:b/>
                      <w:bCs/>
                      <w:color w:val="auto"/>
                      <w:sz w:val="21"/>
                      <w:szCs w:val="21"/>
                      <w:highlight w:val="none"/>
                    </w:rPr>
                    <w:t>dB(A)</w:t>
                  </w:r>
                </w:p>
              </w:tc>
              <w:tc>
                <w:tcPr>
                  <w:tcW w:w="704" w:type="pct"/>
                  <w:gridSpan w:val="2"/>
                  <w:tcBorders>
                    <w:tl2br w:val="nil"/>
                    <w:tr2bl w:val="nil"/>
                  </w:tcBorders>
                  <w:noWrap w:val="0"/>
                  <w:vAlign w:val="center"/>
                </w:tcPr>
                <w:p w14:paraId="1785FA60">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建筑物外噪声</w:t>
                  </w:r>
                </w:p>
              </w:tc>
            </w:tr>
            <w:tr w14:paraId="02FD0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vMerge w:val="continue"/>
                  <w:tcBorders>
                    <w:tl2br w:val="nil"/>
                    <w:tr2bl w:val="nil"/>
                  </w:tcBorders>
                  <w:noWrap w:val="0"/>
                  <w:vAlign w:val="center"/>
                </w:tcPr>
                <w:p w14:paraId="42850F32">
                  <w:pPr>
                    <w:pStyle w:val="12"/>
                    <w:autoSpaceDE w:val="0"/>
                    <w:autoSpaceDN w:val="0"/>
                    <w:spacing w:line="0" w:lineRule="atLeast"/>
                    <w:jc w:val="center"/>
                    <w:rPr>
                      <w:rFonts w:ascii="Times New Roman" w:hAnsi="Times New Roman"/>
                      <w:b/>
                      <w:bCs/>
                      <w:color w:val="auto"/>
                      <w:sz w:val="21"/>
                      <w:szCs w:val="21"/>
                      <w:highlight w:val="none"/>
                    </w:rPr>
                  </w:pPr>
                </w:p>
              </w:tc>
              <w:tc>
                <w:tcPr>
                  <w:tcW w:w="525" w:type="pct"/>
                  <w:vMerge w:val="continue"/>
                  <w:tcBorders>
                    <w:tl2br w:val="nil"/>
                    <w:tr2bl w:val="nil"/>
                  </w:tcBorders>
                  <w:noWrap w:val="0"/>
                  <w:vAlign w:val="center"/>
                </w:tcPr>
                <w:p w14:paraId="2C8E9163">
                  <w:pPr>
                    <w:pStyle w:val="12"/>
                    <w:autoSpaceDE w:val="0"/>
                    <w:autoSpaceDN w:val="0"/>
                    <w:spacing w:line="0" w:lineRule="atLeast"/>
                    <w:jc w:val="center"/>
                    <w:rPr>
                      <w:rFonts w:ascii="Times New Roman" w:hAnsi="Times New Roman"/>
                      <w:b/>
                      <w:bCs/>
                      <w:color w:val="auto"/>
                      <w:sz w:val="21"/>
                      <w:szCs w:val="21"/>
                      <w:highlight w:val="none"/>
                    </w:rPr>
                  </w:pPr>
                </w:p>
              </w:tc>
              <w:tc>
                <w:tcPr>
                  <w:tcW w:w="479" w:type="pct"/>
                  <w:vMerge w:val="continue"/>
                  <w:tcBorders>
                    <w:tl2br w:val="nil"/>
                    <w:tr2bl w:val="nil"/>
                  </w:tcBorders>
                  <w:noWrap w:val="0"/>
                  <w:vAlign w:val="center"/>
                </w:tcPr>
                <w:p w14:paraId="4B434F54">
                  <w:pPr>
                    <w:pStyle w:val="12"/>
                    <w:autoSpaceDE w:val="0"/>
                    <w:autoSpaceDN w:val="0"/>
                    <w:spacing w:line="0" w:lineRule="atLeast"/>
                    <w:jc w:val="center"/>
                    <w:rPr>
                      <w:rFonts w:ascii="Times New Roman" w:hAnsi="Times New Roman"/>
                      <w:b/>
                      <w:bCs/>
                      <w:color w:val="auto"/>
                      <w:sz w:val="21"/>
                      <w:szCs w:val="21"/>
                      <w:highlight w:val="none"/>
                    </w:rPr>
                  </w:pPr>
                </w:p>
              </w:tc>
              <w:tc>
                <w:tcPr>
                  <w:tcW w:w="539" w:type="pct"/>
                  <w:vMerge w:val="continue"/>
                  <w:tcBorders>
                    <w:tl2br w:val="nil"/>
                    <w:tr2bl w:val="nil"/>
                  </w:tcBorders>
                  <w:noWrap w:val="0"/>
                  <w:vAlign w:val="center"/>
                </w:tcPr>
                <w:p w14:paraId="7661C92D">
                  <w:pPr>
                    <w:pStyle w:val="12"/>
                    <w:autoSpaceDE w:val="0"/>
                    <w:autoSpaceDN w:val="0"/>
                    <w:spacing w:line="0" w:lineRule="atLeast"/>
                    <w:jc w:val="center"/>
                    <w:rPr>
                      <w:rFonts w:ascii="Times New Roman" w:hAnsi="Times New Roman"/>
                      <w:b/>
                      <w:bCs/>
                      <w:color w:val="auto"/>
                      <w:sz w:val="21"/>
                      <w:szCs w:val="21"/>
                      <w:highlight w:val="none"/>
                    </w:rPr>
                  </w:pPr>
                </w:p>
              </w:tc>
              <w:tc>
                <w:tcPr>
                  <w:tcW w:w="342" w:type="pct"/>
                  <w:tcBorders>
                    <w:tl2br w:val="nil"/>
                    <w:tr2bl w:val="nil"/>
                  </w:tcBorders>
                  <w:noWrap w:val="0"/>
                  <w:vAlign w:val="center"/>
                </w:tcPr>
                <w:p w14:paraId="39F0AE72">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X</w:t>
                  </w:r>
                </w:p>
              </w:tc>
              <w:tc>
                <w:tcPr>
                  <w:tcW w:w="375" w:type="pct"/>
                  <w:tcBorders>
                    <w:tl2br w:val="nil"/>
                    <w:tr2bl w:val="nil"/>
                  </w:tcBorders>
                  <w:noWrap w:val="0"/>
                  <w:vAlign w:val="center"/>
                </w:tcPr>
                <w:p w14:paraId="7EA20A3B">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Y</w:t>
                  </w:r>
                </w:p>
              </w:tc>
              <w:tc>
                <w:tcPr>
                  <w:tcW w:w="348" w:type="pct"/>
                  <w:tcBorders>
                    <w:tl2br w:val="nil"/>
                    <w:tr2bl w:val="nil"/>
                  </w:tcBorders>
                  <w:noWrap w:val="0"/>
                  <w:vAlign w:val="center"/>
                </w:tcPr>
                <w:p w14:paraId="641C5F5F">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Z</w:t>
                  </w:r>
                </w:p>
              </w:tc>
              <w:tc>
                <w:tcPr>
                  <w:tcW w:w="424" w:type="pct"/>
                  <w:tcBorders>
                    <w:tl2br w:val="nil"/>
                    <w:tr2bl w:val="nil"/>
                  </w:tcBorders>
                  <w:noWrap w:val="0"/>
                  <w:vAlign w:val="center"/>
                </w:tcPr>
                <w:p w14:paraId="4C148E83">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距室内边界距离/m</w:t>
                  </w:r>
                </w:p>
              </w:tc>
              <w:tc>
                <w:tcPr>
                  <w:tcW w:w="360" w:type="pct"/>
                  <w:tcBorders>
                    <w:tl2br w:val="nil"/>
                    <w:tr2bl w:val="nil"/>
                  </w:tcBorders>
                  <w:noWrap w:val="0"/>
                  <w:vAlign w:val="center"/>
                </w:tcPr>
                <w:p w14:paraId="4D1822AA">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dB(A)</w:t>
                  </w:r>
                </w:p>
              </w:tc>
              <w:tc>
                <w:tcPr>
                  <w:tcW w:w="290" w:type="pct"/>
                  <w:tcBorders>
                    <w:tl2br w:val="nil"/>
                    <w:tr2bl w:val="nil"/>
                  </w:tcBorders>
                  <w:noWrap w:val="0"/>
                  <w:vAlign w:val="center"/>
                </w:tcPr>
                <w:p w14:paraId="1CAD8441">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运行时段</w:t>
                  </w:r>
                </w:p>
              </w:tc>
              <w:tc>
                <w:tcPr>
                  <w:tcW w:w="384" w:type="pct"/>
                  <w:vMerge w:val="continue"/>
                  <w:tcBorders>
                    <w:tl2br w:val="nil"/>
                    <w:tr2bl w:val="nil"/>
                  </w:tcBorders>
                  <w:noWrap w:val="0"/>
                  <w:vAlign w:val="center"/>
                </w:tcPr>
                <w:p w14:paraId="6FF8F676">
                  <w:pPr>
                    <w:pStyle w:val="12"/>
                    <w:autoSpaceDE w:val="0"/>
                    <w:autoSpaceDN w:val="0"/>
                    <w:spacing w:line="0" w:lineRule="atLeast"/>
                    <w:jc w:val="center"/>
                    <w:rPr>
                      <w:rFonts w:ascii="Times New Roman" w:hAnsi="Times New Roman"/>
                      <w:b/>
                      <w:bCs/>
                      <w:color w:val="auto"/>
                      <w:sz w:val="21"/>
                      <w:szCs w:val="21"/>
                      <w:highlight w:val="none"/>
                    </w:rPr>
                  </w:pPr>
                </w:p>
              </w:tc>
              <w:tc>
                <w:tcPr>
                  <w:tcW w:w="349" w:type="pct"/>
                  <w:tcBorders>
                    <w:tl2br w:val="nil"/>
                    <w:tr2bl w:val="nil"/>
                  </w:tcBorders>
                  <w:noWrap w:val="0"/>
                  <w:vAlign w:val="center"/>
                </w:tcPr>
                <w:p w14:paraId="1C6479B1">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声压级</w:t>
                  </w:r>
                </w:p>
              </w:tc>
              <w:tc>
                <w:tcPr>
                  <w:tcW w:w="355" w:type="pct"/>
                  <w:tcBorders>
                    <w:tl2br w:val="nil"/>
                    <w:tr2bl w:val="nil"/>
                  </w:tcBorders>
                  <w:noWrap w:val="0"/>
                  <w:vAlign w:val="center"/>
                </w:tcPr>
                <w:p w14:paraId="16649E99">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建筑物外距离</w:t>
                  </w:r>
                </w:p>
              </w:tc>
            </w:tr>
            <w:tr w14:paraId="458CB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noWrap w:val="0"/>
                  <w:vAlign w:val="center"/>
                </w:tcPr>
                <w:p w14:paraId="2CEA491D">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525" w:type="pct"/>
                  <w:tcBorders>
                    <w:tl2br w:val="nil"/>
                    <w:tr2bl w:val="nil"/>
                  </w:tcBorders>
                  <w:noWrap w:val="0"/>
                  <w:vAlign w:val="center"/>
                </w:tcPr>
                <w:p w14:paraId="1F3A14C0">
                  <w:pPr>
                    <w:pStyle w:val="95"/>
                    <w:keepNext w:val="0"/>
                    <w:keepLines w:val="0"/>
                    <w:pageBreakBefore w:val="0"/>
                    <w:widowControl/>
                    <w:kinsoku w:val="0"/>
                    <w:wordWrap/>
                    <w:overflowPunct/>
                    <w:topLinePunct w:val="0"/>
                    <w:autoSpaceDE w:val="0"/>
                    <w:autoSpaceDN w:val="0"/>
                    <w:bidi w:val="0"/>
                    <w:adjustRightInd w:val="0"/>
                    <w:snapToGrid w:val="0"/>
                    <w:spacing w:line="320" w:lineRule="exact"/>
                    <w:ind w:left="0" w:leftChars="0"/>
                    <w:jc w:val="center"/>
                    <w:rPr>
                      <w:rFonts w:hint="eastAsia" w:ascii="Times New Roman" w:hAnsi="Times New Roman" w:eastAsia="宋体" w:cs="Times New Roman"/>
                      <w:snapToGrid/>
                      <w:color w:val="auto"/>
                      <w:kern w:val="0"/>
                      <w:sz w:val="21"/>
                      <w:szCs w:val="21"/>
                      <w:highlight w:val="none"/>
                      <w:lang w:val="en-US" w:eastAsia="zh-CN" w:bidi="ar"/>
                    </w:rPr>
                  </w:pPr>
                  <w:r>
                    <w:rPr>
                      <w:rFonts w:hint="eastAsia"/>
                      <w:color w:val="auto"/>
                      <w:szCs w:val="21"/>
                      <w:highlight w:val="none"/>
                      <w:lang w:val="en-US" w:eastAsia="zh-CN"/>
                    </w:rPr>
                    <w:t>破碎机</w:t>
                  </w:r>
                </w:p>
              </w:tc>
              <w:tc>
                <w:tcPr>
                  <w:tcW w:w="479" w:type="pct"/>
                  <w:tcBorders>
                    <w:tl2br w:val="nil"/>
                    <w:tr2bl w:val="nil"/>
                  </w:tcBorders>
                  <w:noWrap w:val="0"/>
                  <w:vAlign w:val="center"/>
                </w:tcPr>
                <w:p w14:paraId="1BDB7A63">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95</w:t>
                  </w:r>
                </w:p>
              </w:tc>
              <w:tc>
                <w:tcPr>
                  <w:tcW w:w="539" w:type="pct"/>
                  <w:vMerge w:val="restart"/>
                  <w:tcBorders>
                    <w:tl2br w:val="nil"/>
                    <w:tr2bl w:val="nil"/>
                  </w:tcBorders>
                  <w:noWrap w:val="0"/>
                  <w:vAlign w:val="center"/>
                </w:tcPr>
                <w:p w14:paraId="071A96F3">
                  <w:pPr>
                    <w:autoSpaceDE w:val="0"/>
                    <w:autoSpaceDN w:val="0"/>
                    <w:jc w:val="center"/>
                    <w:rPr>
                      <w:bCs/>
                      <w:color w:val="auto"/>
                      <w:kern w:val="0"/>
                      <w:szCs w:val="21"/>
                      <w:highlight w:val="none"/>
                    </w:rPr>
                  </w:pPr>
                  <w:r>
                    <w:rPr>
                      <w:color w:val="auto"/>
                      <w:kern w:val="0"/>
                      <w:szCs w:val="21"/>
                      <w:highlight w:val="none"/>
                    </w:rPr>
                    <w:t>基础减振、选用低噪声设备、厂房隔声等措施降噪</w:t>
                  </w:r>
                </w:p>
              </w:tc>
              <w:tc>
                <w:tcPr>
                  <w:tcW w:w="342" w:type="pct"/>
                  <w:tcBorders>
                    <w:tl2br w:val="nil"/>
                    <w:tr2bl w:val="nil"/>
                  </w:tcBorders>
                  <w:noWrap w:val="0"/>
                  <w:vAlign w:val="center"/>
                </w:tcPr>
                <w:p w14:paraId="16D668A8">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45</w:t>
                  </w:r>
                </w:p>
              </w:tc>
              <w:tc>
                <w:tcPr>
                  <w:tcW w:w="375" w:type="pct"/>
                  <w:tcBorders>
                    <w:tl2br w:val="nil"/>
                    <w:tr2bl w:val="nil"/>
                  </w:tcBorders>
                  <w:noWrap w:val="0"/>
                  <w:vAlign w:val="center"/>
                </w:tcPr>
                <w:p w14:paraId="65B85DCA">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88</w:t>
                  </w:r>
                </w:p>
              </w:tc>
              <w:tc>
                <w:tcPr>
                  <w:tcW w:w="348" w:type="pct"/>
                  <w:tcBorders>
                    <w:tl2br w:val="nil"/>
                    <w:tr2bl w:val="nil"/>
                  </w:tcBorders>
                  <w:noWrap w:val="0"/>
                  <w:vAlign w:val="center"/>
                </w:tcPr>
                <w:p w14:paraId="39BAF18D">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424" w:type="pct"/>
                  <w:tcBorders>
                    <w:tl2br w:val="nil"/>
                    <w:tr2bl w:val="nil"/>
                  </w:tcBorders>
                  <w:noWrap w:val="0"/>
                  <w:vAlign w:val="center"/>
                </w:tcPr>
                <w:p w14:paraId="53AE4FFB">
                  <w:pPr>
                    <w:pStyle w:val="12"/>
                    <w:autoSpaceDE w:val="0"/>
                    <w:autoSpaceDN w:val="0"/>
                    <w:spacing w:line="0" w:lineRule="atLeast"/>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3</w:t>
                  </w:r>
                </w:p>
              </w:tc>
              <w:tc>
                <w:tcPr>
                  <w:tcW w:w="360" w:type="pct"/>
                  <w:tcBorders>
                    <w:tl2br w:val="nil"/>
                    <w:tr2bl w:val="nil"/>
                  </w:tcBorders>
                  <w:noWrap w:val="0"/>
                  <w:vAlign w:val="center"/>
                </w:tcPr>
                <w:p w14:paraId="60425757">
                  <w:pPr>
                    <w:autoSpaceDE w:val="0"/>
                    <w:autoSpaceDN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rPr>
                    <w:t>85.4</w:t>
                  </w:r>
                  <w:r>
                    <w:rPr>
                      <w:rFonts w:hint="eastAsia" w:ascii="Times New Roman" w:hAnsi="Times New Roman"/>
                      <w:color w:val="auto"/>
                      <w:sz w:val="21"/>
                      <w:szCs w:val="21"/>
                      <w:highlight w:val="none"/>
                      <w:lang w:val="en-US" w:eastAsia="zh-CN"/>
                    </w:rPr>
                    <w:t>6</w:t>
                  </w:r>
                </w:p>
              </w:tc>
              <w:tc>
                <w:tcPr>
                  <w:tcW w:w="290" w:type="pct"/>
                  <w:vMerge w:val="restart"/>
                  <w:tcBorders>
                    <w:tl2br w:val="nil"/>
                    <w:tr2bl w:val="nil"/>
                  </w:tcBorders>
                  <w:noWrap w:val="0"/>
                  <w:vAlign w:val="center"/>
                </w:tcPr>
                <w:p w14:paraId="7BE24C9C">
                  <w:pPr>
                    <w:autoSpaceDE w:val="0"/>
                    <w:autoSpaceDN w:val="0"/>
                    <w:jc w:val="center"/>
                    <w:rPr>
                      <w:bCs/>
                      <w:color w:val="auto"/>
                      <w:kern w:val="0"/>
                      <w:szCs w:val="21"/>
                      <w:highlight w:val="none"/>
                    </w:rPr>
                  </w:pPr>
                  <w:r>
                    <w:rPr>
                      <w:rFonts w:hint="eastAsia"/>
                      <w:color w:val="auto"/>
                      <w:szCs w:val="21"/>
                      <w:highlight w:val="none"/>
                    </w:rPr>
                    <w:t>连续运行</w:t>
                  </w:r>
                </w:p>
              </w:tc>
              <w:tc>
                <w:tcPr>
                  <w:tcW w:w="384" w:type="pct"/>
                  <w:tcBorders>
                    <w:tl2br w:val="nil"/>
                    <w:tr2bl w:val="nil"/>
                  </w:tcBorders>
                  <w:noWrap w:val="0"/>
                  <w:vAlign w:val="center"/>
                </w:tcPr>
                <w:p w14:paraId="7EC9E37C">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7733AB57">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70.46</w:t>
                  </w:r>
                </w:p>
              </w:tc>
              <w:tc>
                <w:tcPr>
                  <w:tcW w:w="355" w:type="pct"/>
                  <w:tcBorders>
                    <w:tl2br w:val="nil"/>
                    <w:tr2bl w:val="nil"/>
                  </w:tcBorders>
                  <w:noWrap w:val="0"/>
                  <w:vAlign w:val="center"/>
                </w:tcPr>
                <w:p w14:paraId="3F8FA8D5">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r>
            <w:tr w14:paraId="60E19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26384ADA">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525" w:type="pct"/>
                  <w:tcBorders>
                    <w:tl2br w:val="nil"/>
                    <w:tr2bl w:val="nil"/>
                  </w:tcBorders>
                  <w:noWrap w:val="0"/>
                  <w:vAlign w:val="center"/>
                </w:tcPr>
                <w:p w14:paraId="4A1DF72B">
                  <w:pPr>
                    <w:keepNext w:val="0"/>
                    <w:keepLines w:val="0"/>
                    <w:pageBreakBefore w:val="0"/>
                    <w:widowControl/>
                    <w:suppressLineNumbers w:val="0"/>
                    <w:wordWrap/>
                    <w:overflowPunct/>
                    <w:topLinePunct w:val="0"/>
                    <w:bidi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color w:val="auto"/>
                      <w:szCs w:val="21"/>
                      <w:highlight w:val="none"/>
                      <w:lang w:val="en-US" w:eastAsia="zh-CN"/>
                    </w:rPr>
                    <w:t>筛分机</w:t>
                  </w:r>
                </w:p>
              </w:tc>
              <w:tc>
                <w:tcPr>
                  <w:tcW w:w="479" w:type="pct"/>
                  <w:tcBorders>
                    <w:tl2br w:val="nil"/>
                    <w:tr2bl w:val="nil"/>
                  </w:tcBorders>
                  <w:noWrap w:val="0"/>
                  <w:vAlign w:val="center"/>
                </w:tcPr>
                <w:p w14:paraId="02B32192">
                  <w:pPr>
                    <w:pStyle w:val="12"/>
                    <w:autoSpaceDE w:val="0"/>
                    <w:autoSpaceDN w:val="0"/>
                    <w:spacing w:line="0" w:lineRule="atLeast"/>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9</w:t>
                  </w:r>
                  <w:r>
                    <w:rPr>
                      <w:rFonts w:hint="eastAsia" w:ascii="Times New Roman" w:hAnsi="Times New Roman"/>
                      <w:color w:val="auto"/>
                      <w:sz w:val="21"/>
                      <w:szCs w:val="21"/>
                      <w:highlight w:val="none"/>
                      <w:lang w:val="en-US" w:eastAsia="zh-CN"/>
                    </w:rPr>
                    <w:t>5</w:t>
                  </w:r>
                </w:p>
              </w:tc>
              <w:tc>
                <w:tcPr>
                  <w:tcW w:w="539" w:type="pct"/>
                  <w:vMerge w:val="continue"/>
                  <w:tcBorders>
                    <w:tl2br w:val="nil"/>
                    <w:tr2bl w:val="nil"/>
                  </w:tcBorders>
                  <w:noWrap w:val="0"/>
                  <w:vAlign w:val="center"/>
                </w:tcPr>
                <w:p w14:paraId="41FEE355">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5E40CD54">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50</w:t>
                  </w:r>
                </w:p>
              </w:tc>
              <w:tc>
                <w:tcPr>
                  <w:tcW w:w="375" w:type="pct"/>
                  <w:tcBorders>
                    <w:tl2br w:val="nil"/>
                    <w:tr2bl w:val="nil"/>
                  </w:tcBorders>
                  <w:noWrap w:val="0"/>
                  <w:vAlign w:val="center"/>
                </w:tcPr>
                <w:p w14:paraId="3D69C171">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89</w:t>
                  </w:r>
                </w:p>
              </w:tc>
              <w:tc>
                <w:tcPr>
                  <w:tcW w:w="348" w:type="pct"/>
                  <w:tcBorders>
                    <w:tl2br w:val="nil"/>
                    <w:tr2bl w:val="nil"/>
                  </w:tcBorders>
                  <w:noWrap w:val="0"/>
                  <w:vAlign w:val="center"/>
                </w:tcPr>
                <w:p w14:paraId="11FEA3EF">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424" w:type="pct"/>
                  <w:tcBorders>
                    <w:tl2br w:val="nil"/>
                    <w:tr2bl w:val="nil"/>
                  </w:tcBorders>
                  <w:noWrap w:val="0"/>
                  <w:vAlign w:val="center"/>
                </w:tcPr>
                <w:p w14:paraId="045F895C">
                  <w:pPr>
                    <w:pStyle w:val="12"/>
                    <w:autoSpaceDE w:val="0"/>
                    <w:autoSpaceDN w:val="0"/>
                    <w:spacing w:line="0" w:lineRule="atLeast"/>
                    <w:jc w:val="center"/>
                    <w:rPr>
                      <w:rFonts w:ascii="Times New Roman" w:hAnsi="Times New Roman"/>
                      <w:bCs/>
                      <w:color w:val="auto"/>
                      <w:szCs w:val="21"/>
                      <w:highlight w:val="none"/>
                    </w:rPr>
                  </w:pPr>
                  <w:r>
                    <w:rPr>
                      <w:rFonts w:hint="eastAsia" w:ascii="Times New Roman" w:hAnsi="Times New Roman"/>
                      <w:color w:val="auto"/>
                      <w:sz w:val="21"/>
                      <w:szCs w:val="21"/>
                      <w:highlight w:val="none"/>
                    </w:rPr>
                    <w:t>3</w:t>
                  </w:r>
                </w:p>
              </w:tc>
              <w:tc>
                <w:tcPr>
                  <w:tcW w:w="360" w:type="pct"/>
                  <w:tcBorders>
                    <w:tl2br w:val="nil"/>
                    <w:tr2bl w:val="nil"/>
                  </w:tcBorders>
                  <w:noWrap w:val="0"/>
                  <w:vAlign w:val="center"/>
                </w:tcPr>
                <w:p w14:paraId="2C64A662">
                  <w:pPr>
                    <w:autoSpaceDE w:val="0"/>
                    <w:autoSpaceDN w:val="0"/>
                    <w:jc w:val="center"/>
                    <w:rPr>
                      <w:bCs/>
                      <w:color w:val="auto"/>
                      <w:kern w:val="0"/>
                      <w:szCs w:val="21"/>
                      <w:highlight w:val="none"/>
                    </w:rPr>
                  </w:pPr>
                  <w:r>
                    <w:rPr>
                      <w:rFonts w:hint="eastAsia" w:ascii="Times New Roman" w:hAnsi="Times New Roman"/>
                      <w:color w:val="auto"/>
                      <w:sz w:val="21"/>
                      <w:szCs w:val="21"/>
                      <w:highlight w:val="none"/>
                    </w:rPr>
                    <w:t>85.4</w:t>
                  </w:r>
                  <w:r>
                    <w:rPr>
                      <w:rFonts w:hint="eastAsia" w:ascii="Times New Roman" w:hAnsi="Times New Roman"/>
                      <w:color w:val="auto"/>
                      <w:sz w:val="21"/>
                      <w:szCs w:val="21"/>
                      <w:highlight w:val="none"/>
                      <w:lang w:val="en-US" w:eastAsia="zh-CN"/>
                    </w:rPr>
                    <w:t>6</w:t>
                  </w:r>
                </w:p>
              </w:tc>
              <w:tc>
                <w:tcPr>
                  <w:tcW w:w="290" w:type="pct"/>
                  <w:vMerge w:val="continue"/>
                  <w:tcBorders>
                    <w:tl2br w:val="nil"/>
                    <w:tr2bl w:val="nil"/>
                  </w:tcBorders>
                  <w:noWrap w:val="0"/>
                  <w:vAlign w:val="center"/>
                </w:tcPr>
                <w:p w14:paraId="6B7EC7F9">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350A78F9">
                  <w:pPr>
                    <w:autoSpaceDE w:val="0"/>
                    <w:autoSpaceDN w:val="0"/>
                    <w:spacing w:line="0" w:lineRule="atLeast"/>
                    <w:jc w:val="center"/>
                    <w:rPr>
                      <w:color w:val="auto"/>
                      <w:highlight w:val="none"/>
                    </w:rPr>
                  </w:pPr>
                  <w:r>
                    <w:rPr>
                      <w:rFonts w:hint="eastAsia"/>
                      <w:color w:val="auto"/>
                      <w:szCs w:val="21"/>
                      <w:highlight w:val="none"/>
                    </w:rPr>
                    <w:t>15</w:t>
                  </w:r>
                </w:p>
              </w:tc>
              <w:tc>
                <w:tcPr>
                  <w:tcW w:w="349" w:type="pct"/>
                  <w:tcBorders>
                    <w:tl2br w:val="nil"/>
                    <w:tr2bl w:val="nil"/>
                  </w:tcBorders>
                  <w:noWrap w:val="0"/>
                  <w:vAlign w:val="center"/>
                </w:tcPr>
                <w:p w14:paraId="46AAB437">
                  <w:pPr>
                    <w:jc w:val="center"/>
                    <w:rPr>
                      <w:color w:val="auto"/>
                      <w:szCs w:val="21"/>
                      <w:highlight w:val="none"/>
                    </w:rPr>
                  </w:pPr>
                  <w:r>
                    <w:rPr>
                      <w:rFonts w:hint="eastAsia" w:ascii="Times New Roman" w:hAnsi="Times New Roman"/>
                      <w:color w:val="auto"/>
                      <w:sz w:val="21"/>
                      <w:szCs w:val="21"/>
                      <w:highlight w:val="none"/>
                      <w:lang w:val="en-US" w:eastAsia="zh-CN"/>
                    </w:rPr>
                    <w:t>70.46</w:t>
                  </w:r>
                </w:p>
              </w:tc>
              <w:tc>
                <w:tcPr>
                  <w:tcW w:w="355" w:type="pct"/>
                  <w:tcBorders>
                    <w:tl2br w:val="nil"/>
                    <w:tr2bl w:val="nil"/>
                  </w:tcBorders>
                  <w:noWrap w:val="0"/>
                  <w:vAlign w:val="center"/>
                </w:tcPr>
                <w:p w14:paraId="7FB8D90E">
                  <w:pPr>
                    <w:jc w:val="center"/>
                    <w:rPr>
                      <w:rFonts w:hint="eastAsia"/>
                      <w:color w:val="auto"/>
                      <w:szCs w:val="21"/>
                      <w:highlight w:val="none"/>
                    </w:rPr>
                  </w:pPr>
                  <w:r>
                    <w:rPr>
                      <w:rFonts w:hint="eastAsia"/>
                      <w:color w:val="auto"/>
                      <w:szCs w:val="21"/>
                      <w:highlight w:val="none"/>
                    </w:rPr>
                    <w:t>1</w:t>
                  </w:r>
                </w:p>
              </w:tc>
            </w:tr>
            <w:tr w14:paraId="45C4B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0DC50FCE">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525" w:type="pct"/>
                  <w:tcBorders>
                    <w:tl2br w:val="nil"/>
                    <w:tr2bl w:val="nil"/>
                  </w:tcBorders>
                  <w:noWrap w:val="0"/>
                  <w:vAlign w:val="center"/>
                </w:tcPr>
                <w:p w14:paraId="679A2237">
                  <w:pPr>
                    <w:pStyle w:val="95"/>
                    <w:keepNext w:val="0"/>
                    <w:keepLines w:val="0"/>
                    <w:pageBreakBefore w:val="0"/>
                    <w:widowControl/>
                    <w:kinsoku w:val="0"/>
                    <w:wordWrap/>
                    <w:overflowPunct/>
                    <w:topLinePunct w:val="0"/>
                    <w:autoSpaceDE w:val="0"/>
                    <w:autoSpaceDN w:val="0"/>
                    <w:bidi w:val="0"/>
                    <w:adjustRightInd w:val="0"/>
                    <w:snapToGrid w:val="0"/>
                    <w:spacing w:line="320" w:lineRule="exact"/>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双轴搅拌机</w:t>
                  </w:r>
                </w:p>
              </w:tc>
              <w:tc>
                <w:tcPr>
                  <w:tcW w:w="479" w:type="pct"/>
                  <w:tcBorders>
                    <w:tl2br w:val="nil"/>
                    <w:tr2bl w:val="nil"/>
                  </w:tcBorders>
                  <w:noWrap w:val="0"/>
                  <w:vAlign w:val="center"/>
                </w:tcPr>
                <w:p w14:paraId="5460F3E2">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4B451D4D">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4670B493">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82</w:t>
                  </w:r>
                </w:p>
              </w:tc>
              <w:tc>
                <w:tcPr>
                  <w:tcW w:w="375" w:type="pct"/>
                  <w:tcBorders>
                    <w:tl2br w:val="nil"/>
                    <w:tr2bl w:val="nil"/>
                  </w:tcBorders>
                  <w:noWrap w:val="0"/>
                  <w:vAlign w:val="center"/>
                </w:tcPr>
                <w:p w14:paraId="4CF01F7F">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80</w:t>
                  </w:r>
                </w:p>
              </w:tc>
              <w:tc>
                <w:tcPr>
                  <w:tcW w:w="348" w:type="pct"/>
                  <w:tcBorders>
                    <w:tl2br w:val="nil"/>
                    <w:tr2bl w:val="nil"/>
                  </w:tcBorders>
                  <w:noWrap w:val="0"/>
                  <w:vAlign w:val="center"/>
                </w:tcPr>
                <w:p w14:paraId="56B743DC">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424" w:type="pct"/>
                  <w:tcBorders>
                    <w:tl2br w:val="nil"/>
                    <w:tr2bl w:val="nil"/>
                  </w:tcBorders>
                  <w:noWrap w:val="0"/>
                  <w:vAlign w:val="center"/>
                </w:tcPr>
                <w:p w14:paraId="2412064A">
                  <w:pPr>
                    <w:autoSpaceDE w:val="0"/>
                    <w:autoSpaceDN w:val="0"/>
                    <w:jc w:val="center"/>
                    <w:rPr>
                      <w:rFonts w:hint="eastAsia"/>
                      <w:bCs/>
                      <w:color w:val="auto"/>
                      <w:kern w:val="0"/>
                      <w:szCs w:val="21"/>
                      <w:highlight w:val="none"/>
                    </w:rPr>
                  </w:pPr>
                  <w:r>
                    <w:rPr>
                      <w:rFonts w:hint="eastAsia"/>
                      <w:bCs/>
                      <w:color w:val="auto"/>
                      <w:kern w:val="0"/>
                      <w:szCs w:val="21"/>
                      <w:highlight w:val="none"/>
                    </w:rPr>
                    <w:t>3</w:t>
                  </w:r>
                </w:p>
              </w:tc>
              <w:tc>
                <w:tcPr>
                  <w:tcW w:w="360" w:type="pct"/>
                  <w:tcBorders>
                    <w:tl2br w:val="nil"/>
                    <w:tr2bl w:val="nil"/>
                  </w:tcBorders>
                  <w:noWrap w:val="0"/>
                  <w:vAlign w:val="center"/>
                </w:tcPr>
                <w:p w14:paraId="3A923FB9">
                  <w:pPr>
                    <w:autoSpaceDE w:val="0"/>
                    <w:autoSpaceDN w:val="0"/>
                    <w:jc w:val="center"/>
                    <w:rPr>
                      <w:rFonts w:hint="eastAsia" w:eastAsia="宋体"/>
                      <w:bCs/>
                      <w:color w:val="auto"/>
                      <w:kern w:val="0"/>
                      <w:szCs w:val="21"/>
                      <w:highlight w:val="none"/>
                      <w:lang w:val="en-US" w:eastAsia="zh-CN"/>
                    </w:rPr>
                  </w:pPr>
                  <w:r>
                    <w:rPr>
                      <w:rFonts w:hint="eastAsia"/>
                      <w:bCs/>
                      <w:color w:val="auto"/>
                      <w:kern w:val="0"/>
                      <w:szCs w:val="21"/>
                      <w:highlight w:val="none"/>
                    </w:rPr>
                    <w:t>80.4</w:t>
                  </w:r>
                  <w:r>
                    <w:rPr>
                      <w:rFonts w:hint="eastAsia"/>
                      <w:bCs/>
                      <w:color w:val="auto"/>
                      <w:kern w:val="0"/>
                      <w:szCs w:val="21"/>
                      <w:highlight w:val="none"/>
                      <w:lang w:val="en-US" w:eastAsia="zh-CN"/>
                    </w:rPr>
                    <w:t>6</w:t>
                  </w:r>
                </w:p>
              </w:tc>
              <w:tc>
                <w:tcPr>
                  <w:tcW w:w="290" w:type="pct"/>
                  <w:vMerge w:val="continue"/>
                  <w:tcBorders>
                    <w:tl2br w:val="nil"/>
                    <w:tr2bl w:val="nil"/>
                  </w:tcBorders>
                  <w:noWrap w:val="0"/>
                  <w:vAlign w:val="center"/>
                </w:tcPr>
                <w:p w14:paraId="6CBE1DF9">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765D72A8">
                  <w:pPr>
                    <w:autoSpaceDE w:val="0"/>
                    <w:autoSpaceDN w:val="0"/>
                    <w:jc w:val="center"/>
                    <w:rPr>
                      <w:color w:val="auto"/>
                      <w:highlight w:val="none"/>
                    </w:rPr>
                  </w:pPr>
                  <w:r>
                    <w:rPr>
                      <w:rFonts w:hint="eastAsia"/>
                      <w:color w:val="auto"/>
                      <w:szCs w:val="21"/>
                      <w:highlight w:val="none"/>
                    </w:rPr>
                    <w:t>15</w:t>
                  </w:r>
                </w:p>
              </w:tc>
              <w:tc>
                <w:tcPr>
                  <w:tcW w:w="349" w:type="pct"/>
                  <w:tcBorders>
                    <w:tl2br w:val="nil"/>
                    <w:tr2bl w:val="nil"/>
                  </w:tcBorders>
                  <w:noWrap w:val="0"/>
                  <w:vAlign w:val="center"/>
                </w:tcPr>
                <w:p w14:paraId="6A6E7D5A">
                  <w:pPr>
                    <w:jc w:val="center"/>
                    <w:rPr>
                      <w:rFonts w:hint="default" w:eastAsia="宋体"/>
                      <w:color w:val="auto"/>
                      <w:szCs w:val="21"/>
                      <w:highlight w:val="none"/>
                      <w:lang w:val="en-US" w:eastAsia="zh-CN"/>
                    </w:rPr>
                  </w:pPr>
                  <w:r>
                    <w:rPr>
                      <w:rFonts w:hint="eastAsia"/>
                      <w:color w:val="auto"/>
                      <w:szCs w:val="21"/>
                      <w:highlight w:val="none"/>
                      <w:lang w:val="en-US" w:eastAsia="zh-CN"/>
                    </w:rPr>
                    <w:t>65.46</w:t>
                  </w:r>
                </w:p>
              </w:tc>
              <w:tc>
                <w:tcPr>
                  <w:tcW w:w="355" w:type="pct"/>
                  <w:tcBorders>
                    <w:tl2br w:val="nil"/>
                    <w:tr2bl w:val="nil"/>
                  </w:tcBorders>
                  <w:noWrap w:val="0"/>
                  <w:vAlign w:val="center"/>
                </w:tcPr>
                <w:p w14:paraId="3D56BCFC">
                  <w:pPr>
                    <w:jc w:val="center"/>
                    <w:rPr>
                      <w:rFonts w:hint="eastAsia"/>
                      <w:color w:val="auto"/>
                      <w:szCs w:val="21"/>
                      <w:highlight w:val="none"/>
                    </w:rPr>
                  </w:pPr>
                  <w:r>
                    <w:rPr>
                      <w:rFonts w:hint="eastAsia"/>
                      <w:color w:val="auto"/>
                      <w:szCs w:val="21"/>
                      <w:highlight w:val="none"/>
                    </w:rPr>
                    <w:t>1</w:t>
                  </w:r>
                </w:p>
              </w:tc>
            </w:tr>
            <w:tr w14:paraId="7086E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1ED17026">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525" w:type="pct"/>
                  <w:tcBorders>
                    <w:tl2br w:val="nil"/>
                    <w:tr2bl w:val="nil"/>
                  </w:tcBorders>
                  <w:noWrap w:val="0"/>
                  <w:vAlign w:val="center"/>
                </w:tcPr>
                <w:p w14:paraId="795799EF">
                  <w:pPr>
                    <w:pStyle w:val="95"/>
                    <w:keepNext w:val="0"/>
                    <w:keepLines w:val="0"/>
                    <w:pageBreakBefore w:val="0"/>
                    <w:widowControl/>
                    <w:kinsoku w:val="0"/>
                    <w:wordWrap/>
                    <w:overflowPunct/>
                    <w:topLinePunct w:val="0"/>
                    <w:autoSpaceDE w:val="0"/>
                    <w:autoSpaceDN w:val="0"/>
                    <w:bidi w:val="0"/>
                    <w:adjustRightInd w:val="0"/>
                    <w:snapToGrid w:val="0"/>
                    <w:spacing w:line="320" w:lineRule="exact"/>
                    <w:ind w:left="0" w:leftChars="0"/>
                    <w:jc w:val="center"/>
                    <w:rPr>
                      <w:rFonts w:hint="eastAsia"/>
                      <w:color w:val="auto"/>
                      <w:szCs w:val="21"/>
                      <w:highlight w:val="none"/>
                      <w:lang w:val="en-US" w:eastAsia="zh-CN"/>
                    </w:rPr>
                  </w:pPr>
                  <w:r>
                    <w:rPr>
                      <w:rFonts w:hint="eastAsia"/>
                      <w:color w:val="auto"/>
                      <w:szCs w:val="21"/>
                      <w:highlight w:val="none"/>
                      <w:lang w:val="en-US" w:eastAsia="zh-CN"/>
                    </w:rPr>
                    <w:t>双轴搅拌机</w:t>
                  </w:r>
                </w:p>
              </w:tc>
              <w:tc>
                <w:tcPr>
                  <w:tcW w:w="479" w:type="pct"/>
                  <w:tcBorders>
                    <w:tl2br w:val="nil"/>
                    <w:tr2bl w:val="nil"/>
                  </w:tcBorders>
                  <w:noWrap w:val="0"/>
                  <w:vAlign w:val="center"/>
                </w:tcPr>
                <w:p w14:paraId="245AF6B6">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49A24417">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1EA14BDC">
                  <w:pPr>
                    <w:pStyle w:val="12"/>
                    <w:autoSpaceDE w:val="0"/>
                    <w:autoSpaceDN w:val="0"/>
                    <w:spacing w:line="0" w:lineRule="atLeas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85</w:t>
                  </w:r>
                </w:p>
              </w:tc>
              <w:tc>
                <w:tcPr>
                  <w:tcW w:w="375" w:type="pct"/>
                  <w:tcBorders>
                    <w:tl2br w:val="nil"/>
                    <w:tr2bl w:val="nil"/>
                  </w:tcBorders>
                  <w:noWrap w:val="0"/>
                  <w:vAlign w:val="center"/>
                </w:tcPr>
                <w:p w14:paraId="5A71B852">
                  <w:pPr>
                    <w:pStyle w:val="12"/>
                    <w:autoSpaceDE w:val="0"/>
                    <w:autoSpaceDN w:val="0"/>
                    <w:spacing w:line="0" w:lineRule="atLeas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80</w:t>
                  </w:r>
                </w:p>
              </w:tc>
              <w:tc>
                <w:tcPr>
                  <w:tcW w:w="348" w:type="pct"/>
                  <w:tcBorders>
                    <w:tl2br w:val="nil"/>
                    <w:tr2bl w:val="nil"/>
                  </w:tcBorders>
                  <w:noWrap w:val="0"/>
                  <w:vAlign w:val="center"/>
                </w:tcPr>
                <w:p w14:paraId="14FC699D">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424" w:type="pct"/>
                  <w:tcBorders>
                    <w:tl2br w:val="nil"/>
                    <w:tr2bl w:val="nil"/>
                  </w:tcBorders>
                  <w:noWrap w:val="0"/>
                  <w:vAlign w:val="center"/>
                </w:tcPr>
                <w:p w14:paraId="2F1C6BED">
                  <w:pPr>
                    <w:autoSpaceDE w:val="0"/>
                    <w:autoSpaceDN w:val="0"/>
                    <w:jc w:val="center"/>
                    <w:rPr>
                      <w:rFonts w:hint="eastAsia"/>
                      <w:bCs/>
                      <w:color w:val="auto"/>
                      <w:kern w:val="0"/>
                      <w:szCs w:val="21"/>
                      <w:highlight w:val="none"/>
                    </w:rPr>
                  </w:pPr>
                  <w:r>
                    <w:rPr>
                      <w:rFonts w:hint="eastAsia"/>
                      <w:bCs/>
                      <w:color w:val="auto"/>
                      <w:kern w:val="0"/>
                      <w:szCs w:val="21"/>
                      <w:highlight w:val="none"/>
                    </w:rPr>
                    <w:t>3</w:t>
                  </w:r>
                </w:p>
              </w:tc>
              <w:tc>
                <w:tcPr>
                  <w:tcW w:w="360" w:type="pct"/>
                  <w:tcBorders>
                    <w:tl2br w:val="nil"/>
                    <w:tr2bl w:val="nil"/>
                  </w:tcBorders>
                  <w:noWrap w:val="0"/>
                  <w:vAlign w:val="center"/>
                </w:tcPr>
                <w:p w14:paraId="30A7E4F1">
                  <w:pPr>
                    <w:autoSpaceDE w:val="0"/>
                    <w:autoSpaceDN w:val="0"/>
                    <w:jc w:val="center"/>
                    <w:rPr>
                      <w:rFonts w:hint="eastAsia"/>
                      <w:bCs/>
                      <w:color w:val="auto"/>
                      <w:kern w:val="0"/>
                      <w:szCs w:val="21"/>
                      <w:highlight w:val="none"/>
                    </w:rPr>
                  </w:pPr>
                  <w:r>
                    <w:rPr>
                      <w:rFonts w:hint="eastAsia"/>
                      <w:bCs/>
                      <w:color w:val="auto"/>
                      <w:kern w:val="0"/>
                      <w:szCs w:val="21"/>
                      <w:highlight w:val="none"/>
                    </w:rPr>
                    <w:t>80.4</w:t>
                  </w:r>
                  <w:r>
                    <w:rPr>
                      <w:rFonts w:hint="eastAsia"/>
                      <w:bCs/>
                      <w:color w:val="auto"/>
                      <w:kern w:val="0"/>
                      <w:szCs w:val="21"/>
                      <w:highlight w:val="none"/>
                      <w:lang w:val="en-US" w:eastAsia="zh-CN"/>
                    </w:rPr>
                    <w:t>6</w:t>
                  </w:r>
                </w:p>
              </w:tc>
              <w:tc>
                <w:tcPr>
                  <w:tcW w:w="290" w:type="pct"/>
                  <w:vMerge w:val="continue"/>
                  <w:tcBorders>
                    <w:tl2br w:val="nil"/>
                    <w:tr2bl w:val="nil"/>
                  </w:tcBorders>
                  <w:noWrap w:val="0"/>
                  <w:vAlign w:val="center"/>
                </w:tcPr>
                <w:p w14:paraId="3985BFE1">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4D422FBA">
                  <w:pPr>
                    <w:autoSpaceDE w:val="0"/>
                    <w:autoSpaceDN w:val="0"/>
                    <w:jc w:val="center"/>
                    <w:rPr>
                      <w:rFonts w:hint="eastAsia"/>
                      <w:color w:val="auto"/>
                      <w:szCs w:val="21"/>
                      <w:highlight w:val="none"/>
                    </w:rPr>
                  </w:pPr>
                  <w:r>
                    <w:rPr>
                      <w:rFonts w:hint="eastAsia"/>
                      <w:color w:val="auto"/>
                      <w:szCs w:val="21"/>
                      <w:highlight w:val="none"/>
                    </w:rPr>
                    <w:t>15</w:t>
                  </w:r>
                </w:p>
              </w:tc>
              <w:tc>
                <w:tcPr>
                  <w:tcW w:w="349" w:type="pct"/>
                  <w:tcBorders>
                    <w:tl2br w:val="nil"/>
                    <w:tr2bl w:val="nil"/>
                  </w:tcBorders>
                  <w:noWrap w:val="0"/>
                  <w:vAlign w:val="center"/>
                </w:tcPr>
                <w:p w14:paraId="0F189E04">
                  <w:pPr>
                    <w:jc w:val="center"/>
                    <w:rPr>
                      <w:rFonts w:hint="eastAsia"/>
                      <w:color w:val="auto"/>
                      <w:szCs w:val="21"/>
                      <w:highlight w:val="none"/>
                      <w:lang w:val="en-US" w:eastAsia="zh-CN"/>
                    </w:rPr>
                  </w:pPr>
                  <w:r>
                    <w:rPr>
                      <w:rFonts w:hint="eastAsia"/>
                      <w:color w:val="auto"/>
                      <w:szCs w:val="21"/>
                      <w:highlight w:val="none"/>
                      <w:lang w:val="en-US" w:eastAsia="zh-CN"/>
                    </w:rPr>
                    <w:t>65.46</w:t>
                  </w:r>
                </w:p>
              </w:tc>
              <w:tc>
                <w:tcPr>
                  <w:tcW w:w="355" w:type="pct"/>
                  <w:tcBorders>
                    <w:tl2br w:val="nil"/>
                    <w:tr2bl w:val="nil"/>
                  </w:tcBorders>
                  <w:noWrap w:val="0"/>
                  <w:vAlign w:val="center"/>
                </w:tcPr>
                <w:p w14:paraId="79DC9137">
                  <w:pPr>
                    <w:jc w:val="center"/>
                    <w:rPr>
                      <w:rFonts w:hint="eastAsia"/>
                      <w:color w:val="auto"/>
                      <w:szCs w:val="21"/>
                      <w:highlight w:val="none"/>
                    </w:rPr>
                  </w:pPr>
                  <w:r>
                    <w:rPr>
                      <w:rFonts w:hint="eastAsia"/>
                      <w:color w:val="auto"/>
                      <w:szCs w:val="21"/>
                      <w:highlight w:val="none"/>
                    </w:rPr>
                    <w:t>1</w:t>
                  </w:r>
                </w:p>
              </w:tc>
            </w:tr>
            <w:tr w14:paraId="1B2B3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3A801FAF">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525" w:type="pct"/>
                  <w:tcBorders>
                    <w:tl2br w:val="nil"/>
                    <w:tr2bl w:val="nil"/>
                  </w:tcBorders>
                  <w:noWrap w:val="0"/>
                  <w:vAlign w:val="center"/>
                </w:tcPr>
                <w:p w14:paraId="2266B28D">
                  <w:pPr>
                    <w:keepNext w:val="0"/>
                    <w:keepLines w:val="0"/>
                    <w:pageBreakBefore w:val="0"/>
                    <w:widowControl/>
                    <w:wordWrap/>
                    <w:overflowPunct/>
                    <w:topLinePunct w:val="0"/>
                    <w:bidi w:val="0"/>
                    <w:snapToGrid w:val="0"/>
                    <w:spacing w:line="32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color w:val="auto"/>
                      <w:szCs w:val="21"/>
                      <w:highlight w:val="none"/>
                      <w:lang w:val="en-US" w:eastAsia="zh-CN"/>
                    </w:rPr>
                    <w:t>搅拌挤出机</w:t>
                  </w:r>
                </w:p>
              </w:tc>
              <w:tc>
                <w:tcPr>
                  <w:tcW w:w="479" w:type="pct"/>
                  <w:tcBorders>
                    <w:tl2br w:val="nil"/>
                    <w:tr2bl w:val="nil"/>
                  </w:tcBorders>
                  <w:noWrap w:val="0"/>
                  <w:vAlign w:val="center"/>
                </w:tcPr>
                <w:p w14:paraId="78947660">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33D6504F">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4A36C76D">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86</w:t>
                  </w:r>
                </w:p>
              </w:tc>
              <w:tc>
                <w:tcPr>
                  <w:tcW w:w="375" w:type="pct"/>
                  <w:tcBorders>
                    <w:tl2br w:val="nil"/>
                    <w:tr2bl w:val="nil"/>
                  </w:tcBorders>
                  <w:noWrap w:val="0"/>
                  <w:vAlign w:val="center"/>
                </w:tcPr>
                <w:p w14:paraId="288B278F">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82</w:t>
                  </w:r>
                </w:p>
              </w:tc>
              <w:tc>
                <w:tcPr>
                  <w:tcW w:w="348" w:type="pct"/>
                  <w:tcBorders>
                    <w:tl2br w:val="nil"/>
                    <w:tr2bl w:val="nil"/>
                  </w:tcBorders>
                  <w:noWrap w:val="0"/>
                  <w:vAlign w:val="center"/>
                </w:tcPr>
                <w:p w14:paraId="7C965C7F">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7F018C88">
                  <w:pPr>
                    <w:pStyle w:val="12"/>
                    <w:autoSpaceDE w:val="0"/>
                    <w:autoSpaceDN w:val="0"/>
                    <w:spacing w:line="0" w:lineRule="atLeast"/>
                    <w:jc w:val="center"/>
                    <w:rPr>
                      <w:rFonts w:hint="eastAsia" w:ascii="Times New Roman" w:hAnsi="Times New Roman"/>
                      <w:bCs/>
                      <w:color w:val="auto"/>
                      <w:szCs w:val="21"/>
                      <w:highlight w:val="none"/>
                    </w:rPr>
                  </w:pPr>
                  <w:r>
                    <w:rPr>
                      <w:rFonts w:hint="eastAsia" w:ascii="Times New Roman" w:hAnsi="Times New Roman"/>
                      <w:color w:val="auto"/>
                      <w:sz w:val="21"/>
                      <w:szCs w:val="21"/>
                      <w:highlight w:val="none"/>
                    </w:rPr>
                    <w:t>3</w:t>
                  </w:r>
                </w:p>
              </w:tc>
              <w:tc>
                <w:tcPr>
                  <w:tcW w:w="360" w:type="pct"/>
                  <w:tcBorders>
                    <w:tl2br w:val="nil"/>
                    <w:tr2bl w:val="nil"/>
                  </w:tcBorders>
                  <w:noWrap w:val="0"/>
                  <w:vAlign w:val="center"/>
                </w:tcPr>
                <w:p w14:paraId="5D731D0E">
                  <w:pPr>
                    <w:autoSpaceDE w:val="0"/>
                    <w:autoSpaceDN w:val="0"/>
                    <w:jc w:val="center"/>
                    <w:rPr>
                      <w:bCs/>
                      <w:color w:val="auto"/>
                      <w:kern w:val="0"/>
                      <w:szCs w:val="21"/>
                      <w:highlight w:val="none"/>
                    </w:rPr>
                  </w:pPr>
                  <w:r>
                    <w:rPr>
                      <w:rFonts w:hint="eastAsia"/>
                      <w:bCs/>
                      <w:color w:val="auto"/>
                      <w:kern w:val="0"/>
                      <w:szCs w:val="21"/>
                      <w:highlight w:val="none"/>
                    </w:rPr>
                    <w:t>80.4</w:t>
                  </w:r>
                  <w:r>
                    <w:rPr>
                      <w:rFonts w:hint="eastAsia"/>
                      <w:bCs/>
                      <w:color w:val="auto"/>
                      <w:kern w:val="0"/>
                      <w:szCs w:val="21"/>
                      <w:highlight w:val="none"/>
                      <w:lang w:val="en-US" w:eastAsia="zh-CN"/>
                    </w:rPr>
                    <w:t>6</w:t>
                  </w:r>
                </w:p>
              </w:tc>
              <w:tc>
                <w:tcPr>
                  <w:tcW w:w="290" w:type="pct"/>
                  <w:vMerge w:val="continue"/>
                  <w:tcBorders>
                    <w:tl2br w:val="nil"/>
                    <w:tr2bl w:val="nil"/>
                  </w:tcBorders>
                  <w:noWrap w:val="0"/>
                  <w:vAlign w:val="center"/>
                </w:tcPr>
                <w:p w14:paraId="1736EAE8">
                  <w:pPr>
                    <w:autoSpaceDE w:val="0"/>
                    <w:autoSpaceDN w:val="0"/>
                    <w:jc w:val="center"/>
                    <w:rPr>
                      <w:rFonts w:hint="eastAsia"/>
                      <w:bCs/>
                      <w:color w:val="auto"/>
                      <w:kern w:val="0"/>
                      <w:szCs w:val="21"/>
                      <w:highlight w:val="none"/>
                    </w:rPr>
                  </w:pPr>
                </w:p>
              </w:tc>
              <w:tc>
                <w:tcPr>
                  <w:tcW w:w="384" w:type="pct"/>
                  <w:tcBorders>
                    <w:tl2br w:val="nil"/>
                    <w:tr2bl w:val="nil"/>
                  </w:tcBorders>
                  <w:noWrap w:val="0"/>
                  <w:vAlign w:val="center"/>
                </w:tcPr>
                <w:p w14:paraId="29269E91">
                  <w:pPr>
                    <w:autoSpaceDE w:val="0"/>
                    <w:autoSpaceDN w:val="0"/>
                    <w:spacing w:line="0" w:lineRule="atLeast"/>
                    <w:jc w:val="center"/>
                    <w:rPr>
                      <w:rFonts w:hint="eastAsia"/>
                      <w:color w:val="auto"/>
                      <w:highlight w:val="none"/>
                    </w:rPr>
                  </w:pPr>
                  <w:r>
                    <w:rPr>
                      <w:rFonts w:hint="eastAsia"/>
                      <w:color w:val="auto"/>
                      <w:szCs w:val="21"/>
                      <w:highlight w:val="none"/>
                    </w:rPr>
                    <w:t>15</w:t>
                  </w:r>
                </w:p>
              </w:tc>
              <w:tc>
                <w:tcPr>
                  <w:tcW w:w="349" w:type="pct"/>
                  <w:tcBorders>
                    <w:tl2br w:val="nil"/>
                    <w:tr2bl w:val="nil"/>
                  </w:tcBorders>
                  <w:noWrap w:val="0"/>
                  <w:vAlign w:val="center"/>
                </w:tcPr>
                <w:p w14:paraId="693DDE95">
                  <w:pPr>
                    <w:jc w:val="center"/>
                    <w:rPr>
                      <w:color w:val="auto"/>
                      <w:szCs w:val="21"/>
                      <w:highlight w:val="none"/>
                    </w:rPr>
                  </w:pPr>
                  <w:r>
                    <w:rPr>
                      <w:rFonts w:hint="eastAsia"/>
                      <w:color w:val="auto"/>
                      <w:szCs w:val="21"/>
                      <w:highlight w:val="none"/>
                      <w:lang w:val="en-US" w:eastAsia="zh-CN"/>
                    </w:rPr>
                    <w:t>65.46</w:t>
                  </w:r>
                </w:p>
              </w:tc>
              <w:tc>
                <w:tcPr>
                  <w:tcW w:w="355" w:type="pct"/>
                  <w:tcBorders>
                    <w:tl2br w:val="nil"/>
                    <w:tr2bl w:val="nil"/>
                  </w:tcBorders>
                  <w:noWrap w:val="0"/>
                  <w:vAlign w:val="center"/>
                </w:tcPr>
                <w:p w14:paraId="43697BA7">
                  <w:pPr>
                    <w:jc w:val="center"/>
                    <w:rPr>
                      <w:color w:val="auto"/>
                      <w:szCs w:val="21"/>
                      <w:highlight w:val="none"/>
                    </w:rPr>
                  </w:pPr>
                  <w:r>
                    <w:rPr>
                      <w:rFonts w:hint="eastAsia"/>
                      <w:color w:val="auto"/>
                      <w:szCs w:val="21"/>
                      <w:highlight w:val="none"/>
                    </w:rPr>
                    <w:t>1</w:t>
                  </w:r>
                </w:p>
              </w:tc>
            </w:tr>
            <w:tr w14:paraId="5FE47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1E6D9F09">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p>
              </w:tc>
              <w:tc>
                <w:tcPr>
                  <w:tcW w:w="525" w:type="pct"/>
                  <w:tcBorders>
                    <w:tl2br w:val="nil"/>
                    <w:tr2bl w:val="nil"/>
                  </w:tcBorders>
                  <w:noWrap w:val="0"/>
                  <w:vAlign w:val="center"/>
                </w:tcPr>
                <w:p w14:paraId="4AC47199">
                  <w:pPr>
                    <w:keepNext w:val="0"/>
                    <w:keepLines w:val="0"/>
                    <w:widowControl/>
                    <w:suppressLineNumbers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切坯机</w:t>
                  </w:r>
                </w:p>
              </w:tc>
              <w:tc>
                <w:tcPr>
                  <w:tcW w:w="479" w:type="pct"/>
                  <w:tcBorders>
                    <w:tl2br w:val="nil"/>
                    <w:tr2bl w:val="nil"/>
                  </w:tcBorders>
                  <w:noWrap w:val="0"/>
                  <w:vAlign w:val="center"/>
                </w:tcPr>
                <w:p w14:paraId="3306BDAA">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2C9A85B3">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1F3F420D">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86</w:t>
                  </w:r>
                </w:p>
              </w:tc>
              <w:tc>
                <w:tcPr>
                  <w:tcW w:w="375" w:type="pct"/>
                  <w:tcBorders>
                    <w:tl2br w:val="nil"/>
                    <w:tr2bl w:val="nil"/>
                  </w:tcBorders>
                  <w:noWrap w:val="0"/>
                  <w:vAlign w:val="center"/>
                </w:tcPr>
                <w:p w14:paraId="6AB025CB">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82</w:t>
                  </w:r>
                </w:p>
              </w:tc>
              <w:tc>
                <w:tcPr>
                  <w:tcW w:w="348" w:type="pct"/>
                  <w:tcBorders>
                    <w:tl2br w:val="nil"/>
                    <w:tr2bl w:val="nil"/>
                  </w:tcBorders>
                  <w:noWrap w:val="0"/>
                  <w:vAlign w:val="center"/>
                </w:tcPr>
                <w:p w14:paraId="7CA0ECAE">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62D2ED6E">
                  <w:pPr>
                    <w:pStyle w:val="12"/>
                    <w:autoSpaceDE w:val="0"/>
                    <w:autoSpaceDN w:val="0"/>
                    <w:spacing w:line="0" w:lineRule="atLeast"/>
                    <w:jc w:val="center"/>
                    <w:rPr>
                      <w:rFonts w:hint="eastAsia" w:eastAsia="宋体"/>
                      <w:bCs/>
                      <w:color w:val="auto"/>
                      <w:kern w:val="0"/>
                      <w:szCs w:val="21"/>
                      <w:highlight w:val="none"/>
                      <w:lang w:val="en-US" w:eastAsia="zh-CN"/>
                    </w:rPr>
                  </w:pPr>
                  <w:r>
                    <w:rPr>
                      <w:rFonts w:hint="eastAsia" w:ascii="Times New Roman" w:hAnsi="Times New Roman"/>
                      <w:color w:val="auto"/>
                      <w:sz w:val="21"/>
                      <w:szCs w:val="21"/>
                      <w:highlight w:val="none"/>
                    </w:rPr>
                    <w:t>3</w:t>
                  </w:r>
                </w:p>
              </w:tc>
              <w:tc>
                <w:tcPr>
                  <w:tcW w:w="360" w:type="pct"/>
                  <w:tcBorders>
                    <w:tl2br w:val="nil"/>
                    <w:tr2bl w:val="nil"/>
                  </w:tcBorders>
                  <w:noWrap w:val="0"/>
                  <w:vAlign w:val="center"/>
                </w:tcPr>
                <w:p w14:paraId="31A25273">
                  <w:pPr>
                    <w:autoSpaceDE w:val="0"/>
                    <w:autoSpaceDN w:val="0"/>
                    <w:jc w:val="center"/>
                    <w:rPr>
                      <w:rFonts w:hint="default" w:eastAsia="宋体"/>
                      <w:bCs/>
                      <w:color w:val="auto"/>
                      <w:kern w:val="0"/>
                      <w:szCs w:val="21"/>
                      <w:highlight w:val="none"/>
                      <w:lang w:val="en-US" w:eastAsia="zh-CN"/>
                    </w:rPr>
                  </w:pPr>
                  <w:r>
                    <w:rPr>
                      <w:rFonts w:hint="eastAsia"/>
                      <w:bCs/>
                      <w:color w:val="auto"/>
                      <w:kern w:val="0"/>
                      <w:szCs w:val="21"/>
                      <w:highlight w:val="none"/>
                    </w:rPr>
                    <w:t>80.4</w:t>
                  </w:r>
                  <w:r>
                    <w:rPr>
                      <w:rFonts w:hint="eastAsia"/>
                      <w:bCs/>
                      <w:color w:val="auto"/>
                      <w:kern w:val="0"/>
                      <w:szCs w:val="21"/>
                      <w:highlight w:val="none"/>
                      <w:lang w:val="en-US" w:eastAsia="zh-CN"/>
                    </w:rPr>
                    <w:t>6</w:t>
                  </w:r>
                </w:p>
              </w:tc>
              <w:tc>
                <w:tcPr>
                  <w:tcW w:w="290" w:type="pct"/>
                  <w:vMerge w:val="continue"/>
                  <w:tcBorders>
                    <w:tl2br w:val="nil"/>
                    <w:tr2bl w:val="nil"/>
                  </w:tcBorders>
                  <w:noWrap w:val="0"/>
                  <w:vAlign w:val="center"/>
                </w:tcPr>
                <w:p w14:paraId="7FFB979F">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220D9762">
                  <w:pPr>
                    <w:autoSpaceDE w:val="0"/>
                    <w:autoSpaceDN w:val="0"/>
                    <w:spacing w:line="0" w:lineRule="atLeast"/>
                    <w:jc w:val="center"/>
                    <w:rPr>
                      <w:rFonts w:hint="eastAsia"/>
                      <w:color w:val="auto"/>
                      <w:szCs w:val="21"/>
                      <w:highlight w:val="none"/>
                    </w:rPr>
                  </w:pPr>
                  <w:r>
                    <w:rPr>
                      <w:rFonts w:hint="eastAsia"/>
                      <w:color w:val="auto"/>
                      <w:szCs w:val="21"/>
                      <w:highlight w:val="none"/>
                    </w:rPr>
                    <w:t>15</w:t>
                  </w:r>
                </w:p>
              </w:tc>
              <w:tc>
                <w:tcPr>
                  <w:tcW w:w="349" w:type="pct"/>
                  <w:tcBorders>
                    <w:tl2br w:val="nil"/>
                    <w:tr2bl w:val="nil"/>
                  </w:tcBorders>
                  <w:noWrap w:val="0"/>
                  <w:vAlign w:val="center"/>
                </w:tcPr>
                <w:p w14:paraId="6A054F43">
                  <w:pPr>
                    <w:jc w:val="center"/>
                    <w:rPr>
                      <w:rFonts w:hint="default" w:eastAsia="宋体"/>
                      <w:color w:val="auto"/>
                      <w:szCs w:val="21"/>
                      <w:highlight w:val="none"/>
                      <w:lang w:val="en-US" w:eastAsia="zh-CN"/>
                    </w:rPr>
                  </w:pPr>
                  <w:r>
                    <w:rPr>
                      <w:rFonts w:hint="eastAsia"/>
                      <w:color w:val="auto"/>
                      <w:szCs w:val="21"/>
                      <w:highlight w:val="none"/>
                      <w:lang w:val="en-US" w:eastAsia="zh-CN"/>
                    </w:rPr>
                    <w:t>65.46</w:t>
                  </w:r>
                </w:p>
              </w:tc>
              <w:tc>
                <w:tcPr>
                  <w:tcW w:w="355" w:type="pct"/>
                  <w:tcBorders>
                    <w:tl2br w:val="nil"/>
                    <w:tr2bl w:val="nil"/>
                  </w:tcBorders>
                  <w:noWrap w:val="0"/>
                  <w:vAlign w:val="center"/>
                </w:tcPr>
                <w:p w14:paraId="0B08E660">
                  <w:pPr>
                    <w:jc w:val="center"/>
                    <w:rPr>
                      <w:rFonts w:hint="eastAsia"/>
                      <w:color w:val="auto"/>
                      <w:szCs w:val="21"/>
                      <w:highlight w:val="none"/>
                    </w:rPr>
                  </w:pPr>
                  <w:r>
                    <w:rPr>
                      <w:rFonts w:hint="eastAsia"/>
                      <w:color w:val="auto"/>
                      <w:szCs w:val="21"/>
                      <w:highlight w:val="none"/>
                    </w:rPr>
                    <w:t>1</w:t>
                  </w:r>
                </w:p>
              </w:tc>
            </w:tr>
            <w:tr w14:paraId="2D7A9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2674F085">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w:t>
                  </w:r>
                </w:p>
              </w:tc>
              <w:tc>
                <w:tcPr>
                  <w:tcW w:w="525" w:type="pct"/>
                  <w:tcBorders>
                    <w:tl2br w:val="nil"/>
                    <w:tr2bl w:val="nil"/>
                  </w:tcBorders>
                  <w:shd w:val="clear" w:color="auto" w:fill="auto"/>
                  <w:noWrap w:val="0"/>
                  <w:vAlign w:val="center"/>
                </w:tcPr>
                <w:p w14:paraId="1235E9A9">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切条机</w:t>
                  </w:r>
                </w:p>
              </w:tc>
              <w:tc>
                <w:tcPr>
                  <w:tcW w:w="479" w:type="pct"/>
                  <w:tcBorders>
                    <w:tl2br w:val="nil"/>
                    <w:tr2bl w:val="nil"/>
                  </w:tcBorders>
                  <w:noWrap w:val="0"/>
                  <w:vAlign w:val="center"/>
                </w:tcPr>
                <w:p w14:paraId="72426073">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80</w:t>
                  </w:r>
                </w:p>
              </w:tc>
              <w:tc>
                <w:tcPr>
                  <w:tcW w:w="539" w:type="pct"/>
                  <w:vMerge w:val="continue"/>
                  <w:tcBorders>
                    <w:tl2br w:val="nil"/>
                    <w:tr2bl w:val="nil"/>
                  </w:tcBorders>
                  <w:noWrap w:val="0"/>
                  <w:vAlign w:val="center"/>
                </w:tcPr>
                <w:p w14:paraId="39196D2E">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707FF43B">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87</w:t>
                  </w:r>
                </w:p>
              </w:tc>
              <w:tc>
                <w:tcPr>
                  <w:tcW w:w="375" w:type="pct"/>
                  <w:tcBorders>
                    <w:tl2br w:val="nil"/>
                    <w:tr2bl w:val="nil"/>
                  </w:tcBorders>
                  <w:noWrap w:val="0"/>
                  <w:vAlign w:val="center"/>
                </w:tcPr>
                <w:p w14:paraId="1DC72B7A">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84</w:t>
                  </w:r>
                </w:p>
              </w:tc>
              <w:tc>
                <w:tcPr>
                  <w:tcW w:w="348" w:type="pct"/>
                  <w:tcBorders>
                    <w:tl2br w:val="nil"/>
                    <w:tr2bl w:val="nil"/>
                  </w:tcBorders>
                  <w:noWrap w:val="0"/>
                  <w:vAlign w:val="center"/>
                </w:tcPr>
                <w:p w14:paraId="210CDB96">
                  <w:pPr>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6ABD9995">
                  <w:pPr>
                    <w:autoSpaceDE w:val="0"/>
                    <w:autoSpaceDN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2</w:t>
                  </w:r>
                </w:p>
              </w:tc>
              <w:tc>
                <w:tcPr>
                  <w:tcW w:w="360" w:type="pct"/>
                  <w:tcBorders>
                    <w:tl2br w:val="nil"/>
                    <w:tr2bl w:val="nil"/>
                  </w:tcBorders>
                  <w:noWrap w:val="0"/>
                  <w:vAlign w:val="center"/>
                </w:tcPr>
                <w:p w14:paraId="4BEDE92F">
                  <w:pPr>
                    <w:autoSpaceDE w:val="0"/>
                    <w:autoSpaceDN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73.98</w:t>
                  </w:r>
                </w:p>
              </w:tc>
              <w:tc>
                <w:tcPr>
                  <w:tcW w:w="290" w:type="pct"/>
                  <w:vMerge w:val="continue"/>
                  <w:tcBorders>
                    <w:tl2br w:val="nil"/>
                    <w:tr2bl w:val="nil"/>
                  </w:tcBorders>
                  <w:noWrap w:val="0"/>
                  <w:vAlign w:val="center"/>
                </w:tcPr>
                <w:p w14:paraId="3BCD9E94">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180E5643">
                  <w:pPr>
                    <w:autoSpaceDE w:val="0"/>
                    <w:autoSpaceDN w:val="0"/>
                    <w:jc w:val="center"/>
                    <w:rPr>
                      <w:rFonts w:hint="eastAsia"/>
                      <w:color w:val="auto"/>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347B1C26">
                  <w:pPr>
                    <w:jc w:val="center"/>
                    <w:rPr>
                      <w:rFonts w:hint="default" w:eastAsia="宋体"/>
                      <w:color w:val="auto"/>
                      <w:szCs w:val="21"/>
                      <w:highlight w:val="none"/>
                      <w:lang w:val="en-US" w:eastAsia="zh-CN"/>
                    </w:rPr>
                  </w:pPr>
                  <w:r>
                    <w:rPr>
                      <w:rFonts w:hint="eastAsia"/>
                      <w:color w:val="auto"/>
                      <w:szCs w:val="21"/>
                      <w:highlight w:val="none"/>
                      <w:lang w:val="en-US" w:eastAsia="zh-CN"/>
                    </w:rPr>
                    <w:t>58.98</w:t>
                  </w:r>
                </w:p>
              </w:tc>
              <w:tc>
                <w:tcPr>
                  <w:tcW w:w="355" w:type="pct"/>
                  <w:tcBorders>
                    <w:tl2br w:val="nil"/>
                    <w:tr2bl w:val="nil"/>
                  </w:tcBorders>
                  <w:noWrap w:val="0"/>
                  <w:vAlign w:val="center"/>
                </w:tcPr>
                <w:p w14:paraId="738FA9D0">
                  <w:pPr>
                    <w:autoSpaceDE w:val="0"/>
                    <w:autoSpaceDN w:val="0"/>
                    <w:jc w:val="center"/>
                    <w:rPr>
                      <w:rFonts w:hint="eastAsia"/>
                      <w:color w:val="auto"/>
                      <w:szCs w:val="21"/>
                      <w:highlight w:val="none"/>
                    </w:rPr>
                  </w:pPr>
                  <w:r>
                    <w:rPr>
                      <w:rFonts w:hint="eastAsia"/>
                      <w:color w:val="auto"/>
                      <w:szCs w:val="21"/>
                      <w:highlight w:val="none"/>
                    </w:rPr>
                    <w:t>1</w:t>
                  </w:r>
                </w:p>
              </w:tc>
            </w:tr>
            <w:tr w14:paraId="25757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shd w:val="clear" w:color="auto" w:fill="auto"/>
                  <w:noWrap w:val="0"/>
                  <w:vAlign w:val="center"/>
                </w:tcPr>
                <w:p w14:paraId="0BE2C4AB">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w:t>
                  </w:r>
                </w:p>
              </w:tc>
              <w:tc>
                <w:tcPr>
                  <w:tcW w:w="525" w:type="pct"/>
                  <w:tcBorders>
                    <w:tl2br w:val="nil"/>
                    <w:tr2bl w:val="nil"/>
                  </w:tcBorders>
                  <w:shd w:val="clear" w:color="auto" w:fill="auto"/>
                  <w:noWrap w:val="0"/>
                  <w:vAlign w:val="center"/>
                </w:tcPr>
                <w:p w14:paraId="3B116BD6">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码坯机</w:t>
                  </w:r>
                </w:p>
              </w:tc>
              <w:tc>
                <w:tcPr>
                  <w:tcW w:w="479" w:type="pct"/>
                  <w:tcBorders>
                    <w:tl2br w:val="nil"/>
                    <w:tr2bl w:val="nil"/>
                  </w:tcBorders>
                  <w:noWrap w:val="0"/>
                  <w:vAlign w:val="center"/>
                </w:tcPr>
                <w:p w14:paraId="7CBF332E">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79031B81">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79FCB3E4">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97</w:t>
                  </w:r>
                </w:p>
              </w:tc>
              <w:tc>
                <w:tcPr>
                  <w:tcW w:w="375" w:type="pct"/>
                  <w:tcBorders>
                    <w:tl2br w:val="nil"/>
                    <w:tr2bl w:val="nil"/>
                  </w:tcBorders>
                  <w:noWrap w:val="0"/>
                  <w:vAlign w:val="center"/>
                </w:tcPr>
                <w:p w14:paraId="6202828D">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85</w:t>
                  </w:r>
                </w:p>
              </w:tc>
              <w:tc>
                <w:tcPr>
                  <w:tcW w:w="348" w:type="pct"/>
                  <w:tcBorders>
                    <w:tl2br w:val="nil"/>
                    <w:tr2bl w:val="nil"/>
                  </w:tcBorders>
                  <w:noWrap w:val="0"/>
                  <w:vAlign w:val="center"/>
                </w:tcPr>
                <w:p w14:paraId="5AE202D3">
                  <w:pPr>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648EE479">
                  <w:pPr>
                    <w:autoSpaceDE w:val="0"/>
                    <w:autoSpaceDN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2</w:t>
                  </w:r>
                </w:p>
              </w:tc>
              <w:tc>
                <w:tcPr>
                  <w:tcW w:w="360" w:type="pct"/>
                  <w:tcBorders>
                    <w:tl2br w:val="nil"/>
                    <w:tr2bl w:val="nil"/>
                  </w:tcBorders>
                  <w:noWrap w:val="0"/>
                  <w:vAlign w:val="center"/>
                </w:tcPr>
                <w:p w14:paraId="20F832DE">
                  <w:pPr>
                    <w:autoSpaceDE w:val="0"/>
                    <w:autoSpaceDN w:val="0"/>
                    <w:jc w:val="center"/>
                    <w:rPr>
                      <w:rFonts w:hint="eastAsia"/>
                      <w:bCs/>
                      <w:color w:val="auto"/>
                      <w:kern w:val="0"/>
                      <w:szCs w:val="21"/>
                      <w:highlight w:val="none"/>
                    </w:rPr>
                  </w:pPr>
                  <w:r>
                    <w:rPr>
                      <w:rFonts w:hint="eastAsia"/>
                      <w:bCs/>
                      <w:color w:val="auto"/>
                      <w:kern w:val="0"/>
                      <w:szCs w:val="21"/>
                      <w:highlight w:val="none"/>
                      <w:lang w:val="en-US" w:eastAsia="zh-CN"/>
                    </w:rPr>
                    <w:t>83.98</w:t>
                  </w:r>
                </w:p>
              </w:tc>
              <w:tc>
                <w:tcPr>
                  <w:tcW w:w="290" w:type="pct"/>
                  <w:vMerge w:val="continue"/>
                  <w:tcBorders>
                    <w:tl2br w:val="nil"/>
                    <w:tr2bl w:val="nil"/>
                  </w:tcBorders>
                  <w:noWrap w:val="0"/>
                  <w:vAlign w:val="center"/>
                </w:tcPr>
                <w:p w14:paraId="444E2340">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34189C01">
                  <w:pPr>
                    <w:autoSpaceDE w:val="0"/>
                    <w:autoSpaceDN w:val="0"/>
                    <w:jc w:val="center"/>
                    <w:rPr>
                      <w:rFonts w:hint="eastAsia"/>
                      <w:color w:val="auto"/>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60B81B41">
                  <w:pPr>
                    <w:jc w:val="center"/>
                    <w:rPr>
                      <w:rFonts w:hint="eastAsia"/>
                      <w:color w:val="auto"/>
                      <w:szCs w:val="21"/>
                      <w:highlight w:val="none"/>
                    </w:rPr>
                  </w:pPr>
                  <w:r>
                    <w:rPr>
                      <w:rFonts w:hint="eastAsia"/>
                      <w:color w:val="auto"/>
                      <w:szCs w:val="21"/>
                      <w:highlight w:val="none"/>
                      <w:lang w:val="en-US" w:eastAsia="zh-CN"/>
                    </w:rPr>
                    <w:t>68.98</w:t>
                  </w:r>
                </w:p>
              </w:tc>
              <w:tc>
                <w:tcPr>
                  <w:tcW w:w="355" w:type="pct"/>
                  <w:tcBorders>
                    <w:tl2br w:val="nil"/>
                    <w:tr2bl w:val="nil"/>
                  </w:tcBorders>
                  <w:noWrap w:val="0"/>
                  <w:vAlign w:val="center"/>
                </w:tcPr>
                <w:p w14:paraId="5951579A">
                  <w:pPr>
                    <w:autoSpaceDE w:val="0"/>
                    <w:autoSpaceDN w:val="0"/>
                    <w:jc w:val="center"/>
                    <w:rPr>
                      <w:rFonts w:hint="eastAsia"/>
                      <w:color w:val="auto"/>
                      <w:szCs w:val="21"/>
                      <w:highlight w:val="none"/>
                    </w:rPr>
                  </w:pPr>
                  <w:r>
                    <w:rPr>
                      <w:rFonts w:hint="eastAsia"/>
                      <w:color w:val="auto"/>
                      <w:szCs w:val="21"/>
                      <w:highlight w:val="none"/>
                    </w:rPr>
                    <w:t>1</w:t>
                  </w:r>
                </w:p>
              </w:tc>
            </w:tr>
            <w:tr w14:paraId="0702B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noWrap w:val="0"/>
                  <w:vAlign w:val="center"/>
                </w:tcPr>
                <w:p w14:paraId="4E9AC76B">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w:t>
                  </w:r>
                </w:p>
              </w:tc>
              <w:tc>
                <w:tcPr>
                  <w:tcW w:w="525" w:type="pct"/>
                  <w:tcBorders>
                    <w:tl2br w:val="nil"/>
                    <w:tr2bl w:val="nil"/>
                  </w:tcBorders>
                  <w:shd w:val="clear" w:color="auto" w:fill="auto"/>
                  <w:noWrap w:val="0"/>
                  <w:vAlign w:val="center"/>
                </w:tcPr>
                <w:p w14:paraId="4ABF5CAD">
                  <w:pPr>
                    <w:widowControl/>
                    <w:spacing w:beforeLines="0" w:afterLines="0" w:line="320" w:lineRule="exact"/>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eastAsia="宋体"/>
                      <w:color w:val="auto"/>
                      <w:sz w:val="21"/>
                      <w:szCs w:val="21"/>
                    </w:rPr>
                    <w:t>废砖回收皮带</w:t>
                  </w:r>
                </w:p>
              </w:tc>
              <w:tc>
                <w:tcPr>
                  <w:tcW w:w="479" w:type="pct"/>
                  <w:tcBorders>
                    <w:tl2br w:val="nil"/>
                    <w:tr2bl w:val="nil"/>
                  </w:tcBorders>
                  <w:noWrap w:val="0"/>
                  <w:vAlign w:val="center"/>
                </w:tcPr>
                <w:p w14:paraId="5430103D">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95</w:t>
                  </w:r>
                </w:p>
              </w:tc>
              <w:tc>
                <w:tcPr>
                  <w:tcW w:w="539" w:type="pct"/>
                  <w:vMerge w:val="continue"/>
                  <w:tcBorders>
                    <w:tl2br w:val="nil"/>
                    <w:tr2bl w:val="nil"/>
                  </w:tcBorders>
                  <w:noWrap w:val="0"/>
                  <w:vAlign w:val="center"/>
                </w:tcPr>
                <w:p w14:paraId="778974EE">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14A3B6C6">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61</w:t>
                  </w:r>
                </w:p>
              </w:tc>
              <w:tc>
                <w:tcPr>
                  <w:tcW w:w="375" w:type="pct"/>
                  <w:tcBorders>
                    <w:tl2br w:val="nil"/>
                    <w:tr2bl w:val="nil"/>
                  </w:tcBorders>
                  <w:noWrap w:val="0"/>
                  <w:vAlign w:val="center"/>
                </w:tcPr>
                <w:p w14:paraId="2628C7CB">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83</w:t>
                  </w:r>
                </w:p>
              </w:tc>
              <w:tc>
                <w:tcPr>
                  <w:tcW w:w="348" w:type="pct"/>
                  <w:tcBorders>
                    <w:tl2br w:val="nil"/>
                    <w:tr2bl w:val="nil"/>
                  </w:tcBorders>
                  <w:noWrap w:val="0"/>
                  <w:vAlign w:val="center"/>
                </w:tcPr>
                <w:p w14:paraId="672384A8">
                  <w:pPr>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632637B4">
                  <w:pPr>
                    <w:autoSpaceDE w:val="0"/>
                    <w:autoSpaceDN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3</w:t>
                  </w:r>
                </w:p>
              </w:tc>
              <w:tc>
                <w:tcPr>
                  <w:tcW w:w="360" w:type="pct"/>
                  <w:tcBorders>
                    <w:tl2br w:val="nil"/>
                    <w:tr2bl w:val="nil"/>
                  </w:tcBorders>
                  <w:noWrap w:val="0"/>
                  <w:vAlign w:val="center"/>
                </w:tcPr>
                <w:p w14:paraId="0CFFBEF2">
                  <w:pPr>
                    <w:autoSpaceDE w:val="0"/>
                    <w:autoSpaceDN w:val="0"/>
                    <w:jc w:val="center"/>
                    <w:rPr>
                      <w:rFonts w:hint="eastAsia"/>
                      <w:bCs/>
                      <w:color w:val="auto"/>
                      <w:kern w:val="0"/>
                      <w:szCs w:val="21"/>
                      <w:highlight w:val="none"/>
                    </w:rPr>
                  </w:pPr>
                  <w:r>
                    <w:rPr>
                      <w:rFonts w:hint="eastAsia" w:ascii="Times New Roman" w:hAnsi="Times New Roman"/>
                      <w:color w:val="auto"/>
                      <w:sz w:val="21"/>
                      <w:szCs w:val="21"/>
                      <w:highlight w:val="none"/>
                    </w:rPr>
                    <w:t>85.4</w:t>
                  </w:r>
                  <w:r>
                    <w:rPr>
                      <w:rFonts w:hint="eastAsia" w:ascii="Times New Roman" w:hAnsi="Times New Roman"/>
                      <w:color w:val="auto"/>
                      <w:sz w:val="21"/>
                      <w:szCs w:val="21"/>
                      <w:highlight w:val="none"/>
                      <w:lang w:val="en-US" w:eastAsia="zh-CN"/>
                    </w:rPr>
                    <w:t>6</w:t>
                  </w:r>
                </w:p>
              </w:tc>
              <w:tc>
                <w:tcPr>
                  <w:tcW w:w="290" w:type="pct"/>
                  <w:vMerge w:val="continue"/>
                  <w:tcBorders>
                    <w:tl2br w:val="nil"/>
                    <w:tr2bl w:val="nil"/>
                  </w:tcBorders>
                  <w:noWrap w:val="0"/>
                  <w:vAlign w:val="center"/>
                </w:tcPr>
                <w:p w14:paraId="6539093A">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52A595F6">
                  <w:pPr>
                    <w:autoSpaceDE w:val="0"/>
                    <w:autoSpaceDN w:val="0"/>
                    <w:jc w:val="center"/>
                    <w:rPr>
                      <w:rFonts w:hint="eastAsia"/>
                      <w:color w:val="auto"/>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5ACC42EF">
                  <w:pPr>
                    <w:jc w:val="center"/>
                    <w:rPr>
                      <w:rFonts w:hint="eastAsia"/>
                      <w:color w:val="auto"/>
                      <w:szCs w:val="21"/>
                      <w:highlight w:val="none"/>
                    </w:rPr>
                  </w:pPr>
                  <w:r>
                    <w:rPr>
                      <w:rFonts w:hint="eastAsia" w:ascii="Times New Roman" w:hAnsi="Times New Roman"/>
                      <w:color w:val="auto"/>
                      <w:sz w:val="21"/>
                      <w:szCs w:val="21"/>
                      <w:highlight w:val="none"/>
                      <w:lang w:val="en-US" w:eastAsia="zh-CN"/>
                    </w:rPr>
                    <w:t>70.46</w:t>
                  </w:r>
                </w:p>
              </w:tc>
              <w:tc>
                <w:tcPr>
                  <w:tcW w:w="355" w:type="pct"/>
                  <w:tcBorders>
                    <w:tl2br w:val="nil"/>
                    <w:tr2bl w:val="nil"/>
                  </w:tcBorders>
                  <w:noWrap w:val="0"/>
                  <w:vAlign w:val="center"/>
                </w:tcPr>
                <w:p w14:paraId="65C1A7F7">
                  <w:pPr>
                    <w:pStyle w:val="12"/>
                    <w:autoSpaceDE w:val="0"/>
                    <w:autoSpaceDN w:val="0"/>
                    <w:spacing w:line="0" w:lineRule="atLeast"/>
                    <w:jc w:val="center"/>
                    <w:rPr>
                      <w:rFonts w:hint="eastAsia"/>
                      <w:color w:val="auto"/>
                      <w:szCs w:val="21"/>
                      <w:highlight w:val="none"/>
                    </w:rPr>
                  </w:pPr>
                  <w:r>
                    <w:rPr>
                      <w:rFonts w:hint="eastAsia" w:ascii="Times New Roman" w:hAnsi="Times New Roman"/>
                      <w:color w:val="auto"/>
                      <w:sz w:val="21"/>
                      <w:szCs w:val="21"/>
                      <w:highlight w:val="none"/>
                    </w:rPr>
                    <w:t>1</w:t>
                  </w:r>
                </w:p>
              </w:tc>
            </w:tr>
            <w:tr w14:paraId="4FF3E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noWrap w:val="0"/>
                  <w:vAlign w:val="center"/>
                </w:tcPr>
                <w:p w14:paraId="040A90C5">
                  <w:pPr>
                    <w:pStyle w:val="12"/>
                    <w:autoSpaceDE w:val="0"/>
                    <w:autoSpaceDN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525" w:type="pct"/>
                  <w:tcBorders>
                    <w:tl2br w:val="nil"/>
                    <w:tr2bl w:val="nil"/>
                  </w:tcBorders>
                  <w:noWrap w:val="0"/>
                  <w:vAlign w:val="center"/>
                </w:tcPr>
                <w:p w14:paraId="396D9263">
                  <w:pPr>
                    <w:keepNext w:val="0"/>
                    <w:keepLines w:val="0"/>
                    <w:pageBreakBefore w:val="0"/>
                    <w:widowControl/>
                    <w:kinsoku w:val="0"/>
                    <w:wordWrap/>
                    <w:overflowPunct/>
                    <w:topLinePunct w:val="0"/>
                    <w:autoSpaceDE w:val="0"/>
                    <w:autoSpaceDN w:val="0"/>
                    <w:bidi w:val="0"/>
                    <w:adjustRightInd w:val="0"/>
                    <w:snapToGrid w:val="0"/>
                    <w:spacing w:line="320" w:lineRule="exact"/>
                    <w:ind w:left="0" w:lef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pacing w:val="-2"/>
                      <w:sz w:val="21"/>
                      <w:szCs w:val="21"/>
                    </w:rPr>
                    <w:t>地轨车卷扬机</w:t>
                  </w:r>
                </w:p>
              </w:tc>
              <w:tc>
                <w:tcPr>
                  <w:tcW w:w="479" w:type="pct"/>
                  <w:tcBorders>
                    <w:tl2br w:val="nil"/>
                    <w:tr2bl w:val="nil"/>
                  </w:tcBorders>
                  <w:noWrap w:val="0"/>
                  <w:vAlign w:val="center"/>
                </w:tcPr>
                <w:p w14:paraId="53D9C6CD">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95</w:t>
                  </w:r>
                </w:p>
              </w:tc>
              <w:tc>
                <w:tcPr>
                  <w:tcW w:w="539" w:type="pct"/>
                  <w:vMerge w:val="continue"/>
                  <w:tcBorders>
                    <w:tl2br w:val="nil"/>
                    <w:tr2bl w:val="nil"/>
                  </w:tcBorders>
                  <w:noWrap w:val="0"/>
                  <w:vAlign w:val="center"/>
                </w:tcPr>
                <w:p w14:paraId="2BFDEFEA">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2C60746D">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60</w:t>
                  </w:r>
                </w:p>
              </w:tc>
              <w:tc>
                <w:tcPr>
                  <w:tcW w:w="375" w:type="pct"/>
                  <w:tcBorders>
                    <w:tl2br w:val="nil"/>
                    <w:tr2bl w:val="nil"/>
                  </w:tcBorders>
                  <w:noWrap w:val="0"/>
                  <w:vAlign w:val="center"/>
                </w:tcPr>
                <w:p w14:paraId="4CADAA38">
                  <w:pPr>
                    <w:pStyle w:val="12"/>
                    <w:autoSpaceDE w:val="0"/>
                    <w:autoSpaceDN w:val="0"/>
                    <w:spacing w:line="0" w:lineRule="atLeas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26</w:t>
                  </w:r>
                </w:p>
              </w:tc>
              <w:tc>
                <w:tcPr>
                  <w:tcW w:w="348" w:type="pct"/>
                  <w:tcBorders>
                    <w:tl2br w:val="nil"/>
                    <w:tr2bl w:val="nil"/>
                  </w:tcBorders>
                  <w:noWrap w:val="0"/>
                  <w:vAlign w:val="center"/>
                </w:tcPr>
                <w:p w14:paraId="21022909">
                  <w:pPr>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1DCE6C5D">
                  <w:pPr>
                    <w:autoSpaceDE w:val="0"/>
                    <w:autoSpaceDN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3</w:t>
                  </w:r>
                </w:p>
              </w:tc>
              <w:tc>
                <w:tcPr>
                  <w:tcW w:w="360" w:type="pct"/>
                  <w:tcBorders>
                    <w:tl2br w:val="nil"/>
                    <w:tr2bl w:val="nil"/>
                  </w:tcBorders>
                  <w:noWrap w:val="0"/>
                  <w:vAlign w:val="center"/>
                </w:tcPr>
                <w:p w14:paraId="1BC4D549">
                  <w:pPr>
                    <w:autoSpaceDE w:val="0"/>
                    <w:autoSpaceDN w:val="0"/>
                    <w:jc w:val="center"/>
                    <w:rPr>
                      <w:rFonts w:hint="eastAsia"/>
                      <w:bCs/>
                      <w:color w:val="auto"/>
                      <w:kern w:val="0"/>
                      <w:szCs w:val="21"/>
                      <w:highlight w:val="none"/>
                    </w:rPr>
                  </w:pPr>
                  <w:r>
                    <w:rPr>
                      <w:rFonts w:hint="eastAsia" w:ascii="Times New Roman" w:hAnsi="Times New Roman"/>
                      <w:color w:val="auto"/>
                      <w:sz w:val="21"/>
                      <w:szCs w:val="21"/>
                      <w:highlight w:val="none"/>
                    </w:rPr>
                    <w:t>85.4</w:t>
                  </w:r>
                  <w:r>
                    <w:rPr>
                      <w:rFonts w:hint="eastAsia" w:ascii="Times New Roman" w:hAnsi="Times New Roman"/>
                      <w:color w:val="auto"/>
                      <w:sz w:val="21"/>
                      <w:szCs w:val="21"/>
                      <w:highlight w:val="none"/>
                      <w:lang w:val="en-US" w:eastAsia="zh-CN"/>
                    </w:rPr>
                    <w:t>6</w:t>
                  </w:r>
                </w:p>
              </w:tc>
              <w:tc>
                <w:tcPr>
                  <w:tcW w:w="290" w:type="pct"/>
                  <w:vMerge w:val="continue"/>
                  <w:tcBorders>
                    <w:tl2br w:val="nil"/>
                    <w:tr2bl w:val="nil"/>
                  </w:tcBorders>
                  <w:noWrap w:val="0"/>
                  <w:vAlign w:val="center"/>
                </w:tcPr>
                <w:p w14:paraId="1A7A8E7D">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53B159B8">
                  <w:pPr>
                    <w:autoSpaceDE w:val="0"/>
                    <w:autoSpaceDN w:val="0"/>
                    <w:jc w:val="center"/>
                    <w:rPr>
                      <w:rFonts w:hint="eastAsia"/>
                      <w:color w:val="auto"/>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4BA74711">
                  <w:pPr>
                    <w:jc w:val="center"/>
                    <w:rPr>
                      <w:rFonts w:hint="eastAsia"/>
                      <w:color w:val="auto"/>
                      <w:szCs w:val="21"/>
                      <w:highlight w:val="none"/>
                    </w:rPr>
                  </w:pPr>
                  <w:r>
                    <w:rPr>
                      <w:rFonts w:hint="eastAsia" w:ascii="Times New Roman" w:hAnsi="Times New Roman"/>
                      <w:color w:val="auto"/>
                      <w:sz w:val="21"/>
                      <w:szCs w:val="21"/>
                      <w:highlight w:val="none"/>
                      <w:lang w:val="en-US" w:eastAsia="zh-CN"/>
                    </w:rPr>
                    <w:t>70.46</w:t>
                  </w:r>
                </w:p>
              </w:tc>
              <w:tc>
                <w:tcPr>
                  <w:tcW w:w="355" w:type="pct"/>
                  <w:tcBorders>
                    <w:tl2br w:val="nil"/>
                    <w:tr2bl w:val="nil"/>
                  </w:tcBorders>
                  <w:noWrap w:val="0"/>
                  <w:vAlign w:val="center"/>
                </w:tcPr>
                <w:p w14:paraId="045F6E05">
                  <w:pPr>
                    <w:autoSpaceDE w:val="0"/>
                    <w:autoSpaceDN w:val="0"/>
                    <w:jc w:val="center"/>
                    <w:rPr>
                      <w:rFonts w:hint="eastAsia"/>
                      <w:color w:val="auto"/>
                      <w:szCs w:val="21"/>
                      <w:highlight w:val="none"/>
                    </w:rPr>
                  </w:pPr>
                  <w:r>
                    <w:rPr>
                      <w:rFonts w:hint="eastAsia"/>
                      <w:color w:val="auto"/>
                      <w:szCs w:val="21"/>
                      <w:highlight w:val="none"/>
                    </w:rPr>
                    <w:t>1</w:t>
                  </w:r>
                </w:p>
              </w:tc>
            </w:tr>
            <w:tr w14:paraId="071D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4" w:type="pct"/>
                  <w:tcBorders>
                    <w:tl2br w:val="nil"/>
                    <w:tr2bl w:val="nil"/>
                  </w:tcBorders>
                  <w:noWrap w:val="0"/>
                  <w:vAlign w:val="center"/>
                </w:tcPr>
                <w:p w14:paraId="7B24917A">
                  <w:pPr>
                    <w:pStyle w:val="12"/>
                    <w:autoSpaceDE w:val="0"/>
                    <w:autoSpaceDN w:val="0"/>
                    <w:spacing w:line="0" w:lineRule="atLeast"/>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11</w:t>
                  </w:r>
                </w:p>
              </w:tc>
              <w:tc>
                <w:tcPr>
                  <w:tcW w:w="525" w:type="pct"/>
                  <w:tcBorders>
                    <w:tl2br w:val="nil"/>
                    <w:tr2bl w:val="nil"/>
                  </w:tcBorders>
                  <w:noWrap w:val="0"/>
                  <w:vAlign w:val="center"/>
                </w:tcPr>
                <w:p w14:paraId="78BDD171">
                  <w:pPr>
                    <w:keepNext w:val="0"/>
                    <w:keepLines w:val="0"/>
                    <w:pageBreakBefore w:val="0"/>
                    <w:widowControl/>
                    <w:kinsoku w:val="0"/>
                    <w:wordWrap/>
                    <w:overflowPunct/>
                    <w:topLinePunct w:val="0"/>
                    <w:autoSpaceDE w:val="0"/>
                    <w:autoSpaceDN w:val="0"/>
                    <w:bidi w:val="0"/>
                    <w:adjustRightInd w:val="0"/>
                    <w:snapToGrid w:val="0"/>
                    <w:spacing w:line="320" w:lineRule="exact"/>
                    <w:ind w:left="0" w:leftChars="0"/>
                    <w:jc w:val="center"/>
                    <w:textAlignment w:val="center"/>
                    <w:rPr>
                      <w:rFonts w:hint="default" w:eastAsia="宋体"/>
                      <w:color w:val="auto"/>
                      <w:spacing w:val="-2"/>
                      <w:sz w:val="21"/>
                      <w:szCs w:val="21"/>
                      <w:lang w:val="en-US" w:eastAsia="zh-CN"/>
                    </w:rPr>
                  </w:pPr>
                  <w:r>
                    <w:rPr>
                      <w:rFonts w:hint="eastAsia"/>
                      <w:color w:val="auto"/>
                      <w:spacing w:val="-2"/>
                      <w:sz w:val="21"/>
                      <w:szCs w:val="21"/>
                      <w:lang w:val="en-US" w:eastAsia="zh-CN"/>
                    </w:rPr>
                    <w:t>打包机</w:t>
                  </w:r>
                </w:p>
              </w:tc>
              <w:tc>
                <w:tcPr>
                  <w:tcW w:w="479" w:type="pct"/>
                  <w:tcBorders>
                    <w:tl2br w:val="nil"/>
                    <w:tr2bl w:val="nil"/>
                  </w:tcBorders>
                  <w:noWrap w:val="0"/>
                  <w:vAlign w:val="center"/>
                </w:tcPr>
                <w:p w14:paraId="5852F819">
                  <w:pPr>
                    <w:pStyle w:val="94"/>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539" w:type="pct"/>
                  <w:vMerge w:val="continue"/>
                  <w:tcBorders>
                    <w:tl2br w:val="nil"/>
                    <w:tr2bl w:val="nil"/>
                  </w:tcBorders>
                  <w:noWrap w:val="0"/>
                  <w:vAlign w:val="center"/>
                </w:tcPr>
                <w:p w14:paraId="6DB303A6">
                  <w:pPr>
                    <w:pStyle w:val="12"/>
                    <w:autoSpaceDE w:val="0"/>
                    <w:autoSpaceDN w:val="0"/>
                    <w:spacing w:line="0" w:lineRule="atLeast"/>
                    <w:jc w:val="center"/>
                    <w:rPr>
                      <w:rFonts w:hint="eastAsia" w:ascii="Times New Roman" w:hAnsi="Times New Roman"/>
                      <w:color w:val="auto"/>
                      <w:sz w:val="21"/>
                      <w:szCs w:val="21"/>
                      <w:highlight w:val="none"/>
                    </w:rPr>
                  </w:pPr>
                </w:p>
              </w:tc>
              <w:tc>
                <w:tcPr>
                  <w:tcW w:w="342" w:type="pct"/>
                  <w:tcBorders>
                    <w:tl2br w:val="nil"/>
                    <w:tr2bl w:val="nil"/>
                  </w:tcBorders>
                  <w:noWrap w:val="0"/>
                  <w:vAlign w:val="center"/>
                </w:tcPr>
                <w:p w14:paraId="26E366FB">
                  <w:pPr>
                    <w:pStyle w:val="12"/>
                    <w:autoSpaceDE w:val="0"/>
                    <w:autoSpaceDN w:val="0"/>
                    <w:spacing w:line="0" w:lineRule="atLeas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98</w:t>
                  </w:r>
                </w:p>
              </w:tc>
              <w:tc>
                <w:tcPr>
                  <w:tcW w:w="375" w:type="pct"/>
                  <w:tcBorders>
                    <w:tl2br w:val="nil"/>
                    <w:tr2bl w:val="nil"/>
                  </w:tcBorders>
                  <w:noWrap w:val="0"/>
                  <w:vAlign w:val="center"/>
                </w:tcPr>
                <w:p w14:paraId="78AB0CE2">
                  <w:pPr>
                    <w:pStyle w:val="12"/>
                    <w:autoSpaceDE w:val="0"/>
                    <w:autoSpaceDN w:val="0"/>
                    <w:spacing w:line="0" w:lineRule="atLeas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82</w:t>
                  </w:r>
                </w:p>
              </w:tc>
              <w:tc>
                <w:tcPr>
                  <w:tcW w:w="348" w:type="pct"/>
                  <w:tcBorders>
                    <w:tl2br w:val="nil"/>
                    <w:tr2bl w:val="nil"/>
                  </w:tcBorders>
                  <w:noWrap w:val="0"/>
                  <w:vAlign w:val="center"/>
                </w:tcPr>
                <w:p w14:paraId="4186FBB3">
                  <w:pPr>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424" w:type="pct"/>
                  <w:tcBorders>
                    <w:tl2br w:val="nil"/>
                    <w:tr2bl w:val="nil"/>
                  </w:tcBorders>
                  <w:noWrap w:val="0"/>
                  <w:vAlign w:val="center"/>
                </w:tcPr>
                <w:p w14:paraId="2249244A">
                  <w:pPr>
                    <w:autoSpaceDE w:val="0"/>
                    <w:autoSpaceDN w:val="0"/>
                    <w:jc w:val="center"/>
                    <w:rPr>
                      <w:rFonts w:hint="eastAsia"/>
                      <w:bCs/>
                      <w:color w:val="auto"/>
                      <w:kern w:val="0"/>
                      <w:szCs w:val="21"/>
                      <w:highlight w:val="none"/>
                      <w:lang w:val="en-US" w:eastAsia="zh-CN"/>
                    </w:rPr>
                  </w:pPr>
                  <w:r>
                    <w:rPr>
                      <w:rFonts w:hint="eastAsia"/>
                      <w:bCs/>
                      <w:color w:val="auto"/>
                      <w:kern w:val="0"/>
                      <w:szCs w:val="21"/>
                      <w:highlight w:val="none"/>
                      <w:lang w:val="en-US" w:eastAsia="zh-CN"/>
                    </w:rPr>
                    <w:t>2</w:t>
                  </w:r>
                </w:p>
              </w:tc>
              <w:tc>
                <w:tcPr>
                  <w:tcW w:w="360" w:type="pct"/>
                  <w:tcBorders>
                    <w:tl2br w:val="nil"/>
                    <w:tr2bl w:val="nil"/>
                  </w:tcBorders>
                  <w:noWrap w:val="0"/>
                  <w:vAlign w:val="center"/>
                </w:tcPr>
                <w:p w14:paraId="53FD0A72">
                  <w:pPr>
                    <w:autoSpaceDE w:val="0"/>
                    <w:autoSpaceDN w:val="0"/>
                    <w:jc w:val="center"/>
                    <w:rPr>
                      <w:rFonts w:hint="eastAsia" w:ascii="Times New Roman" w:hAnsi="Times New Roman"/>
                      <w:color w:val="auto"/>
                      <w:sz w:val="21"/>
                      <w:szCs w:val="21"/>
                      <w:highlight w:val="none"/>
                    </w:rPr>
                  </w:pPr>
                  <w:r>
                    <w:rPr>
                      <w:rFonts w:hint="eastAsia"/>
                      <w:bCs/>
                      <w:color w:val="auto"/>
                      <w:kern w:val="0"/>
                      <w:szCs w:val="21"/>
                      <w:highlight w:val="none"/>
                      <w:lang w:val="en-US" w:eastAsia="zh-CN"/>
                    </w:rPr>
                    <w:t>83.98</w:t>
                  </w:r>
                </w:p>
              </w:tc>
              <w:tc>
                <w:tcPr>
                  <w:tcW w:w="290" w:type="pct"/>
                  <w:vMerge w:val="continue"/>
                  <w:tcBorders>
                    <w:tl2br w:val="nil"/>
                    <w:tr2bl w:val="nil"/>
                  </w:tcBorders>
                  <w:noWrap w:val="0"/>
                  <w:vAlign w:val="center"/>
                </w:tcPr>
                <w:p w14:paraId="68C25DFE">
                  <w:pPr>
                    <w:autoSpaceDE w:val="0"/>
                    <w:autoSpaceDN w:val="0"/>
                    <w:jc w:val="center"/>
                    <w:rPr>
                      <w:bCs/>
                      <w:color w:val="auto"/>
                      <w:kern w:val="0"/>
                      <w:szCs w:val="21"/>
                      <w:highlight w:val="none"/>
                    </w:rPr>
                  </w:pPr>
                </w:p>
              </w:tc>
              <w:tc>
                <w:tcPr>
                  <w:tcW w:w="384" w:type="pct"/>
                  <w:tcBorders>
                    <w:tl2br w:val="nil"/>
                    <w:tr2bl w:val="nil"/>
                  </w:tcBorders>
                  <w:noWrap w:val="0"/>
                  <w:vAlign w:val="center"/>
                </w:tcPr>
                <w:p w14:paraId="1B183153">
                  <w:pPr>
                    <w:autoSpaceDE w:val="0"/>
                    <w:autoSpaceDN w:val="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15</w:t>
                  </w:r>
                </w:p>
              </w:tc>
              <w:tc>
                <w:tcPr>
                  <w:tcW w:w="349" w:type="pct"/>
                  <w:tcBorders>
                    <w:tl2br w:val="nil"/>
                    <w:tr2bl w:val="nil"/>
                  </w:tcBorders>
                  <w:noWrap w:val="0"/>
                  <w:vAlign w:val="center"/>
                </w:tcPr>
                <w:p w14:paraId="5AF3BBC1">
                  <w:pPr>
                    <w:jc w:val="center"/>
                    <w:rPr>
                      <w:rFonts w:hint="eastAsia" w:ascii="Times New Roman" w:hAnsi="Times New Roman"/>
                      <w:color w:val="auto"/>
                      <w:sz w:val="21"/>
                      <w:szCs w:val="21"/>
                      <w:highlight w:val="none"/>
                      <w:lang w:val="en-US" w:eastAsia="zh-CN"/>
                    </w:rPr>
                  </w:pPr>
                  <w:r>
                    <w:rPr>
                      <w:rFonts w:hint="eastAsia"/>
                      <w:color w:val="auto"/>
                      <w:szCs w:val="21"/>
                      <w:highlight w:val="none"/>
                      <w:lang w:val="en-US" w:eastAsia="zh-CN"/>
                    </w:rPr>
                    <w:t>68.98</w:t>
                  </w:r>
                </w:p>
              </w:tc>
              <w:tc>
                <w:tcPr>
                  <w:tcW w:w="355" w:type="pct"/>
                  <w:tcBorders>
                    <w:tl2br w:val="nil"/>
                    <w:tr2bl w:val="nil"/>
                  </w:tcBorders>
                  <w:noWrap w:val="0"/>
                  <w:vAlign w:val="center"/>
                </w:tcPr>
                <w:p w14:paraId="1F82FB75">
                  <w:pPr>
                    <w:pStyle w:val="12"/>
                    <w:autoSpaceDE w:val="0"/>
                    <w:autoSpaceDN w:val="0"/>
                    <w:spacing w:line="0" w:lineRule="atLeast"/>
                    <w:jc w:val="center"/>
                    <w:rPr>
                      <w:rFonts w:hint="eastAsia"/>
                      <w:color w:val="auto"/>
                      <w:szCs w:val="21"/>
                      <w:highlight w:val="none"/>
                    </w:rPr>
                  </w:pPr>
                  <w:r>
                    <w:rPr>
                      <w:rFonts w:hint="eastAsia" w:ascii="Times New Roman" w:hAnsi="Times New Roman"/>
                      <w:color w:val="auto"/>
                      <w:sz w:val="21"/>
                      <w:szCs w:val="21"/>
                      <w:highlight w:val="none"/>
                    </w:rPr>
                    <w:t>1</w:t>
                  </w:r>
                </w:p>
              </w:tc>
            </w:tr>
          </w:tbl>
          <w:p w14:paraId="2DEAC13F">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4-23</w:t>
            </w:r>
            <w:r>
              <w:rPr>
                <w:rFonts w:hint="default" w:ascii="Times New Roman" w:hAnsi="Times New Roman" w:eastAsia="黑体" w:cs="Times New Roman"/>
                <w:b w:val="0"/>
                <w:bCs w:val="0"/>
                <w:color w:val="auto"/>
                <w:kern w:val="2"/>
                <w:sz w:val="24"/>
                <w:szCs w:val="24"/>
                <w:highlight w:val="none"/>
                <w:lang w:val="en-US" w:eastAsia="zh-CN" w:bidi="ar-SA"/>
              </w:rPr>
              <w:t xml:space="preserve">  </w:t>
            </w:r>
            <w:r>
              <w:rPr>
                <w:rFonts w:hint="eastAsia" w:ascii="Times New Roman" w:hAnsi="Times New Roman" w:eastAsia="黑体" w:cs="Times New Roman"/>
                <w:b w:val="0"/>
                <w:bCs w:val="0"/>
                <w:color w:val="auto"/>
                <w:kern w:val="2"/>
                <w:sz w:val="24"/>
                <w:szCs w:val="24"/>
                <w:highlight w:val="none"/>
                <w:lang w:val="en-US" w:eastAsia="zh-CN" w:bidi="ar-SA"/>
              </w:rPr>
              <w:t>改建后</w:t>
            </w:r>
            <w:r>
              <w:rPr>
                <w:rFonts w:hint="default" w:ascii="Times New Roman" w:hAnsi="Times New Roman" w:eastAsia="黑体" w:cs="Times New Roman"/>
                <w:b w:val="0"/>
                <w:bCs w:val="0"/>
                <w:color w:val="auto"/>
                <w:kern w:val="2"/>
                <w:sz w:val="24"/>
                <w:szCs w:val="24"/>
                <w:highlight w:val="none"/>
                <w:lang w:val="en-US" w:eastAsia="zh-CN" w:bidi="ar-SA"/>
              </w:rPr>
              <w:t>工业企业噪声源强调查清单（室</w:t>
            </w:r>
            <w:r>
              <w:rPr>
                <w:rFonts w:hint="eastAsia" w:ascii="Times New Roman" w:hAnsi="Times New Roman" w:eastAsia="黑体" w:cs="Times New Roman"/>
                <w:b w:val="0"/>
                <w:bCs w:val="0"/>
                <w:color w:val="auto"/>
                <w:kern w:val="2"/>
                <w:sz w:val="24"/>
                <w:szCs w:val="24"/>
                <w:highlight w:val="none"/>
                <w:lang w:val="en-US" w:eastAsia="zh-CN" w:bidi="ar-SA"/>
              </w:rPr>
              <w:t>外</w:t>
            </w:r>
            <w:r>
              <w:rPr>
                <w:rFonts w:hint="default" w:ascii="Times New Roman" w:hAnsi="Times New Roman" w:eastAsia="黑体" w:cs="Times New Roman"/>
                <w:b w:val="0"/>
                <w:bCs w:val="0"/>
                <w:color w:val="auto"/>
                <w:kern w:val="2"/>
                <w:sz w:val="24"/>
                <w:szCs w:val="24"/>
                <w:highlight w:val="none"/>
                <w:lang w:val="en-US" w:eastAsia="zh-CN" w:bidi="ar-SA"/>
              </w:rPr>
              <w:t>声源）</w:t>
            </w:r>
          </w:p>
          <w:tbl>
            <w:tblPr>
              <w:tblStyle w:val="23"/>
              <w:tblW w:w="4997"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0"/>
              <w:gridCol w:w="873"/>
              <w:gridCol w:w="568"/>
              <w:gridCol w:w="623"/>
              <w:gridCol w:w="588"/>
              <w:gridCol w:w="2559"/>
              <w:gridCol w:w="1537"/>
              <w:gridCol w:w="1254"/>
            </w:tblGrid>
            <w:tr w14:paraId="43753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0" w:type="pct"/>
                  <w:vMerge w:val="restart"/>
                  <w:tcBorders>
                    <w:tl2br w:val="nil"/>
                    <w:tr2bl w:val="nil"/>
                  </w:tcBorders>
                  <w:noWrap w:val="0"/>
                  <w:vAlign w:val="center"/>
                </w:tcPr>
                <w:p w14:paraId="0FFF9ABF">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521" w:type="pct"/>
                  <w:vMerge w:val="restart"/>
                  <w:tcBorders>
                    <w:tl2br w:val="nil"/>
                    <w:tr2bl w:val="nil"/>
                  </w:tcBorders>
                  <w:noWrap w:val="0"/>
                  <w:vAlign w:val="center"/>
                </w:tcPr>
                <w:p w14:paraId="23E8AE2C">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声源名称</w:t>
                  </w:r>
                </w:p>
              </w:tc>
              <w:tc>
                <w:tcPr>
                  <w:tcW w:w="1062" w:type="pct"/>
                  <w:gridSpan w:val="3"/>
                  <w:tcBorders>
                    <w:tl2br w:val="nil"/>
                    <w:tr2bl w:val="nil"/>
                  </w:tcBorders>
                  <w:noWrap w:val="0"/>
                  <w:vAlign w:val="center"/>
                </w:tcPr>
                <w:p w14:paraId="5BF65BB1">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空间相对位置/m</w:t>
                  </w:r>
                </w:p>
              </w:tc>
              <w:tc>
                <w:tcPr>
                  <w:tcW w:w="1528" w:type="pct"/>
                  <w:vMerge w:val="restart"/>
                  <w:tcBorders>
                    <w:tl2br w:val="nil"/>
                    <w:tr2bl w:val="nil"/>
                  </w:tcBorders>
                  <w:noWrap w:val="0"/>
                  <w:vAlign w:val="center"/>
                </w:tcPr>
                <w:p w14:paraId="2B3FC9ED">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（声压级/距声源距离）/</w:t>
                  </w:r>
                  <w:r>
                    <w:rPr>
                      <w:rFonts w:ascii="Times New Roman" w:hAnsi="Times New Roman"/>
                      <w:b/>
                      <w:bCs/>
                      <w:color w:val="auto"/>
                      <w:sz w:val="21"/>
                      <w:szCs w:val="21"/>
                      <w:highlight w:val="none"/>
                    </w:rPr>
                    <w:t>dB(A)</w:t>
                  </w:r>
                </w:p>
              </w:tc>
              <w:tc>
                <w:tcPr>
                  <w:tcW w:w="917" w:type="pct"/>
                  <w:vMerge w:val="restart"/>
                  <w:tcBorders>
                    <w:tl2br w:val="nil"/>
                    <w:tr2bl w:val="nil"/>
                  </w:tcBorders>
                  <w:noWrap w:val="0"/>
                  <w:vAlign w:val="center"/>
                </w:tcPr>
                <w:p w14:paraId="15CEB44E">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声源控制措施</w:t>
                  </w:r>
                </w:p>
              </w:tc>
              <w:tc>
                <w:tcPr>
                  <w:tcW w:w="748" w:type="pct"/>
                  <w:vMerge w:val="restart"/>
                  <w:tcBorders>
                    <w:tl2br w:val="nil"/>
                    <w:tr2bl w:val="nil"/>
                  </w:tcBorders>
                  <w:noWrap w:val="0"/>
                  <w:vAlign w:val="center"/>
                </w:tcPr>
                <w:p w14:paraId="2D0FD555">
                  <w:pPr>
                    <w:pStyle w:val="12"/>
                    <w:autoSpaceDE w:val="0"/>
                    <w:autoSpaceDN w:val="0"/>
                    <w:spacing w:line="0" w:lineRule="atLeas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运行时段</w:t>
                  </w:r>
                </w:p>
              </w:tc>
            </w:tr>
            <w:tr w14:paraId="44128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0" w:type="pct"/>
                  <w:vMerge w:val="continue"/>
                  <w:tcBorders>
                    <w:tl2br w:val="nil"/>
                    <w:tr2bl w:val="nil"/>
                  </w:tcBorders>
                  <w:noWrap w:val="0"/>
                  <w:vAlign w:val="center"/>
                </w:tcPr>
                <w:p w14:paraId="6815749C">
                  <w:pPr>
                    <w:pStyle w:val="12"/>
                    <w:autoSpaceDE w:val="0"/>
                    <w:autoSpaceDN w:val="0"/>
                    <w:spacing w:line="0" w:lineRule="atLeast"/>
                    <w:jc w:val="center"/>
                    <w:rPr>
                      <w:rFonts w:ascii="Times New Roman" w:hAnsi="Times New Roman"/>
                      <w:color w:val="auto"/>
                      <w:sz w:val="21"/>
                      <w:szCs w:val="21"/>
                      <w:highlight w:val="none"/>
                    </w:rPr>
                  </w:pPr>
                </w:p>
              </w:tc>
              <w:tc>
                <w:tcPr>
                  <w:tcW w:w="521" w:type="pct"/>
                  <w:vMerge w:val="continue"/>
                  <w:tcBorders>
                    <w:tl2br w:val="nil"/>
                    <w:tr2bl w:val="nil"/>
                  </w:tcBorders>
                  <w:noWrap w:val="0"/>
                  <w:vAlign w:val="center"/>
                </w:tcPr>
                <w:p w14:paraId="597C356B">
                  <w:pPr>
                    <w:pStyle w:val="12"/>
                    <w:autoSpaceDE w:val="0"/>
                    <w:autoSpaceDN w:val="0"/>
                    <w:spacing w:line="0" w:lineRule="atLeast"/>
                    <w:jc w:val="center"/>
                    <w:rPr>
                      <w:rFonts w:ascii="Times New Roman" w:hAnsi="Times New Roman"/>
                      <w:color w:val="auto"/>
                      <w:sz w:val="21"/>
                      <w:szCs w:val="21"/>
                      <w:highlight w:val="none"/>
                    </w:rPr>
                  </w:pPr>
                </w:p>
              </w:tc>
              <w:tc>
                <w:tcPr>
                  <w:tcW w:w="339" w:type="pct"/>
                  <w:tcBorders>
                    <w:tl2br w:val="nil"/>
                    <w:tr2bl w:val="nil"/>
                  </w:tcBorders>
                  <w:noWrap w:val="0"/>
                  <w:vAlign w:val="center"/>
                </w:tcPr>
                <w:p w14:paraId="482292C9">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X</w:t>
                  </w:r>
                </w:p>
              </w:tc>
              <w:tc>
                <w:tcPr>
                  <w:tcW w:w="372" w:type="pct"/>
                  <w:tcBorders>
                    <w:tl2br w:val="nil"/>
                    <w:tr2bl w:val="nil"/>
                  </w:tcBorders>
                  <w:noWrap w:val="0"/>
                  <w:vAlign w:val="center"/>
                </w:tcPr>
                <w:p w14:paraId="28963ADD">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Y</w:t>
                  </w:r>
                </w:p>
              </w:tc>
              <w:tc>
                <w:tcPr>
                  <w:tcW w:w="351" w:type="pct"/>
                  <w:tcBorders>
                    <w:tl2br w:val="nil"/>
                    <w:tr2bl w:val="nil"/>
                  </w:tcBorders>
                  <w:noWrap w:val="0"/>
                  <w:vAlign w:val="center"/>
                </w:tcPr>
                <w:p w14:paraId="431751BA">
                  <w:pPr>
                    <w:pStyle w:val="12"/>
                    <w:autoSpaceDE w:val="0"/>
                    <w:autoSpaceDN w:val="0"/>
                    <w:spacing w:line="0" w:lineRule="atLeas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Z</w:t>
                  </w:r>
                </w:p>
              </w:tc>
              <w:tc>
                <w:tcPr>
                  <w:tcW w:w="1528" w:type="pct"/>
                  <w:vMerge w:val="continue"/>
                  <w:tcBorders>
                    <w:tl2br w:val="nil"/>
                    <w:tr2bl w:val="nil"/>
                  </w:tcBorders>
                  <w:noWrap w:val="0"/>
                  <w:vAlign w:val="center"/>
                </w:tcPr>
                <w:p w14:paraId="43B1C038">
                  <w:pPr>
                    <w:pStyle w:val="12"/>
                    <w:autoSpaceDE w:val="0"/>
                    <w:autoSpaceDN w:val="0"/>
                    <w:spacing w:line="0" w:lineRule="atLeast"/>
                    <w:jc w:val="center"/>
                    <w:rPr>
                      <w:rFonts w:ascii="Times New Roman" w:hAnsi="Times New Roman"/>
                      <w:color w:val="auto"/>
                      <w:sz w:val="21"/>
                      <w:szCs w:val="21"/>
                      <w:highlight w:val="none"/>
                    </w:rPr>
                  </w:pPr>
                </w:p>
              </w:tc>
              <w:tc>
                <w:tcPr>
                  <w:tcW w:w="917" w:type="pct"/>
                  <w:vMerge w:val="continue"/>
                  <w:tcBorders>
                    <w:tl2br w:val="nil"/>
                    <w:tr2bl w:val="nil"/>
                  </w:tcBorders>
                  <w:noWrap w:val="0"/>
                  <w:vAlign w:val="center"/>
                </w:tcPr>
                <w:p w14:paraId="4E51ADAD">
                  <w:pPr>
                    <w:pStyle w:val="12"/>
                    <w:autoSpaceDE w:val="0"/>
                    <w:autoSpaceDN w:val="0"/>
                    <w:spacing w:line="0" w:lineRule="atLeast"/>
                    <w:jc w:val="center"/>
                    <w:rPr>
                      <w:rFonts w:ascii="Times New Roman" w:hAnsi="Times New Roman"/>
                      <w:color w:val="auto"/>
                      <w:sz w:val="21"/>
                      <w:szCs w:val="21"/>
                      <w:highlight w:val="none"/>
                    </w:rPr>
                  </w:pPr>
                </w:p>
              </w:tc>
              <w:tc>
                <w:tcPr>
                  <w:tcW w:w="748" w:type="pct"/>
                  <w:vMerge w:val="continue"/>
                  <w:tcBorders>
                    <w:tl2br w:val="nil"/>
                    <w:tr2bl w:val="nil"/>
                  </w:tcBorders>
                  <w:noWrap w:val="0"/>
                  <w:vAlign w:val="center"/>
                </w:tcPr>
                <w:p w14:paraId="14896219">
                  <w:pPr>
                    <w:pStyle w:val="12"/>
                    <w:autoSpaceDE w:val="0"/>
                    <w:autoSpaceDN w:val="0"/>
                    <w:spacing w:line="0" w:lineRule="atLeast"/>
                    <w:jc w:val="center"/>
                    <w:rPr>
                      <w:rFonts w:ascii="Times New Roman" w:hAnsi="Times New Roman"/>
                      <w:color w:val="auto"/>
                      <w:sz w:val="21"/>
                      <w:szCs w:val="21"/>
                      <w:highlight w:val="none"/>
                    </w:rPr>
                  </w:pPr>
                </w:p>
              </w:tc>
            </w:tr>
            <w:tr w14:paraId="34F9C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20" w:type="pct"/>
                  <w:tcBorders>
                    <w:tl2br w:val="nil"/>
                    <w:tr2bl w:val="nil"/>
                  </w:tcBorders>
                  <w:noWrap w:val="0"/>
                  <w:vAlign w:val="center"/>
                </w:tcPr>
                <w:p w14:paraId="04318B23">
                  <w:pPr>
                    <w:pStyle w:val="12"/>
                    <w:autoSpaceDE w:val="0"/>
                    <w:autoSpaceDN w:val="0"/>
                    <w:spacing w:line="0" w:lineRule="atLeast"/>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521" w:type="pct"/>
                  <w:tcBorders>
                    <w:tl2br w:val="nil"/>
                    <w:tr2bl w:val="nil"/>
                  </w:tcBorders>
                  <w:noWrap w:val="0"/>
                  <w:vAlign w:val="center"/>
                </w:tcPr>
                <w:p w14:paraId="7CCC0872">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风机</w:t>
                  </w:r>
                </w:p>
              </w:tc>
              <w:tc>
                <w:tcPr>
                  <w:tcW w:w="339" w:type="pct"/>
                  <w:tcBorders>
                    <w:tl2br w:val="nil"/>
                    <w:tr2bl w:val="nil"/>
                  </w:tcBorders>
                  <w:noWrap w:val="0"/>
                  <w:vAlign w:val="center"/>
                </w:tcPr>
                <w:p w14:paraId="076C7CE6">
                  <w:pPr>
                    <w:autoSpaceDE w:val="0"/>
                    <w:autoSpaceDN w:val="0"/>
                    <w:spacing w:line="0" w:lineRule="atLeast"/>
                    <w:jc w:val="center"/>
                    <w:rPr>
                      <w:rFonts w:hint="eastAsia" w:eastAsia="宋体"/>
                      <w:color w:val="auto"/>
                      <w:kern w:val="0"/>
                      <w:szCs w:val="21"/>
                      <w:highlight w:val="none"/>
                      <w:lang w:eastAsia="zh-CN"/>
                    </w:rPr>
                  </w:pPr>
                  <w:r>
                    <w:rPr>
                      <w:rFonts w:hint="eastAsia"/>
                      <w:color w:val="auto"/>
                      <w:kern w:val="0"/>
                      <w:szCs w:val="21"/>
                      <w:highlight w:val="none"/>
                      <w:lang w:val="en-US" w:eastAsia="zh-CN"/>
                    </w:rPr>
                    <w:t>4</w:t>
                  </w:r>
                </w:p>
              </w:tc>
              <w:tc>
                <w:tcPr>
                  <w:tcW w:w="372" w:type="pct"/>
                  <w:tcBorders>
                    <w:tl2br w:val="nil"/>
                    <w:tr2bl w:val="nil"/>
                  </w:tcBorders>
                  <w:noWrap w:val="0"/>
                  <w:vAlign w:val="center"/>
                </w:tcPr>
                <w:p w14:paraId="5DEB3997">
                  <w:pPr>
                    <w:autoSpaceDE w:val="0"/>
                    <w:autoSpaceDN w:val="0"/>
                    <w:spacing w:line="0" w:lineRule="atLeas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37</w:t>
                  </w:r>
                </w:p>
              </w:tc>
              <w:tc>
                <w:tcPr>
                  <w:tcW w:w="351" w:type="pct"/>
                  <w:tcBorders>
                    <w:tl2br w:val="nil"/>
                    <w:tr2bl w:val="nil"/>
                  </w:tcBorders>
                  <w:noWrap w:val="0"/>
                  <w:vAlign w:val="center"/>
                </w:tcPr>
                <w:p w14:paraId="78444984">
                  <w:pPr>
                    <w:autoSpaceDE w:val="0"/>
                    <w:autoSpaceDN w:val="0"/>
                    <w:spacing w:line="0" w:lineRule="atLeast"/>
                    <w:jc w:val="center"/>
                    <w:rPr>
                      <w:rFonts w:hint="eastAsia" w:eastAsia="宋体"/>
                      <w:color w:val="auto"/>
                      <w:kern w:val="0"/>
                      <w:szCs w:val="21"/>
                      <w:highlight w:val="none"/>
                      <w:lang w:eastAsia="zh-CN"/>
                    </w:rPr>
                  </w:pPr>
                  <w:r>
                    <w:rPr>
                      <w:rFonts w:hint="eastAsia"/>
                      <w:color w:val="auto"/>
                      <w:kern w:val="0"/>
                      <w:szCs w:val="21"/>
                      <w:highlight w:val="none"/>
                      <w:lang w:val="en-US" w:eastAsia="zh-CN"/>
                    </w:rPr>
                    <w:t>1</w:t>
                  </w:r>
                </w:p>
              </w:tc>
              <w:tc>
                <w:tcPr>
                  <w:tcW w:w="1528" w:type="pct"/>
                  <w:tcBorders>
                    <w:tl2br w:val="nil"/>
                    <w:tr2bl w:val="nil"/>
                  </w:tcBorders>
                  <w:noWrap w:val="0"/>
                  <w:vAlign w:val="center"/>
                </w:tcPr>
                <w:p w14:paraId="2E34F544">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95/1</w:t>
                  </w:r>
                </w:p>
              </w:tc>
              <w:tc>
                <w:tcPr>
                  <w:tcW w:w="917" w:type="pct"/>
                  <w:tcBorders>
                    <w:tl2br w:val="nil"/>
                    <w:tr2bl w:val="nil"/>
                  </w:tcBorders>
                  <w:noWrap w:val="0"/>
                  <w:vAlign w:val="center"/>
                </w:tcPr>
                <w:p w14:paraId="24E8A323">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基础减震</w:t>
                  </w:r>
                </w:p>
              </w:tc>
              <w:tc>
                <w:tcPr>
                  <w:tcW w:w="748" w:type="pct"/>
                  <w:tcBorders>
                    <w:tl2br w:val="nil"/>
                    <w:tr2bl w:val="nil"/>
                  </w:tcBorders>
                  <w:noWrap w:val="0"/>
                  <w:vAlign w:val="center"/>
                </w:tcPr>
                <w:p w14:paraId="22479A4E">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连续运行</w:t>
                  </w:r>
                </w:p>
              </w:tc>
            </w:tr>
            <w:tr w14:paraId="59BB1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0" w:type="pct"/>
                  <w:tcBorders>
                    <w:tl2br w:val="nil"/>
                    <w:tr2bl w:val="nil"/>
                  </w:tcBorders>
                  <w:noWrap w:val="0"/>
                  <w:vAlign w:val="center"/>
                </w:tcPr>
                <w:p w14:paraId="2AC31775">
                  <w:pPr>
                    <w:pStyle w:val="12"/>
                    <w:autoSpaceDE w:val="0"/>
                    <w:autoSpaceDN w:val="0"/>
                    <w:spacing w:line="0" w:lineRule="atLeas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521" w:type="pct"/>
                  <w:tcBorders>
                    <w:tl2br w:val="nil"/>
                    <w:tr2bl w:val="nil"/>
                  </w:tcBorders>
                  <w:noWrap w:val="0"/>
                  <w:vAlign w:val="center"/>
                </w:tcPr>
                <w:p w14:paraId="5108F01C">
                  <w:pPr>
                    <w:spacing w:line="320" w:lineRule="exact"/>
                    <w:ind w:left="-42" w:leftChars="-20" w:right="-42" w:rightChars="-20"/>
                    <w:jc w:val="center"/>
                    <w:rPr>
                      <w:color w:val="auto"/>
                      <w:kern w:val="0"/>
                      <w:szCs w:val="21"/>
                      <w:highlight w:val="none"/>
                      <w:lang w:bidi="ar"/>
                    </w:rPr>
                  </w:pPr>
                  <w:r>
                    <w:rPr>
                      <w:rFonts w:hint="eastAsia"/>
                      <w:color w:val="auto"/>
                      <w:highlight w:val="none"/>
                    </w:rPr>
                    <w:t>泵类</w:t>
                  </w:r>
                </w:p>
              </w:tc>
              <w:tc>
                <w:tcPr>
                  <w:tcW w:w="339" w:type="pct"/>
                  <w:tcBorders>
                    <w:tl2br w:val="nil"/>
                    <w:tr2bl w:val="nil"/>
                  </w:tcBorders>
                  <w:noWrap w:val="0"/>
                  <w:vAlign w:val="center"/>
                </w:tcPr>
                <w:p w14:paraId="03A86345">
                  <w:pPr>
                    <w:autoSpaceDE w:val="0"/>
                    <w:autoSpaceDN w:val="0"/>
                    <w:spacing w:line="0" w:lineRule="atLeast"/>
                    <w:jc w:val="center"/>
                    <w:rPr>
                      <w:rFonts w:hint="eastAsia" w:eastAsia="宋体"/>
                      <w:color w:val="auto"/>
                      <w:szCs w:val="21"/>
                      <w:highlight w:val="none"/>
                      <w:lang w:eastAsia="zh-CN"/>
                    </w:rPr>
                  </w:pPr>
                  <w:r>
                    <w:rPr>
                      <w:rFonts w:hint="eastAsia"/>
                      <w:color w:val="auto"/>
                      <w:kern w:val="0"/>
                      <w:szCs w:val="21"/>
                      <w:highlight w:val="none"/>
                      <w:lang w:val="en-US" w:eastAsia="zh-CN"/>
                    </w:rPr>
                    <w:t>5</w:t>
                  </w:r>
                </w:p>
              </w:tc>
              <w:tc>
                <w:tcPr>
                  <w:tcW w:w="372" w:type="pct"/>
                  <w:tcBorders>
                    <w:tl2br w:val="nil"/>
                    <w:tr2bl w:val="nil"/>
                  </w:tcBorders>
                  <w:noWrap w:val="0"/>
                  <w:vAlign w:val="center"/>
                </w:tcPr>
                <w:p w14:paraId="4D0DB4C6">
                  <w:pPr>
                    <w:autoSpaceDE w:val="0"/>
                    <w:autoSpaceDN w:val="0"/>
                    <w:spacing w:line="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35</w:t>
                  </w:r>
                </w:p>
              </w:tc>
              <w:tc>
                <w:tcPr>
                  <w:tcW w:w="351" w:type="pct"/>
                  <w:tcBorders>
                    <w:tl2br w:val="nil"/>
                    <w:tr2bl w:val="nil"/>
                  </w:tcBorders>
                  <w:noWrap w:val="0"/>
                  <w:vAlign w:val="center"/>
                </w:tcPr>
                <w:p w14:paraId="1F16B0F0">
                  <w:pPr>
                    <w:autoSpaceDE w:val="0"/>
                    <w:autoSpaceDN w:val="0"/>
                    <w:spacing w:line="0" w:lineRule="atLeast"/>
                    <w:jc w:val="center"/>
                    <w:rPr>
                      <w:rFonts w:hint="eastAsia" w:eastAsia="宋体"/>
                      <w:color w:val="auto"/>
                      <w:szCs w:val="21"/>
                      <w:highlight w:val="none"/>
                      <w:lang w:eastAsia="zh-CN"/>
                    </w:rPr>
                  </w:pPr>
                  <w:r>
                    <w:rPr>
                      <w:rFonts w:hint="eastAsia"/>
                      <w:color w:val="auto"/>
                      <w:kern w:val="0"/>
                      <w:szCs w:val="21"/>
                      <w:highlight w:val="none"/>
                      <w:lang w:val="en-US" w:eastAsia="zh-CN"/>
                    </w:rPr>
                    <w:t>1</w:t>
                  </w:r>
                </w:p>
              </w:tc>
              <w:tc>
                <w:tcPr>
                  <w:tcW w:w="1528" w:type="pct"/>
                  <w:tcBorders>
                    <w:tl2br w:val="nil"/>
                    <w:tr2bl w:val="nil"/>
                  </w:tcBorders>
                  <w:noWrap w:val="0"/>
                  <w:vAlign w:val="center"/>
                </w:tcPr>
                <w:p w14:paraId="0E1EE487">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100/1</w:t>
                  </w:r>
                </w:p>
              </w:tc>
              <w:tc>
                <w:tcPr>
                  <w:tcW w:w="917" w:type="pct"/>
                  <w:tcBorders>
                    <w:tl2br w:val="nil"/>
                    <w:tr2bl w:val="nil"/>
                  </w:tcBorders>
                  <w:noWrap w:val="0"/>
                  <w:vAlign w:val="center"/>
                </w:tcPr>
                <w:p w14:paraId="6C59F99C">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基础减震</w:t>
                  </w:r>
                </w:p>
              </w:tc>
              <w:tc>
                <w:tcPr>
                  <w:tcW w:w="748" w:type="pct"/>
                  <w:tcBorders>
                    <w:tl2br w:val="nil"/>
                    <w:tr2bl w:val="nil"/>
                  </w:tcBorders>
                  <w:noWrap w:val="0"/>
                  <w:vAlign w:val="center"/>
                </w:tcPr>
                <w:p w14:paraId="7F0C358B">
                  <w:pPr>
                    <w:pStyle w:val="12"/>
                    <w:autoSpaceDE w:val="0"/>
                    <w:autoSpaceDN w:val="0"/>
                    <w:spacing w:line="0" w:lineRule="atLeas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连续运行</w:t>
                  </w:r>
                </w:p>
              </w:tc>
            </w:tr>
          </w:tbl>
          <w:p w14:paraId="116492F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cs="Times New Roman"/>
                <w:b/>
                <w:bCs/>
                <w:color w:val="auto"/>
                <w:sz w:val="24"/>
                <w:highlight w:val="none"/>
              </w:rPr>
            </w:pPr>
            <w:r>
              <w:rPr>
                <w:rFonts w:hint="default" w:ascii="Times New Roman" w:hAnsi="Times New Roman" w:eastAsia="宋体" w:cs="Times New Roman"/>
                <w:b/>
                <w:bCs w:val="0"/>
                <w:color w:val="auto"/>
                <w:kern w:val="2"/>
                <w:sz w:val="24"/>
                <w:szCs w:val="24"/>
                <w:highlight w:val="none"/>
                <w:lang w:val="en-US" w:eastAsia="zh-CN" w:bidi="ar-SA"/>
              </w:rPr>
              <w:t>4.3.</w:t>
            </w:r>
            <w:r>
              <w:rPr>
                <w:rFonts w:hint="eastAsia" w:ascii="Times New Roman" w:hAnsi="Times New Roman" w:eastAsia="宋体" w:cs="Times New Roman"/>
                <w:b/>
                <w:bCs w:val="0"/>
                <w:color w:val="auto"/>
                <w:kern w:val="2"/>
                <w:sz w:val="24"/>
                <w:szCs w:val="24"/>
                <w:highlight w:val="none"/>
                <w:lang w:val="en-US" w:eastAsia="zh-CN" w:bidi="ar-SA"/>
              </w:rPr>
              <w:t xml:space="preserve">2 </w:t>
            </w:r>
            <w:r>
              <w:rPr>
                <w:rFonts w:hint="default" w:ascii="Times New Roman" w:hAnsi="Times New Roman" w:cs="Times New Roman"/>
                <w:b/>
                <w:bCs/>
                <w:color w:val="auto"/>
                <w:sz w:val="24"/>
                <w:highlight w:val="none"/>
              </w:rPr>
              <w:t>噪声污染防治措施</w:t>
            </w:r>
          </w:p>
          <w:p w14:paraId="5ECF582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项目对高噪声设备采取以下措施对其降噪：</w:t>
            </w:r>
          </w:p>
          <w:p w14:paraId="3BC25CD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①设备选型：建议在满足生产要求的前提下，尽量选用低噪声设备。</w:t>
            </w:r>
          </w:p>
          <w:p w14:paraId="16E0C37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②合理布局：按照《工业企业噪声控制设计规范》对厂内主要噪声源合理布局。车间工艺设计时，高噪声工段与低噪声工段宜分开布置。高噪声设备宜集中布置，并设置在厂房内，隔声效果约</w:t>
            </w:r>
            <w:r>
              <w:rPr>
                <w:rFonts w:hint="eastAsia" w:ascii="Times New Roman" w:hAnsi="Times New Roman" w:eastAsia="宋体" w:cs="Times New Roman"/>
                <w:b w:val="0"/>
                <w:bCs/>
                <w:color w:val="auto"/>
                <w:kern w:val="2"/>
                <w:sz w:val="24"/>
                <w:szCs w:val="24"/>
                <w:highlight w:val="none"/>
                <w:lang w:val="en-US" w:eastAsia="zh-CN" w:bidi="ar-SA"/>
              </w:rPr>
              <w:t>15</w:t>
            </w:r>
            <w:r>
              <w:rPr>
                <w:rFonts w:hint="default" w:ascii="Times New Roman" w:hAnsi="Times New Roman" w:eastAsia="宋体" w:cs="Times New Roman"/>
                <w:b w:val="0"/>
                <w:bCs/>
                <w:color w:val="auto"/>
                <w:kern w:val="2"/>
                <w:sz w:val="24"/>
                <w:szCs w:val="24"/>
                <w:highlight w:val="none"/>
                <w:lang w:val="en-US" w:eastAsia="zh-CN" w:bidi="ar-SA"/>
              </w:rPr>
              <w:t>-30dB（A）。</w:t>
            </w:r>
          </w:p>
          <w:p w14:paraId="757DE8F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③减震降噪措施：安装橡胶垫减震，并采用软性连接，降噪量约10dB（A）。</w:t>
            </w:r>
          </w:p>
          <w:p w14:paraId="7BB1AFBD">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④风机等动力设备：选用低噪声的动力设备，安装局部隔声罩或部分吸声结构，以降低噪声传播的强度。对集中布置的高噪声设备，采用隔声间。对分散布置的高噪声设备，采用隔声罩。降低风机等设备传播的空气动力性噪声，在进、排气管路上采取消声措施。</w:t>
            </w:r>
          </w:p>
          <w:p w14:paraId="515E87C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⑤强化生产管理：确保降噪设施的有效运行，并加强对生产设备的保养、检修与润滑，保证设备处于良好的运转状态。</w:t>
            </w:r>
          </w:p>
          <w:p w14:paraId="1F2795F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通过采取以上噪声治理措施后，可以有效的降低生产设备的固体传声和空气传声，使厂区设备产生的噪声降低25dB（A）以上。</w:t>
            </w:r>
          </w:p>
          <w:p w14:paraId="5EA6790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color w:val="auto"/>
                <w:highlight w:val="none"/>
                <w:lang w:val="en-US" w:eastAsia="zh-CN"/>
              </w:rPr>
            </w:pPr>
            <w:r>
              <w:rPr>
                <w:rFonts w:hint="default" w:ascii="Times New Roman" w:hAnsi="Times New Roman" w:eastAsia="宋体" w:cs="Times New Roman"/>
                <w:b/>
                <w:bCs w:val="0"/>
                <w:color w:val="auto"/>
                <w:kern w:val="2"/>
                <w:sz w:val="24"/>
                <w:szCs w:val="24"/>
                <w:highlight w:val="none"/>
                <w:lang w:val="en-US" w:eastAsia="zh-CN" w:bidi="ar-SA"/>
              </w:rPr>
              <w:t>4.3.</w:t>
            </w:r>
            <w:r>
              <w:rPr>
                <w:rFonts w:hint="eastAsia" w:ascii="Times New Roman" w:hAnsi="Times New Roman" w:eastAsia="宋体" w:cs="Times New Roman"/>
                <w:b/>
                <w:bCs w:val="0"/>
                <w:color w:val="auto"/>
                <w:kern w:val="2"/>
                <w:sz w:val="24"/>
                <w:szCs w:val="24"/>
                <w:highlight w:val="none"/>
                <w:lang w:val="en-US" w:eastAsia="zh-CN" w:bidi="ar-SA"/>
              </w:rPr>
              <w:t xml:space="preserve">3 </w:t>
            </w:r>
            <w:r>
              <w:rPr>
                <w:rFonts w:hint="default" w:ascii="Times New Roman" w:hAnsi="Times New Roman" w:eastAsia="宋体" w:cs="Times New Roman"/>
                <w:b/>
                <w:bCs w:val="0"/>
                <w:color w:val="auto"/>
                <w:kern w:val="2"/>
                <w:sz w:val="24"/>
                <w:szCs w:val="24"/>
                <w:highlight w:val="none"/>
                <w:lang w:val="en-US" w:eastAsia="zh-CN" w:bidi="ar-SA"/>
              </w:rPr>
              <w:t>噪声预测及达标情况</w:t>
            </w:r>
          </w:p>
          <w:p w14:paraId="5571CAF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结合项目所在区域的环境噪声现状值、项目自身噪声源强等，本评价采用《环境影响评价技术导则声环境》（HJ2.4-2021）中噪声预测计算模式，附录A中的相关公式进行计算。</w:t>
            </w:r>
          </w:p>
          <w:p w14:paraId="32484A70">
            <w:pPr>
              <w:keepNext w:val="0"/>
              <w:keepLines w:val="0"/>
              <w:pageBreakBefore w:val="0"/>
              <w:widowControl w:val="0"/>
              <w:kinsoku/>
              <w:wordWrap/>
              <w:overflowPunct/>
              <w:topLinePunct w:val="0"/>
              <w:autoSpaceDE/>
              <w:autoSpaceDN/>
              <w:bidi w:val="0"/>
              <w:adjustRightInd/>
              <w:snapToGrid/>
              <w:spacing w:line="480" w:lineRule="exact"/>
              <w:ind w:firstLine="512" w:firstLineChars="200"/>
              <w:outlineLvl w:val="0"/>
              <w:rPr>
                <w:rFonts w:ascii="Times New Roman" w:hAnsi="Times New Roman"/>
                <w:bCs/>
                <w:color w:val="auto"/>
                <w:spacing w:val="8"/>
                <w:sz w:val="24"/>
                <w:highlight w:val="none"/>
              </w:rPr>
            </w:pPr>
            <w:r>
              <w:rPr>
                <w:rFonts w:ascii="Times New Roman" w:hAnsi="Times New Roman"/>
                <w:bCs/>
                <w:color w:val="auto"/>
                <w:spacing w:val="8"/>
                <w:sz w:val="24"/>
                <w:highlight w:val="none"/>
              </w:rPr>
              <w:t>（1）室外点声源噪声计算公式</w:t>
            </w:r>
          </w:p>
          <w:p w14:paraId="0339D896">
            <w:pPr>
              <w:keepNext w:val="0"/>
              <w:keepLines w:val="0"/>
              <w:pageBreakBefore w:val="0"/>
              <w:tabs>
                <w:tab w:val="left" w:pos="0"/>
              </w:tabs>
              <w:kinsoku/>
              <w:wordWrap/>
              <w:overflowPunct/>
              <w:topLinePunct w:val="0"/>
              <w:bidi w:val="0"/>
              <w:adjustRightInd/>
              <w:snapToGrid/>
              <w:spacing w:line="420" w:lineRule="exact"/>
              <w:jc w:val="center"/>
              <w:rPr>
                <w:rFonts w:ascii="Times New Roman" w:hAnsi="Times New Roman"/>
                <w:i/>
                <w:color w:val="auto"/>
                <w:spacing w:val="4"/>
                <w:sz w:val="24"/>
                <w:highlight w:val="none"/>
              </w:rPr>
            </w:pPr>
            <w:r>
              <w:rPr>
                <w:rFonts w:ascii="Times New Roman" w:hAnsi="Times New Roman"/>
                <w:i/>
                <w:color w:val="auto"/>
                <w:spacing w:val="4"/>
                <w:sz w:val="24"/>
                <w:highlight w:val="none"/>
              </w:rPr>
              <w:t>L</w:t>
            </w:r>
            <w:r>
              <w:rPr>
                <w:rFonts w:ascii="Times New Roman" w:hAnsi="Times New Roman"/>
                <w:i/>
                <w:color w:val="auto"/>
                <w:spacing w:val="4"/>
                <w:sz w:val="24"/>
                <w:highlight w:val="none"/>
                <w:vertAlign w:val="subscript"/>
              </w:rPr>
              <w:t>p</w:t>
            </w:r>
            <w:r>
              <w:rPr>
                <w:rFonts w:ascii="Times New Roman" w:hAnsi="Times New Roman"/>
                <w:i/>
                <w:color w:val="auto"/>
                <w:spacing w:val="4"/>
                <w:sz w:val="24"/>
                <w:highlight w:val="none"/>
              </w:rPr>
              <w:t>（r）=L</w:t>
            </w:r>
            <w:r>
              <w:rPr>
                <w:rFonts w:ascii="Times New Roman" w:hAnsi="Times New Roman"/>
                <w:i/>
                <w:color w:val="auto"/>
                <w:spacing w:val="4"/>
                <w:sz w:val="24"/>
                <w:highlight w:val="none"/>
                <w:vertAlign w:val="subscript"/>
              </w:rPr>
              <w:t>p</w:t>
            </w:r>
            <w:r>
              <w:rPr>
                <w:rFonts w:ascii="Times New Roman" w:hAnsi="Times New Roman"/>
                <w:i/>
                <w:color w:val="auto"/>
                <w:spacing w:val="4"/>
                <w:sz w:val="24"/>
                <w:highlight w:val="none"/>
              </w:rPr>
              <w:t>（r</w:t>
            </w:r>
            <w:r>
              <w:rPr>
                <w:rFonts w:ascii="Times New Roman" w:hAnsi="Times New Roman"/>
                <w:i/>
                <w:color w:val="auto"/>
                <w:spacing w:val="4"/>
                <w:sz w:val="24"/>
                <w:highlight w:val="none"/>
                <w:vertAlign w:val="subscript"/>
              </w:rPr>
              <w:t>0</w:t>
            </w:r>
            <w:r>
              <w:rPr>
                <w:rFonts w:ascii="Times New Roman" w:hAnsi="Times New Roman"/>
                <w:i/>
                <w:color w:val="auto"/>
                <w:spacing w:val="4"/>
                <w:sz w:val="24"/>
                <w:highlight w:val="none"/>
              </w:rPr>
              <w:t>）+Dc—（A</w:t>
            </w:r>
            <w:r>
              <w:rPr>
                <w:rFonts w:ascii="Times New Roman" w:hAnsi="Times New Roman"/>
                <w:i/>
                <w:color w:val="auto"/>
                <w:spacing w:val="4"/>
                <w:sz w:val="24"/>
                <w:highlight w:val="none"/>
                <w:vertAlign w:val="subscript"/>
              </w:rPr>
              <w:t>div</w:t>
            </w:r>
            <w:r>
              <w:rPr>
                <w:rFonts w:ascii="Times New Roman" w:hAnsi="Times New Roman"/>
                <w:i/>
                <w:color w:val="auto"/>
                <w:spacing w:val="4"/>
                <w:sz w:val="24"/>
                <w:highlight w:val="none"/>
              </w:rPr>
              <w:t>+A</w:t>
            </w:r>
            <w:r>
              <w:rPr>
                <w:rFonts w:ascii="Times New Roman" w:hAnsi="Times New Roman"/>
                <w:i/>
                <w:color w:val="auto"/>
                <w:spacing w:val="4"/>
                <w:sz w:val="24"/>
                <w:highlight w:val="none"/>
                <w:vertAlign w:val="subscript"/>
              </w:rPr>
              <w:t>atm</w:t>
            </w:r>
            <w:r>
              <w:rPr>
                <w:rFonts w:ascii="Times New Roman" w:hAnsi="Times New Roman"/>
                <w:i/>
                <w:color w:val="auto"/>
                <w:spacing w:val="4"/>
                <w:sz w:val="24"/>
                <w:highlight w:val="none"/>
              </w:rPr>
              <w:t>+A</w:t>
            </w:r>
            <w:r>
              <w:rPr>
                <w:rFonts w:ascii="Times New Roman" w:hAnsi="Times New Roman"/>
                <w:i/>
                <w:color w:val="auto"/>
                <w:spacing w:val="4"/>
                <w:sz w:val="24"/>
                <w:highlight w:val="none"/>
                <w:vertAlign w:val="subscript"/>
              </w:rPr>
              <w:t>gr</w:t>
            </w:r>
            <w:r>
              <w:rPr>
                <w:rFonts w:ascii="Times New Roman" w:hAnsi="Times New Roman"/>
                <w:i/>
                <w:color w:val="auto"/>
                <w:spacing w:val="4"/>
                <w:sz w:val="24"/>
                <w:highlight w:val="none"/>
              </w:rPr>
              <w:t>+A</w:t>
            </w:r>
            <w:r>
              <w:rPr>
                <w:rFonts w:ascii="Times New Roman" w:hAnsi="Times New Roman"/>
                <w:i/>
                <w:color w:val="auto"/>
                <w:spacing w:val="4"/>
                <w:sz w:val="24"/>
                <w:highlight w:val="none"/>
                <w:vertAlign w:val="subscript"/>
              </w:rPr>
              <w:t>bar</w:t>
            </w:r>
            <w:r>
              <w:rPr>
                <w:rFonts w:ascii="Times New Roman" w:hAnsi="Times New Roman"/>
                <w:i/>
                <w:color w:val="auto"/>
                <w:spacing w:val="4"/>
                <w:sz w:val="24"/>
                <w:highlight w:val="none"/>
              </w:rPr>
              <w:t>+A</w:t>
            </w:r>
            <w:r>
              <w:rPr>
                <w:rFonts w:ascii="Times New Roman" w:hAnsi="Times New Roman"/>
                <w:i/>
                <w:color w:val="auto"/>
                <w:spacing w:val="4"/>
                <w:sz w:val="24"/>
                <w:highlight w:val="none"/>
                <w:vertAlign w:val="subscript"/>
              </w:rPr>
              <w:t>misc</w:t>
            </w:r>
            <w:r>
              <w:rPr>
                <w:rFonts w:ascii="Times New Roman" w:hAnsi="Times New Roman"/>
                <w:i/>
                <w:color w:val="auto"/>
                <w:spacing w:val="4"/>
                <w:sz w:val="24"/>
                <w:highlight w:val="none"/>
              </w:rPr>
              <w:t>）</w:t>
            </w:r>
          </w:p>
          <w:p w14:paraId="5D6FCDE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式中：</w:t>
            </w:r>
          </w:p>
          <w:p w14:paraId="1E7BAE6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r：预测点到声源的距离；</w:t>
            </w:r>
          </w:p>
          <w:p w14:paraId="4F2FB90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r</w:t>
            </w:r>
            <w:r>
              <w:rPr>
                <w:rFonts w:ascii="Times New Roman" w:hAnsi="Times New Roman"/>
                <w:color w:val="auto"/>
                <w:sz w:val="24"/>
                <w:highlight w:val="none"/>
                <w:vertAlign w:val="subscript"/>
              </w:rPr>
              <w:t>0</w:t>
            </w:r>
            <w:r>
              <w:rPr>
                <w:rFonts w:ascii="Times New Roman" w:hAnsi="Times New Roman"/>
                <w:color w:val="auto"/>
                <w:sz w:val="24"/>
                <w:highlight w:val="none"/>
              </w:rPr>
              <w:t>：参考位置距离声源的距离，m</w:t>
            </w:r>
          </w:p>
          <w:p w14:paraId="433DCEB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A</w:t>
            </w:r>
            <w:r>
              <w:rPr>
                <w:rFonts w:ascii="Times New Roman" w:hAnsi="Times New Roman"/>
                <w:color w:val="auto"/>
                <w:sz w:val="24"/>
                <w:highlight w:val="none"/>
                <w:vertAlign w:val="subscript"/>
              </w:rPr>
              <w:t>div</w:t>
            </w:r>
            <w:r>
              <w:rPr>
                <w:rFonts w:ascii="Times New Roman" w:hAnsi="Times New Roman"/>
                <w:color w:val="auto"/>
                <w:sz w:val="24"/>
                <w:highlight w:val="none"/>
              </w:rPr>
              <w:t>：距离衰减，dB；</w:t>
            </w:r>
          </w:p>
          <w:p w14:paraId="7839243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A</w:t>
            </w:r>
            <w:r>
              <w:rPr>
                <w:rFonts w:ascii="Times New Roman" w:hAnsi="Times New Roman"/>
                <w:color w:val="auto"/>
                <w:sz w:val="24"/>
                <w:highlight w:val="none"/>
                <w:vertAlign w:val="subscript"/>
              </w:rPr>
              <w:t>bar</w:t>
            </w:r>
            <w:r>
              <w:rPr>
                <w:rFonts w:ascii="Times New Roman" w:hAnsi="Times New Roman"/>
                <w:color w:val="auto"/>
                <w:sz w:val="24"/>
                <w:highlight w:val="none"/>
              </w:rPr>
              <w:t>：屏障引起的衰减，dB；</w:t>
            </w:r>
          </w:p>
          <w:p w14:paraId="157A459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A</w:t>
            </w:r>
            <w:r>
              <w:rPr>
                <w:color w:val="auto"/>
                <w:sz w:val="24"/>
                <w:highlight w:val="none"/>
                <w:vertAlign w:val="subscript"/>
              </w:rPr>
              <w:t>atm</w:t>
            </w:r>
            <w:r>
              <w:rPr>
                <w:color w:val="auto"/>
                <w:sz w:val="24"/>
                <w:highlight w:val="none"/>
              </w:rPr>
              <w:t>：空气吸收衰减，dB；</w:t>
            </w:r>
          </w:p>
          <w:p w14:paraId="7B48EE4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A</w:t>
            </w:r>
            <w:r>
              <w:rPr>
                <w:color w:val="auto"/>
                <w:sz w:val="24"/>
                <w:highlight w:val="none"/>
                <w:vertAlign w:val="subscript"/>
              </w:rPr>
              <w:t>gr</w:t>
            </w:r>
            <w:r>
              <w:rPr>
                <w:color w:val="auto"/>
                <w:sz w:val="24"/>
                <w:highlight w:val="none"/>
              </w:rPr>
              <w:t>：地面效应引起的衰减，dB；</w:t>
            </w:r>
          </w:p>
          <w:p w14:paraId="6EFC810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A</w:t>
            </w:r>
            <w:r>
              <w:rPr>
                <w:color w:val="auto"/>
                <w:sz w:val="24"/>
                <w:highlight w:val="none"/>
                <w:vertAlign w:val="subscript"/>
              </w:rPr>
              <w:t>misc</w:t>
            </w:r>
            <w:r>
              <w:rPr>
                <w:color w:val="auto"/>
                <w:sz w:val="24"/>
                <w:highlight w:val="none"/>
              </w:rPr>
              <w:t>：其他多方面效应引起的衰减，dB；</w:t>
            </w:r>
          </w:p>
          <w:p w14:paraId="4760F7B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Dc：指向性校正，它描述点声源的等效连续声压级与产生声功率级L</w:t>
            </w:r>
            <w:r>
              <w:rPr>
                <w:color w:val="auto"/>
                <w:sz w:val="24"/>
                <w:highlight w:val="none"/>
                <w:vertAlign w:val="subscript"/>
              </w:rPr>
              <w:t>w</w:t>
            </w:r>
            <w:r>
              <w:rPr>
                <w:color w:val="auto"/>
                <w:sz w:val="24"/>
                <w:highlight w:val="none"/>
              </w:rPr>
              <w:t>的全向点声源在规定方向的声级偏差程度，dB；</w:t>
            </w:r>
          </w:p>
          <w:p w14:paraId="7E3E169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L</w:t>
            </w:r>
            <w:r>
              <w:rPr>
                <w:color w:val="auto"/>
                <w:sz w:val="24"/>
                <w:highlight w:val="none"/>
                <w:vertAlign w:val="subscript"/>
              </w:rPr>
              <w:t>p</w:t>
            </w:r>
            <w:r>
              <w:rPr>
                <w:color w:val="auto"/>
                <w:sz w:val="24"/>
                <w:highlight w:val="none"/>
              </w:rPr>
              <w:t>（r）：预测点的声压级；</w:t>
            </w:r>
          </w:p>
          <w:p w14:paraId="76376A8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sz w:val="24"/>
                <w:highlight w:val="none"/>
              </w:rPr>
              <w:t>L</w:t>
            </w:r>
            <w:r>
              <w:rPr>
                <w:color w:val="auto"/>
                <w:sz w:val="24"/>
                <w:highlight w:val="none"/>
                <w:vertAlign w:val="subscript"/>
              </w:rPr>
              <w:t>p</w:t>
            </w:r>
            <w:r>
              <w:rPr>
                <w:color w:val="auto"/>
                <w:sz w:val="24"/>
                <w:highlight w:val="none"/>
              </w:rPr>
              <w:t>（r</w:t>
            </w:r>
            <w:r>
              <w:rPr>
                <w:color w:val="auto"/>
                <w:sz w:val="24"/>
                <w:highlight w:val="none"/>
                <w:vertAlign w:val="subscript"/>
              </w:rPr>
              <w:t>0</w:t>
            </w:r>
            <w:r>
              <w:rPr>
                <w:color w:val="auto"/>
                <w:sz w:val="24"/>
                <w:highlight w:val="none"/>
              </w:rPr>
              <w:t>）：声源在参考距离r</w:t>
            </w:r>
            <w:r>
              <w:rPr>
                <w:color w:val="auto"/>
                <w:sz w:val="24"/>
                <w:highlight w:val="none"/>
                <w:vertAlign w:val="subscript"/>
              </w:rPr>
              <w:t>0</w:t>
            </w:r>
            <w:r>
              <w:rPr>
                <w:color w:val="auto"/>
                <w:sz w:val="24"/>
                <w:highlight w:val="none"/>
              </w:rPr>
              <w:t>处的生压级；</w:t>
            </w:r>
          </w:p>
          <w:p w14:paraId="34EB445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sz w:val="24"/>
                <w:highlight w:val="none"/>
              </w:rPr>
            </w:pPr>
            <w:r>
              <w:rPr>
                <w:rFonts w:hint="eastAsia"/>
                <w:color w:val="auto"/>
                <w:sz w:val="24"/>
                <w:highlight w:val="none"/>
              </w:rPr>
              <w:t xml:space="preserve">本次噪声预测计算将从偏保守角度出发，仅考虑声波随距离的衰减 </w:t>
            </w:r>
            <w:r>
              <w:rPr>
                <w:color w:val="auto"/>
                <w:sz w:val="24"/>
                <w:highlight w:val="none"/>
              </w:rPr>
              <w:t>A</w:t>
            </w:r>
            <w:r>
              <w:rPr>
                <w:color w:val="auto"/>
                <w:sz w:val="24"/>
                <w:highlight w:val="none"/>
                <w:vertAlign w:val="subscript"/>
              </w:rPr>
              <w:t>div</w:t>
            </w:r>
            <w:r>
              <w:rPr>
                <w:rFonts w:hint="eastAsia"/>
                <w:color w:val="auto"/>
                <w:sz w:val="24"/>
                <w:highlight w:val="none"/>
              </w:rPr>
              <w:t>，对单点声源的几何发散衰减用以下公式计算：</w:t>
            </w:r>
          </w:p>
          <w:p w14:paraId="1C9D28F4">
            <w:pPr>
              <w:pStyle w:val="5"/>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480"/>
              <w:textAlignment w:val="auto"/>
              <w:rPr>
                <w:rFonts w:hint="eastAsia"/>
                <w:color w:val="auto"/>
                <w:highlight w:val="none"/>
              </w:rPr>
            </w:pPr>
            <w:r>
              <w:rPr>
                <w:color w:val="auto"/>
                <w:kern w:val="0"/>
                <w:sz w:val="24"/>
                <w:highlight w:val="none"/>
                <w:lang w:bidi="ar"/>
              </w:rPr>
              <w:t>L</w:t>
            </w:r>
            <w:r>
              <w:rPr>
                <w:rFonts w:hint="eastAsia"/>
                <w:color w:val="auto"/>
                <w:kern w:val="0"/>
                <w:sz w:val="24"/>
                <w:highlight w:val="none"/>
                <w:vertAlign w:val="subscript"/>
                <w:lang w:bidi="ar"/>
              </w:rPr>
              <w:t>A</w:t>
            </w:r>
            <w:r>
              <w:rPr>
                <w:rFonts w:hint="eastAsia"/>
                <w:color w:val="auto"/>
                <w:kern w:val="0"/>
                <w:sz w:val="24"/>
                <w:highlight w:val="none"/>
                <w:lang w:bidi="ar"/>
              </w:rPr>
              <w:t>（r）</w:t>
            </w:r>
            <w:r>
              <w:rPr>
                <w:rFonts w:ascii="Symbol" w:hAnsi="Symbol" w:cs="Symbol"/>
                <w:color w:val="auto"/>
                <w:kern w:val="0"/>
                <w:sz w:val="24"/>
                <w:highlight w:val="none"/>
                <w:lang w:bidi="ar"/>
              </w:rPr>
              <w:t></w:t>
            </w:r>
            <w:r>
              <w:rPr>
                <w:color w:val="auto"/>
                <w:kern w:val="0"/>
                <w:sz w:val="24"/>
                <w:highlight w:val="none"/>
                <w:lang w:bidi="ar"/>
              </w:rPr>
              <w:t>L</w:t>
            </w:r>
            <w:r>
              <w:rPr>
                <w:rFonts w:hint="eastAsia"/>
                <w:color w:val="auto"/>
                <w:kern w:val="0"/>
                <w:sz w:val="24"/>
                <w:highlight w:val="none"/>
                <w:vertAlign w:val="subscript"/>
                <w:lang w:bidi="ar"/>
              </w:rPr>
              <w:t>A</w:t>
            </w:r>
            <w:r>
              <w:rPr>
                <w:rFonts w:hint="eastAsia"/>
                <w:color w:val="auto"/>
                <w:kern w:val="0"/>
                <w:sz w:val="24"/>
                <w:highlight w:val="none"/>
                <w:lang w:bidi="ar"/>
              </w:rPr>
              <w:t>（r</w:t>
            </w:r>
            <w:r>
              <w:rPr>
                <w:rFonts w:hint="eastAsia"/>
                <w:color w:val="auto"/>
                <w:kern w:val="0"/>
                <w:sz w:val="24"/>
                <w:highlight w:val="none"/>
                <w:vertAlign w:val="subscript"/>
                <w:lang w:bidi="ar"/>
              </w:rPr>
              <w:t>0</w:t>
            </w:r>
            <w:r>
              <w:rPr>
                <w:rFonts w:hint="eastAsia"/>
                <w:color w:val="auto"/>
                <w:kern w:val="0"/>
                <w:sz w:val="24"/>
                <w:highlight w:val="none"/>
                <w:lang w:bidi="ar"/>
              </w:rPr>
              <w:t>）</w:t>
            </w:r>
            <w:r>
              <w:rPr>
                <w:rFonts w:ascii="Symbol" w:hAnsi="Symbol" w:cs="Symbol"/>
                <w:color w:val="auto"/>
                <w:kern w:val="0"/>
                <w:sz w:val="24"/>
                <w:highlight w:val="none"/>
                <w:lang w:bidi="ar"/>
              </w:rPr>
              <w:t></w:t>
            </w:r>
            <w:r>
              <w:rPr>
                <w:rFonts w:hint="eastAsia"/>
                <w:color w:val="auto"/>
                <w:kern w:val="0"/>
                <w:sz w:val="24"/>
                <w:highlight w:val="none"/>
                <w:lang w:bidi="ar"/>
              </w:rPr>
              <w:t>20lg（r/r</w:t>
            </w:r>
            <w:r>
              <w:rPr>
                <w:rFonts w:hint="eastAsia"/>
                <w:color w:val="auto"/>
                <w:kern w:val="0"/>
                <w:sz w:val="24"/>
                <w:highlight w:val="none"/>
                <w:vertAlign w:val="subscript"/>
                <w:lang w:bidi="ar"/>
              </w:rPr>
              <w:t>0</w:t>
            </w:r>
            <w:r>
              <w:rPr>
                <w:rFonts w:hint="eastAsia"/>
                <w:color w:val="auto"/>
                <w:kern w:val="0"/>
                <w:sz w:val="24"/>
                <w:highlight w:val="none"/>
                <w:lang w:bidi="ar"/>
              </w:rPr>
              <w:t>）</w:t>
            </w:r>
          </w:p>
          <w:p w14:paraId="66760F6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rFonts w:hint="eastAsia"/>
                <w:color w:val="auto"/>
                <w:sz w:val="24"/>
                <w:highlight w:val="none"/>
              </w:rPr>
              <w:t>（2）</w:t>
            </w:r>
            <w:r>
              <w:rPr>
                <w:color w:val="auto"/>
                <w:sz w:val="24"/>
                <w:highlight w:val="none"/>
              </w:rPr>
              <w:t xml:space="preserve">室内声源计算公式 </w:t>
            </w:r>
          </w:p>
          <w:p w14:paraId="39D547F3">
            <w:pPr>
              <w:keepNext w:val="0"/>
              <w:keepLines w:val="0"/>
              <w:pageBreakBefore w:val="0"/>
              <w:widowControl/>
              <w:kinsoku/>
              <w:wordWrap/>
              <w:overflowPunct/>
              <w:topLinePunct w:val="0"/>
              <w:bidi w:val="0"/>
              <w:adjustRightInd/>
              <w:snapToGrid/>
              <w:spacing w:line="420" w:lineRule="exact"/>
              <w:ind w:firstLine="3360" w:firstLineChars="1400"/>
              <w:jc w:val="left"/>
              <w:rPr>
                <w:color w:val="auto"/>
                <w:sz w:val="24"/>
                <w:highlight w:val="none"/>
              </w:rPr>
            </w:pPr>
            <w:r>
              <w:rPr>
                <w:color w:val="auto"/>
                <w:kern w:val="0"/>
                <w:sz w:val="24"/>
                <w:highlight w:val="none"/>
                <w:lang w:bidi="ar"/>
              </w:rPr>
              <w:t>L</w:t>
            </w:r>
            <w:r>
              <w:rPr>
                <w:color w:val="auto"/>
                <w:kern w:val="0"/>
                <w:sz w:val="24"/>
                <w:highlight w:val="none"/>
                <w:vertAlign w:val="subscript"/>
                <w:lang w:bidi="ar"/>
              </w:rPr>
              <w:t>p2</w:t>
            </w:r>
            <w:r>
              <w:rPr>
                <w:rFonts w:ascii="Symbol" w:hAnsi="Symbol" w:cs="Symbol"/>
                <w:color w:val="auto"/>
                <w:kern w:val="0"/>
                <w:sz w:val="24"/>
                <w:highlight w:val="none"/>
                <w:lang w:bidi="ar"/>
              </w:rPr>
              <w:t></w:t>
            </w:r>
            <w:r>
              <w:rPr>
                <w:i/>
                <w:iCs/>
                <w:color w:val="auto"/>
                <w:kern w:val="0"/>
                <w:sz w:val="24"/>
                <w:highlight w:val="none"/>
                <w:lang w:bidi="ar"/>
              </w:rPr>
              <w:t>L</w:t>
            </w:r>
            <w:r>
              <w:rPr>
                <w:i/>
                <w:iCs/>
                <w:color w:val="auto"/>
                <w:kern w:val="0"/>
                <w:sz w:val="24"/>
                <w:highlight w:val="none"/>
                <w:vertAlign w:val="subscript"/>
                <w:lang w:bidi="ar"/>
              </w:rPr>
              <w:t>P</w:t>
            </w:r>
            <w:r>
              <w:rPr>
                <w:color w:val="auto"/>
                <w:kern w:val="0"/>
                <w:sz w:val="24"/>
                <w:highlight w:val="none"/>
                <w:vertAlign w:val="subscript"/>
                <w:lang w:bidi="ar"/>
              </w:rPr>
              <w:t>1</w:t>
            </w:r>
            <w:r>
              <w:rPr>
                <w:rFonts w:ascii="Symbol" w:hAnsi="Symbol" w:cs="Symbol"/>
                <w:color w:val="auto"/>
                <w:kern w:val="0"/>
                <w:sz w:val="24"/>
                <w:highlight w:val="none"/>
                <w:lang w:bidi="ar"/>
              </w:rPr>
              <w:t></w:t>
            </w:r>
            <w:r>
              <w:rPr>
                <w:color w:val="auto"/>
                <w:kern w:val="0"/>
                <w:sz w:val="24"/>
                <w:highlight w:val="none"/>
                <w:lang w:bidi="ar"/>
              </w:rPr>
              <w:t>(</w:t>
            </w:r>
            <w:r>
              <w:rPr>
                <w:i/>
                <w:iCs/>
                <w:color w:val="auto"/>
                <w:kern w:val="0"/>
                <w:sz w:val="24"/>
                <w:highlight w:val="none"/>
                <w:lang w:bidi="ar"/>
              </w:rPr>
              <w:t>TL</w:t>
            </w:r>
            <w:r>
              <w:rPr>
                <w:rFonts w:ascii="Symbol" w:hAnsi="Symbol" w:cs="Symbol"/>
                <w:color w:val="auto"/>
                <w:kern w:val="0"/>
                <w:sz w:val="24"/>
                <w:highlight w:val="none"/>
                <w:lang w:bidi="ar"/>
              </w:rPr>
              <w:t></w:t>
            </w:r>
            <w:r>
              <w:rPr>
                <w:color w:val="auto"/>
                <w:kern w:val="0"/>
                <w:sz w:val="24"/>
                <w:highlight w:val="none"/>
                <w:lang w:bidi="ar"/>
              </w:rPr>
              <w:t>6)</w:t>
            </w:r>
          </w:p>
          <w:p w14:paraId="64FA882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color w:val="auto"/>
                <w:kern w:val="0"/>
                <w:sz w:val="24"/>
                <w:highlight w:val="none"/>
                <w:lang w:bidi="ar"/>
              </w:rPr>
            </w:pPr>
            <w:r>
              <w:rPr>
                <w:color w:val="auto"/>
                <w:kern w:val="0"/>
                <w:sz w:val="24"/>
                <w:highlight w:val="none"/>
                <w:lang w:bidi="ar"/>
              </w:rPr>
              <w:t>式中：</w:t>
            </w:r>
          </w:p>
          <w:p w14:paraId="3362D13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color w:val="auto"/>
                <w:sz w:val="24"/>
                <w:highlight w:val="none"/>
              </w:rPr>
            </w:pPr>
            <w:r>
              <w:rPr>
                <w:color w:val="auto"/>
                <w:kern w:val="0"/>
                <w:sz w:val="24"/>
                <w:highlight w:val="none"/>
                <w:lang w:bidi="ar"/>
              </w:rPr>
              <w:t>L</w:t>
            </w:r>
            <w:r>
              <w:rPr>
                <w:color w:val="auto"/>
                <w:kern w:val="0"/>
                <w:sz w:val="24"/>
                <w:highlight w:val="none"/>
                <w:vertAlign w:val="subscript"/>
                <w:lang w:bidi="ar"/>
              </w:rPr>
              <w:t>P1</w:t>
            </w:r>
            <w:r>
              <w:rPr>
                <w:color w:val="auto"/>
                <w:kern w:val="0"/>
                <w:sz w:val="24"/>
                <w:highlight w:val="none"/>
                <w:lang w:bidi="ar"/>
              </w:rPr>
              <w:t>、L</w:t>
            </w:r>
            <w:r>
              <w:rPr>
                <w:color w:val="auto"/>
                <w:kern w:val="0"/>
                <w:sz w:val="24"/>
                <w:highlight w:val="none"/>
                <w:vertAlign w:val="subscript"/>
                <w:lang w:bidi="ar"/>
              </w:rPr>
              <w:t>P2</w:t>
            </w:r>
            <w:r>
              <w:rPr>
                <w:color w:val="auto"/>
                <w:sz w:val="24"/>
                <w:highlight w:val="none"/>
              </w:rPr>
              <w:t>：</w:t>
            </w:r>
            <w:r>
              <w:rPr>
                <w:color w:val="auto"/>
                <w:kern w:val="0"/>
                <w:sz w:val="24"/>
                <w:highlight w:val="none"/>
                <w:lang w:bidi="ar"/>
              </w:rPr>
              <w:t xml:space="preserve">靠近开口处（或窗户）室内、外某倍频带的声压级，dB； </w:t>
            </w:r>
          </w:p>
          <w:p w14:paraId="1BDA6EB3">
            <w:pPr>
              <w:keepNext w:val="0"/>
              <w:keepLines w:val="0"/>
              <w:pageBreakBefore w:val="0"/>
              <w:kinsoku/>
              <w:wordWrap/>
              <w:overflowPunct/>
              <w:topLinePunct w:val="0"/>
              <w:autoSpaceDE/>
              <w:autoSpaceDN/>
              <w:bidi w:val="0"/>
              <w:adjustRightInd/>
              <w:snapToGrid/>
              <w:spacing w:line="480" w:lineRule="exact"/>
              <w:ind w:firstLine="480" w:firstLineChars="200"/>
              <w:jc w:val="left"/>
              <w:textAlignment w:val="auto"/>
              <w:rPr>
                <w:color w:val="auto"/>
                <w:kern w:val="0"/>
                <w:sz w:val="24"/>
                <w:highlight w:val="none"/>
                <w:lang w:bidi="ar"/>
              </w:rPr>
            </w:pPr>
            <w:r>
              <w:rPr>
                <w:color w:val="auto"/>
                <w:kern w:val="0"/>
                <w:sz w:val="24"/>
                <w:highlight w:val="none"/>
                <w:lang w:bidi="ar"/>
              </w:rPr>
              <w:t>TL</w:t>
            </w:r>
            <w:r>
              <w:rPr>
                <w:color w:val="auto"/>
                <w:sz w:val="24"/>
                <w:highlight w:val="none"/>
              </w:rPr>
              <w:t>：</w:t>
            </w:r>
            <w:r>
              <w:rPr>
                <w:color w:val="auto"/>
                <w:kern w:val="0"/>
                <w:sz w:val="24"/>
                <w:highlight w:val="none"/>
                <w:lang w:bidi="ar"/>
              </w:rPr>
              <w:t>隔窗（或窗户）倍频带的隔声量，dB。</w:t>
            </w:r>
          </w:p>
          <w:p w14:paraId="4E192CD1">
            <w:pPr>
              <w:keepNext w:val="0"/>
              <w:keepLines w:val="0"/>
              <w:pageBreakBefore w:val="0"/>
              <w:kinsoku/>
              <w:wordWrap/>
              <w:overflowPunct/>
              <w:topLinePunct w:val="0"/>
              <w:autoSpaceDE/>
              <w:autoSpaceDN/>
              <w:bidi w:val="0"/>
              <w:adjustRightInd/>
              <w:snapToGrid/>
              <w:spacing w:line="480" w:lineRule="exact"/>
              <w:ind w:firstLine="512" w:firstLineChars="200"/>
              <w:textAlignment w:val="auto"/>
              <w:outlineLvl w:val="0"/>
              <w:rPr>
                <w:rFonts w:hint="eastAsia"/>
                <w:bCs/>
                <w:color w:val="auto"/>
                <w:spacing w:val="8"/>
                <w:sz w:val="24"/>
                <w:highlight w:val="none"/>
              </w:rPr>
            </w:pPr>
            <w:r>
              <w:rPr>
                <w:rFonts w:hint="eastAsia"/>
                <w:bCs/>
                <w:color w:val="auto"/>
                <w:spacing w:val="8"/>
                <w:sz w:val="24"/>
                <w:highlight w:val="none"/>
              </w:rPr>
              <w:t>（3）</w:t>
            </w:r>
            <w:r>
              <w:rPr>
                <w:bCs/>
                <w:color w:val="auto"/>
                <w:spacing w:val="8"/>
                <w:sz w:val="24"/>
                <w:highlight w:val="none"/>
              </w:rPr>
              <w:t>噪声贡献值计算</w:t>
            </w:r>
          </w:p>
          <w:p w14:paraId="01C1CF1A">
            <w:pPr>
              <w:keepNext w:val="0"/>
              <w:keepLines w:val="0"/>
              <w:pageBreakBefore w:val="0"/>
              <w:kinsoku/>
              <w:wordWrap/>
              <w:overflowPunct/>
              <w:topLinePunct w:val="0"/>
              <w:bidi w:val="0"/>
              <w:adjustRightInd/>
              <w:snapToGrid/>
              <w:spacing w:line="420" w:lineRule="exact"/>
              <w:ind w:firstLine="512" w:firstLineChars="200"/>
              <w:outlineLvl w:val="0"/>
              <w:rPr>
                <w:bCs/>
                <w:color w:val="auto"/>
                <w:spacing w:val="8"/>
                <w:sz w:val="24"/>
                <w:highlight w:val="none"/>
              </w:rPr>
            </w:pPr>
            <w:r>
              <w:rPr>
                <w:bCs/>
                <w:color w:val="auto"/>
                <w:spacing w:val="8"/>
                <w:sz w:val="24"/>
                <w:highlight w:val="none"/>
              </w:rPr>
              <w:drawing>
                <wp:anchor distT="0" distB="0" distL="114300" distR="114300" simplePos="0" relativeHeight="251660288" behindDoc="0" locked="0" layoutInCell="1" allowOverlap="1">
                  <wp:simplePos x="0" y="0"/>
                  <wp:positionH relativeFrom="column">
                    <wp:posOffset>1223010</wp:posOffset>
                  </wp:positionH>
                  <wp:positionV relativeFrom="paragraph">
                    <wp:posOffset>175260</wp:posOffset>
                  </wp:positionV>
                  <wp:extent cx="2743200" cy="590550"/>
                  <wp:effectExtent l="0" t="0" r="0" b="0"/>
                  <wp:wrapTopAndBottom/>
                  <wp:docPr id="12" name="图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41"/>
                          <pic:cNvPicPr>
                            <a:picLocks noChangeAspect="1"/>
                          </pic:cNvPicPr>
                        </pic:nvPicPr>
                        <pic:blipFill>
                          <a:blip r:embed="rId20"/>
                          <a:stretch>
                            <a:fillRect/>
                          </a:stretch>
                        </pic:blipFill>
                        <pic:spPr>
                          <a:xfrm>
                            <a:off x="0" y="0"/>
                            <a:ext cx="2743200" cy="590550"/>
                          </a:xfrm>
                          <a:prstGeom prst="rect">
                            <a:avLst/>
                          </a:prstGeom>
                          <a:noFill/>
                          <a:ln>
                            <a:noFill/>
                          </a:ln>
                        </pic:spPr>
                      </pic:pic>
                    </a:graphicData>
                  </a:graphic>
                </wp:anchor>
              </w:drawing>
            </w:r>
          </w:p>
          <w:p w14:paraId="64852F21">
            <w:pPr>
              <w:keepNext w:val="0"/>
              <w:keepLines w:val="0"/>
              <w:pageBreakBefore w:val="0"/>
              <w:kinsoku/>
              <w:wordWrap/>
              <w:overflowPunct/>
              <w:topLinePunct w:val="0"/>
              <w:bidi w:val="0"/>
              <w:adjustRightInd/>
              <w:snapToGrid/>
              <w:spacing w:line="420" w:lineRule="exact"/>
              <w:ind w:firstLine="512" w:firstLineChars="200"/>
              <w:outlineLvl w:val="0"/>
              <w:rPr>
                <w:bCs/>
                <w:color w:val="auto"/>
                <w:spacing w:val="8"/>
                <w:sz w:val="24"/>
                <w:highlight w:val="none"/>
              </w:rPr>
            </w:pPr>
            <w:r>
              <w:rPr>
                <w:bCs/>
                <w:color w:val="auto"/>
                <w:spacing w:val="8"/>
                <w:sz w:val="24"/>
                <w:highlight w:val="none"/>
              </w:rPr>
              <w:t>式中：T—用于计算等效声级的时间，s；</w:t>
            </w:r>
          </w:p>
          <w:p w14:paraId="57D1C455">
            <w:pPr>
              <w:keepNext w:val="0"/>
              <w:keepLines w:val="0"/>
              <w:pageBreakBefore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N—室外声源个数；</w:t>
            </w:r>
          </w:p>
          <w:p w14:paraId="348AF793">
            <w:pPr>
              <w:keepNext w:val="0"/>
              <w:keepLines w:val="0"/>
              <w:pageBreakBefore w:val="0"/>
              <w:kinsoku/>
              <w:wordWrap/>
              <w:overflowPunct/>
              <w:topLinePunct w:val="0"/>
              <w:autoSpaceDE/>
              <w:autoSpaceDN/>
              <w:bidi w:val="0"/>
              <w:adjustRightInd/>
              <w:snapToGrid/>
              <w:spacing w:line="480" w:lineRule="exact"/>
              <w:ind w:firstLine="512" w:firstLineChars="200"/>
              <w:textAlignment w:val="auto"/>
              <w:outlineLvl w:val="0"/>
              <w:rPr>
                <w:rFonts w:hint="eastAsia" w:eastAsia="宋体"/>
                <w:bCs/>
                <w:color w:val="auto"/>
                <w:spacing w:val="8"/>
                <w:sz w:val="24"/>
                <w:highlight w:val="none"/>
                <w:lang w:val="en-US" w:eastAsia="zh-CN"/>
              </w:rPr>
            </w:pPr>
            <w:r>
              <w:rPr>
                <w:bCs/>
                <w:color w:val="auto"/>
                <w:spacing w:val="8"/>
                <w:sz w:val="24"/>
                <w:highlight w:val="none"/>
              </w:rPr>
              <w:t>t</w:t>
            </w:r>
            <w:r>
              <w:rPr>
                <w:bCs/>
                <w:color w:val="auto"/>
                <w:spacing w:val="6"/>
                <w:sz w:val="24"/>
                <w:highlight w:val="none"/>
                <w:vertAlign w:val="subscript"/>
              </w:rPr>
              <w:t>i</w:t>
            </w:r>
            <w:r>
              <w:rPr>
                <w:bCs/>
                <w:color w:val="auto"/>
                <w:spacing w:val="8"/>
                <w:sz w:val="24"/>
                <w:highlight w:val="none"/>
              </w:rPr>
              <w:t>—在 T 时间内 i 声源工作时间，s；</w:t>
            </w:r>
          </w:p>
          <w:p w14:paraId="259107A5">
            <w:pPr>
              <w:keepNext w:val="0"/>
              <w:keepLines w:val="0"/>
              <w:pageBreakBefore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M—等效室外声源个数；</w:t>
            </w:r>
          </w:p>
          <w:p w14:paraId="2E9DD24B">
            <w:pPr>
              <w:keepNext w:val="0"/>
              <w:keepLines w:val="0"/>
              <w:pageBreakBefore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t</w:t>
            </w:r>
            <w:r>
              <w:rPr>
                <w:bCs/>
                <w:color w:val="auto"/>
                <w:spacing w:val="6"/>
                <w:sz w:val="24"/>
                <w:highlight w:val="none"/>
                <w:vertAlign w:val="subscript"/>
              </w:rPr>
              <w:t>j</w:t>
            </w:r>
            <w:r>
              <w:rPr>
                <w:bCs/>
                <w:color w:val="auto"/>
                <w:spacing w:val="8"/>
                <w:sz w:val="24"/>
                <w:highlight w:val="none"/>
              </w:rPr>
              <w:t>—在T时间内j声源工作时间，s</w:t>
            </w:r>
            <w:r>
              <w:rPr>
                <w:rFonts w:hint="eastAsia"/>
                <w:bCs/>
                <w:color w:val="auto"/>
                <w:spacing w:val="8"/>
                <w:sz w:val="24"/>
                <w:highlight w:val="none"/>
              </w:rPr>
              <w:t>。</w:t>
            </w:r>
            <w:r>
              <w:rPr>
                <w:bCs/>
                <w:color w:val="auto"/>
                <w:spacing w:val="8"/>
                <w:sz w:val="24"/>
                <w:highlight w:val="none"/>
              </w:rPr>
              <w:t xml:space="preserve"> </w:t>
            </w:r>
          </w:p>
          <w:p w14:paraId="045EEE93">
            <w:pPr>
              <w:keepNext w:val="0"/>
              <w:keepLines w:val="0"/>
              <w:pageBreakBefore w:val="0"/>
              <w:widowControl/>
              <w:kinsoku/>
              <w:wordWrap/>
              <w:overflowPunct/>
              <w:topLinePunct w:val="0"/>
              <w:autoSpaceDE/>
              <w:autoSpaceDN/>
              <w:bidi w:val="0"/>
              <w:adjustRightInd/>
              <w:snapToGrid/>
              <w:spacing w:line="480" w:lineRule="exact"/>
              <w:ind w:firstLine="420" w:firstLineChars="200"/>
              <w:jc w:val="left"/>
              <w:textAlignment w:val="auto"/>
              <w:rPr>
                <w:color w:val="auto"/>
                <w:kern w:val="0"/>
                <w:sz w:val="24"/>
                <w:highlight w:val="none"/>
                <w:lang w:bidi="ar"/>
              </w:rPr>
            </w:pPr>
            <w:r>
              <w:rPr>
                <w:color w:val="auto"/>
                <w:highlight w:val="none"/>
              </w:rPr>
              <w:t>（</w:t>
            </w:r>
            <w:r>
              <w:rPr>
                <w:rFonts w:hint="eastAsia"/>
                <w:color w:val="auto"/>
                <w:kern w:val="0"/>
                <w:sz w:val="24"/>
                <w:highlight w:val="none"/>
                <w:lang w:val="en-US" w:eastAsia="zh-CN" w:bidi="ar"/>
              </w:rPr>
              <w:t>4</w:t>
            </w:r>
            <w:r>
              <w:rPr>
                <w:color w:val="auto"/>
                <w:kern w:val="0"/>
                <w:sz w:val="24"/>
                <w:highlight w:val="none"/>
                <w:lang w:bidi="ar"/>
              </w:rPr>
              <w:t>）噪声预测值计算</w:t>
            </w:r>
          </w:p>
          <w:p w14:paraId="03FD1E8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color w:val="auto"/>
                <w:kern w:val="0"/>
                <w:sz w:val="24"/>
                <w:highlight w:val="none"/>
                <w:lang w:bidi="ar"/>
              </w:rPr>
            </w:pPr>
            <w:r>
              <w:rPr>
                <w:color w:val="auto"/>
                <w:kern w:val="0"/>
                <w:sz w:val="24"/>
                <w:highlight w:val="none"/>
                <w:lang w:bidi="ar"/>
              </w:rPr>
              <w:t>预测点的噪声预测值为预测点的贡献值和背景值按能量叠加方法计算得到的声级。噪声预测值Leq计算公式为：</w:t>
            </w:r>
          </w:p>
          <w:p w14:paraId="18135853">
            <w:pPr>
              <w:pStyle w:val="3"/>
              <w:ind w:left="0" w:leftChars="0" w:firstLine="0" w:firstLineChars="0"/>
              <w:jc w:val="center"/>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1516380</wp:posOffset>
                  </wp:positionH>
                  <wp:positionV relativeFrom="paragraph">
                    <wp:posOffset>99695</wp:posOffset>
                  </wp:positionV>
                  <wp:extent cx="2157095" cy="370840"/>
                  <wp:effectExtent l="0" t="0" r="14605" b="10160"/>
                  <wp:wrapNone/>
                  <wp:docPr id="13" name="图片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07"/>
                          <pic:cNvPicPr>
                            <a:picLocks noChangeAspect="1"/>
                          </pic:cNvPicPr>
                        </pic:nvPicPr>
                        <pic:blipFill>
                          <a:blip r:embed="rId21"/>
                          <a:srcRect t="13850" b="13850"/>
                          <a:stretch>
                            <a:fillRect/>
                          </a:stretch>
                        </pic:blipFill>
                        <pic:spPr>
                          <a:xfrm>
                            <a:off x="0" y="0"/>
                            <a:ext cx="2157095" cy="370840"/>
                          </a:xfrm>
                          <a:prstGeom prst="rect">
                            <a:avLst/>
                          </a:prstGeom>
                          <a:noFill/>
                          <a:ln>
                            <a:noFill/>
                          </a:ln>
                        </pic:spPr>
                      </pic:pic>
                    </a:graphicData>
                  </a:graphic>
                </wp:anchor>
              </w:drawing>
            </w:r>
          </w:p>
          <w:p w14:paraId="441B60DE">
            <w:pPr>
              <w:keepNext w:val="0"/>
              <w:keepLines w:val="0"/>
              <w:pageBreakBefore w:val="0"/>
              <w:widowControl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式中：L</w:t>
            </w:r>
            <w:r>
              <w:rPr>
                <w:bCs/>
                <w:color w:val="auto"/>
                <w:spacing w:val="8"/>
                <w:sz w:val="24"/>
                <w:highlight w:val="none"/>
                <w:vertAlign w:val="subscript"/>
              </w:rPr>
              <w:t>eq</w:t>
            </w:r>
            <w:r>
              <w:rPr>
                <w:bCs/>
                <w:color w:val="auto"/>
                <w:spacing w:val="8"/>
                <w:sz w:val="24"/>
                <w:highlight w:val="none"/>
              </w:rPr>
              <w:t>—预测点的噪声预测值，dB（A）；</w:t>
            </w:r>
          </w:p>
          <w:p w14:paraId="3E057A49">
            <w:pPr>
              <w:keepNext w:val="0"/>
              <w:keepLines w:val="0"/>
              <w:pageBreakBefore w:val="0"/>
              <w:widowControl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L</w:t>
            </w:r>
            <w:r>
              <w:rPr>
                <w:bCs/>
                <w:color w:val="auto"/>
                <w:spacing w:val="8"/>
                <w:sz w:val="24"/>
                <w:highlight w:val="none"/>
                <w:vertAlign w:val="subscript"/>
              </w:rPr>
              <w:t>eqg</w:t>
            </w:r>
            <w:r>
              <w:rPr>
                <w:bCs/>
                <w:color w:val="auto"/>
                <w:spacing w:val="8"/>
                <w:sz w:val="24"/>
                <w:highlight w:val="none"/>
              </w:rPr>
              <w:t>—建设项目声源在预测点产生的噪声贡献值，dB（A）；</w:t>
            </w:r>
          </w:p>
          <w:p w14:paraId="2BF451EB">
            <w:pPr>
              <w:keepNext w:val="0"/>
              <w:keepLines w:val="0"/>
              <w:pageBreakBefore w:val="0"/>
              <w:widowControl w:val="0"/>
              <w:kinsoku/>
              <w:wordWrap/>
              <w:overflowPunct/>
              <w:topLinePunct w:val="0"/>
              <w:autoSpaceDE/>
              <w:autoSpaceDN/>
              <w:bidi w:val="0"/>
              <w:adjustRightInd/>
              <w:snapToGrid/>
              <w:spacing w:line="480" w:lineRule="exact"/>
              <w:ind w:firstLine="512" w:firstLineChars="200"/>
              <w:textAlignment w:val="auto"/>
              <w:outlineLvl w:val="0"/>
              <w:rPr>
                <w:bCs/>
                <w:color w:val="auto"/>
                <w:spacing w:val="8"/>
                <w:sz w:val="24"/>
                <w:highlight w:val="none"/>
              </w:rPr>
            </w:pPr>
            <w:r>
              <w:rPr>
                <w:bCs/>
                <w:color w:val="auto"/>
                <w:spacing w:val="8"/>
                <w:sz w:val="24"/>
                <w:highlight w:val="none"/>
              </w:rPr>
              <w:t>L</w:t>
            </w:r>
            <w:r>
              <w:rPr>
                <w:bCs/>
                <w:color w:val="auto"/>
                <w:spacing w:val="8"/>
                <w:sz w:val="24"/>
                <w:highlight w:val="none"/>
                <w:vertAlign w:val="subscript"/>
              </w:rPr>
              <w:t>eqb</w:t>
            </w:r>
            <w:r>
              <w:rPr>
                <w:bCs/>
                <w:color w:val="auto"/>
                <w:spacing w:val="8"/>
                <w:sz w:val="24"/>
                <w:highlight w:val="none"/>
              </w:rPr>
              <w:t>—预测点的背景噪声值，dB（A）；</w:t>
            </w:r>
          </w:p>
          <w:p w14:paraId="0606AF77">
            <w:pPr>
              <w:pStyle w:val="96"/>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80"/>
              <w:textAlignment w:val="auto"/>
              <w:rPr>
                <w:rFonts w:hint="eastAsia"/>
                <w:color w:val="auto"/>
                <w:highlight w:val="none"/>
              </w:rPr>
            </w:pPr>
            <w:r>
              <w:rPr>
                <w:rFonts w:hint="eastAsia"/>
                <w:color w:val="auto"/>
                <w:highlight w:val="none"/>
              </w:rPr>
              <w:t>噪声预测结果</w:t>
            </w:r>
          </w:p>
          <w:p w14:paraId="181094D5">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 xml:space="preserve">4-24 </w:t>
            </w:r>
            <w:r>
              <w:rPr>
                <w:rFonts w:hint="default" w:ascii="Times New Roman" w:hAnsi="Times New Roman" w:eastAsia="黑体" w:cs="Times New Roman"/>
                <w:b w:val="0"/>
                <w:bCs w:val="0"/>
                <w:color w:val="auto"/>
                <w:kern w:val="2"/>
                <w:sz w:val="24"/>
                <w:szCs w:val="24"/>
                <w:highlight w:val="none"/>
                <w:lang w:val="en-US" w:eastAsia="zh-CN" w:bidi="ar-SA"/>
              </w:rPr>
              <w:t xml:space="preserve"> </w:t>
            </w:r>
            <w:r>
              <w:rPr>
                <w:rFonts w:hint="eastAsia" w:ascii="Times New Roman" w:hAnsi="Times New Roman" w:eastAsia="黑体" w:cs="Times New Roman"/>
                <w:b w:val="0"/>
                <w:bCs w:val="0"/>
                <w:color w:val="auto"/>
                <w:kern w:val="2"/>
                <w:sz w:val="24"/>
                <w:szCs w:val="24"/>
                <w:highlight w:val="none"/>
                <w:lang w:val="en-US" w:eastAsia="zh-CN" w:bidi="ar-SA"/>
              </w:rPr>
              <w:t>改建后</w:t>
            </w:r>
            <w:r>
              <w:rPr>
                <w:rFonts w:hint="default" w:ascii="Times New Roman" w:hAnsi="Times New Roman" w:eastAsia="黑体" w:cs="Times New Roman"/>
                <w:b w:val="0"/>
                <w:bCs w:val="0"/>
                <w:color w:val="auto"/>
                <w:kern w:val="2"/>
                <w:sz w:val="24"/>
                <w:szCs w:val="24"/>
                <w:highlight w:val="none"/>
                <w:lang w:val="en-US" w:eastAsia="zh-CN" w:bidi="ar-SA"/>
              </w:rPr>
              <w:t>声影响预测结果   单位：dB（A）</w:t>
            </w:r>
          </w:p>
          <w:tbl>
            <w:tblPr>
              <w:tblStyle w:val="23"/>
              <w:tblW w:w="4997"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16"/>
              <w:gridCol w:w="1464"/>
              <w:gridCol w:w="1372"/>
              <w:gridCol w:w="1343"/>
              <w:gridCol w:w="1524"/>
            </w:tblGrid>
            <w:tr w14:paraId="410A1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593" w:type="pct"/>
                  <w:gridSpan w:val="2"/>
                  <w:tcBorders>
                    <w:tl2br w:val="nil"/>
                    <w:tr2bl w:val="nil"/>
                  </w:tcBorders>
                  <w:noWrap w:val="0"/>
                  <w:tcMar>
                    <w:top w:w="0" w:type="dxa"/>
                    <w:left w:w="28" w:type="dxa"/>
                    <w:bottom w:w="0" w:type="dxa"/>
                    <w:right w:w="28" w:type="dxa"/>
                  </w:tcMar>
                  <w:vAlign w:val="center"/>
                </w:tcPr>
                <w:p w14:paraId="0944E907">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预测点</w:t>
                  </w:r>
                </w:p>
              </w:tc>
              <w:tc>
                <w:tcPr>
                  <w:tcW w:w="874" w:type="pct"/>
                  <w:tcBorders>
                    <w:tl2br w:val="nil"/>
                    <w:tr2bl w:val="nil"/>
                  </w:tcBorders>
                  <w:noWrap w:val="0"/>
                  <w:tcMar>
                    <w:top w:w="0" w:type="dxa"/>
                    <w:left w:w="28" w:type="dxa"/>
                    <w:bottom w:w="0" w:type="dxa"/>
                    <w:right w:w="28" w:type="dxa"/>
                  </w:tcMar>
                  <w:vAlign w:val="center"/>
                </w:tcPr>
                <w:p w14:paraId="06925FCA">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时段</w:t>
                  </w:r>
                </w:p>
              </w:tc>
              <w:tc>
                <w:tcPr>
                  <w:tcW w:w="819" w:type="pct"/>
                  <w:tcBorders>
                    <w:tl2br w:val="nil"/>
                    <w:tr2bl w:val="nil"/>
                  </w:tcBorders>
                  <w:noWrap w:val="0"/>
                  <w:tcMar>
                    <w:top w:w="0" w:type="dxa"/>
                    <w:left w:w="28" w:type="dxa"/>
                    <w:bottom w:w="0" w:type="dxa"/>
                    <w:right w:w="28" w:type="dxa"/>
                  </w:tcMar>
                  <w:vAlign w:val="center"/>
                </w:tcPr>
                <w:p w14:paraId="4804BA6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w:t>
                  </w:r>
                </w:p>
              </w:tc>
              <w:tc>
                <w:tcPr>
                  <w:tcW w:w="802" w:type="pct"/>
                  <w:tcBorders>
                    <w:tl2br w:val="nil"/>
                    <w:tr2bl w:val="nil"/>
                  </w:tcBorders>
                  <w:noWrap w:val="0"/>
                  <w:tcMar>
                    <w:top w:w="0" w:type="dxa"/>
                    <w:left w:w="28" w:type="dxa"/>
                    <w:bottom w:w="0" w:type="dxa"/>
                    <w:right w:w="28" w:type="dxa"/>
                  </w:tcMar>
                  <w:vAlign w:val="center"/>
                </w:tcPr>
                <w:p w14:paraId="425F76E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tc>
              <w:tc>
                <w:tcPr>
                  <w:tcW w:w="910" w:type="pct"/>
                  <w:tcBorders>
                    <w:tl2br w:val="nil"/>
                    <w:tr2bl w:val="nil"/>
                  </w:tcBorders>
                  <w:noWrap w:val="0"/>
                  <w:tcMar>
                    <w:top w:w="0" w:type="dxa"/>
                    <w:left w:w="28" w:type="dxa"/>
                    <w:bottom w:w="0" w:type="dxa"/>
                    <w:right w:w="28" w:type="dxa"/>
                  </w:tcMar>
                  <w:vAlign w:val="center"/>
                </w:tcPr>
                <w:p w14:paraId="4A46F10F">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达标情况</w:t>
                  </w:r>
                </w:p>
              </w:tc>
            </w:tr>
            <w:tr w14:paraId="25E51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2ADBD547">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4253A708">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eastAsia="zh-CN"/>
                    </w:rPr>
                    <w:t>东</w:t>
                  </w:r>
                </w:p>
              </w:tc>
              <w:tc>
                <w:tcPr>
                  <w:tcW w:w="874" w:type="pct"/>
                  <w:vMerge w:val="restart"/>
                  <w:tcBorders>
                    <w:tl2br w:val="nil"/>
                    <w:tr2bl w:val="nil"/>
                  </w:tcBorders>
                  <w:noWrap w:val="0"/>
                  <w:tcMar>
                    <w:top w:w="0" w:type="dxa"/>
                    <w:left w:w="28" w:type="dxa"/>
                    <w:bottom w:w="0" w:type="dxa"/>
                    <w:right w:w="28" w:type="dxa"/>
                  </w:tcMar>
                  <w:vAlign w:val="center"/>
                </w:tcPr>
                <w:p w14:paraId="43129647">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819" w:type="pct"/>
                  <w:tcBorders>
                    <w:tl2br w:val="nil"/>
                    <w:tr2bl w:val="nil"/>
                  </w:tcBorders>
                  <w:noWrap w:val="0"/>
                  <w:tcMar>
                    <w:top w:w="0" w:type="dxa"/>
                    <w:left w:w="28" w:type="dxa"/>
                    <w:bottom w:w="0" w:type="dxa"/>
                    <w:right w:w="28" w:type="dxa"/>
                  </w:tcMar>
                  <w:vAlign w:val="center"/>
                </w:tcPr>
                <w:p w14:paraId="3F463F5B">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56.23</w:t>
                  </w:r>
                </w:p>
              </w:tc>
              <w:tc>
                <w:tcPr>
                  <w:tcW w:w="802" w:type="pct"/>
                  <w:vMerge w:val="restart"/>
                  <w:tcBorders>
                    <w:tl2br w:val="nil"/>
                    <w:tr2bl w:val="nil"/>
                  </w:tcBorders>
                  <w:noWrap w:val="0"/>
                  <w:tcMar>
                    <w:top w:w="0" w:type="dxa"/>
                    <w:left w:w="28" w:type="dxa"/>
                    <w:bottom w:w="0" w:type="dxa"/>
                    <w:right w:w="28" w:type="dxa"/>
                  </w:tcMar>
                  <w:vAlign w:val="center"/>
                </w:tcPr>
                <w:p w14:paraId="5AEA700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910" w:type="pct"/>
                  <w:tcBorders>
                    <w:tl2br w:val="nil"/>
                    <w:tr2bl w:val="nil"/>
                  </w:tcBorders>
                  <w:noWrap w:val="0"/>
                  <w:tcMar>
                    <w:top w:w="0" w:type="dxa"/>
                    <w:left w:w="28" w:type="dxa"/>
                    <w:bottom w:w="0" w:type="dxa"/>
                    <w:right w:w="28" w:type="dxa"/>
                  </w:tcMar>
                  <w:vAlign w:val="center"/>
                </w:tcPr>
                <w:p w14:paraId="07EEB7B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A64E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53429890">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757684DD">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厂界南</w:t>
                  </w:r>
                </w:p>
              </w:tc>
              <w:tc>
                <w:tcPr>
                  <w:tcW w:w="874" w:type="pct"/>
                  <w:vMerge w:val="continue"/>
                  <w:tcBorders>
                    <w:tl2br w:val="nil"/>
                    <w:tr2bl w:val="nil"/>
                  </w:tcBorders>
                  <w:noWrap w:val="0"/>
                  <w:tcMar>
                    <w:top w:w="0" w:type="dxa"/>
                    <w:left w:w="28" w:type="dxa"/>
                    <w:bottom w:w="0" w:type="dxa"/>
                    <w:right w:w="28" w:type="dxa"/>
                  </w:tcMar>
                  <w:vAlign w:val="center"/>
                </w:tcPr>
                <w:p w14:paraId="35831A0B">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6A494C02">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55.61</w:t>
                  </w:r>
                </w:p>
              </w:tc>
              <w:tc>
                <w:tcPr>
                  <w:tcW w:w="802" w:type="pct"/>
                  <w:vMerge w:val="continue"/>
                  <w:tcBorders>
                    <w:tl2br w:val="nil"/>
                    <w:tr2bl w:val="nil"/>
                  </w:tcBorders>
                  <w:noWrap w:val="0"/>
                  <w:tcMar>
                    <w:top w:w="0" w:type="dxa"/>
                    <w:left w:w="28" w:type="dxa"/>
                    <w:bottom w:w="0" w:type="dxa"/>
                    <w:right w:w="28" w:type="dxa"/>
                  </w:tcMar>
                  <w:vAlign w:val="center"/>
                </w:tcPr>
                <w:p w14:paraId="1670DCB7">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910" w:type="pct"/>
                  <w:tcBorders>
                    <w:tl2br w:val="nil"/>
                    <w:tr2bl w:val="nil"/>
                  </w:tcBorders>
                  <w:noWrap w:val="0"/>
                  <w:tcMar>
                    <w:top w:w="0" w:type="dxa"/>
                    <w:left w:w="28" w:type="dxa"/>
                    <w:bottom w:w="0" w:type="dxa"/>
                    <w:right w:w="28" w:type="dxa"/>
                  </w:tcMar>
                  <w:vAlign w:val="center"/>
                </w:tcPr>
                <w:p w14:paraId="4AA23AB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14:paraId="46B46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6CAC4919">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32C818CB">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eastAsia="zh-CN"/>
                    </w:rPr>
                    <w:t>西</w:t>
                  </w:r>
                </w:p>
              </w:tc>
              <w:tc>
                <w:tcPr>
                  <w:tcW w:w="874" w:type="pct"/>
                  <w:vMerge w:val="continue"/>
                  <w:tcBorders>
                    <w:tl2br w:val="nil"/>
                    <w:tr2bl w:val="nil"/>
                  </w:tcBorders>
                  <w:noWrap w:val="0"/>
                  <w:tcMar>
                    <w:top w:w="0" w:type="dxa"/>
                    <w:left w:w="28" w:type="dxa"/>
                    <w:bottom w:w="0" w:type="dxa"/>
                    <w:right w:w="28" w:type="dxa"/>
                  </w:tcMar>
                  <w:vAlign w:val="center"/>
                </w:tcPr>
                <w:p w14:paraId="7DFB6B04">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4861C869">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53.33</w:t>
                  </w:r>
                </w:p>
              </w:tc>
              <w:tc>
                <w:tcPr>
                  <w:tcW w:w="802" w:type="pct"/>
                  <w:vMerge w:val="continue"/>
                  <w:tcBorders>
                    <w:tl2br w:val="nil"/>
                    <w:tr2bl w:val="nil"/>
                  </w:tcBorders>
                  <w:noWrap w:val="0"/>
                  <w:tcMar>
                    <w:top w:w="0" w:type="dxa"/>
                    <w:left w:w="28" w:type="dxa"/>
                    <w:bottom w:w="0" w:type="dxa"/>
                    <w:right w:w="28" w:type="dxa"/>
                  </w:tcMar>
                  <w:vAlign w:val="center"/>
                </w:tcPr>
                <w:p w14:paraId="31929DB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p>
              </w:tc>
              <w:tc>
                <w:tcPr>
                  <w:tcW w:w="910" w:type="pct"/>
                  <w:tcBorders>
                    <w:tl2br w:val="nil"/>
                    <w:tr2bl w:val="nil"/>
                  </w:tcBorders>
                  <w:noWrap w:val="0"/>
                  <w:tcMar>
                    <w:top w:w="0" w:type="dxa"/>
                    <w:left w:w="28" w:type="dxa"/>
                    <w:bottom w:w="0" w:type="dxa"/>
                    <w:right w:w="28" w:type="dxa"/>
                  </w:tcMar>
                  <w:vAlign w:val="center"/>
                </w:tcPr>
                <w:p w14:paraId="517EB51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14:paraId="378CC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612E723B">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5EA7DECB">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厂界北</w:t>
                  </w:r>
                </w:p>
              </w:tc>
              <w:tc>
                <w:tcPr>
                  <w:tcW w:w="874" w:type="pct"/>
                  <w:vMerge w:val="continue"/>
                  <w:tcBorders>
                    <w:tl2br w:val="nil"/>
                    <w:tr2bl w:val="nil"/>
                  </w:tcBorders>
                  <w:noWrap w:val="0"/>
                  <w:tcMar>
                    <w:top w:w="0" w:type="dxa"/>
                    <w:left w:w="28" w:type="dxa"/>
                    <w:bottom w:w="0" w:type="dxa"/>
                    <w:right w:w="28" w:type="dxa"/>
                  </w:tcMar>
                  <w:vAlign w:val="center"/>
                </w:tcPr>
                <w:p w14:paraId="70402776">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01666EED">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52.80</w:t>
                  </w:r>
                </w:p>
              </w:tc>
              <w:tc>
                <w:tcPr>
                  <w:tcW w:w="802" w:type="pct"/>
                  <w:vMerge w:val="continue"/>
                  <w:tcBorders>
                    <w:tl2br w:val="nil"/>
                    <w:tr2bl w:val="nil"/>
                  </w:tcBorders>
                  <w:noWrap w:val="0"/>
                  <w:tcMar>
                    <w:top w:w="0" w:type="dxa"/>
                    <w:left w:w="28" w:type="dxa"/>
                    <w:bottom w:w="0" w:type="dxa"/>
                    <w:right w:w="28" w:type="dxa"/>
                  </w:tcMar>
                  <w:vAlign w:val="center"/>
                </w:tcPr>
                <w:p w14:paraId="0EDC6A87">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910" w:type="pct"/>
                  <w:tcBorders>
                    <w:tl2br w:val="nil"/>
                    <w:tr2bl w:val="nil"/>
                  </w:tcBorders>
                  <w:noWrap w:val="0"/>
                  <w:tcMar>
                    <w:top w:w="0" w:type="dxa"/>
                    <w:left w:w="28" w:type="dxa"/>
                    <w:bottom w:w="0" w:type="dxa"/>
                    <w:right w:w="28" w:type="dxa"/>
                  </w:tcMar>
                  <w:vAlign w:val="center"/>
                </w:tcPr>
                <w:p w14:paraId="7EF299C0">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4F24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71E62098">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114AD46D">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eastAsia="zh-CN"/>
                    </w:rPr>
                    <w:t>东</w:t>
                  </w:r>
                </w:p>
              </w:tc>
              <w:tc>
                <w:tcPr>
                  <w:tcW w:w="874" w:type="pct"/>
                  <w:vMerge w:val="restart"/>
                  <w:tcBorders>
                    <w:tl2br w:val="nil"/>
                    <w:tr2bl w:val="nil"/>
                  </w:tcBorders>
                  <w:noWrap w:val="0"/>
                  <w:tcMar>
                    <w:top w:w="0" w:type="dxa"/>
                    <w:left w:w="28" w:type="dxa"/>
                    <w:bottom w:w="0" w:type="dxa"/>
                    <w:right w:w="28" w:type="dxa"/>
                  </w:tcMar>
                  <w:vAlign w:val="center"/>
                </w:tcPr>
                <w:p w14:paraId="2B158585">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夜间</w:t>
                  </w:r>
                </w:p>
              </w:tc>
              <w:tc>
                <w:tcPr>
                  <w:tcW w:w="819" w:type="pct"/>
                  <w:tcBorders>
                    <w:tl2br w:val="nil"/>
                    <w:tr2bl w:val="nil"/>
                  </w:tcBorders>
                  <w:noWrap w:val="0"/>
                  <w:tcMar>
                    <w:top w:w="0" w:type="dxa"/>
                    <w:left w:w="28" w:type="dxa"/>
                    <w:bottom w:w="0" w:type="dxa"/>
                    <w:right w:w="28" w:type="dxa"/>
                  </w:tcMar>
                  <w:vAlign w:val="center"/>
                </w:tcPr>
                <w:p w14:paraId="3155E527">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46.91</w:t>
                  </w:r>
                </w:p>
              </w:tc>
              <w:tc>
                <w:tcPr>
                  <w:tcW w:w="802" w:type="pct"/>
                  <w:vMerge w:val="restart"/>
                  <w:tcBorders>
                    <w:tl2br w:val="nil"/>
                    <w:tr2bl w:val="nil"/>
                  </w:tcBorders>
                  <w:noWrap w:val="0"/>
                  <w:tcMar>
                    <w:top w:w="0" w:type="dxa"/>
                    <w:left w:w="28" w:type="dxa"/>
                    <w:bottom w:w="0" w:type="dxa"/>
                    <w:right w:w="28" w:type="dxa"/>
                  </w:tcMar>
                  <w:vAlign w:val="center"/>
                </w:tcPr>
                <w:p w14:paraId="7FAD7E62">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910" w:type="pct"/>
                  <w:tcBorders>
                    <w:tl2br w:val="nil"/>
                    <w:tr2bl w:val="nil"/>
                  </w:tcBorders>
                  <w:noWrap w:val="0"/>
                  <w:tcMar>
                    <w:top w:w="0" w:type="dxa"/>
                    <w:left w:w="28" w:type="dxa"/>
                    <w:bottom w:w="0" w:type="dxa"/>
                    <w:right w:w="28" w:type="dxa"/>
                  </w:tcMar>
                  <w:vAlign w:val="center"/>
                </w:tcPr>
                <w:p w14:paraId="3C17110C">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4D1B5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612F01D2">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743CE09B">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厂界南</w:t>
                  </w:r>
                </w:p>
              </w:tc>
              <w:tc>
                <w:tcPr>
                  <w:tcW w:w="874" w:type="pct"/>
                  <w:vMerge w:val="continue"/>
                  <w:tcBorders>
                    <w:tl2br w:val="nil"/>
                    <w:tr2bl w:val="nil"/>
                  </w:tcBorders>
                  <w:noWrap w:val="0"/>
                  <w:tcMar>
                    <w:top w:w="0" w:type="dxa"/>
                    <w:left w:w="28" w:type="dxa"/>
                    <w:bottom w:w="0" w:type="dxa"/>
                    <w:right w:w="28" w:type="dxa"/>
                  </w:tcMar>
                  <w:vAlign w:val="center"/>
                </w:tcPr>
                <w:p w14:paraId="4608646E">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6900D718">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46.74</w:t>
                  </w:r>
                </w:p>
              </w:tc>
              <w:tc>
                <w:tcPr>
                  <w:tcW w:w="802" w:type="pct"/>
                  <w:vMerge w:val="continue"/>
                  <w:tcBorders>
                    <w:tl2br w:val="nil"/>
                    <w:tr2bl w:val="nil"/>
                  </w:tcBorders>
                  <w:noWrap w:val="0"/>
                  <w:tcMar>
                    <w:top w:w="0" w:type="dxa"/>
                    <w:left w:w="28" w:type="dxa"/>
                    <w:bottom w:w="0" w:type="dxa"/>
                    <w:right w:w="28" w:type="dxa"/>
                  </w:tcMar>
                  <w:vAlign w:val="center"/>
                </w:tcPr>
                <w:p w14:paraId="42523789">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p>
              </w:tc>
              <w:tc>
                <w:tcPr>
                  <w:tcW w:w="910" w:type="pct"/>
                  <w:tcBorders>
                    <w:tl2br w:val="nil"/>
                    <w:tr2bl w:val="nil"/>
                  </w:tcBorders>
                  <w:noWrap w:val="0"/>
                  <w:tcMar>
                    <w:top w:w="0" w:type="dxa"/>
                    <w:left w:w="28" w:type="dxa"/>
                    <w:bottom w:w="0" w:type="dxa"/>
                    <w:right w:w="28" w:type="dxa"/>
                  </w:tcMar>
                  <w:vAlign w:val="center"/>
                </w:tcPr>
                <w:p w14:paraId="45C91E3C">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6E457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5C0338ED">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711F02FE">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eastAsia="zh-CN"/>
                    </w:rPr>
                    <w:t>西</w:t>
                  </w:r>
                </w:p>
              </w:tc>
              <w:tc>
                <w:tcPr>
                  <w:tcW w:w="874" w:type="pct"/>
                  <w:vMerge w:val="continue"/>
                  <w:tcBorders>
                    <w:tl2br w:val="nil"/>
                    <w:tr2bl w:val="nil"/>
                  </w:tcBorders>
                  <w:noWrap w:val="0"/>
                  <w:tcMar>
                    <w:top w:w="0" w:type="dxa"/>
                    <w:left w:w="28" w:type="dxa"/>
                    <w:bottom w:w="0" w:type="dxa"/>
                    <w:right w:w="28" w:type="dxa"/>
                  </w:tcMar>
                  <w:vAlign w:val="center"/>
                </w:tcPr>
                <w:p w14:paraId="67412019">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40FE6068">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45.87</w:t>
                  </w:r>
                </w:p>
              </w:tc>
              <w:tc>
                <w:tcPr>
                  <w:tcW w:w="802" w:type="pct"/>
                  <w:vMerge w:val="continue"/>
                  <w:tcBorders>
                    <w:tl2br w:val="nil"/>
                    <w:tr2bl w:val="nil"/>
                  </w:tcBorders>
                  <w:noWrap w:val="0"/>
                  <w:tcMar>
                    <w:top w:w="0" w:type="dxa"/>
                    <w:left w:w="28" w:type="dxa"/>
                    <w:bottom w:w="0" w:type="dxa"/>
                    <w:right w:w="28" w:type="dxa"/>
                  </w:tcMar>
                  <w:vAlign w:val="center"/>
                </w:tcPr>
                <w:p w14:paraId="34D48FC7">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p>
              </w:tc>
              <w:tc>
                <w:tcPr>
                  <w:tcW w:w="910" w:type="pct"/>
                  <w:tcBorders>
                    <w:tl2br w:val="nil"/>
                    <w:tr2bl w:val="nil"/>
                  </w:tcBorders>
                  <w:noWrap w:val="0"/>
                  <w:tcMar>
                    <w:top w:w="0" w:type="dxa"/>
                    <w:left w:w="28" w:type="dxa"/>
                    <w:bottom w:w="0" w:type="dxa"/>
                    <w:right w:w="28" w:type="dxa"/>
                  </w:tcMar>
                  <w:vAlign w:val="center"/>
                </w:tcPr>
                <w:p w14:paraId="3F1C7F6A">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1C20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tcBorders>
                    <w:tl2br w:val="nil"/>
                    <w:tr2bl w:val="nil"/>
                  </w:tcBorders>
                  <w:noWrap w:val="0"/>
                  <w:tcMar>
                    <w:top w:w="0" w:type="dxa"/>
                    <w:left w:w="28" w:type="dxa"/>
                    <w:bottom w:w="0" w:type="dxa"/>
                    <w:right w:w="28" w:type="dxa"/>
                  </w:tcMar>
                  <w:vAlign w:val="center"/>
                </w:tcPr>
                <w:p w14:paraId="530201CF">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vertAlign w:val="superscript"/>
                    </w:rPr>
                    <w:t>#</w:t>
                  </w:r>
                </w:p>
              </w:tc>
              <w:tc>
                <w:tcPr>
                  <w:tcW w:w="965" w:type="pct"/>
                  <w:tcBorders>
                    <w:tl2br w:val="nil"/>
                    <w:tr2bl w:val="nil"/>
                  </w:tcBorders>
                  <w:noWrap w:val="0"/>
                  <w:tcMar>
                    <w:top w:w="0" w:type="dxa"/>
                    <w:left w:w="28" w:type="dxa"/>
                    <w:bottom w:w="0" w:type="dxa"/>
                    <w:right w:w="28" w:type="dxa"/>
                  </w:tcMar>
                  <w:vAlign w:val="center"/>
                </w:tcPr>
                <w:p w14:paraId="0ABD5D8C">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厂界北</w:t>
                  </w:r>
                </w:p>
              </w:tc>
              <w:tc>
                <w:tcPr>
                  <w:tcW w:w="874" w:type="pct"/>
                  <w:vMerge w:val="continue"/>
                  <w:tcBorders>
                    <w:tl2br w:val="nil"/>
                    <w:tr2bl w:val="nil"/>
                  </w:tcBorders>
                  <w:noWrap w:val="0"/>
                  <w:tcMar>
                    <w:top w:w="0" w:type="dxa"/>
                    <w:left w:w="28" w:type="dxa"/>
                    <w:bottom w:w="0" w:type="dxa"/>
                    <w:right w:w="28" w:type="dxa"/>
                  </w:tcMar>
                  <w:vAlign w:val="center"/>
                </w:tcPr>
                <w:p w14:paraId="0F622C9E">
                  <w:pPr>
                    <w:keepNext w:val="0"/>
                    <w:keepLines w:val="0"/>
                    <w:pageBreakBefore w:val="0"/>
                    <w:widowControl w:val="0"/>
                    <w:tabs>
                      <w:tab w:val="left" w:pos="360"/>
                    </w:tabs>
                    <w:kinsoku/>
                    <w:wordWrap/>
                    <w:overflowPunct/>
                    <w:topLinePunct w:val="0"/>
                    <w:autoSpaceDE/>
                    <w:autoSpaceDN/>
                    <w:bidi w:val="0"/>
                    <w:adjustRightInd/>
                    <w:spacing w:line="320" w:lineRule="exact"/>
                    <w:jc w:val="center"/>
                    <w:rPr>
                      <w:rFonts w:hint="default" w:ascii="Times New Roman" w:hAnsi="Times New Roman" w:cs="Times New Roman"/>
                      <w:color w:val="auto"/>
                      <w:sz w:val="21"/>
                      <w:szCs w:val="21"/>
                      <w:highlight w:val="none"/>
                    </w:rPr>
                  </w:pPr>
                </w:p>
              </w:tc>
              <w:tc>
                <w:tcPr>
                  <w:tcW w:w="819" w:type="pct"/>
                  <w:tcBorders>
                    <w:tl2br w:val="nil"/>
                    <w:tr2bl w:val="nil"/>
                  </w:tcBorders>
                  <w:noWrap w:val="0"/>
                  <w:tcMar>
                    <w:top w:w="0" w:type="dxa"/>
                    <w:left w:w="28" w:type="dxa"/>
                    <w:bottom w:w="0" w:type="dxa"/>
                    <w:right w:w="28" w:type="dxa"/>
                  </w:tcMar>
                  <w:vAlign w:val="center"/>
                </w:tcPr>
                <w:p w14:paraId="20D2FA84">
                  <w:pPr>
                    <w:pStyle w:val="97"/>
                    <w:keepNext w:val="0"/>
                    <w:keepLines w:val="0"/>
                    <w:pageBreakBefore w:val="0"/>
                    <w:widowControl w:val="0"/>
                    <w:kinsoku/>
                    <w:wordWrap/>
                    <w:overflowPunct/>
                    <w:topLinePunct w:val="0"/>
                    <w:autoSpaceDE/>
                    <w:autoSpaceDN/>
                    <w:bidi w:val="0"/>
                    <w:adjustRightInd/>
                    <w:snapToGrid w:val="0"/>
                    <w:spacing w:before="0" w:after="0" w:line="320" w:lineRule="exac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43.25</w:t>
                  </w:r>
                </w:p>
              </w:tc>
              <w:tc>
                <w:tcPr>
                  <w:tcW w:w="802" w:type="pct"/>
                  <w:vMerge w:val="continue"/>
                  <w:tcBorders>
                    <w:tl2br w:val="nil"/>
                    <w:tr2bl w:val="nil"/>
                  </w:tcBorders>
                  <w:noWrap w:val="0"/>
                  <w:tcMar>
                    <w:top w:w="0" w:type="dxa"/>
                    <w:left w:w="28" w:type="dxa"/>
                    <w:bottom w:w="0" w:type="dxa"/>
                    <w:right w:w="28" w:type="dxa"/>
                  </w:tcMar>
                  <w:vAlign w:val="center"/>
                </w:tcPr>
                <w:p w14:paraId="19FA6BDB">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p>
              </w:tc>
              <w:tc>
                <w:tcPr>
                  <w:tcW w:w="910" w:type="pct"/>
                  <w:tcBorders>
                    <w:tl2br w:val="nil"/>
                    <w:tr2bl w:val="nil"/>
                  </w:tcBorders>
                  <w:noWrap w:val="0"/>
                  <w:tcMar>
                    <w:top w:w="0" w:type="dxa"/>
                    <w:left w:w="28" w:type="dxa"/>
                    <w:bottom w:w="0" w:type="dxa"/>
                    <w:right w:w="28" w:type="dxa"/>
                  </w:tcMar>
                  <w:vAlign w:val="center"/>
                </w:tcPr>
                <w:p w14:paraId="273D525C">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1F11984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根据预测结果可知，本项目建成后运营期厂界四周昼、夜噪声预测值均能达到《工业企业厂界噪声排放标准》（GB12348-2008）2类标准限值，对项目周围声环境不会产生明显影响。</w:t>
            </w:r>
          </w:p>
          <w:p w14:paraId="2558709E">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项目边界外50m范围内无声环境保护目标。</w:t>
            </w:r>
          </w:p>
          <w:p w14:paraId="5BFBB1A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4.3.4 运输沿线的环境敏感目标及控制措施</w:t>
            </w:r>
          </w:p>
          <w:p w14:paraId="55ED68A7">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采用公路运输的方式运至场地。本项目进出厂运输线路主要利用现有乡村路与南侧G309国道连通，依靠G309国道与外部县道和国道连通，现有乡村路距离较近的村庄为前苏村，相距约30m，运输路线沿线无其他环境敏感目标。</w:t>
            </w:r>
          </w:p>
          <w:p w14:paraId="53B92802">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运输过程中，运输车辆使用封闭厢式新能源汽车；运输必须按照规定线路行驶，车厢采用全封闭式车厢，在通过村庄路段要限速、限制鸣笛，禁止夜间运输等，采取这些措施后，公路运输对沿线村镇的影响较小。</w:t>
            </w:r>
          </w:p>
          <w:p w14:paraId="43CE2F0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4.4固体废物</w:t>
            </w:r>
          </w:p>
          <w:p w14:paraId="09AE5FE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4.4.1固体废物产生及利用处置情况</w:t>
            </w:r>
          </w:p>
          <w:p w14:paraId="37CF6D9D">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见表4-</w:t>
            </w:r>
            <w:r>
              <w:rPr>
                <w:rFonts w:hint="eastAsia" w:cs="Times New Roman"/>
                <w:b w:val="0"/>
                <w:bCs/>
                <w:color w:val="auto"/>
                <w:kern w:val="2"/>
                <w:sz w:val="24"/>
                <w:szCs w:val="24"/>
                <w:highlight w:val="none"/>
                <w:lang w:val="en-US" w:eastAsia="zh-CN" w:bidi="ar-SA"/>
              </w:rPr>
              <w:t>25</w:t>
            </w:r>
            <w:r>
              <w:rPr>
                <w:rFonts w:hint="eastAsia" w:ascii="Times New Roman" w:hAnsi="Times New Roman" w:eastAsia="宋体" w:cs="Times New Roman"/>
                <w:b w:val="0"/>
                <w:bCs/>
                <w:color w:val="auto"/>
                <w:kern w:val="2"/>
                <w:sz w:val="24"/>
                <w:szCs w:val="24"/>
                <w:highlight w:val="none"/>
                <w:lang w:val="en-US" w:eastAsia="zh-CN" w:bidi="ar-SA"/>
              </w:rPr>
              <w:t>。</w:t>
            </w:r>
          </w:p>
          <w:p w14:paraId="315A07AC">
            <w:pPr>
              <w:pStyle w:val="92"/>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kern w:val="2"/>
                <w:sz w:val="24"/>
                <w:szCs w:val="24"/>
                <w:highlight w:val="none"/>
                <w:lang w:val="en-US" w:eastAsia="zh-CN" w:bidi="ar-SA"/>
              </w:rPr>
            </w:pPr>
            <w:r>
              <w:rPr>
                <w:rFonts w:hint="default" w:ascii="Times New Roman" w:hAnsi="Times New Roman" w:eastAsia="黑体" w:cs="Times New Roman"/>
                <w:b w:val="0"/>
                <w:bCs w:val="0"/>
                <w:color w:val="auto"/>
                <w:kern w:val="2"/>
                <w:sz w:val="24"/>
                <w:szCs w:val="24"/>
                <w:highlight w:val="none"/>
                <w:lang w:val="en-US" w:eastAsia="zh-CN" w:bidi="ar-SA"/>
              </w:rPr>
              <w:t>表</w:t>
            </w:r>
            <w:r>
              <w:rPr>
                <w:rFonts w:hint="eastAsia" w:ascii="Times New Roman" w:hAnsi="Times New Roman" w:eastAsia="黑体" w:cs="Times New Roman"/>
                <w:b w:val="0"/>
                <w:bCs w:val="0"/>
                <w:color w:val="auto"/>
                <w:kern w:val="2"/>
                <w:sz w:val="24"/>
                <w:szCs w:val="24"/>
                <w:highlight w:val="none"/>
                <w:lang w:val="en-US" w:eastAsia="zh-CN" w:bidi="ar-SA"/>
              </w:rPr>
              <w:t>4-25</w:t>
            </w:r>
            <w:r>
              <w:rPr>
                <w:rFonts w:hint="default" w:ascii="Times New Roman" w:hAnsi="Times New Roman" w:eastAsia="黑体" w:cs="Times New Roman"/>
                <w:b w:val="0"/>
                <w:bCs w:val="0"/>
                <w:color w:val="auto"/>
                <w:kern w:val="2"/>
                <w:sz w:val="24"/>
                <w:szCs w:val="24"/>
                <w:highlight w:val="none"/>
                <w:lang w:val="en-US" w:eastAsia="zh-CN" w:bidi="ar-SA"/>
              </w:rPr>
              <w:t xml:space="preserve">  固体废物产生情况及利用处置情况表</w:t>
            </w:r>
          </w:p>
          <w:tbl>
            <w:tblPr>
              <w:tblStyle w:val="9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5"/>
              <w:gridCol w:w="975"/>
              <w:gridCol w:w="768"/>
              <w:gridCol w:w="1171"/>
              <w:gridCol w:w="1030"/>
              <w:gridCol w:w="1045"/>
              <w:gridCol w:w="729"/>
              <w:gridCol w:w="1152"/>
              <w:gridCol w:w="686"/>
            </w:tblGrid>
            <w:tr w14:paraId="3DB06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noWrap w:val="0"/>
                  <w:vAlign w:val="center"/>
                </w:tcPr>
                <w:p w14:paraId="456C9555">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主要生产单元</w:t>
                  </w:r>
                </w:p>
              </w:tc>
              <w:tc>
                <w:tcPr>
                  <w:tcW w:w="582" w:type="pct"/>
                  <w:tcBorders>
                    <w:tl2br w:val="nil"/>
                    <w:tr2bl w:val="nil"/>
                  </w:tcBorders>
                  <w:noWrap w:val="0"/>
                  <w:vAlign w:val="center"/>
                </w:tcPr>
                <w:p w14:paraId="4BE5C15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58" w:type="pct"/>
                  <w:tcBorders>
                    <w:tl2br w:val="nil"/>
                    <w:tr2bl w:val="nil"/>
                  </w:tcBorders>
                  <w:noWrap w:val="0"/>
                  <w:vAlign w:val="center"/>
                </w:tcPr>
                <w:p w14:paraId="560879E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属性</w:t>
                  </w:r>
                </w:p>
              </w:tc>
              <w:tc>
                <w:tcPr>
                  <w:tcW w:w="699" w:type="pct"/>
                  <w:tcBorders>
                    <w:tl2br w:val="nil"/>
                    <w:tr2bl w:val="nil"/>
                  </w:tcBorders>
                  <w:noWrap w:val="0"/>
                  <w:textDirection w:val="tbRlV"/>
                  <w:vAlign w:val="center"/>
                </w:tcPr>
                <w:p w14:paraId="0E2A35CA">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代码</w:t>
                  </w:r>
                </w:p>
              </w:tc>
              <w:tc>
                <w:tcPr>
                  <w:tcW w:w="615" w:type="pct"/>
                  <w:tcBorders>
                    <w:tl2br w:val="nil"/>
                    <w:tr2bl w:val="nil"/>
                  </w:tcBorders>
                  <w:noWrap w:val="0"/>
                  <w:vAlign w:val="center"/>
                </w:tcPr>
                <w:p w14:paraId="1BE7565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14:paraId="55E6606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624" w:type="pct"/>
                  <w:tcBorders>
                    <w:tl2br w:val="nil"/>
                    <w:tr2bl w:val="nil"/>
                  </w:tcBorders>
                  <w:noWrap w:val="0"/>
                  <w:vAlign w:val="center"/>
                </w:tcPr>
                <w:p w14:paraId="6E2D0F2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综合利用量（t/a）</w:t>
                  </w:r>
                </w:p>
              </w:tc>
              <w:tc>
                <w:tcPr>
                  <w:tcW w:w="435" w:type="pct"/>
                  <w:tcBorders>
                    <w:tl2br w:val="nil"/>
                    <w:tr2bl w:val="nil"/>
                  </w:tcBorders>
                  <w:noWrap w:val="0"/>
                  <w:vAlign w:val="center"/>
                </w:tcPr>
                <w:p w14:paraId="433286E2">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处置量</w:t>
                  </w:r>
                </w:p>
                <w:p w14:paraId="254BACB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688" w:type="pct"/>
                  <w:tcBorders>
                    <w:tl2br w:val="nil"/>
                    <w:tr2bl w:val="nil"/>
                  </w:tcBorders>
                  <w:noWrap w:val="0"/>
                  <w:vAlign w:val="center"/>
                </w:tcPr>
                <w:p w14:paraId="0BD32A62">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综合利用或处置方式</w:t>
                  </w:r>
                </w:p>
              </w:tc>
              <w:tc>
                <w:tcPr>
                  <w:tcW w:w="409" w:type="pct"/>
                  <w:tcBorders>
                    <w:tl2br w:val="nil"/>
                    <w:tr2bl w:val="nil"/>
                  </w:tcBorders>
                  <w:noWrap w:val="0"/>
                  <w:vAlign w:val="center"/>
                </w:tcPr>
                <w:p w14:paraId="4E5BCD7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产废</w:t>
                  </w:r>
                </w:p>
                <w:p w14:paraId="166AD50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周期</w:t>
                  </w:r>
                </w:p>
              </w:tc>
            </w:tr>
            <w:tr w14:paraId="50443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shd w:val="clear" w:color="auto" w:fill="auto"/>
                  <w:noWrap w:val="0"/>
                  <w:vAlign w:val="center"/>
                </w:tcPr>
                <w:p w14:paraId="61CDF7A8">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w:t>
                  </w:r>
                </w:p>
              </w:tc>
              <w:tc>
                <w:tcPr>
                  <w:tcW w:w="582" w:type="pct"/>
                  <w:tcBorders>
                    <w:tl2br w:val="nil"/>
                    <w:tr2bl w:val="nil"/>
                  </w:tcBorders>
                  <w:shd w:val="clear" w:color="auto" w:fill="auto"/>
                  <w:noWrap w:val="0"/>
                  <w:vAlign w:val="center"/>
                </w:tcPr>
                <w:p w14:paraId="50120E9D">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w:t>
                  </w:r>
                  <w:r>
                    <w:rPr>
                      <w:rFonts w:hint="default" w:ascii="Times New Roman" w:hAnsi="Times New Roman" w:eastAsia="宋体" w:cs="Times New Roman"/>
                      <w:color w:val="auto"/>
                      <w:sz w:val="21"/>
                      <w:szCs w:val="21"/>
                      <w:highlight w:val="none"/>
                      <w:lang w:val="en-US" w:eastAsia="zh-CN"/>
                    </w:rPr>
                    <w:t>灰</w:t>
                  </w:r>
                </w:p>
              </w:tc>
              <w:tc>
                <w:tcPr>
                  <w:tcW w:w="458" w:type="pct"/>
                  <w:vMerge w:val="restart"/>
                  <w:tcBorders>
                    <w:tl2br w:val="nil"/>
                    <w:tr2bl w:val="nil"/>
                  </w:tcBorders>
                  <w:noWrap w:val="0"/>
                  <w:vAlign w:val="center"/>
                </w:tcPr>
                <w:p w14:paraId="76541C2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699" w:type="pct"/>
                  <w:tcBorders>
                    <w:tl2br w:val="nil"/>
                    <w:tr2bl w:val="nil"/>
                  </w:tcBorders>
                  <w:shd w:val="clear" w:color="auto" w:fill="auto"/>
                  <w:noWrap w:val="0"/>
                  <w:vAlign w:val="center"/>
                </w:tcPr>
                <w:p w14:paraId="78F77ECB">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722-099-S17</w:t>
                  </w:r>
                </w:p>
              </w:tc>
              <w:tc>
                <w:tcPr>
                  <w:tcW w:w="615" w:type="pct"/>
                  <w:tcBorders>
                    <w:tl2br w:val="nil"/>
                    <w:tr2bl w:val="nil"/>
                  </w:tcBorders>
                  <w:shd w:val="clear" w:color="auto" w:fill="auto"/>
                  <w:noWrap w:val="0"/>
                  <w:vAlign w:val="center"/>
                </w:tcPr>
                <w:p w14:paraId="53A8399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w:t>
                  </w:r>
                </w:p>
              </w:tc>
              <w:tc>
                <w:tcPr>
                  <w:tcW w:w="624" w:type="pct"/>
                  <w:tcBorders>
                    <w:tl2br w:val="nil"/>
                    <w:tr2bl w:val="nil"/>
                  </w:tcBorders>
                  <w:shd w:val="clear" w:color="auto" w:fill="auto"/>
                  <w:noWrap w:val="0"/>
                  <w:vAlign w:val="center"/>
                </w:tcPr>
                <w:p w14:paraId="29908CDA">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w:t>
                  </w:r>
                </w:p>
              </w:tc>
              <w:tc>
                <w:tcPr>
                  <w:tcW w:w="435" w:type="pct"/>
                  <w:tcBorders>
                    <w:tl2br w:val="nil"/>
                    <w:tr2bl w:val="nil"/>
                  </w:tcBorders>
                  <w:shd w:val="clear" w:color="auto" w:fill="auto"/>
                  <w:noWrap w:val="0"/>
                  <w:vAlign w:val="center"/>
                </w:tcPr>
                <w:p w14:paraId="714C031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688" w:type="pct"/>
                  <w:vMerge w:val="restart"/>
                  <w:tcBorders>
                    <w:tl2br w:val="nil"/>
                    <w:tr2bl w:val="nil"/>
                  </w:tcBorders>
                  <w:noWrap w:val="0"/>
                  <w:vAlign w:val="center"/>
                </w:tcPr>
                <w:p w14:paraId="51DA6BF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w:t>
                  </w:r>
                </w:p>
              </w:tc>
              <w:tc>
                <w:tcPr>
                  <w:tcW w:w="409" w:type="pct"/>
                  <w:tcBorders>
                    <w:tl2br w:val="nil"/>
                    <w:tr2bl w:val="nil"/>
                  </w:tcBorders>
                  <w:noWrap w:val="0"/>
                  <w:vAlign w:val="center"/>
                </w:tcPr>
                <w:p w14:paraId="05129E1E">
                  <w:pPr>
                    <w:keepNext w:val="0"/>
                    <w:keepLines w:val="0"/>
                    <w:pageBreakBefore w:val="0"/>
                    <w:widowControl w:val="0"/>
                    <w:kinsoku/>
                    <w:wordWrap/>
                    <w:overflowPunct/>
                    <w:topLinePunct w:val="0"/>
                    <w:autoSpaceDE/>
                    <w:autoSpaceDN/>
                    <w:bidi w:val="0"/>
                    <w:adjustRightInd/>
                    <w:spacing w:line="320" w:lineRule="exact"/>
                    <w:jc w:val="center"/>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r>
            <w:tr w14:paraId="2319D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noWrap w:val="0"/>
                  <w:vAlign w:val="center"/>
                </w:tcPr>
                <w:p w14:paraId="787CA322">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切坯</w:t>
                  </w:r>
                </w:p>
              </w:tc>
              <w:tc>
                <w:tcPr>
                  <w:tcW w:w="582" w:type="pct"/>
                  <w:tcBorders>
                    <w:tl2br w:val="nil"/>
                    <w:tr2bl w:val="nil"/>
                  </w:tcBorders>
                  <w:noWrap w:val="0"/>
                  <w:vAlign w:val="center"/>
                </w:tcPr>
                <w:p w14:paraId="292BF89B">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废砖坯</w:t>
                  </w:r>
                </w:p>
              </w:tc>
              <w:tc>
                <w:tcPr>
                  <w:tcW w:w="458" w:type="pct"/>
                  <w:vMerge w:val="continue"/>
                  <w:tcBorders>
                    <w:tl2br w:val="nil"/>
                    <w:tr2bl w:val="nil"/>
                  </w:tcBorders>
                  <w:noWrap w:val="0"/>
                  <w:vAlign w:val="center"/>
                </w:tcPr>
                <w:p w14:paraId="283AB1F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p>
              </w:tc>
              <w:tc>
                <w:tcPr>
                  <w:tcW w:w="699" w:type="pct"/>
                  <w:tcBorders>
                    <w:tl2br w:val="nil"/>
                    <w:tr2bl w:val="nil"/>
                  </w:tcBorders>
                  <w:noWrap w:val="0"/>
                  <w:vAlign w:val="center"/>
                </w:tcPr>
                <w:p w14:paraId="0916114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722-099-S17</w:t>
                  </w:r>
                </w:p>
              </w:tc>
              <w:tc>
                <w:tcPr>
                  <w:tcW w:w="615" w:type="pct"/>
                  <w:tcBorders>
                    <w:tl2br w:val="nil"/>
                    <w:tr2bl w:val="nil"/>
                  </w:tcBorders>
                  <w:noWrap w:val="0"/>
                  <w:vAlign w:val="center"/>
                </w:tcPr>
                <w:p w14:paraId="6575DC0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297.68</w:t>
                  </w:r>
                </w:p>
              </w:tc>
              <w:tc>
                <w:tcPr>
                  <w:tcW w:w="624" w:type="pct"/>
                  <w:tcBorders>
                    <w:tl2br w:val="nil"/>
                    <w:tr2bl w:val="nil"/>
                  </w:tcBorders>
                  <w:noWrap w:val="0"/>
                  <w:vAlign w:val="center"/>
                </w:tcPr>
                <w:p w14:paraId="676D27B5">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297.68</w:t>
                  </w:r>
                </w:p>
              </w:tc>
              <w:tc>
                <w:tcPr>
                  <w:tcW w:w="435" w:type="pct"/>
                  <w:tcBorders>
                    <w:tl2br w:val="nil"/>
                    <w:tr2bl w:val="nil"/>
                  </w:tcBorders>
                  <w:noWrap w:val="0"/>
                  <w:vAlign w:val="center"/>
                </w:tcPr>
                <w:p w14:paraId="5D22CD5F">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688" w:type="pct"/>
                  <w:vMerge w:val="continue"/>
                  <w:tcBorders>
                    <w:tl2br w:val="nil"/>
                    <w:tr2bl w:val="nil"/>
                  </w:tcBorders>
                  <w:noWrap w:val="0"/>
                  <w:vAlign w:val="center"/>
                </w:tcPr>
                <w:p w14:paraId="5B768EC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p>
              </w:tc>
              <w:tc>
                <w:tcPr>
                  <w:tcW w:w="409" w:type="pct"/>
                  <w:tcBorders>
                    <w:tl2br w:val="nil"/>
                    <w:tr2bl w:val="nil"/>
                  </w:tcBorders>
                  <w:noWrap w:val="0"/>
                  <w:vAlign w:val="center"/>
                </w:tcPr>
                <w:p w14:paraId="74ED9248">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r>
            <w:tr w14:paraId="222E7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noWrap w:val="0"/>
                  <w:vAlign w:val="center"/>
                </w:tcPr>
                <w:p w14:paraId="72B43DA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焙烧</w:t>
                  </w:r>
                </w:p>
              </w:tc>
              <w:tc>
                <w:tcPr>
                  <w:tcW w:w="582" w:type="pct"/>
                  <w:tcBorders>
                    <w:tl2br w:val="nil"/>
                    <w:tr2bl w:val="nil"/>
                  </w:tcBorders>
                  <w:noWrap w:val="0"/>
                  <w:vAlign w:val="center"/>
                </w:tcPr>
                <w:p w14:paraId="51FFB6D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不合格品</w:t>
                  </w:r>
                </w:p>
              </w:tc>
              <w:tc>
                <w:tcPr>
                  <w:tcW w:w="458" w:type="pct"/>
                  <w:vMerge w:val="continue"/>
                  <w:tcBorders>
                    <w:tl2br w:val="nil"/>
                    <w:tr2bl w:val="nil"/>
                  </w:tcBorders>
                  <w:noWrap w:val="0"/>
                  <w:vAlign w:val="center"/>
                </w:tcPr>
                <w:p w14:paraId="57141E3D">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p>
              </w:tc>
              <w:tc>
                <w:tcPr>
                  <w:tcW w:w="699" w:type="pct"/>
                  <w:tcBorders>
                    <w:tl2br w:val="nil"/>
                    <w:tr2bl w:val="nil"/>
                  </w:tcBorders>
                  <w:noWrap w:val="0"/>
                  <w:vAlign w:val="center"/>
                </w:tcPr>
                <w:p w14:paraId="6D3D626A">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722-099-S17</w:t>
                  </w:r>
                </w:p>
              </w:tc>
              <w:tc>
                <w:tcPr>
                  <w:tcW w:w="615" w:type="pct"/>
                  <w:tcBorders>
                    <w:tl2br w:val="nil"/>
                    <w:tr2bl w:val="nil"/>
                  </w:tcBorders>
                  <w:noWrap w:val="0"/>
                  <w:vAlign w:val="center"/>
                </w:tcPr>
                <w:p w14:paraId="7A913D4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8930.4</w:t>
                  </w:r>
                </w:p>
              </w:tc>
              <w:tc>
                <w:tcPr>
                  <w:tcW w:w="624" w:type="pct"/>
                  <w:tcBorders>
                    <w:tl2br w:val="nil"/>
                    <w:tr2bl w:val="nil"/>
                  </w:tcBorders>
                  <w:noWrap w:val="0"/>
                  <w:vAlign w:val="center"/>
                </w:tcPr>
                <w:p w14:paraId="212C714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8930.4</w:t>
                  </w:r>
                </w:p>
              </w:tc>
              <w:tc>
                <w:tcPr>
                  <w:tcW w:w="435" w:type="pct"/>
                  <w:tcBorders>
                    <w:tl2br w:val="nil"/>
                    <w:tr2bl w:val="nil"/>
                  </w:tcBorders>
                  <w:noWrap w:val="0"/>
                  <w:vAlign w:val="center"/>
                </w:tcPr>
                <w:p w14:paraId="664E945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88" w:type="pct"/>
                  <w:vMerge w:val="continue"/>
                  <w:tcBorders>
                    <w:tl2br w:val="nil"/>
                    <w:tr2bl w:val="nil"/>
                  </w:tcBorders>
                  <w:noWrap w:val="0"/>
                  <w:vAlign w:val="center"/>
                </w:tcPr>
                <w:p w14:paraId="4B5AE84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p>
              </w:tc>
              <w:tc>
                <w:tcPr>
                  <w:tcW w:w="409" w:type="pct"/>
                  <w:tcBorders>
                    <w:tl2br w:val="nil"/>
                    <w:tr2bl w:val="nil"/>
                  </w:tcBorders>
                  <w:noWrap w:val="0"/>
                  <w:vAlign w:val="center"/>
                </w:tcPr>
                <w:p w14:paraId="5EC3F0F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每天</w:t>
                  </w:r>
                </w:p>
              </w:tc>
            </w:tr>
            <w:tr w14:paraId="34508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noWrap w:val="0"/>
                  <w:vAlign w:val="center"/>
                </w:tcPr>
                <w:p w14:paraId="25B0612D">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脱硫除尘装置</w:t>
                  </w:r>
                </w:p>
              </w:tc>
              <w:tc>
                <w:tcPr>
                  <w:tcW w:w="582" w:type="pct"/>
                  <w:tcBorders>
                    <w:tl2br w:val="nil"/>
                    <w:tr2bl w:val="nil"/>
                  </w:tcBorders>
                  <w:noWrap w:val="0"/>
                  <w:vAlign w:val="center"/>
                </w:tcPr>
                <w:p w14:paraId="49EB479A">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脱硫废渣</w:t>
                  </w:r>
                </w:p>
              </w:tc>
              <w:tc>
                <w:tcPr>
                  <w:tcW w:w="458" w:type="pct"/>
                  <w:vMerge w:val="continue"/>
                  <w:tcBorders>
                    <w:tl2br w:val="nil"/>
                    <w:tr2bl w:val="nil"/>
                  </w:tcBorders>
                  <w:noWrap w:val="0"/>
                  <w:vAlign w:val="center"/>
                </w:tcPr>
                <w:p w14:paraId="36A5F648">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p>
              </w:tc>
              <w:tc>
                <w:tcPr>
                  <w:tcW w:w="699" w:type="pct"/>
                  <w:tcBorders>
                    <w:tl2br w:val="nil"/>
                    <w:tr2bl w:val="nil"/>
                  </w:tcBorders>
                  <w:noWrap w:val="0"/>
                  <w:vAlign w:val="center"/>
                </w:tcPr>
                <w:p w14:paraId="4AFA607B">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722-099-S06</w:t>
                  </w:r>
                </w:p>
              </w:tc>
              <w:tc>
                <w:tcPr>
                  <w:tcW w:w="615" w:type="pct"/>
                  <w:tcBorders>
                    <w:tl2br w:val="nil"/>
                    <w:tr2bl w:val="nil"/>
                  </w:tcBorders>
                  <w:noWrap w:val="0"/>
                  <w:vAlign w:val="center"/>
                </w:tcPr>
                <w:p w14:paraId="71CBD33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414.24</w:t>
                  </w:r>
                </w:p>
              </w:tc>
              <w:tc>
                <w:tcPr>
                  <w:tcW w:w="624" w:type="pct"/>
                  <w:tcBorders>
                    <w:tl2br w:val="nil"/>
                    <w:tr2bl w:val="nil"/>
                  </w:tcBorders>
                  <w:noWrap w:val="0"/>
                  <w:vAlign w:val="center"/>
                </w:tcPr>
                <w:p w14:paraId="78343F0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414.24</w:t>
                  </w:r>
                </w:p>
              </w:tc>
              <w:tc>
                <w:tcPr>
                  <w:tcW w:w="435" w:type="pct"/>
                  <w:tcBorders>
                    <w:tl2br w:val="nil"/>
                    <w:tr2bl w:val="nil"/>
                  </w:tcBorders>
                  <w:noWrap w:val="0"/>
                  <w:vAlign w:val="center"/>
                </w:tcPr>
                <w:p w14:paraId="732A42A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88" w:type="pct"/>
                  <w:vMerge w:val="continue"/>
                  <w:tcBorders>
                    <w:tl2br w:val="nil"/>
                    <w:tr2bl w:val="nil"/>
                  </w:tcBorders>
                  <w:noWrap w:val="0"/>
                  <w:vAlign w:val="center"/>
                </w:tcPr>
                <w:p w14:paraId="4096599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p>
              </w:tc>
              <w:tc>
                <w:tcPr>
                  <w:tcW w:w="409" w:type="pct"/>
                  <w:tcBorders>
                    <w:tl2br w:val="nil"/>
                    <w:tr2bl w:val="nil"/>
                  </w:tcBorders>
                  <w:noWrap w:val="0"/>
                  <w:vAlign w:val="center"/>
                </w:tcPr>
                <w:p w14:paraId="6121B46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每季度</w:t>
                  </w:r>
                </w:p>
              </w:tc>
            </w:tr>
            <w:tr w14:paraId="657CF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vMerge w:val="restart"/>
                  <w:tcBorders>
                    <w:tl2br w:val="nil"/>
                    <w:tr2bl w:val="nil"/>
                  </w:tcBorders>
                  <w:noWrap w:val="0"/>
                  <w:vAlign w:val="center"/>
                </w:tcPr>
                <w:p w14:paraId="37B42F15">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w:t>
                  </w:r>
                </w:p>
                <w:p w14:paraId="2B25C91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维修</w:t>
                  </w:r>
                </w:p>
              </w:tc>
              <w:tc>
                <w:tcPr>
                  <w:tcW w:w="582" w:type="pct"/>
                  <w:tcBorders>
                    <w:tl2br w:val="nil"/>
                    <w:tr2bl w:val="nil"/>
                  </w:tcBorders>
                  <w:noWrap w:val="0"/>
                  <w:vAlign w:val="center"/>
                </w:tcPr>
                <w:p w14:paraId="6B8991A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废矿物油</w:t>
                  </w:r>
                </w:p>
              </w:tc>
              <w:tc>
                <w:tcPr>
                  <w:tcW w:w="458" w:type="pct"/>
                  <w:vMerge w:val="restart"/>
                  <w:tcBorders>
                    <w:tl2br w:val="nil"/>
                    <w:tr2bl w:val="nil"/>
                  </w:tcBorders>
                  <w:noWrap w:val="0"/>
                  <w:vAlign w:val="center"/>
                </w:tcPr>
                <w:p w14:paraId="54ABEFB7">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699" w:type="pct"/>
                  <w:tcBorders>
                    <w:tl2br w:val="nil"/>
                    <w:tr2bl w:val="nil"/>
                  </w:tcBorders>
                  <w:noWrap w:val="0"/>
                  <w:vAlign w:val="center"/>
                </w:tcPr>
                <w:p w14:paraId="157D070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900-249-08</w:t>
                  </w:r>
                </w:p>
              </w:tc>
              <w:tc>
                <w:tcPr>
                  <w:tcW w:w="615" w:type="pct"/>
                  <w:tcBorders>
                    <w:tl2br w:val="nil"/>
                    <w:tr2bl w:val="nil"/>
                  </w:tcBorders>
                  <w:noWrap w:val="0"/>
                  <w:vAlign w:val="center"/>
                </w:tcPr>
                <w:p w14:paraId="3287BE9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624" w:type="pct"/>
                  <w:tcBorders>
                    <w:tl2br w:val="nil"/>
                    <w:tr2bl w:val="nil"/>
                  </w:tcBorders>
                  <w:noWrap w:val="0"/>
                  <w:vAlign w:val="center"/>
                </w:tcPr>
                <w:p w14:paraId="2EEF71E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35" w:type="pct"/>
                  <w:tcBorders>
                    <w:tl2br w:val="nil"/>
                    <w:tr2bl w:val="nil"/>
                  </w:tcBorders>
                  <w:noWrap w:val="0"/>
                  <w:vAlign w:val="center"/>
                </w:tcPr>
                <w:p w14:paraId="6A2C8A0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0.8</w:t>
                  </w:r>
                </w:p>
              </w:tc>
              <w:tc>
                <w:tcPr>
                  <w:tcW w:w="688" w:type="pct"/>
                  <w:vMerge w:val="restart"/>
                  <w:tcBorders>
                    <w:tl2br w:val="nil"/>
                    <w:tr2bl w:val="nil"/>
                  </w:tcBorders>
                  <w:noWrap w:val="0"/>
                  <w:vAlign w:val="center"/>
                </w:tcPr>
                <w:p w14:paraId="64E1C0D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有资质危废单位处置</w:t>
                  </w:r>
                </w:p>
              </w:tc>
              <w:tc>
                <w:tcPr>
                  <w:tcW w:w="409" w:type="pct"/>
                  <w:tcBorders>
                    <w:tl2br w:val="nil"/>
                    <w:tr2bl w:val="nil"/>
                  </w:tcBorders>
                  <w:noWrap w:val="0"/>
                  <w:vAlign w:val="center"/>
                </w:tcPr>
                <w:p w14:paraId="0F44A9F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每月</w:t>
                  </w:r>
                </w:p>
              </w:tc>
            </w:tr>
            <w:tr w14:paraId="602FC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vMerge w:val="continue"/>
                  <w:tcBorders>
                    <w:tl2br w:val="nil"/>
                    <w:tr2bl w:val="nil"/>
                  </w:tcBorders>
                  <w:noWrap w:val="0"/>
                  <w:vAlign w:val="center"/>
                </w:tcPr>
                <w:p w14:paraId="5D3DF5DA">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p>
              </w:tc>
              <w:tc>
                <w:tcPr>
                  <w:tcW w:w="582" w:type="pct"/>
                  <w:tcBorders>
                    <w:tl2br w:val="nil"/>
                    <w:tr2bl w:val="nil"/>
                  </w:tcBorders>
                  <w:noWrap w:val="0"/>
                  <w:vAlign w:val="center"/>
                </w:tcPr>
                <w:p w14:paraId="11B9B84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废油桶</w:t>
                  </w:r>
                </w:p>
              </w:tc>
              <w:tc>
                <w:tcPr>
                  <w:tcW w:w="458" w:type="pct"/>
                  <w:vMerge w:val="continue"/>
                  <w:tcBorders>
                    <w:tl2br w:val="nil"/>
                    <w:tr2bl w:val="nil"/>
                  </w:tcBorders>
                  <w:noWrap w:val="0"/>
                  <w:vAlign w:val="center"/>
                </w:tcPr>
                <w:p w14:paraId="0EDD012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p>
              </w:tc>
              <w:tc>
                <w:tcPr>
                  <w:tcW w:w="699" w:type="pct"/>
                  <w:tcBorders>
                    <w:tl2br w:val="nil"/>
                    <w:tr2bl w:val="nil"/>
                  </w:tcBorders>
                  <w:noWrap w:val="0"/>
                  <w:vAlign w:val="center"/>
                </w:tcPr>
                <w:p w14:paraId="44C5E553">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900-249-08</w:t>
                  </w:r>
                </w:p>
              </w:tc>
              <w:tc>
                <w:tcPr>
                  <w:tcW w:w="615" w:type="pct"/>
                  <w:tcBorders>
                    <w:tl2br w:val="nil"/>
                    <w:tr2bl w:val="nil"/>
                  </w:tcBorders>
                  <w:noWrap w:val="0"/>
                  <w:vAlign w:val="center"/>
                </w:tcPr>
                <w:p w14:paraId="3BDEB551">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624" w:type="pct"/>
                  <w:tcBorders>
                    <w:tl2br w:val="nil"/>
                    <w:tr2bl w:val="nil"/>
                  </w:tcBorders>
                  <w:noWrap w:val="0"/>
                  <w:vAlign w:val="center"/>
                </w:tcPr>
                <w:p w14:paraId="357E21B9">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435" w:type="pct"/>
                  <w:tcBorders>
                    <w:tl2br w:val="nil"/>
                    <w:tr2bl w:val="nil"/>
                  </w:tcBorders>
                  <w:noWrap w:val="0"/>
                  <w:vAlign w:val="center"/>
                </w:tcPr>
                <w:p w14:paraId="241FB84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0.5</w:t>
                  </w:r>
                </w:p>
              </w:tc>
              <w:tc>
                <w:tcPr>
                  <w:tcW w:w="688" w:type="pct"/>
                  <w:vMerge w:val="continue"/>
                  <w:tcBorders>
                    <w:tl2br w:val="nil"/>
                    <w:tr2bl w:val="nil"/>
                  </w:tcBorders>
                  <w:noWrap w:val="0"/>
                  <w:vAlign w:val="center"/>
                </w:tcPr>
                <w:p w14:paraId="2992DE1B">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p>
              </w:tc>
              <w:tc>
                <w:tcPr>
                  <w:tcW w:w="409" w:type="pct"/>
                  <w:tcBorders>
                    <w:tl2br w:val="nil"/>
                    <w:tr2bl w:val="nil"/>
                  </w:tcBorders>
                  <w:noWrap w:val="0"/>
                  <w:vAlign w:val="center"/>
                </w:tcPr>
                <w:p w14:paraId="1003FC06">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每月</w:t>
                  </w:r>
                </w:p>
              </w:tc>
            </w:tr>
            <w:tr w14:paraId="686D0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86" w:type="pct"/>
                  <w:tcBorders>
                    <w:tl2br w:val="nil"/>
                    <w:tr2bl w:val="nil"/>
                  </w:tcBorders>
                  <w:noWrap w:val="0"/>
                  <w:vAlign w:val="center"/>
                </w:tcPr>
                <w:p w14:paraId="61913E42">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w:t>
                  </w:r>
                </w:p>
                <w:p w14:paraId="1FE33C9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w:t>
                  </w:r>
                </w:p>
              </w:tc>
              <w:tc>
                <w:tcPr>
                  <w:tcW w:w="582" w:type="pct"/>
                  <w:tcBorders>
                    <w:tl2br w:val="nil"/>
                    <w:tr2bl w:val="nil"/>
                  </w:tcBorders>
                  <w:noWrap w:val="0"/>
                  <w:vAlign w:val="center"/>
                </w:tcPr>
                <w:p w14:paraId="56BBCBFC">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58" w:type="pct"/>
                  <w:tcBorders>
                    <w:tl2br w:val="nil"/>
                    <w:tr2bl w:val="nil"/>
                  </w:tcBorders>
                  <w:noWrap w:val="0"/>
                  <w:vAlign w:val="center"/>
                </w:tcPr>
                <w:p w14:paraId="7FCE7E90">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99" w:type="pct"/>
                  <w:tcBorders>
                    <w:tl2br w:val="nil"/>
                    <w:tr2bl w:val="nil"/>
                  </w:tcBorders>
                  <w:noWrap w:val="0"/>
                  <w:vAlign w:val="center"/>
                </w:tcPr>
                <w:p w14:paraId="2466441A">
                  <w:pPr>
                    <w:keepNext w:val="0"/>
                    <w:keepLines w:val="0"/>
                    <w:pageBreakBefore w:val="0"/>
                    <w:widowControl w:val="0"/>
                    <w:kinsoku/>
                    <w:wordWrap/>
                    <w:overflowPunct/>
                    <w:topLinePunct w:val="0"/>
                    <w:autoSpaceDE/>
                    <w:autoSpaceDN/>
                    <w:bidi w:val="0"/>
                    <w:adjustRightInd/>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15" w:type="pct"/>
                  <w:tcBorders>
                    <w:tl2br w:val="nil"/>
                    <w:tr2bl w:val="nil"/>
                  </w:tcBorders>
                  <w:noWrap w:val="0"/>
                  <w:vAlign w:val="center"/>
                </w:tcPr>
                <w:p w14:paraId="09E3A20E">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624" w:type="pct"/>
                  <w:tcBorders>
                    <w:tl2br w:val="nil"/>
                    <w:tr2bl w:val="nil"/>
                  </w:tcBorders>
                  <w:noWrap w:val="0"/>
                  <w:vAlign w:val="center"/>
                </w:tcPr>
                <w:p w14:paraId="4E61A16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435" w:type="pct"/>
                  <w:tcBorders>
                    <w:tl2br w:val="nil"/>
                    <w:tr2bl w:val="nil"/>
                  </w:tcBorders>
                  <w:noWrap w:val="0"/>
                  <w:vAlign w:val="center"/>
                </w:tcPr>
                <w:p w14:paraId="78EEB5A4">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3.3</w:t>
                  </w:r>
                </w:p>
              </w:tc>
              <w:tc>
                <w:tcPr>
                  <w:tcW w:w="688" w:type="pct"/>
                  <w:tcBorders>
                    <w:tl2br w:val="nil"/>
                    <w:tr2bl w:val="nil"/>
                  </w:tcBorders>
                  <w:noWrap w:val="0"/>
                  <w:vAlign w:val="center"/>
                </w:tcPr>
                <w:p w14:paraId="0061D0F8">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环卫清运</w:t>
                  </w:r>
                </w:p>
              </w:tc>
              <w:tc>
                <w:tcPr>
                  <w:tcW w:w="409" w:type="pct"/>
                  <w:tcBorders>
                    <w:tl2br w:val="nil"/>
                    <w:tr2bl w:val="nil"/>
                  </w:tcBorders>
                  <w:noWrap w:val="0"/>
                  <w:vAlign w:val="center"/>
                </w:tcPr>
                <w:p w14:paraId="34BCA805">
                  <w:pPr>
                    <w:keepNext w:val="0"/>
                    <w:keepLines w:val="0"/>
                    <w:pageBreakBefore w:val="0"/>
                    <w:widowControl w:val="0"/>
                    <w:kinsoku/>
                    <w:wordWrap/>
                    <w:overflowPunct/>
                    <w:topLinePunct w:val="0"/>
                    <w:autoSpaceDE/>
                    <w:autoSpaceDN/>
                    <w:bidi w:val="0"/>
                    <w:adjustRightInd/>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每天</w:t>
                  </w:r>
                </w:p>
              </w:tc>
            </w:tr>
          </w:tbl>
          <w:p w14:paraId="12FED42C">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（1）一般工业固体废物</w:t>
            </w:r>
          </w:p>
          <w:p w14:paraId="3AA7233E">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①除尘</w:t>
            </w:r>
            <w:r>
              <w:rPr>
                <w:rFonts w:hint="default" w:ascii="Times New Roman" w:hAnsi="Times New Roman" w:eastAsia="宋体" w:cs="Times New Roman"/>
                <w:b w:val="0"/>
                <w:bCs/>
                <w:color w:val="auto"/>
                <w:kern w:val="2"/>
                <w:sz w:val="24"/>
                <w:szCs w:val="24"/>
                <w:highlight w:val="none"/>
                <w:lang w:val="en-US" w:eastAsia="zh-CN" w:bidi="ar-SA"/>
              </w:rPr>
              <w:t>灰</w:t>
            </w:r>
          </w:p>
          <w:p w14:paraId="0F76062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根据本项目物料平衡及除尘效率，本项目</w:t>
            </w:r>
            <w:r>
              <w:rPr>
                <w:rFonts w:hint="eastAsia" w:ascii="Times New Roman" w:hAnsi="Times New Roman" w:eastAsia="宋体" w:cs="Times New Roman"/>
                <w:b w:val="0"/>
                <w:bCs/>
                <w:color w:val="auto"/>
                <w:kern w:val="2"/>
                <w:sz w:val="24"/>
                <w:szCs w:val="24"/>
                <w:highlight w:val="none"/>
                <w:lang w:val="en-US" w:eastAsia="zh-CN" w:bidi="ar-SA"/>
              </w:rPr>
              <w:t>除尘</w:t>
            </w:r>
            <w:r>
              <w:rPr>
                <w:rFonts w:hint="default" w:ascii="Times New Roman" w:hAnsi="Times New Roman" w:eastAsia="宋体" w:cs="Times New Roman"/>
                <w:b w:val="0"/>
                <w:bCs/>
                <w:color w:val="auto"/>
                <w:kern w:val="2"/>
                <w:sz w:val="24"/>
                <w:szCs w:val="24"/>
                <w:highlight w:val="none"/>
                <w:lang w:val="en-US" w:eastAsia="zh-CN" w:bidi="ar-SA"/>
              </w:rPr>
              <w:t>灰共计</w:t>
            </w:r>
            <w:r>
              <w:rPr>
                <w:rFonts w:hint="eastAsia" w:cs="Times New Roman"/>
                <w:b w:val="0"/>
                <w:bCs/>
                <w:color w:val="auto"/>
                <w:kern w:val="2"/>
                <w:sz w:val="24"/>
                <w:szCs w:val="24"/>
                <w:highlight w:val="none"/>
                <w:lang w:val="en-US" w:eastAsia="zh-CN" w:bidi="ar-SA"/>
              </w:rPr>
              <w:t>约82</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，除尘</w:t>
            </w:r>
            <w:r>
              <w:rPr>
                <w:rFonts w:hint="default" w:ascii="Times New Roman" w:hAnsi="Times New Roman" w:eastAsia="宋体" w:cs="Times New Roman"/>
                <w:b w:val="0"/>
                <w:bCs/>
                <w:color w:val="auto"/>
                <w:kern w:val="2"/>
                <w:sz w:val="24"/>
                <w:szCs w:val="24"/>
                <w:highlight w:val="none"/>
                <w:lang w:val="en-US" w:eastAsia="zh-CN" w:bidi="ar-SA"/>
              </w:rPr>
              <w:t>灰作为原料进行回用于生产。</w:t>
            </w:r>
          </w:p>
          <w:p w14:paraId="279CF79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②废砖坯</w:t>
            </w:r>
          </w:p>
          <w:p w14:paraId="2CD1BCC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项目挤压成型、切坯码坯工序由于操作失误、坯料不合格等原因会产生废泥坯，废泥坯产生量一般为生产规模的0.1%，</w:t>
            </w:r>
            <w:r>
              <w:rPr>
                <w:rFonts w:hint="eastAsia" w:ascii="Times New Roman" w:hAnsi="Times New Roman" w:eastAsia="宋体" w:cs="Times New Roman"/>
                <w:b w:val="0"/>
                <w:bCs/>
                <w:color w:val="auto"/>
                <w:kern w:val="2"/>
                <w:sz w:val="24"/>
                <w:szCs w:val="24"/>
                <w:highlight w:val="none"/>
                <w:lang w:val="en-US" w:eastAsia="zh-CN" w:bidi="ar-SA"/>
              </w:rPr>
              <w:t>项目</w:t>
            </w:r>
            <w:r>
              <w:rPr>
                <w:rFonts w:hint="default" w:ascii="Times New Roman" w:hAnsi="Times New Roman" w:eastAsia="宋体" w:cs="Times New Roman"/>
                <w:b w:val="0"/>
                <w:bCs/>
                <w:color w:val="auto"/>
                <w:kern w:val="2"/>
                <w:sz w:val="24"/>
                <w:szCs w:val="24"/>
                <w:highlight w:val="none"/>
                <w:lang w:val="en-US" w:eastAsia="zh-CN" w:bidi="ar-SA"/>
              </w:rPr>
              <w:t>煤矸石砖产量</w:t>
            </w:r>
            <w:r>
              <w:rPr>
                <w:rFonts w:hint="eastAsia" w:ascii="Times New Roman" w:hAnsi="Times New Roman" w:eastAsia="宋体" w:cs="Times New Roman"/>
                <w:b w:val="0"/>
                <w:bCs/>
                <w:color w:val="auto"/>
                <w:kern w:val="2"/>
                <w:sz w:val="24"/>
                <w:szCs w:val="24"/>
                <w:highlight w:val="none"/>
                <w:lang w:val="en-US" w:eastAsia="zh-CN" w:bidi="ar-SA"/>
              </w:rPr>
              <w:t>为</w:t>
            </w:r>
            <w:r>
              <w:rPr>
                <w:rFonts w:hint="eastAsia" w:cs="Times New Roman"/>
                <w:b w:val="0"/>
                <w:bCs/>
                <w:color w:val="auto"/>
                <w:kern w:val="2"/>
                <w:sz w:val="24"/>
                <w:szCs w:val="24"/>
                <w:highlight w:val="none"/>
                <w:lang w:val="en-US" w:eastAsia="zh-CN" w:bidi="ar-SA"/>
              </w:rPr>
              <w:t>297680</w:t>
            </w:r>
            <w:r>
              <w:rPr>
                <w:rFonts w:hint="default" w:ascii="Times New Roman" w:hAnsi="Times New Roman" w:eastAsia="宋体" w:cs="Times New Roman"/>
                <w:b w:val="0"/>
                <w:bCs/>
                <w:color w:val="auto"/>
                <w:kern w:val="2"/>
                <w:sz w:val="24"/>
                <w:szCs w:val="24"/>
                <w:highlight w:val="none"/>
                <w:lang w:val="en-US" w:eastAsia="zh-CN" w:bidi="ar-SA"/>
              </w:rPr>
              <w:t>t</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则产生量为</w:t>
            </w:r>
            <w:r>
              <w:rPr>
                <w:rFonts w:hint="eastAsia" w:cs="Times New Roman"/>
                <w:b w:val="0"/>
                <w:bCs/>
                <w:color w:val="auto"/>
                <w:kern w:val="2"/>
                <w:sz w:val="24"/>
                <w:szCs w:val="24"/>
                <w:highlight w:val="none"/>
                <w:lang w:val="en-US" w:eastAsia="zh-CN" w:bidi="ar-SA"/>
              </w:rPr>
              <w:t>297.68</w:t>
            </w:r>
            <w:r>
              <w:rPr>
                <w:rFonts w:hint="default" w:ascii="Times New Roman" w:hAnsi="Times New Roman" w:eastAsia="宋体" w:cs="Times New Roman"/>
                <w:b w:val="0"/>
                <w:bCs/>
                <w:color w:val="auto"/>
                <w:kern w:val="2"/>
                <w:sz w:val="24"/>
                <w:szCs w:val="24"/>
                <w:highlight w:val="none"/>
                <w:lang w:val="en-US" w:eastAsia="zh-CN" w:bidi="ar-SA"/>
              </w:rPr>
              <w:t>t/a，作为原料进行回用于生产。</w:t>
            </w:r>
          </w:p>
          <w:p w14:paraId="3F531D4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③不合格品</w:t>
            </w:r>
          </w:p>
          <w:p w14:paraId="5153FF7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在砖坯烧结过程中，因温度控制、配料等问题会造成部分烧结砖不合格，出窑检验的不合格产品约占</w:t>
            </w:r>
            <w:r>
              <w:rPr>
                <w:rFonts w:hint="eastAsia" w:ascii="Times New Roman" w:hAnsi="Times New Roman" w:eastAsia="宋体" w:cs="Times New Roman"/>
                <w:b w:val="0"/>
                <w:bCs/>
                <w:color w:val="auto"/>
                <w:kern w:val="2"/>
                <w:sz w:val="24"/>
                <w:szCs w:val="24"/>
                <w:highlight w:val="none"/>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项目</w:t>
            </w:r>
            <w:r>
              <w:rPr>
                <w:rFonts w:hint="default" w:ascii="Times New Roman" w:hAnsi="Times New Roman" w:eastAsia="宋体" w:cs="Times New Roman"/>
                <w:b w:val="0"/>
                <w:bCs/>
                <w:color w:val="auto"/>
                <w:kern w:val="2"/>
                <w:sz w:val="24"/>
                <w:szCs w:val="24"/>
                <w:highlight w:val="none"/>
                <w:lang w:val="en-US" w:eastAsia="zh-CN" w:bidi="ar-SA"/>
              </w:rPr>
              <w:t>煤矸石砖产量</w:t>
            </w:r>
            <w:r>
              <w:rPr>
                <w:rFonts w:hint="eastAsia" w:ascii="Times New Roman" w:hAnsi="Times New Roman" w:eastAsia="宋体" w:cs="Times New Roman"/>
                <w:b w:val="0"/>
                <w:bCs/>
                <w:color w:val="auto"/>
                <w:kern w:val="2"/>
                <w:sz w:val="24"/>
                <w:szCs w:val="24"/>
                <w:highlight w:val="none"/>
                <w:lang w:val="en-US" w:eastAsia="zh-CN" w:bidi="ar-SA"/>
              </w:rPr>
              <w:t>为</w:t>
            </w:r>
            <w:r>
              <w:rPr>
                <w:rFonts w:hint="eastAsia" w:cs="Times New Roman"/>
                <w:b w:val="0"/>
                <w:bCs/>
                <w:color w:val="auto"/>
                <w:kern w:val="2"/>
                <w:sz w:val="24"/>
                <w:szCs w:val="24"/>
                <w:highlight w:val="none"/>
                <w:lang w:val="en-US" w:eastAsia="zh-CN" w:bidi="ar-SA"/>
              </w:rPr>
              <w:t>297680</w:t>
            </w:r>
            <w:r>
              <w:rPr>
                <w:rFonts w:hint="default" w:ascii="Times New Roman" w:hAnsi="Times New Roman" w:eastAsia="宋体" w:cs="Times New Roman"/>
                <w:b w:val="0"/>
                <w:bCs/>
                <w:color w:val="auto"/>
                <w:kern w:val="2"/>
                <w:sz w:val="24"/>
                <w:szCs w:val="24"/>
                <w:highlight w:val="none"/>
                <w:lang w:val="en-US" w:eastAsia="zh-CN" w:bidi="ar-SA"/>
              </w:rPr>
              <w:t>t</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则产生量为</w:t>
            </w:r>
            <w:r>
              <w:rPr>
                <w:rFonts w:hint="eastAsia" w:cs="Times New Roman"/>
                <w:b w:val="0"/>
                <w:bCs/>
                <w:color w:val="auto"/>
                <w:kern w:val="2"/>
                <w:sz w:val="24"/>
                <w:szCs w:val="24"/>
                <w:highlight w:val="none"/>
                <w:lang w:val="en-US" w:eastAsia="zh-CN" w:bidi="ar-SA"/>
              </w:rPr>
              <w:t>8930.4</w:t>
            </w:r>
            <w:r>
              <w:rPr>
                <w:rFonts w:hint="default" w:ascii="Times New Roman" w:hAnsi="Times New Roman" w:eastAsia="宋体" w:cs="Times New Roman"/>
                <w:b w:val="0"/>
                <w:bCs/>
                <w:color w:val="auto"/>
                <w:kern w:val="2"/>
                <w:sz w:val="24"/>
                <w:szCs w:val="24"/>
                <w:highlight w:val="none"/>
                <w:lang w:val="en-US" w:eastAsia="zh-CN" w:bidi="ar-SA"/>
              </w:rPr>
              <w:t>t/a，作为原料进行回用于生产。</w:t>
            </w:r>
          </w:p>
          <w:p w14:paraId="0F6BEEE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fldChar w:fldCharType="begin"/>
            </w:r>
            <w:r>
              <w:rPr>
                <w:rFonts w:hint="default" w:ascii="Times New Roman" w:hAnsi="Times New Roman" w:eastAsia="宋体" w:cs="Times New Roman"/>
                <w:b w:val="0"/>
                <w:bCs/>
                <w:color w:val="auto"/>
                <w:kern w:val="2"/>
                <w:sz w:val="24"/>
                <w:szCs w:val="24"/>
                <w:highlight w:val="none"/>
                <w:lang w:val="en-US" w:eastAsia="zh-CN" w:bidi="ar-SA"/>
              </w:rPr>
              <w:instrText xml:space="preserve"> = 4 \* GB3 \* MERGEFORMAT </w:instrText>
            </w:r>
            <w:r>
              <w:rPr>
                <w:rFonts w:hint="default" w:ascii="Times New Roman" w:hAnsi="Times New Roman" w:eastAsia="宋体" w:cs="Times New Roman"/>
                <w:b w:val="0"/>
                <w:bCs/>
                <w:color w:val="auto"/>
                <w:kern w:val="2"/>
                <w:sz w:val="24"/>
                <w:szCs w:val="24"/>
                <w:highlight w:val="none"/>
                <w:lang w:val="en-US" w:eastAsia="zh-CN" w:bidi="ar-SA"/>
              </w:rPr>
              <w:fldChar w:fldCharType="separate"/>
            </w:r>
            <w:r>
              <w:rPr>
                <w:rFonts w:hint="default" w:ascii="Times New Roman" w:hAnsi="Times New Roman" w:eastAsia="宋体" w:cs="Times New Roman"/>
                <w:b w:val="0"/>
                <w:bCs/>
                <w:color w:val="auto"/>
                <w:kern w:val="2"/>
                <w:sz w:val="24"/>
                <w:szCs w:val="24"/>
                <w:highlight w:val="none"/>
                <w:lang w:val="en-US" w:eastAsia="zh-CN" w:bidi="ar-SA"/>
              </w:rPr>
              <w:t>④</w:t>
            </w:r>
            <w:r>
              <w:rPr>
                <w:rFonts w:hint="default" w:ascii="Times New Roman" w:hAnsi="Times New Roman" w:eastAsia="宋体" w:cs="Times New Roman"/>
                <w:b w:val="0"/>
                <w:bCs/>
                <w:color w:val="auto"/>
                <w:kern w:val="2"/>
                <w:sz w:val="24"/>
                <w:szCs w:val="24"/>
                <w:highlight w:val="none"/>
                <w:lang w:val="en-US" w:eastAsia="zh-CN" w:bidi="ar-SA"/>
              </w:rPr>
              <w:fldChar w:fldCharType="end"/>
            </w:r>
            <w:r>
              <w:rPr>
                <w:rFonts w:hint="default" w:ascii="Times New Roman" w:hAnsi="Times New Roman" w:eastAsia="宋体" w:cs="Times New Roman"/>
                <w:b w:val="0"/>
                <w:bCs/>
                <w:color w:val="auto"/>
                <w:kern w:val="2"/>
                <w:sz w:val="24"/>
                <w:szCs w:val="24"/>
                <w:highlight w:val="none"/>
                <w:lang w:val="en-US" w:eastAsia="zh-CN" w:bidi="ar-SA"/>
              </w:rPr>
              <w:t>脱硫废渣</w:t>
            </w:r>
          </w:p>
          <w:p w14:paraId="114E620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根据下列公式计算脱硫渣产生量：</w:t>
            </w:r>
          </w:p>
          <w:p w14:paraId="34D3260D">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cs="Times New Roman"/>
                <w:b w:val="0"/>
                <w:bCs/>
                <w:color w:val="auto"/>
                <w:kern w:val="2"/>
                <w:sz w:val="24"/>
                <w:szCs w:val="24"/>
                <w:highlight w:val="none"/>
                <w:lang w:val="en-US" w:eastAsia="zh-CN" w:bidi="ar-SA"/>
              </w:rPr>
            </w:pPr>
            <w:r>
              <w:drawing>
                <wp:anchor distT="0" distB="0" distL="114300" distR="114300" simplePos="0" relativeHeight="251666432" behindDoc="0" locked="0" layoutInCell="1" allowOverlap="1">
                  <wp:simplePos x="0" y="0"/>
                  <wp:positionH relativeFrom="column">
                    <wp:posOffset>1997710</wp:posOffset>
                  </wp:positionH>
                  <wp:positionV relativeFrom="paragraph">
                    <wp:posOffset>57785</wp:posOffset>
                  </wp:positionV>
                  <wp:extent cx="1076325" cy="342900"/>
                  <wp:effectExtent l="0" t="0" r="9525" b="0"/>
                  <wp:wrapNone/>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22"/>
                          <a:stretch>
                            <a:fillRect/>
                          </a:stretch>
                        </pic:blipFill>
                        <pic:spPr>
                          <a:xfrm>
                            <a:off x="0" y="0"/>
                            <a:ext cx="1076325" cy="342900"/>
                          </a:xfrm>
                          <a:prstGeom prst="rect">
                            <a:avLst/>
                          </a:prstGeom>
                          <a:noFill/>
                          <a:ln>
                            <a:noFill/>
                          </a:ln>
                        </pic:spPr>
                      </pic:pic>
                    </a:graphicData>
                  </a:graphic>
                </wp:anchor>
              </w:drawing>
            </w:r>
          </w:p>
          <w:p w14:paraId="60B893D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val="0"/>
                <w:bCs/>
                <w:color w:val="auto"/>
                <w:kern w:val="2"/>
                <w:sz w:val="24"/>
                <w:szCs w:val="24"/>
                <w:highlight w:val="none"/>
                <w:lang w:val="en-US" w:eastAsia="zh-CN" w:bidi="ar-SA"/>
              </w:rPr>
            </w:pPr>
          </w:p>
          <w:p w14:paraId="34C8098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式中：E——脱硫副产物产生量，t；</w:t>
            </w:r>
          </w:p>
          <w:p w14:paraId="4E9FDA04">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bscript"/>
                <w:lang w:val="en-US" w:eastAsia="zh-CN" w:bidi="ar-SA"/>
              </w:rPr>
              <w:t>F</w:t>
            </w:r>
            <w:r>
              <w:rPr>
                <w:rFonts w:hint="default" w:ascii="Times New Roman" w:hAnsi="Times New Roman" w:eastAsia="宋体" w:cs="Times New Roman"/>
                <w:b w:val="0"/>
                <w:bCs/>
                <w:color w:val="auto"/>
                <w:kern w:val="2"/>
                <w:sz w:val="24"/>
                <w:szCs w:val="24"/>
                <w:highlight w:val="none"/>
                <w:lang w:val="en-US" w:eastAsia="zh-CN" w:bidi="ar-SA"/>
              </w:rPr>
              <w:t>——脱硫副产物摩尔质量，172g/mol；</w:t>
            </w:r>
          </w:p>
          <w:p w14:paraId="21CB7914">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E</w:t>
            </w:r>
            <w:r>
              <w:rPr>
                <w:rFonts w:hint="default" w:ascii="Times New Roman" w:hAnsi="Times New Roman" w:eastAsia="宋体" w:cs="Times New Roman"/>
                <w:b w:val="0"/>
                <w:bCs/>
                <w:color w:val="auto"/>
                <w:kern w:val="2"/>
                <w:sz w:val="24"/>
                <w:szCs w:val="24"/>
                <w:highlight w:val="none"/>
                <w:vertAlign w:val="subscript"/>
                <w:lang w:val="en-US" w:eastAsia="zh-CN" w:bidi="ar-SA"/>
              </w:rPr>
              <w:t>S</w:t>
            </w:r>
            <w:r>
              <w:rPr>
                <w:rFonts w:hint="default" w:ascii="Times New Roman" w:hAnsi="Times New Roman" w:eastAsia="宋体" w:cs="Times New Roman"/>
                <w:b w:val="0"/>
                <w:bCs/>
                <w:color w:val="auto"/>
                <w:kern w:val="2"/>
                <w:sz w:val="24"/>
                <w:szCs w:val="24"/>
                <w:highlight w:val="none"/>
                <w:lang w:val="en-US" w:eastAsia="zh-CN" w:bidi="ar-SA"/>
              </w:rPr>
              <w:t>——二氧化硫脱除量，t，本项目隧道窑二氧化硫脱除量为</w:t>
            </w:r>
            <w:r>
              <w:rPr>
                <w:rFonts w:hint="default" w:ascii="Times New Roman" w:hAnsi="Times New Roman" w:cs="Times New Roman"/>
                <w:b w:val="0"/>
                <w:bCs/>
                <w:color w:val="auto"/>
                <w:kern w:val="2"/>
                <w:sz w:val="24"/>
                <w:szCs w:val="24"/>
                <w:highlight w:val="none"/>
                <w:lang w:val="en-US" w:eastAsia="zh-CN" w:bidi="ar-SA"/>
              </w:rPr>
              <w:t>124.85</w:t>
            </w:r>
            <w:r>
              <w:rPr>
                <w:rFonts w:hint="default" w:ascii="Times New Roman" w:hAnsi="Times New Roman" w:eastAsia="宋体" w:cs="Times New Roman"/>
                <w:b w:val="0"/>
                <w:bCs/>
                <w:color w:val="auto"/>
                <w:kern w:val="2"/>
                <w:sz w:val="24"/>
                <w:szCs w:val="24"/>
                <w:highlight w:val="none"/>
                <w:lang w:val="en-US" w:eastAsia="zh-CN" w:bidi="ar-SA"/>
              </w:rPr>
              <w:t>t/a；</w:t>
            </w:r>
          </w:p>
          <w:p w14:paraId="182AE17E">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Cs——脱硫副产物含水率，%，副产物为石膏时含水率一般≤10%；</w:t>
            </w:r>
          </w:p>
          <w:p w14:paraId="006468C2">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Cg——脱硫副产物纯度，%，副产物为石膏时纯度一般≥90%；</w:t>
            </w:r>
          </w:p>
          <w:p w14:paraId="24D8160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则本项目隧道窑脱硫石膏产生量为</w:t>
            </w:r>
            <w:r>
              <w:rPr>
                <w:rFonts w:hint="default" w:ascii="Times New Roman" w:hAnsi="Times New Roman" w:cs="Times New Roman"/>
                <w:b w:val="0"/>
                <w:bCs/>
                <w:color w:val="auto"/>
                <w:kern w:val="2"/>
                <w:sz w:val="24"/>
                <w:szCs w:val="24"/>
                <w:highlight w:val="none"/>
                <w:lang w:val="en-US" w:eastAsia="zh-CN" w:bidi="ar-SA"/>
              </w:rPr>
              <w:t>414.24</w:t>
            </w:r>
            <w:r>
              <w:rPr>
                <w:rFonts w:hint="default" w:ascii="Times New Roman" w:hAnsi="Times New Roman" w:eastAsia="宋体" w:cs="Times New Roman"/>
                <w:b w:val="0"/>
                <w:bCs/>
                <w:color w:val="auto"/>
                <w:kern w:val="2"/>
                <w:sz w:val="24"/>
                <w:szCs w:val="24"/>
                <w:highlight w:val="none"/>
                <w:lang w:val="en-US" w:eastAsia="zh-CN" w:bidi="ar-SA"/>
              </w:rPr>
              <w:t>t/a，</w:t>
            </w:r>
            <w:r>
              <w:rPr>
                <w:rFonts w:hint="default" w:ascii="Times New Roman" w:hAnsi="Times New Roman" w:cs="Times New Roman"/>
                <w:b w:val="0"/>
                <w:bCs/>
                <w:color w:val="auto"/>
                <w:kern w:val="2"/>
                <w:sz w:val="24"/>
                <w:szCs w:val="24"/>
                <w:highlight w:val="none"/>
                <w:lang w:val="en-US" w:eastAsia="zh-CN" w:bidi="ar-SA"/>
              </w:rPr>
              <w:t>作为建材原料外售综合利用</w:t>
            </w:r>
            <w:r>
              <w:rPr>
                <w:rFonts w:hint="default" w:ascii="Times New Roman" w:hAnsi="Times New Roman" w:eastAsia="宋体" w:cs="Times New Roman"/>
                <w:b w:val="0"/>
                <w:bCs/>
                <w:color w:val="auto"/>
                <w:kern w:val="2"/>
                <w:sz w:val="24"/>
                <w:szCs w:val="24"/>
                <w:highlight w:val="none"/>
                <w:lang w:val="en-US" w:eastAsia="zh-CN" w:bidi="ar-SA"/>
              </w:rPr>
              <w:t>。</w:t>
            </w:r>
          </w:p>
          <w:p w14:paraId="4744A5D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（2）危险废物</w:t>
            </w:r>
          </w:p>
          <w:p w14:paraId="76DB040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①废矿物油：本项目设备运行、维护使用矿物油共1t/a，矿物油消耗量20%，则废矿物油产生量约0.8t/a。属于《国家危险废物名录》（2025年版）中的HW08废矿物油与含矿物油废物“非特定行业900-249-08其他生产、销售、使用过程中产生的废矿物油及沾染矿物油的废弃包装物”危险废物，收集后</w:t>
            </w:r>
            <w:r>
              <w:rPr>
                <w:rFonts w:hint="eastAsia" w:ascii="Times New Roman" w:hAnsi="Times New Roman" w:eastAsia="宋体" w:cs="Times New Roman"/>
                <w:b w:val="0"/>
                <w:bCs/>
                <w:color w:val="auto"/>
                <w:kern w:val="2"/>
                <w:sz w:val="24"/>
                <w:szCs w:val="24"/>
                <w:highlight w:val="none"/>
                <w:lang w:val="en-US" w:eastAsia="zh-CN" w:bidi="ar-SA"/>
              </w:rPr>
              <w:t>暂存于</w:t>
            </w:r>
            <w:r>
              <w:rPr>
                <w:rFonts w:hint="eastAsia" w:cs="Times New Roman"/>
                <w:b w:val="0"/>
                <w:bCs/>
                <w:color w:val="auto"/>
                <w:kern w:val="2"/>
                <w:sz w:val="24"/>
                <w:szCs w:val="24"/>
                <w:highlight w:val="none"/>
                <w:lang w:val="en-US" w:eastAsia="zh-CN" w:bidi="ar-SA"/>
              </w:rPr>
              <w:t>危废贮存点</w:t>
            </w:r>
            <w:r>
              <w:rPr>
                <w:rFonts w:hint="eastAsia" w:ascii="Times New Roman" w:hAnsi="Times New Roman" w:eastAsia="宋体" w:cs="Times New Roman"/>
                <w:b w:val="0"/>
                <w:bCs/>
                <w:color w:val="auto"/>
                <w:kern w:val="2"/>
                <w:sz w:val="24"/>
                <w:szCs w:val="24"/>
                <w:highlight w:val="none"/>
                <w:lang w:val="en-US" w:eastAsia="zh-CN" w:bidi="ar-SA"/>
              </w:rPr>
              <w:t>，定期</w:t>
            </w:r>
            <w:r>
              <w:rPr>
                <w:rFonts w:hint="default" w:ascii="Times New Roman" w:hAnsi="Times New Roman" w:eastAsia="宋体" w:cs="Times New Roman"/>
                <w:b w:val="0"/>
                <w:bCs/>
                <w:color w:val="auto"/>
                <w:kern w:val="2"/>
                <w:sz w:val="24"/>
                <w:szCs w:val="24"/>
                <w:highlight w:val="none"/>
                <w:lang w:val="en-US" w:eastAsia="zh-CN" w:bidi="ar-SA"/>
              </w:rPr>
              <w:t>交由资质单位处理。</w:t>
            </w:r>
          </w:p>
          <w:p w14:paraId="2457336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fldChar w:fldCharType="begin"/>
            </w:r>
            <w:r>
              <w:rPr>
                <w:rFonts w:hint="default" w:ascii="Times New Roman" w:hAnsi="Times New Roman" w:eastAsia="宋体" w:cs="Times New Roman"/>
                <w:b w:val="0"/>
                <w:bCs/>
                <w:color w:val="auto"/>
                <w:kern w:val="2"/>
                <w:sz w:val="24"/>
                <w:szCs w:val="24"/>
                <w:highlight w:val="none"/>
                <w:lang w:val="en-US" w:eastAsia="zh-CN" w:bidi="ar-SA"/>
              </w:rPr>
              <w:instrText xml:space="preserve"> = 2 \* GB3 \* MERGEFORMAT </w:instrText>
            </w:r>
            <w:r>
              <w:rPr>
                <w:rFonts w:hint="default" w:ascii="Times New Roman" w:hAnsi="Times New Roman" w:eastAsia="宋体" w:cs="Times New Roman"/>
                <w:b w:val="0"/>
                <w:bCs/>
                <w:color w:val="auto"/>
                <w:kern w:val="2"/>
                <w:sz w:val="24"/>
                <w:szCs w:val="24"/>
                <w:highlight w:val="none"/>
                <w:lang w:val="en-US" w:eastAsia="zh-CN" w:bidi="ar-SA"/>
              </w:rPr>
              <w:fldChar w:fldCharType="separate"/>
            </w:r>
            <w:r>
              <w:rPr>
                <w:rFonts w:hint="default" w:ascii="Times New Roman" w:hAnsi="Times New Roman" w:eastAsia="宋体" w:cs="Times New Roman"/>
                <w:b w:val="0"/>
                <w:bCs/>
                <w:color w:val="auto"/>
                <w:kern w:val="2"/>
                <w:sz w:val="24"/>
                <w:szCs w:val="24"/>
                <w:highlight w:val="none"/>
                <w:lang w:val="en-US" w:eastAsia="zh-CN" w:bidi="ar-SA"/>
              </w:rPr>
              <w:t>②</w:t>
            </w:r>
            <w:r>
              <w:rPr>
                <w:rFonts w:hint="default" w:ascii="Times New Roman" w:hAnsi="Times New Roman" w:eastAsia="宋体" w:cs="Times New Roman"/>
                <w:b w:val="0"/>
                <w:bCs/>
                <w:color w:val="auto"/>
                <w:kern w:val="2"/>
                <w:sz w:val="24"/>
                <w:szCs w:val="24"/>
                <w:highlight w:val="none"/>
                <w:lang w:val="en-US" w:eastAsia="zh-CN" w:bidi="ar-SA"/>
              </w:rPr>
              <w:fldChar w:fldCharType="end"/>
            </w:r>
            <w:r>
              <w:rPr>
                <w:rFonts w:hint="default" w:ascii="Times New Roman" w:hAnsi="Times New Roman" w:eastAsia="宋体" w:cs="Times New Roman"/>
                <w:b w:val="0"/>
                <w:bCs/>
                <w:color w:val="auto"/>
                <w:kern w:val="2"/>
                <w:sz w:val="24"/>
                <w:szCs w:val="24"/>
                <w:highlight w:val="none"/>
                <w:lang w:val="en-US" w:eastAsia="zh-CN" w:bidi="ar-SA"/>
              </w:rPr>
              <w:t>废油桶：本项目设备运行、维护使用润滑油、空压机油、液压油会产生废油桶，产生量约0.5t/a，属于《国家危险废物名录》（2025年版）中的HW08废矿物油与含矿物油废物“非特定行业900-249-08其他生产、销售、使用过程中产生的废矿物油及沾染矿物油的废弃包装物”危险废物，收集后</w:t>
            </w:r>
            <w:r>
              <w:rPr>
                <w:rFonts w:hint="eastAsia" w:ascii="Times New Roman" w:hAnsi="Times New Roman" w:eastAsia="宋体" w:cs="Times New Roman"/>
                <w:b w:val="0"/>
                <w:bCs/>
                <w:color w:val="auto"/>
                <w:kern w:val="2"/>
                <w:sz w:val="24"/>
                <w:szCs w:val="24"/>
                <w:highlight w:val="none"/>
                <w:lang w:val="en-US" w:eastAsia="zh-CN" w:bidi="ar-SA"/>
              </w:rPr>
              <w:t>暂存于</w:t>
            </w:r>
            <w:r>
              <w:rPr>
                <w:rFonts w:hint="eastAsia" w:cs="Times New Roman"/>
                <w:b w:val="0"/>
                <w:bCs/>
                <w:color w:val="auto"/>
                <w:kern w:val="2"/>
                <w:sz w:val="24"/>
                <w:szCs w:val="24"/>
                <w:highlight w:val="none"/>
                <w:lang w:val="en-US" w:eastAsia="zh-CN" w:bidi="ar-SA"/>
              </w:rPr>
              <w:t>危废贮存点</w:t>
            </w:r>
            <w:r>
              <w:rPr>
                <w:rFonts w:hint="eastAsia" w:ascii="Times New Roman" w:hAnsi="Times New Roman" w:eastAsia="宋体" w:cs="Times New Roman"/>
                <w:b w:val="0"/>
                <w:bCs/>
                <w:color w:val="auto"/>
                <w:kern w:val="2"/>
                <w:sz w:val="24"/>
                <w:szCs w:val="24"/>
                <w:highlight w:val="none"/>
                <w:lang w:val="en-US" w:eastAsia="zh-CN" w:bidi="ar-SA"/>
              </w:rPr>
              <w:t>，定期</w:t>
            </w:r>
            <w:r>
              <w:rPr>
                <w:rFonts w:hint="default" w:ascii="Times New Roman" w:hAnsi="Times New Roman" w:eastAsia="宋体" w:cs="Times New Roman"/>
                <w:b w:val="0"/>
                <w:bCs/>
                <w:color w:val="auto"/>
                <w:kern w:val="2"/>
                <w:sz w:val="24"/>
                <w:szCs w:val="24"/>
                <w:highlight w:val="none"/>
                <w:lang w:val="en-US" w:eastAsia="zh-CN" w:bidi="ar-SA"/>
              </w:rPr>
              <w:t>交由资质单位处理。</w:t>
            </w:r>
          </w:p>
          <w:p w14:paraId="03E0FAD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（3）生活垃圾</w:t>
            </w:r>
          </w:p>
          <w:p w14:paraId="315492A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本项目员工</w:t>
            </w:r>
            <w:r>
              <w:rPr>
                <w:rFonts w:hint="eastAsia" w:ascii="Times New Roman" w:hAnsi="Times New Roman" w:eastAsia="宋体" w:cs="Times New Roman"/>
                <w:b w:val="0"/>
                <w:bCs/>
                <w:color w:val="auto"/>
                <w:kern w:val="2"/>
                <w:sz w:val="24"/>
                <w:szCs w:val="24"/>
                <w:highlight w:val="none"/>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0人，生活垃圾产生量按0.5kg/人·d，年工作</w:t>
            </w:r>
            <w:r>
              <w:rPr>
                <w:rFonts w:hint="eastAsia" w:cs="Times New Roman"/>
                <w:b w:val="0"/>
                <w:bCs/>
                <w:color w:val="auto"/>
                <w:kern w:val="2"/>
                <w:sz w:val="24"/>
                <w:szCs w:val="24"/>
                <w:highlight w:val="none"/>
                <w:lang w:val="en-US" w:eastAsia="zh-CN" w:bidi="ar-SA"/>
              </w:rPr>
              <w:t>330</w:t>
            </w:r>
            <w:r>
              <w:rPr>
                <w:rFonts w:hint="default" w:ascii="Times New Roman" w:hAnsi="Times New Roman" w:eastAsia="宋体" w:cs="Times New Roman"/>
                <w:b w:val="0"/>
                <w:bCs/>
                <w:color w:val="auto"/>
                <w:kern w:val="2"/>
                <w:sz w:val="24"/>
                <w:szCs w:val="24"/>
                <w:highlight w:val="none"/>
                <w:lang w:val="en-US" w:eastAsia="zh-CN" w:bidi="ar-SA"/>
              </w:rPr>
              <w:t>天，生活垃圾产生量约</w:t>
            </w:r>
            <w:r>
              <w:rPr>
                <w:rFonts w:hint="eastAsia" w:cs="Times New Roman"/>
                <w:b w:val="0"/>
                <w:bCs/>
                <w:color w:val="auto"/>
                <w:kern w:val="2"/>
                <w:sz w:val="24"/>
                <w:szCs w:val="24"/>
                <w:highlight w:val="none"/>
                <w:lang w:val="en-US" w:eastAsia="zh-CN" w:bidi="ar-SA"/>
              </w:rPr>
              <w:t>3.3</w:t>
            </w:r>
            <w:r>
              <w:rPr>
                <w:rFonts w:hint="default" w:ascii="Times New Roman" w:hAnsi="Times New Roman" w:eastAsia="宋体" w:cs="Times New Roman"/>
                <w:b w:val="0"/>
                <w:bCs/>
                <w:color w:val="auto"/>
                <w:kern w:val="2"/>
                <w:sz w:val="24"/>
                <w:szCs w:val="24"/>
                <w:highlight w:val="none"/>
                <w:lang w:val="en-US" w:eastAsia="zh-CN" w:bidi="ar-SA"/>
              </w:rPr>
              <w:t>t/a。厂区设垃圾桶，集中收集后由当地环卫部门统一处理。</w:t>
            </w:r>
          </w:p>
          <w:p w14:paraId="797F85BA">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4.4.2危险废物</w:t>
            </w:r>
            <w:r>
              <w:rPr>
                <w:rFonts w:hint="eastAsia" w:cs="Times New Roman"/>
                <w:b/>
                <w:bCs w:val="0"/>
                <w:color w:val="auto"/>
                <w:kern w:val="2"/>
                <w:sz w:val="24"/>
                <w:szCs w:val="24"/>
                <w:highlight w:val="none"/>
                <w:lang w:val="en-US" w:eastAsia="zh-CN" w:bidi="ar-SA"/>
              </w:rPr>
              <w:t>处置措施</w:t>
            </w:r>
          </w:p>
          <w:p w14:paraId="0FEDBFB3">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危废贮存点位于破碎车间旁边，占地面积</w:t>
            </w:r>
            <w:r>
              <w:rPr>
                <w:rFonts w:hint="eastAsia" w:cs="Times New Roman"/>
                <w:b w:val="0"/>
                <w:bCs/>
                <w:color w:val="auto"/>
                <w:kern w:val="2"/>
                <w:sz w:val="24"/>
                <w:szCs w:val="24"/>
                <w:highlight w:val="none"/>
                <w:lang w:val="en-US" w:eastAsia="zh-CN" w:bidi="ar-SA"/>
              </w:rPr>
              <w:t>15</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砖混</w:t>
            </w:r>
            <w:r>
              <w:rPr>
                <w:rFonts w:hint="default" w:ascii="Times New Roman" w:hAnsi="Times New Roman" w:eastAsia="宋体" w:cs="Times New Roman"/>
                <w:b w:val="0"/>
                <w:bCs/>
                <w:color w:val="auto"/>
                <w:kern w:val="2"/>
                <w:sz w:val="24"/>
                <w:szCs w:val="24"/>
                <w:highlight w:val="none"/>
                <w:lang w:val="en-US" w:eastAsia="zh-CN" w:bidi="ar-SA"/>
              </w:rPr>
              <w:t>结构。危废贮存点目前地面采取了地面浇筑厚为15cm厚的混凝土。门外张贴了贮存危废的标识、标牌，库内对应墙上有标志标识，标识均为旧标识，未按照危险废物识别标志设置技术规范（HJ1276-2022）》更新标识；库内未设置围堰等液体泄漏堵截设施。</w:t>
            </w:r>
          </w:p>
          <w:p w14:paraId="72AA7FAC">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危废暂存</w:t>
            </w:r>
            <w:r>
              <w:rPr>
                <w:rFonts w:hint="default" w:ascii="Times New Roman" w:hAnsi="Times New Roman" w:cs="Times New Roman"/>
                <w:b/>
                <w:bCs/>
                <w:color w:val="auto"/>
                <w:sz w:val="24"/>
                <w:highlight w:val="none"/>
                <w:lang w:val="en-US" w:eastAsia="zh-CN"/>
              </w:rPr>
              <w:t>点</w:t>
            </w:r>
            <w:r>
              <w:rPr>
                <w:rFonts w:hint="default" w:ascii="Times New Roman" w:hAnsi="Times New Roman" w:eastAsia="宋体" w:cs="Times New Roman"/>
                <w:b/>
                <w:bCs/>
                <w:color w:val="auto"/>
                <w:sz w:val="24"/>
                <w:highlight w:val="none"/>
                <w:lang w:val="en-US" w:eastAsia="zh-CN"/>
              </w:rPr>
              <w:t>整改要求：</w:t>
            </w:r>
          </w:p>
          <w:p w14:paraId="5E6D262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根据《危险废物贮存污染控制标准》（GB18597-2023）、《危险废物识别标志设置技术规范（HJ1276-2022）》、《环境保护图形标志—固体废物贮存（处置）场GB15562.2-1995）修改单（生态环境部公告2023年 第5号）的要求，本报告对项目产生的危险废物的贮存、管理提出如下要求：</w:t>
            </w:r>
          </w:p>
          <w:p w14:paraId="2175DDE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危险废物储存设施要求：地面与裙脚要用坚固、防渗的材料建造，建筑材料必须与危险废物相容；必须有泄漏液体收集装置、气体导出口及气体净化装置；设施内要有安全照明设施和观察窗口；用应设计堵截泄漏的裙脚，地面与裙脚所围建的窖不低于堵截最大容器的最大储量或总储量的五分之一。</w:t>
            </w:r>
          </w:p>
          <w:p w14:paraId="4126140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危险废物储存要求：基础必须防渗，防渗层为至少1米厚粘土层（渗透系数≤10-7cm/s），或2mm厚高密度聚乙烯，或至少2mm厚的其它人工材料，渗透系数≤10-10cm/s，堆放危险废物的高度应根据地面承载能力确定，衬里放在一个基础或底座上，衬里要能够覆盖危险废物或其溶出物可能涉及的范围；衬里材料与堆放危险废物相容，在衬里上设计、建造浸出液收集清除系统，不相容的危险废物不能堆放在一起，总贮存量不超过300kg危险废物要放入符合标准的容器内，加上标签，容器放入坚固的柜或箱中，柜或箱应设在多个直径不少于30mm的排气孔，不相容危险废物要分别存放或存放在不渗透间隔分开的区域内，每个部分都应有防漏裙脚或储漏盘，防漏裙脚或储漏盘的材料要与危险废物相容。</w:t>
            </w:r>
          </w:p>
          <w:p w14:paraId="7306929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3）危险废物管理要求：</w:t>
            </w:r>
          </w:p>
          <w:p w14:paraId="3E8EDEC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ja-JP"/>
              </w:rPr>
              <w:t>①</w:t>
            </w:r>
            <w:r>
              <w:rPr>
                <w:rFonts w:hint="default" w:ascii="Times New Roman" w:hAnsi="Times New Roman" w:eastAsia="宋体" w:cs="Times New Roman"/>
                <w:b w:val="0"/>
                <w:bCs w:val="0"/>
                <w:color w:val="auto"/>
                <w:sz w:val="24"/>
                <w:highlight w:val="none"/>
                <w:lang w:val="en-US" w:eastAsia="zh-CN"/>
              </w:rPr>
              <w:t>各类危废必须装入符合标准的容器内；本项目废机油由封闭铁桶收集，废油桶和废浮选药剂桶由钢制托盘收集，各类危废分区存放；</w:t>
            </w:r>
          </w:p>
          <w:p w14:paraId="5D6A801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ja-JP"/>
              </w:rPr>
              <w:t>②</w:t>
            </w:r>
            <w:r>
              <w:rPr>
                <w:rFonts w:hint="default" w:ascii="Times New Roman" w:hAnsi="Times New Roman" w:eastAsia="宋体" w:cs="Times New Roman"/>
                <w:b w:val="0"/>
                <w:bCs w:val="0"/>
                <w:color w:val="auto"/>
                <w:sz w:val="24"/>
                <w:highlight w:val="none"/>
                <w:lang w:val="en-US" w:eastAsia="zh-CN"/>
              </w:rPr>
              <w:t>装载危险废物的容器内必须留足够的空间，容器顶部与固体表面之间保留100mm以上的空间；</w:t>
            </w:r>
          </w:p>
          <w:p w14:paraId="7623CD8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盛装危险废物的容器上必须粘贴符合《危险废物贮存污染控制标准》（GB18597-2023）附录A所示的标签；</w:t>
            </w:r>
          </w:p>
          <w:p w14:paraId="5F2F656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ja-JP"/>
              </w:rPr>
              <w:t>④</w:t>
            </w:r>
            <w:r>
              <w:rPr>
                <w:rFonts w:hint="default" w:ascii="Times New Roman" w:hAnsi="Times New Roman" w:eastAsia="宋体" w:cs="Times New Roman"/>
                <w:b w:val="0"/>
                <w:bCs w:val="0"/>
                <w:color w:val="auto"/>
                <w:sz w:val="24"/>
                <w:highlight w:val="none"/>
                <w:lang w:val="en-US" w:eastAsia="zh-CN"/>
              </w:rPr>
              <w:t>危废贮存点房不得接收未粘贴上述规定的标签或标签填写不规范的危险废物；</w:t>
            </w:r>
          </w:p>
          <w:p w14:paraId="2694ED13">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highlight w:val="none"/>
              </w:rPr>
            </w:pPr>
            <w:r>
              <w:rPr>
                <w:color w:val="auto"/>
                <w:sz w:val="24"/>
                <w:highlight w:val="none"/>
              </w:rPr>
              <w:drawing>
                <wp:anchor distT="0" distB="0" distL="114300" distR="114300" simplePos="0" relativeHeight="251667456" behindDoc="0" locked="0" layoutInCell="1" allowOverlap="1">
                  <wp:simplePos x="0" y="0"/>
                  <wp:positionH relativeFrom="column">
                    <wp:posOffset>543560</wp:posOffset>
                  </wp:positionH>
                  <wp:positionV relativeFrom="paragraph">
                    <wp:posOffset>188595</wp:posOffset>
                  </wp:positionV>
                  <wp:extent cx="4222750" cy="2072640"/>
                  <wp:effectExtent l="0" t="0" r="6350" b="3810"/>
                  <wp:wrapNone/>
                  <wp:docPr id="121" name="图片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34"/>
                          <pic:cNvPicPr>
                            <a:picLocks noChangeAspect="1"/>
                          </pic:cNvPicPr>
                        </pic:nvPicPr>
                        <pic:blipFill>
                          <a:blip r:embed="rId23"/>
                          <a:stretch>
                            <a:fillRect/>
                          </a:stretch>
                        </pic:blipFill>
                        <pic:spPr>
                          <a:xfrm>
                            <a:off x="0" y="0"/>
                            <a:ext cx="4222750" cy="2072640"/>
                          </a:xfrm>
                          <a:prstGeom prst="rect">
                            <a:avLst/>
                          </a:prstGeom>
                          <a:noFill/>
                          <a:ln>
                            <a:noFill/>
                          </a:ln>
                        </pic:spPr>
                      </pic:pic>
                    </a:graphicData>
                  </a:graphic>
                </wp:anchor>
              </w:drawing>
            </w:r>
          </w:p>
          <w:p w14:paraId="046688BC">
            <w:pPr>
              <w:widowControl/>
              <w:spacing w:line="520" w:lineRule="exact"/>
              <w:ind w:firstLine="480" w:firstLineChars="200"/>
              <w:jc w:val="left"/>
              <w:rPr>
                <w:color w:val="auto"/>
                <w:sz w:val="24"/>
                <w:highlight w:val="none"/>
              </w:rPr>
            </w:pPr>
          </w:p>
          <w:p w14:paraId="6D14B36E">
            <w:pPr>
              <w:widowControl/>
              <w:spacing w:line="520" w:lineRule="exact"/>
              <w:ind w:firstLine="480" w:firstLineChars="200"/>
              <w:jc w:val="left"/>
              <w:rPr>
                <w:color w:val="auto"/>
                <w:sz w:val="24"/>
                <w:highlight w:val="none"/>
              </w:rPr>
            </w:pPr>
          </w:p>
          <w:p w14:paraId="45585DB1">
            <w:pPr>
              <w:widowControl/>
              <w:spacing w:line="520" w:lineRule="exact"/>
              <w:ind w:firstLine="480" w:firstLineChars="200"/>
              <w:jc w:val="left"/>
              <w:rPr>
                <w:color w:val="auto"/>
                <w:sz w:val="24"/>
                <w:highlight w:val="none"/>
              </w:rPr>
            </w:pPr>
          </w:p>
          <w:p w14:paraId="7AA83197">
            <w:pPr>
              <w:widowControl/>
              <w:spacing w:line="520" w:lineRule="exact"/>
              <w:ind w:firstLine="480" w:firstLineChars="200"/>
              <w:jc w:val="left"/>
              <w:rPr>
                <w:rFonts w:hint="eastAsia"/>
                <w:color w:val="auto"/>
                <w:sz w:val="24"/>
                <w:highlight w:val="none"/>
              </w:rPr>
            </w:pPr>
          </w:p>
          <w:p w14:paraId="24846F57">
            <w:pPr>
              <w:widowControl/>
              <w:spacing w:line="520" w:lineRule="exact"/>
              <w:ind w:firstLine="480" w:firstLineChars="200"/>
              <w:jc w:val="left"/>
              <w:rPr>
                <w:color w:val="auto"/>
                <w:sz w:val="24"/>
                <w:highlight w:val="none"/>
              </w:rPr>
            </w:pPr>
          </w:p>
          <w:p w14:paraId="04EA1650">
            <w:pPr>
              <w:widowControl/>
              <w:spacing w:line="520" w:lineRule="exact"/>
              <w:ind w:firstLine="480" w:firstLineChars="200"/>
              <w:jc w:val="left"/>
              <w:rPr>
                <w:color w:val="auto"/>
                <w:sz w:val="24"/>
                <w:highlight w:val="none"/>
              </w:rPr>
            </w:pPr>
          </w:p>
          <w:p w14:paraId="5804576B">
            <w:pPr>
              <w:autoSpaceDE w:val="0"/>
              <w:autoSpaceDN w:val="0"/>
              <w:adjustRightInd w:val="0"/>
              <w:snapToGrid w:val="0"/>
              <w:spacing w:line="480" w:lineRule="exact"/>
              <w:jc w:val="center"/>
              <w:rPr>
                <w:rFonts w:hint="default" w:ascii="Times New Roman" w:hAnsi="Times New Roman" w:eastAsia="黑体" w:cs="Times New Roman"/>
                <w:b w:val="0"/>
                <w:bCs/>
                <w:color w:val="auto"/>
                <w:kern w:val="0"/>
                <w:szCs w:val="21"/>
                <w:highlight w:val="none"/>
              </w:rPr>
            </w:pPr>
            <w:r>
              <w:rPr>
                <w:rFonts w:hint="default" w:ascii="Times New Roman" w:hAnsi="Times New Roman" w:eastAsia="黑体" w:cs="Times New Roman"/>
                <w:b w:val="0"/>
                <w:bCs/>
                <w:color w:val="auto"/>
                <w:kern w:val="0"/>
                <w:szCs w:val="21"/>
                <w:highlight w:val="none"/>
              </w:rPr>
              <w:t>图</w:t>
            </w:r>
            <w:r>
              <w:rPr>
                <w:rFonts w:hint="eastAsia" w:ascii="Times New Roman" w:hAnsi="Times New Roman" w:eastAsia="黑体" w:cs="Times New Roman"/>
                <w:b w:val="0"/>
                <w:bCs/>
                <w:color w:val="auto"/>
                <w:kern w:val="0"/>
                <w:szCs w:val="21"/>
                <w:highlight w:val="none"/>
                <w:lang w:val="en-US" w:eastAsia="zh-CN"/>
              </w:rPr>
              <w:t>4-1</w:t>
            </w:r>
            <w:r>
              <w:rPr>
                <w:rFonts w:hint="default" w:ascii="Times New Roman" w:hAnsi="Times New Roman" w:eastAsia="黑体" w:cs="Times New Roman"/>
                <w:b w:val="0"/>
                <w:bCs/>
                <w:color w:val="auto"/>
                <w:kern w:val="0"/>
                <w:szCs w:val="21"/>
                <w:highlight w:val="none"/>
              </w:rPr>
              <w:t xml:space="preserve">  危险废物标签</w:t>
            </w:r>
          </w:p>
          <w:p w14:paraId="66C0CB9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ja-JP"/>
              </w:rPr>
              <w:t>⑤</w:t>
            </w:r>
            <w:r>
              <w:rPr>
                <w:rFonts w:hint="eastAsia" w:ascii="Times New Roman" w:hAnsi="Times New Roman" w:eastAsia="宋体" w:cs="Times New Roman"/>
                <w:b w:val="0"/>
                <w:bCs w:val="0"/>
                <w:color w:val="auto"/>
                <w:sz w:val="24"/>
                <w:highlight w:val="none"/>
                <w:lang w:val="en-US" w:eastAsia="zh-CN"/>
              </w:rPr>
              <w:t>必须作好危险废物记录，记录上须注明危险废物的名称、来源、数量、特性和包装容器的类别、入库日期、存放库位、废物出库日期及接收单位名称； 危险废物的记录和货单在危险废物回取后应继续保留三年；</w:t>
            </w:r>
          </w:p>
          <w:p w14:paraId="2E06865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ja-JP"/>
              </w:rPr>
              <w:t>⑥</w:t>
            </w:r>
            <w:r>
              <w:rPr>
                <w:rFonts w:hint="eastAsia" w:ascii="Times New Roman" w:hAnsi="Times New Roman" w:eastAsia="宋体" w:cs="Times New Roman"/>
                <w:b w:val="0"/>
                <w:bCs w:val="0"/>
                <w:color w:val="auto"/>
                <w:sz w:val="24"/>
                <w:highlight w:val="none"/>
                <w:lang w:val="en-US" w:eastAsia="zh-CN"/>
              </w:rPr>
              <w:t>必须定期对所贮存的危险废物包装容器及贮存设施进行检查，发现破损，应及时采取措施清理更换；</w:t>
            </w:r>
          </w:p>
          <w:p w14:paraId="4069925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ja-JP"/>
              </w:rPr>
              <w:t>⑦</w:t>
            </w:r>
            <w:r>
              <w:rPr>
                <w:rFonts w:hint="eastAsia" w:ascii="Times New Roman" w:hAnsi="Times New Roman" w:eastAsia="宋体" w:cs="Times New Roman"/>
                <w:b w:val="0"/>
                <w:bCs w:val="0"/>
                <w:color w:val="auto"/>
                <w:sz w:val="24"/>
                <w:highlight w:val="none"/>
                <w:lang w:val="en-US" w:eastAsia="zh-CN"/>
              </w:rPr>
              <w:t>危废贮存点房设置灭火器等防火设备，做好火灾的预防工作</w:t>
            </w:r>
            <w:r>
              <w:rPr>
                <w:rFonts w:hint="default" w:ascii="Times New Roman" w:hAnsi="Times New Roman" w:eastAsia="宋体" w:cs="Times New Roman"/>
                <w:b w:val="0"/>
                <w:bCs/>
                <w:color w:val="auto"/>
                <w:kern w:val="2"/>
                <w:sz w:val="24"/>
                <w:szCs w:val="24"/>
                <w:highlight w:val="none"/>
                <w:lang w:val="en-US" w:eastAsia="zh-CN" w:bidi="ar-SA"/>
              </w:rPr>
              <w:t>。</w:t>
            </w:r>
          </w:p>
          <w:p w14:paraId="4DDE9E9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4.5其他保护措施</w:t>
            </w:r>
          </w:p>
          <w:p w14:paraId="34E9A529">
            <w:pPr>
              <w:keepNext w:val="0"/>
              <w:keepLines w:val="0"/>
              <w:pageBreakBefore w:val="0"/>
              <w:widowControl/>
              <w:kinsoku/>
              <w:wordWrap/>
              <w:overflowPunct/>
              <w:topLinePunct w:val="0"/>
              <w:bidi w:val="0"/>
              <w:snapToGrid/>
              <w:spacing w:line="480" w:lineRule="exact"/>
              <w:ind w:firstLine="480" w:firstLineChars="200"/>
              <w:rPr>
                <w:rFonts w:hint="default" w:eastAsia="宋体"/>
                <w:b w:val="0"/>
                <w:bCs w:val="0"/>
                <w:color w:val="auto"/>
                <w:kern w:val="44"/>
                <w:sz w:val="24"/>
                <w:highlight w:val="none"/>
                <w:lang w:val="en-US" w:eastAsia="zh-CN"/>
              </w:rPr>
            </w:pPr>
            <w:r>
              <w:rPr>
                <w:rFonts w:hint="eastAsia"/>
                <w:b w:val="0"/>
                <w:bCs w:val="0"/>
                <w:color w:val="auto"/>
                <w:kern w:val="44"/>
                <w:sz w:val="24"/>
                <w:highlight w:val="none"/>
                <w:lang w:eastAsia="zh-CN"/>
              </w:rPr>
              <w:t>（</w:t>
            </w:r>
            <w:r>
              <w:rPr>
                <w:rFonts w:hint="eastAsia"/>
                <w:b w:val="0"/>
                <w:bCs w:val="0"/>
                <w:color w:val="auto"/>
                <w:kern w:val="44"/>
                <w:sz w:val="24"/>
                <w:highlight w:val="none"/>
                <w:lang w:val="en-US" w:eastAsia="zh-CN"/>
              </w:rPr>
              <w:t>1</w:t>
            </w:r>
            <w:r>
              <w:rPr>
                <w:rFonts w:hint="eastAsia"/>
                <w:b w:val="0"/>
                <w:bCs w:val="0"/>
                <w:color w:val="auto"/>
                <w:kern w:val="44"/>
                <w:sz w:val="24"/>
                <w:highlight w:val="none"/>
                <w:lang w:eastAsia="zh-CN"/>
              </w:rPr>
              <w:t>）</w:t>
            </w:r>
            <w:r>
              <w:rPr>
                <w:rFonts w:hint="eastAsia"/>
                <w:b w:val="0"/>
                <w:bCs w:val="0"/>
                <w:color w:val="auto"/>
                <w:kern w:val="44"/>
                <w:sz w:val="24"/>
                <w:highlight w:val="none"/>
              </w:rPr>
              <w:t>土壤、地下水环境污染</w:t>
            </w:r>
            <w:r>
              <w:rPr>
                <w:rFonts w:hint="eastAsia"/>
                <w:b w:val="0"/>
                <w:bCs w:val="0"/>
                <w:color w:val="auto"/>
                <w:kern w:val="44"/>
                <w:sz w:val="24"/>
                <w:highlight w:val="none"/>
                <w:lang w:val="en-US" w:eastAsia="zh-CN"/>
              </w:rPr>
              <w:t>途径及环境影响分析</w:t>
            </w:r>
          </w:p>
          <w:p w14:paraId="064EAC2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color w:val="auto"/>
                <w:kern w:val="44"/>
                <w:sz w:val="24"/>
                <w:highlight w:val="none"/>
              </w:rPr>
            </w:pPr>
            <w:r>
              <w:rPr>
                <w:color w:val="auto"/>
                <w:kern w:val="44"/>
                <w:sz w:val="24"/>
                <w:highlight w:val="none"/>
              </w:rPr>
              <w:t>1</w:t>
            </w:r>
            <w:r>
              <w:rPr>
                <w:rFonts w:hint="eastAsia"/>
                <w:color w:val="auto"/>
                <w:kern w:val="44"/>
                <w:sz w:val="24"/>
                <w:highlight w:val="none"/>
              </w:rPr>
              <w:t>）污染源</w:t>
            </w:r>
          </w:p>
          <w:p w14:paraId="7B496AFE">
            <w:pPr>
              <w:keepNext w:val="0"/>
              <w:keepLines w:val="0"/>
              <w:pageBreakBefore w:val="0"/>
              <w:widowControl/>
              <w:kinsoku/>
              <w:wordWrap/>
              <w:overflowPunct/>
              <w:topLinePunct w:val="0"/>
              <w:bidi w:val="0"/>
              <w:snapToGrid/>
              <w:spacing w:line="480" w:lineRule="exact"/>
              <w:ind w:firstLine="480" w:firstLineChars="200"/>
              <w:rPr>
                <w:rFonts w:hint="eastAsia"/>
                <w:color w:val="auto"/>
                <w:kern w:val="44"/>
                <w:sz w:val="24"/>
                <w:highlight w:val="none"/>
              </w:rPr>
            </w:pPr>
            <w:r>
              <w:rPr>
                <w:rFonts w:hint="eastAsia"/>
                <w:color w:val="auto"/>
                <w:kern w:val="44"/>
                <w:sz w:val="24"/>
                <w:highlight w:val="none"/>
              </w:rPr>
              <w:t>本项目对地下水的影响主要为生活污水、车辆冲洗废水</w:t>
            </w:r>
            <w:r>
              <w:rPr>
                <w:rFonts w:hint="eastAsia"/>
                <w:color w:val="auto"/>
                <w:kern w:val="44"/>
                <w:sz w:val="24"/>
                <w:highlight w:val="none"/>
                <w:lang w:eastAsia="zh-CN"/>
              </w:rPr>
              <w:t>、</w:t>
            </w:r>
            <w:r>
              <w:rPr>
                <w:rFonts w:hint="eastAsia"/>
                <w:color w:val="auto"/>
                <w:kern w:val="44"/>
                <w:sz w:val="24"/>
                <w:highlight w:val="none"/>
                <w:lang w:val="en-US" w:eastAsia="zh-CN"/>
              </w:rPr>
              <w:t>湿电除尘</w:t>
            </w:r>
            <w:r>
              <w:rPr>
                <w:rFonts w:hint="eastAsia"/>
                <w:color w:val="auto"/>
                <w:kern w:val="44"/>
                <w:sz w:val="24"/>
                <w:highlight w:val="none"/>
              </w:rPr>
              <w:t>废水</w:t>
            </w:r>
            <w:r>
              <w:rPr>
                <w:rFonts w:hint="eastAsia"/>
                <w:color w:val="auto"/>
                <w:kern w:val="44"/>
                <w:sz w:val="24"/>
                <w:highlight w:val="none"/>
                <w:lang w:val="en-US" w:eastAsia="zh-CN"/>
              </w:rPr>
              <w:t>、脱硫装置</w:t>
            </w:r>
            <w:r>
              <w:rPr>
                <w:rFonts w:hint="eastAsia"/>
                <w:color w:val="auto"/>
                <w:kern w:val="44"/>
                <w:sz w:val="24"/>
                <w:highlight w:val="none"/>
              </w:rPr>
              <w:t>废水和初期雨水</w:t>
            </w:r>
            <w:r>
              <w:rPr>
                <w:rFonts w:hint="eastAsia"/>
                <w:color w:val="auto"/>
                <w:kern w:val="44"/>
                <w:sz w:val="24"/>
                <w:highlight w:val="none"/>
                <w:lang w:eastAsia="zh-CN"/>
              </w:rPr>
              <w:t>。</w:t>
            </w:r>
            <w:r>
              <w:rPr>
                <w:rFonts w:hint="eastAsia" w:ascii="Times New Roman" w:hAnsi="Times New Roman" w:eastAsia="宋体" w:cs="Times New Roman"/>
                <w:b w:val="0"/>
                <w:bCs/>
                <w:color w:val="auto"/>
                <w:kern w:val="2"/>
                <w:sz w:val="24"/>
                <w:szCs w:val="24"/>
                <w:lang w:val="en-US" w:eastAsia="zh-CN" w:bidi="ar-SA"/>
              </w:rPr>
              <w:t>项目生活污水排于</w:t>
            </w:r>
            <w:r>
              <w:rPr>
                <w:rFonts w:hint="eastAsia" w:cs="Times New Roman"/>
                <w:b w:val="0"/>
                <w:bCs/>
                <w:color w:val="auto"/>
                <w:kern w:val="2"/>
                <w:sz w:val="24"/>
                <w:szCs w:val="24"/>
                <w:lang w:val="en-US" w:eastAsia="zh-CN" w:bidi="ar-SA"/>
              </w:rPr>
              <w:t>化粪池</w:t>
            </w:r>
            <w:r>
              <w:rPr>
                <w:rFonts w:hint="eastAsia" w:ascii="Times New Roman" w:hAnsi="Times New Roman" w:eastAsia="宋体" w:cs="Times New Roman"/>
                <w:b w:val="0"/>
                <w:bCs/>
                <w:color w:val="auto"/>
                <w:kern w:val="2"/>
                <w:sz w:val="24"/>
                <w:szCs w:val="24"/>
                <w:lang w:val="en-US" w:eastAsia="zh-CN" w:bidi="ar-SA"/>
              </w:rPr>
              <w:t>，定期清掏用作农肥；洗车废水经过沉淀后回用于车辆冲洗；湿电除尘废水复用于脱硫塔；</w:t>
            </w:r>
            <w:r>
              <w:rPr>
                <w:rFonts w:hint="default" w:ascii="Times New Roman" w:hAnsi="Times New Roman" w:eastAsia="宋体" w:cs="Times New Roman"/>
                <w:color w:val="auto"/>
                <w:sz w:val="24"/>
                <w:szCs w:val="20"/>
                <w:highlight w:val="none"/>
                <w:lang w:val="en-US" w:eastAsia="zh-CN"/>
              </w:rPr>
              <w:t>脱硫废水经压滤后，排入沉淀池，经沉淀再生处理后，送脱硫系统重复利用</w:t>
            </w:r>
            <w:r>
              <w:rPr>
                <w:rFonts w:hint="eastAsia" w:ascii="Times New Roman" w:hAnsi="Times New Roman" w:eastAsia="宋体" w:cs="Times New Roman"/>
                <w:b w:val="0"/>
                <w:bCs/>
                <w:color w:val="auto"/>
                <w:kern w:val="2"/>
                <w:sz w:val="24"/>
                <w:szCs w:val="24"/>
                <w:lang w:val="en-US" w:eastAsia="zh-CN" w:bidi="ar-SA"/>
              </w:rPr>
              <w:t>；初期雨水</w:t>
            </w:r>
            <w:r>
              <w:rPr>
                <w:rFonts w:hint="eastAsia" w:ascii="Times New Roman" w:hAnsi="Times New Roman" w:eastAsia="宋体" w:cs="Times New Roman"/>
                <w:bCs/>
                <w:color w:val="auto"/>
                <w:kern w:val="2"/>
                <w:sz w:val="24"/>
                <w:szCs w:val="24"/>
                <w:highlight w:val="none"/>
                <w:lang w:val="en-US" w:eastAsia="zh-CN" w:bidi="ar-SA"/>
              </w:rPr>
              <w:t>经收集沉淀后回用于厂区洒水</w:t>
            </w:r>
            <w:r>
              <w:rPr>
                <w:rFonts w:hint="eastAsia" w:ascii="Times New Roman" w:hAnsi="Times New Roman" w:eastAsia="宋体" w:cs="Times New Roman"/>
                <w:b w:val="0"/>
                <w:bCs/>
                <w:color w:val="auto"/>
                <w:kern w:val="2"/>
                <w:sz w:val="24"/>
                <w:szCs w:val="24"/>
                <w:lang w:val="en-US" w:eastAsia="zh-CN" w:bidi="ar-SA"/>
              </w:rPr>
              <w:t>。</w:t>
            </w:r>
            <w:r>
              <w:rPr>
                <w:rFonts w:hint="eastAsia"/>
                <w:color w:val="auto"/>
                <w:kern w:val="44"/>
                <w:sz w:val="24"/>
                <w:highlight w:val="none"/>
              </w:rPr>
              <w:t>厂区污水处理设施防渗、防水措施不完善，</w:t>
            </w:r>
            <w:r>
              <w:rPr>
                <w:rFonts w:hint="eastAsia"/>
                <w:color w:val="auto"/>
                <w:kern w:val="44"/>
                <w:sz w:val="24"/>
                <w:highlight w:val="none"/>
                <w:lang w:eastAsia="zh-CN"/>
              </w:rPr>
              <w:t>危废贮存点</w:t>
            </w:r>
            <w:r>
              <w:rPr>
                <w:rFonts w:hint="eastAsia"/>
                <w:color w:val="auto"/>
                <w:kern w:val="44"/>
                <w:sz w:val="24"/>
                <w:highlight w:val="none"/>
              </w:rPr>
              <w:t>防渗层破坏，厂区内沉淀池渗漏废水、</w:t>
            </w:r>
            <w:r>
              <w:rPr>
                <w:rFonts w:hint="eastAsia"/>
                <w:color w:val="auto"/>
                <w:kern w:val="44"/>
                <w:sz w:val="24"/>
                <w:highlight w:val="none"/>
                <w:lang w:eastAsia="zh-CN"/>
              </w:rPr>
              <w:t>危废贮存点</w:t>
            </w:r>
            <w:r>
              <w:rPr>
                <w:rFonts w:hint="eastAsia"/>
                <w:color w:val="auto"/>
                <w:kern w:val="44"/>
                <w:sz w:val="24"/>
                <w:highlight w:val="none"/>
              </w:rPr>
              <w:t>废机油可能下渗从而会污染地下水、土壤。</w:t>
            </w:r>
          </w:p>
          <w:p w14:paraId="02AB6737">
            <w:pPr>
              <w:keepNext w:val="0"/>
              <w:keepLines w:val="0"/>
              <w:pageBreakBefore w:val="0"/>
              <w:widowControl/>
              <w:kinsoku/>
              <w:wordWrap/>
              <w:overflowPunct/>
              <w:topLinePunct w:val="0"/>
              <w:bidi w:val="0"/>
              <w:snapToGrid/>
              <w:spacing w:line="480" w:lineRule="exact"/>
              <w:ind w:firstLine="480" w:firstLineChars="200"/>
              <w:rPr>
                <w:rFonts w:hint="eastAsia"/>
                <w:color w:val="auto"/>
                <w:kern w:val="44"/>
                <w:sz w:val="24"/>
                <w:highlight w:val="none"/>
              </w:rPr>
            </w:pPr>
            <w:r>
              <w:rPr>
                <w:color w:val="auto"/>
                <w:kern w:val="44"/>
                <w:sz w:val="24"/>
                <w:highlight w:val="none"/>
              </w:rPr>
              <w:t>2</w:t>
            </w:r>
            <w:r>
              <w:rPr>
                <w:rFonts w:hint="eastAsia"/>
                <w:color w:val="auto"/>
                <w:kern w:val="44"/>
                <w:sz w:val="24"/>
                <w:highlight w:val="none"/>
              </w:rPr>
              <w:t>）地下水、土壤环境保护措施与对策</w:t>
            </w:r>
          </w:p>
          <w:p w14:paraId="4CFE18B2">
            <w:pPr>
              <w:keepNext w:val="0"/>
              <w:keepLines w:val="0"/>
              <w:pageBreakBefore w:val="0"/>
              <w:widowControl/>
              <w:kinsoku/>
              <w:wordWrap/>
              <w:overflowPunct/>
              <w:topLinePunct w:val="0"/>
              <w:bidi w:val="0"/>
              <w:snapToGrid/>
              <w:spacing w:line="480" w:lineRule="exact"/>
              <w:ind w:firstLine="480" w:firstLineChars="200"/>
              <w:rPr>
                <w:rFonts w:hint="eastAsia"/>
                <w:color w:val="auto"/>
                <w:kern w:val="44"/>
                <w:sz w:val="24"/>
                <w:highlight w:val="none"/>
              </w:rPr>
            </w:pPr>
            <w:r>
              <w:rPr>
                <w:rFonts w:hint="eastAsia"/>
                <w:color w:val="auto"/>
                <w:kern w:val="44"/>
                <w:sz w:val="24"/>
                <w:highlight w:val="none"/>
                <w:lang w:val="en-US" w:eastAsia="zh-CN"/>
              </w:rPr>
              <w:t>①</w:t>
            </w:r>
            <w:r>
              <w:rPr>
                <w:rFonts w:hint="eastAsia"/>
                <w:color w:val="auto"/>
                <w:kern w:val="44"/>
                <w:sz w:val="24"/>
                <w:highlight w:val="none"/>
              </w:rPr>
              <w:t>源头控制措施</w:t>
            </w:r>
          </w:p>
          <w:p w14:paraId="514955FF">
            <w:pPr>
              <w:keepNext w:val="0"/>
              <w:keepLines w:val="0"/>
              <w:pageBreakBefore w:val="0"/>
              <w:widowControl/>
              <w:kinsoku/>
              <w:wordWrap/>
              <w:overflowPunct/>
              <w:topLinePunct w:val="0"/>
              <w:bidi w:val="0"/>
              <w:snapToGrid/>
              <w:spacing w:line="480" w:lineRule="exact"/>
              <w:ind w:firstLine="480" w:firstLineChars="200"/>
              <w:rPr>
                <w:rFonts w:hint="eastAsia"/>
                <w:color w:val="auto"/>
                <w:kern w:val="44"/>
                <w:sz w:val="24"/>
                <w:highlight w:val="none"/>
              </w:rPr>
            </w:pPr>
            <w:r>
              <w:rPr>
                <w:rFonts w:hint="eastAsia"/>
                <w:color w:val="auto"/>
                <w:kern w:val="44"/>
                <w:sz w:val="24"/>
                <w:highlight w:val="none"/>
              </w:rPr>
              <w:t>本项目应加强日常管理，提高水的重复利用率，减少污水产生量</w:t>
            </w:r>
            <w:r>
              <w:rPr>
                <w:rFonts w:hint="eastAsia"/>
                <w:color w:val="auto"/>
                <w:kern w:val="44"/>
                <w:sz w:val="24"/>
                <w:highlight w:val="none"/>
                <w:lang w:eastAsia="zh-CN"/>
              </w:rPr>
              <w:t>。</w:t>
            </w:r>
            <w:r>
              <w:rPr>
                <w:rFonts w:hint="default" w:ascii="Times New Roman" w:hAnsi="Times New Roman" w:eastAsia="宋体" w:cs="Times New Roman"/>
                <w:b w:val="0"/>
                <w:bCs/>
                <w:color w:val="auto"/>
                <w:kern w:val="2"/>
                <w:sz w:val="24"/>
                <w:szCs w:val="24"/>
                <w:highlight w:val="none"/>
                <w:lang w:val="en-US" w:eastAsia="zh-CN" w:bidi="ar-SA"/>
              </w:rPr>
              <w:t>应根据国家现行相关规范加强环境管理，采取防止和降低污染物跑、冒、滴、漏的措施。正常运营过程中应加强对各水池防渗工程的检查，若发现防渗材料老化或损坏，应及时维修更换。</w:t>
            </w:r>
            <w:r>
              <w:rPr>
                <w:rFonts w:hint="eastAsia"/>
                <w:color w:val="auto"/>
                <w:kern w:val="44"/>
                <w:sz w:val="24"/>
                <w:highlight w:val="none"/>
              </w:rPr>
              <w:t>危险废物严格按照贮存要求存放于厂区</w:t>
            </w:r>
            <w:r>
              <w:rPr>
                <w:rFonts w:hint="eastAsia"/>
                <w:color w:val="auto"/>
                <w:kern w:val="44"/>
                <w:sz w:val="24"/>
                <w:highlight w:val="none"/>
                <w:lang w:eastAsia="zh-CN"/>
              </w:rPr>
              <w:t>危废贮存点</w:t>
            </w:r>
            <w:r>
              <w:rPr>
                <w:rFonts w:hint="eastAsia"/>
                <w:color w:val="auto"/>
                <w:kern w:val="44"/>
                <w:sz w:val="24"/>
                <w:highlight w:val="none"/>
              </w:rPr>
              <w:t>，定期委托有资质单位运走处置。</w:t>
            </w:r>
          </w:p>
          <w:p w14:paraId="102E08F3">
            <w:pPr>
              <w:keepNext w:val="0"/>
              <w:keepLines w:val="0"/>
              <w:pageBreakBefore w:val="0"/>
              <w:widowControl/>
              <w:kinsoku/>
              <w:wordWrap/>
              <w:overflowPunct/>
              <w:topLinePunct w:val="0"/>
              <w:bidi w:val="0"/>
              <w:snapToGrid/>
              <w:spacing w:line="480" w:lineRule="exact"/>
              <w:ind w:firstLine="480" w:firstLineChars="200"/>
              <w:rPr>
                <w:color w:val="auto"/>
                <w:kern w:val="44"/>
                <w:sz w:val="24"/>
                <w:highlight w:val="none"/>
              </w:rPr>
            </w:pPr>
            <w:r>
              <w:rPr>
                <w:rFonts w:hint="eastAsia"/>
                <w:color w:val="auto"/>
                <w:kern w:val="44"/>
                <w:sz w:val="24"/>
                <w:highlight w:val="none"/>
                <w:lang w:val="en-US" w:eastAsia="zh-CN"/>
              </w:rPr>
              <w:t>②</w:t>
            </w:r>
            <w:r>
              <w:rPr>
                <w:rFonts w:hint="eastAsia"/>
                <w:color w:val="auto"/>
                <w:kern w:val="44"/>
                <w:sz w:val="24"/>
                <w:highlight w:val="none"/>
              </w:rPr>
              <w:t>防渗分区划分及管理要求</w:t>
            </w:r>
          </w:p>
          <w:p w14:paraId="7000008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本项目厂区防渗划分为重点防渗区、一般防渗区和简单防渗区，防渗区按照不同分区要求，采取不同等级的防渗措施，并确保其可靠性和有效性。</w:t>
            </w:r>
          </w:p>
          <w:p w14:paraId="20B0794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厂区</w:t>
            </w:r>
            <w:r>
              <w:rPr>
                <w:rFonts w:hint="default" w:ascii="Times New Roman" w:hAnsi="Times New Roman" w:eastAsia="宋体" w:cs="Times New Roman"/>
                <w:b w:val="0"/>
                <w:bCs/>
                <w:color w:val="auto"/>
                <w:kern w:val="2"/>
                <w:sz w:val="24"/>
                <w:szCs w:val="24"/>
                <w:highlight w:val="none"/>
                <w:lang w:val="en-US" w:eastAsia="zh-CN" w:bidi="ar-SA"/>
              </w:rPr>
              <w:t>现设有一间15m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eastAsia" w:cs="Times New Roman"/>
                <w:b w:val="0"/>
                <w:bCs/>
                <w:color w:val="auto"/>
                <w:kern w:val="2"/>
                <w:sz w:val="24"/>
                <w:szCs w:val="24"/>
                <w:highlight w:val="none"/>
                <w:lang w:val="en-US" w:eastAsia="zh-CN" w:bidi="ar-SA"/>
              </w:rPr>
              <w:t>危废贮存点</w:t>
            </w:r>
            <w:r>
              <w:rPr>
                <w:rFonts w:hint="default" w:ascii="Times New Roman" w:hAnsi="Times New Roman" w:eastAsia="宋体" w:cs="Times New Roman"/>
                <w:b w:val="0"/>
                <w:bCs/>
                <w:color w:val="auto"/>
                <w:kern w:val="2"/>
                <w:sz w:val="24"/>
                <w:szCs w:val="24"/>
                <w:highlight w:val="none"/>
                <w:lang w:val="en-US" w:eastAsia="zh-CN" w:bidi="ar-SA"/>
              </w:rPr>
              <w:t>，位于厂区北侧。现有废矿物油、废油桶存放面积占约</w:t>
            </w:r>
            <w:r>
              <w:rPr>
                <w:rFonts w:hint="eastAsia"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改</w:t>
            </w:r>
            <w:r>
              <w:rPr>
                <w:rFonts w:hint="default" w:ascii="Times New Roman" w:hAnsi="Times New Roman" w:eastAsia="宋体" w:cs="Times New Roman"/>
                <w:b w:val="0"/>
                <w:bCs/>
                <w:color w:val="auto"/>
                <w:kern w:val="2"/>
                <w:sz w:val="24"/>
                <w:szCs w:val="24"/>
                <w:highlight w:val="none"/>
                <w:lang w:val="en-US" w:eastAsia="zh-CN" w:bidi="ar-SA"/>
              </w:rPr>
              <w:t>建项目废矿物油、废油桶占地面积占约</w:t>
            </w:r>
            <w:r>
              <w:rPr>
                <w:rFonts w:hint="eastAsia" w:cs="Times New Roman"/>
                <w:b w:val="0"/>
                <w:bCs/>
                <w:color w:val="auto"/>
                <w:kern w:val="2"/>
                <w:sz w:val="24"/>
                <w:szCs w:val="24"/>
                <w:highlight w:val="none"/>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，可满足本项目的危废储存量。</w:t>
            </w:r>
          </w:p>
          <w:p w14:paraId="7C2BC485">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本项目厂区采取的分区防渗措施，见表</w:t>
            </w:r>
            <w:r>
              <w:rPr>
                <w:rFonts w:hint="eastAsia" w:ascii="Times New Roman" w:hAnsi="Times New Roman" w:eastAsia="宋体" w:cs="Times New Roman"/>
                <w:b w:val="0"/>
                <w:bCs/>
                <w:color w:val="auto"/>
                <w:kern w:val="2"/>
                <w:sz w:val="24"/>
                <w:szCs w:val="24"/>
                <w:highlight w:val="none"/>
                <w:lang w:val="en-US" w:eastAsia="zh-CN" w:bidi="ar-SA"/>
              </w:rPr>
              <w:t>4-</w:t>
            </w:r>
            <w:r>
              <w:rPr>
                <w:rFonts w:hint="eastAsia" w:cs="Times New Roman"/>
                <w:b w:val="0"/>
                <w:bCs/>
                <w:color w:val="auto"/>
                <w:kern w:val="2"/>
                <w:sz w:val="24"/>
                <w:szCs w:val="24"/>
                <w:highlight w:val="none"/>
                <w:lang w:val="en-US" w:eastAsia="zh-CN" w:bidi="ar-SA"/>
              </w:rPr>
              <w:t>26</w:t>
            </w:r>
            <w:r>
              <w:rPr>
                <w:rFonts w:hint="default" w:ascii="Times New Roman" w:hAnsi="Times New Roman" w:eastAsia="宋体" w:cs="Times New Roman"/>
                <w:b w:val="0"/>
                <w:bCs/>
                <w:color w:val="auto"/>
                <w:kern w:val="2"/>
                <w:sz w:val="24"/>
                <w:szCs w:val="24"/>
                <w:highlight w:val="none"/>
                <w:lang w:val="en-US" w:eastAsia="zh-CN" w:bidi="ar-SA"/>
              </w:rPr>
              <w:t>。</w:t>
            </w:r>
          </w:p>
          <w:p w14:paraId="3D71131A">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表4-2</w:t>
            </w:r>
            <w:r>
              <w:rPr>
                <w:rFonts w:hint="eastAsia" w:ascii="Times New Roman" w:hAnsi="Times New Roman" w:eastAsia="黑体" w:cs="Times New Roman"/>
                <w:b w:val="0"/>
                <w:bCs w:val="0"/>
                <w:color w:val="auto"/>
                <w:sz w:val="24"/>
                <w:szCs w:val="24"/>
                <w:highlight w:val="none"/>
                <w:lang w:val="en-US" w:eastAsia="zh-CN"/>
              </w:rPr>
              <w:t>6</w:t>
            </w:r>
            <w:r>
              <w:rPr>
                <w:rFonts w:hint="default" w:ascii="Times New Roman" w:hAnsi="Times New Roman" w:eastAsia="黑体" w:cs="Times New Roman"/>
                <w:b w:val="0"/>
                <w:bCs w:val="0"/>
                <w:color w:val="auto"/>
                <w:sz w:val="24"/>
                <w:szCs w:val="24"/>
                <w:highlight w:val="none"/>
                <w:lang w:val="en-US" w:eastAsia="zh-CN"/>
              </w:rPr>
              <w:t xml:space="preserve">  防渗分区及防渗要求表</w:t>
            </w:r>
          </w:p>
          <w:p w14:paraId="75C93EAE">
            <w:pPr>
              <w:spacing w:line="15" w:lineRule="exact"/>
              <w:rPr>
                <w:rFonts w:hint="default" w:ascii="Times New Roman" w:hAnsi="Times New Roman" w:cs="Times New Roman"/>
                <w:color w:val="auto"/>
                <w:highlight w:val="none"/>
              </w:rPr>
            </w:pPr>
          </w:p>
          <w:tbl>
            <w:tblPr>
              <w:tblStyle w:val="9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5"/>
              <w:gridCol w:w="1467"/>
              <w:gridCol w:w="1928"/>
              <w:gridCol w:w="3703"/>
            </w:tblGrid>
            <w:tr w14:paraId="171E7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1" w:type="pct"/>
                  <w:tcBorders>
                    <w:tl2br w:val="nil"/>
                    <w:tr2bl w:val="nil"/>
                  </w:tcBorders>
                  <w:noWrap w:val="0"/>
                  <w:vAlign w:val="center"/>
                </w:tcPr>
                <w:p w14:paraId="64FD920F">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spacing w:val="-6"/>
                      <w:highlight w:val="none"/>
                    </w:rPr>
                    <w:t>防渗区域</w:t>
                  </w:r>
                </w:p>
              </w:tc>
              <w:tc>
                <w:tcPr>
                  <w:tcW w:w="876" w:type="pct"/>
                  <w:tcBorders>
                    <w:tl2br w:val="nil"/>
                    <w:tr2bl w:val="nil"/>
                  </w:tcBorders>
                  <w:noWrap w:val="0"/>
                  <w:vAlign w:val="center"/>
                </w:tcPr>
                <w:p w14:paraId="46508C7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spacing w:val="-5"/>
                      <w:highlight w:val="none"/>
                    </w:rPr>
                    <w:t>防渗分区</w:t>
                  </w:r>
                </w:p>
              </w:tc>
              <w:tc>
                <w:tcPr>
                  <w:tcW w:w="1151" w:type="pct"/>
                  <w:tcBorders>
                    <w:tl2br w:val="nil"/>
                    <w:tr2bl w:val="nil"/>
                  </w:tcBorders>
                  <w:noWrap w:val="0"/>
                  <w:vAlign w:val="center"/>
                </w:tcPr>
                <w:p w14:paraId="553B90E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spacing w:val="-3"/>
                      <w:highlight w:val="none"/>
                    </w:rPr>
                    <w:t>防渗技术要求</w:t>
                  </w:r>
                </w:p>
              </w:tc>
              <w:tc>
                <w:tcPr>
                  <w:tcW w:w="2210" w:type="pct"/>
                  <w:tcBorders>
                    <w:tl2br w:val="nil"/>
                    <w:tr2bl w:val="nil"/>
                  </w:tcBorders>
                  <w:noWrap w:val="0"/>
                  <w:vAlign w:val="center"/>
                </w:tcPr>
                <w:p w14:paraId="59CC820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spacing w:val="-5"/>
                      <w:highlight w:val="none"/>
                    </w:rPr>
                    <w:t>防渗</w:t>
                  </w:r>
                  <w:r>
                    <w:rPr>
                      <w:rFonts w:hint="eastAsia" w:ascii="Times New Roman" w:hAnsi="Times New Roman" w:cs="Times New Roman"/>
                      <w:b/>
                      <w:bCs/>
                      <w:color w:val="auto"/>
                      <w:spacing w:val="-5"/>
                      <w:highlight w:val="none"/>
                      <w:lang w:val="en-US" w:eastAsia="zh-CN"/>
                    </w:rPr>
                    <w:t>措施</w:t>
                  </w:r>
                </w:p>
              </w:tc>
            </w:tr>
            <w:tr w14:paraId="7221F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1" w:type="pct"/>
                  <w:tcBorders>
                    <w:tl2br w:val="nil"/>
                    <w:tr2bl w:val="nil"/>
                  </w:tcBorders>
                  <w:noWrap w:val="0"/>
                  <w:vAlign w:val="center"/>
                </w:tcPr>
                <w:p w14:paraId="1E5D07D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spacing w:val="-2"/>
                      <w:highlight w:val="none"/>
                      <w:lang w:eastAsia="zh-CN"/>
                    </w:rPr>
                    <w:t>危废贮存点</w:t>
                  </w:r>
                </w:p>
              </w:tc>
              <w:tc>
                <w:tcPr>
                  <w:tcW w:w="876" w:type="pct"/>
                  <w:tcBorders>
                    <w:tl2br w:val="nil"/>
                    <w:tr2bl w:val="nil"/>
                  </w:tcBorders>
                  <w:noWrap w:val="0"/>
                  <w:vAlign w:val="center"/>
                </w:tcPr>
                <w:p w14:paraId="2404A04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重点防渗区</w:t>
                  </w:r>
                </w:p>
              </w:tc>
              <w:tc>
                <w:tcPr>
                  <w:tcW w:w="1151" w:type="pct"/>
                  <w:tcBorders>
                    <w:tl2br w:val="nil"/>
                    <w:tr2bl w:val="nil"/>
                  </w:tcBorders>
                  <w:noWrap w:val="0"/>
                  <w:vAlign w:val="center"/>
                </w:tcPr>
                <w:p w14:paraId="1E476D1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按照《危险废物贮存污染控制</w:t>
                  </w:r>
                  <w:r>
                    <w:rPr>
                      <w:rFonts w:hint="default" w:ascii="Times New Roman" w:hAnsi="Times New Roman" w:cs="Times New Roman"/>
                      <w:color w:val="auto"/>
                      <w:spacing w:val="-2"/>
                      <w:highlight w:val="none"/>
                    </w:rPr>
                    <w:t>标准》（</w:t>
                  </w:r>
                  <w:r>
                    <w:rPr>
                      <w:rFonts w:hint="default" w:ascii="Times New Roman" w:hAnsi="Times New Roman" w:eastAsia="Times New Roman" w:cs="Times New Roman"/>
                      <w:color w:val="auto"/>
                      <w:spacing w:val="-2"/>
                      <w:highlight w:val="none"/>
                    </w:rPr>
                    <w:t>GB18597</w:t>
                  </w:r>
                  <w:r>
                    <w:rPr>
                      <w:rFonts w:hint="default" w:ascii="Times New Roman" w:hAnsi="Times New Roman" w:cs="Times New Roman"/>
                      <w:color w:val="auto"/>
                      <w:spacing w:val="-2"/>
                      <w:highlight w:val="none"/>
                    </w:rPr>
                    <w:t>）执行</w:t>
                  </w:r>
                </w:p>
              </w:tc>
              <w:tc>
                <w:tcPr>
                  <w:tcW w:w="2210" w:type="pct"/>
                  <w:tcBorders>
                    <w:tl2br w:val="nil"/>
                    <w:tr2bl w:val="nil"/>
                  </w:tcBorders>
                  <w:noWrap w:val="0"/>
                  <w:vAlign w:val="center"/>
                </w:tcPr>
                <w:p w14:paraId="482433C7">
                  <w:pPr>
                    <w:pStyle w:val="99"/>
                    <w:spacing w:before="0"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防渗层为2mm厚的高密度聚乙烯，或至少2mm厚的其它人工材料，渗透系数≤1×10</w:t>
                  </w:r>
                  <w:r>
                    <w:rPr>
                      <w:rFonts w:hint="default" w:ascii="Times New Roman" w:hAnsi="Times New Roman" w:cs="Times New Roman"/>
                      <w:color w:val="auto"/>
                      <w:sz w:val="21"/>
                      <w:highlight w:val="none"/>
                      <w:vertAlign w:val="superscript"/>
                      <w:lang w:val="en-US" w:eastAsia="zh-CN"/>
                    </w:rPr>
                    <w:t>-12</w:t>
                  </w:r>
                  <w:r>
                    <w:rPr>
                      <w:rFonts w:hint="default" w:ascii="Times New Roman" w:hAnsi="Times New Roman" w:cs="Times New Roman"/>
                      <w:color w:val="auto"/>
                      <w:sz w:val="21"/>
                      <w:highlight w:val="none"/>
                      <w:lang w:val="en-US" w:eastAsia="zh-CN"/>
                    </w:rPr>
                    <w:t>cm/s，地面加覆0.5mm厚环氧树脂膜</w:t>
                  </w:r>
                </w:p>
              </w:tc>
            </w:tr>
            <w:tr w14:paraId="0646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1" w:type="pct"/>
                  <w:tcBorders>
                    <w:tl2br w:val="nil"/>
                    <w:tr2bl w:val="nil"/>
                  </w:tcBorders>
                  <w:noWrap w:val="0"/>
                  <w:vAlign w:val="center"/>
                </w:tcPr>
                <w:p w14:paraId="0495C6D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lang w:val="en-US" w:eastAsia="zh-CN"/>
                    </w:rPr>
                    <w:t>沉淀池、循环水池</w:t>
                  </w:r>
                  <w:r>
                    <w:rPr>
                      <w:rFonts w:hint="default" w:ascii="Times New Roman" w:hAnsi="Times New Roman" w:cs="Times New Roman"/>
                      <w:color w:val="auto"/>
                      <w:spacing w:val="-4"/>
                      <w:highlight w:val="none"/>
                    </w:rPr>
                    <w:t>、初期雨水收</w:t>
                  </w:r>
                  <w:r>
                    <w:rPr>
                      <w:rFonts w:hint="default" w:ascii="Times New Roman" w:hAnsi="Times New Roman" w:cs="Times New Roman"/>
                      <w:color w:val="auto"/>
                      <w:spacing w:val="-2"/>
                      <w:highlight w:val="none"/>
                    </w:rPr>
                    <w:t>集池等</w:t>
                  </w:r>
                </w:p>
              </w:tc>
              <w:tc>
                <w:tcPr>
                  <w:tcW w:w="876" w:type="pct"/>
                  <w:tcBorders>
                    <w:tl2br w:val="nil"/>
                    <w:tr2bl w:val="nil"/>
                  </w:tcBorders>
                  <w:noWrap w:val="0"/>
                  <w:vAlign w:val="center"/>
                </w:tcPr>
                <w:p w14:paraId="436113FB">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一般防渗区</w:t>
                  </w:r>
                </w:p>
              </w:tc>
              <w:tc>
                <w:tcPr>
                  <w:tcW w:w="1151" w:type="pct"/>
                  <w:tcBorders>
                    <w:tl2br w:val="nil"/>
                    <w:tr2bl w:val="nil"/>
                  </w:tcBorders>
                  <w:noWrap w:val="0"/>
                  <w:vAlign w:val="center"/>
                </w:tcPr>
                <w:p w14:paraId="614F4DE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4"/>
                      <w:highlight w:val="none"/>
                    </w:rPr>
                    <w:t>等效黏土防渗层</w:t>
                  </w:r>
                  <w:r>
                    <w:rPr>
                      <w:rFonts w:hint="default" w:ascii="Times New Roman" w:hAnsi="Times New Roman" w:eastAsia="Times New Roman" w:cs="Times New Roman"/>
                      <w:color w:val="auto"/>
                      <w:spacing w:val="-4"/>
                      <w:highlight w:val="none"/>
                    </w:rPr>
                    <w:t>Mb≥1.5m</w:t>
                  </w:r>
                  <w:r>
                    <w:rPr>
                      <w:rFonts w:hint="default" w:ascii="Times New Roman" w:hAnsi="Times New Roman" w:cs="Times New Roman"/>
                      <w:color w:val="auto"/>
                      <w:spacing w:val="-4"/>
                      <w:highlight w:val="none"/>
                    </w:rPr>
                    <w:t>，</w:t>
                  </w:r>
                  <w:r>
                    <w:rPr>
                      <w:rFonts w:hint="default" w:ascii="Times New Roman" w:hAnsi="Times New Roman" w:eastAsia="Times New Roman" w:cs="Times New Roman"/>
                      <w:color w:val="auto"/>
                      <w:spacing w:val="-1"/>
                      <w:highlight w:val="none"/>
                    </w:rPr>
                    <w:t>K≤1×10</w:t>
                  </w:r>
                  <w:r>
                    <w:rPr>
                      <w:rFonts w:hint="default" w:ascii="Times New Roman" w:hAnsi="Times New Roman" w:eastAsia="Times New Roman" w:cs="Times New Roman"/>
                      <w:color w:val="auto"/>
                      <w:spacing w:val="-1"/>
                      <w:position w:val="9"/>
                      <w:sz w:val="14"/>
                      <w:szCs w:val="14"/>
                      <w:highlight w:val="none"/>
                    </w:rPr>
                    <w:t>-7</w:t>
                  </w:r>
                  <w:r>
                    <w:rPr>
                      <w:rFonts w:hint="default" w:ascii="Times New Roman" w:hAnsi="Times New Roman" w:eastAsia="Times New Roman" w:cs="Times New Roman"/>
                      <w:color w:val="auto"/>
                      <w:spacing w:val="-1"/>
                      <w:highlight w:val="none"/>
                    </w:rPr>
                    <w:t>cm/s</w:t>
                  </w:r>
                </w:p>
              </w:tc>
              <w:tc>
                <w:tcPr>
                  <w:tcW w:w="2210" w:type="pct"/>
                  <w:tcBorders>
                    <w:tl2br w:val="nil"/>
                    <w:tr2bl w:val="nil"/>
                  </w:tcBorders>
                  <w:noWrap w:val="0"/>
                  <w:vAlign w:val="center"/>
                </w:tcPr>
                <w:p w14:paraId="06A90491">
                  <w:pPr>
                    <w:keepNext w:val="0"/>
                    <w:keepLines w:val="0"/>
                    <w:widowControl/>
                    <w:suppressLineNumbers w:val="0"/>
                    <w:jc w:val="center"/>
                    <w:rPr>
                      <w:rFonts w:hint="default" w:ascii="Times New Roman" w:hAnsi="Times New Roman" w:cs="Times New Roman"/>
                      <w:color w:val="auto"/>
                      <w:sz w:val="21"/>
                      <w:highlight w:val="none"/>
                    </w:rPr>
                  </w:pPr>
                  <w:r>
                    <w:rPr>
                      <w:rFonts w:hint="eastAsia" w:ascii="宋体" w:hAnsi="宋体" w:eastAsia="宋体" w:cs="宋体"/>
                      <w:color w:val="auto"/>
                      <w:kern w:val="0"/>
                      <w:sz w:val="21"/>
                      <w:szCs w:val="21"/>
                      <w:highlight w:val="none"/>
                      <w:lang w:val="en-US" w:eastAsia="zh-CN" w:bidi="ar"/>
                    </w:rPr>
                    <w:t>混凝土硬化，防渗层为至少</w:t>
                  </w:r>
                  <w:r>
                    <w:rPr>
                      <w:rFonts w:hint="default" w:ascii="Times New Roman" w:hAnsi="Times New Roman" w:eastAsia="宋体" w:cs="Times New Roman"/>
                      <w:color w:val="auto"/>
                      <w:kern w:val="0"/>
                      <w:sz w:val="21"/>
                      <w:szCs w:val="21"/>
                      <w:highlight w:val="none"/>
                      <w:lang w:val="en-US" w:eastAsia="zh-CN" w:bidi="ar"/>
                    </w:rPr>
                    <w:t>1.5m</w:t>
                  </w:r>
                  <w:r>
                    <w:rPr>
                      <w:rFonts w:hint="eastAsia" w:ascii="宋体" w:hAnsi="宋体" w:eastAsia="宋体" w:cs="宋体"/>
                      <w:color w:val="auto"/>
                      <w:kern w:val="0"/>
                      <w:sz w:val="21"/>
                      <w:szCs w:val="21"/>
                      <w:highlight w:val="none"/>
                      <w:lang w:val="en-US" w:eastAsia="zh-CN" w:bidi="ar"/>
                    </w:rPr>
                    <w:t>厚的粘土层，保证各单元防水层渗透系数</w:t>
                  </w:r>
                  <w:r>
                    <w:rPr>
                      <w:rFonts w:hint="default" w:ascii="Times New Roman" w:hAnsi="Times New Roman" w:eastAsia="宋体" w:cs="Times New Roman"/>
                      <w:color w:val="auto"/>
                      <w:kern w:val="0"/>
                      <w:sz w:val="21"/>
                      <w:szCs w:val="21"/>
                      <w:highlight w:val="none"/>
                      <w:lang w:val="en-US" w:eastAsia="zh-CN" w:bidi="ar"/>
                    </w:rPr>
                    <w:t>≤10</w:t>
                  </w:r>
                  <w:r>
                    <w:rPr>
                      <w:rFonts w:hint="eastAsia" w:ascii="Times New Roman" w:hAnsi="Times New Roman" w:cs="Times New Roman"/>
                      <w:color w:val="auto"/>
                      <w:kern w:val="0"/>
                      <w:sz w:val="21"/>
                      <w:szCs w:val="21"/>
                      <w:highlight w:val="none"/>
                      <w:vertAlign w:val="superscript"/>
                      <w:lang w:val="en-US" w:eastAsia="zh-CN" w:bidi="ar"/>
                    </w:rPr>
                    <w:t>-7</w:t>
                  </w:r>
                  <w:r>
                    <w:rPr>
                      <w:rFonts w:hint="default" w:ascii="Times New Roman" w:hAnsi="Times New Roman" w:eastAsia="宋体" w:cs="Times New Roman"/>
                      <w:color w:val="auto"/>
                      <w:kern w:val="0"/>
                      <w:sz w:val="21"/>
                      <w:szCs w:val="21"/>
                      <w:highlight w:val="none"/>
                      <w:lang w:val="en-US" w:eastAsia="zh-CN" w:bidi="ar"/>
                    </w:rPr>
                    <w:t>cm/s</w:t>
                  </w:r>
                </w:p>
              </w:tc>
            </w:tr>
            <w:tr w14:paraId="747BF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1" w:type="pct"/>
                  <w:tcBorders>
                    <w:tl2br w:val="nil"/>
                    <w:tr2bl w:val="nil"/>
                  </w:tcBorders>
                  <w:noWrap w:val="0"/>
                  <w:vAlign w:val="center"/>
                </w:tcPr>
                <w:p w14:paraId="4814E33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厂区其他位置</w:t>
                  </w:r>
                </w:p>
              </w:tc>
              <w:tc>
                <w:tcPr>
                  <w:tcW w:w="876" w:type="pct"/>
                  <w:tcBorders>
                    <w:tl2br w:val="nil"/>
                    <w:tr2bl w:val="nil"/>
                  </w:tcBorders>
                  <w:noWrap w:val="0"/>
                  <w:vAlign w:val="center"/>
                </w:tcPr>
                <w:p w14:paraId="27A76AEF">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简单防渗区</w:t>
                  </w:r>
                </w:p>
              </w:tc>
              <w:tc>
                <w:tcPr>
                  <w:tcW w:w="1151" w:type="pct"/>
                  <w:tcBorders>
                    <w:tl2br w:val="nil"/>
                    <w:tr2bl w:val="nil"/>
                  </w:tcBorders>
                  <w:noWrap w:val="0"/>
                  <w:vAlign w:val="center"/>
                </w:tcPr>
                <w:p w14:paraId="67605265">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一般地面硬化</w:t>
                  </w:r>
                </w:p>
              </w:tc>
              <w:tc>
                <w:tcPr>
                  <w:tcW w:w="2210" w:type="pct"/>
                  <w:tcBorders>
                    <w:tl2br w:val="nil"/>
                    <w:tr2bl w:val="nil"/>
                  </w:tcBorders>
                  <w:noWrap w:val="0"/>
                  <w:vAlign w:val="center"/>
                </w:tcPr>
                <w:p w14:paraId="1DD5EAD9">
                  <w:pPr>
                    <w:pStyle w:val="99"/>
                    <w:spacing w:before="0"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一般混凝土硬化</w:t>
                  </w:r>
                </w:p>
              </w:tc>
            </w:tr>
          </w:tbl>
          <w:p w14:paraId="2A2797B1">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bCs/>
                <w:color w:val="auto"/>
                <w:spacing w:val="8"/>
                <w:sz w:val="24"/>
              </w:rPr>
              <w:drawing>
                <wp:anchor distT="0" distB="0" distL="114300" distR="114300" simplePos="0" relativeHeight="251662336" behindDoc="0" locked="0" layoutInCell="1" allowOverlap="1">
                  <wp:simplePos x="0" y="0"/>
                  <wp:positionH relativeFrom="column">
                    <wp:posOffset>102870</wp:posOffset>
                  </wp:positionH>
                  <wp:positionV relativeFrom="paragraph">
                    <wp:posOffset>85090</wp:posOffset>
                  </wp:positionV>
                  <wp:extent cx="4865370" cy="2357755"/>
                  <wp:effectExtent l="0" t="0" r="11430" b="4445"/>
                  <wp:wrapNone/>
                  <wp:docPr id="21" name="图片 16" descr="163834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1638345812(1)"/>
                          <pic:cNvPicPr>
                            <a:picLocks noChangeAspect="1"/>
                          </pic:cNvPicPr>
                        </pic:nvPicPr>
                        <pic:blipFill>
                          <a:blip r:embed="rId24"/>
                          <a:stretch>
                            <a:fillRect/>
                          </a:stretch>
                        </pic:blipFill>
                        <pic:spPr>
                          <a:xfrm>
                            <a:off x="0" y="0"/>
                            <a:ext cx="4865370" cy="2357755"/>
                          </a:xfrm>
                          <a:prstGeom prst="rect">
                            <a:avLst/>
                          </a:prstGeom>
                          <a:noFill/>
                          <a:ln>
                            <a:noFill/>
                          </a:ln>
                        </pic:spPr>
                      </pic:pic>
                    </a:graphicData>
                  </a:graphic>
                </wp:anchor>
              </w:drawing>
            </w:r>
          </w:p>
          <w:p w14:paraId="35BB5782">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36947B12">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036FE124">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785ACF45">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62AAD362">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648071D0">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71ABAE05">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p>
          <w:p w14:paraId="027DE77C">
            <w:pPr>
              <w:pStyle w:val="9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图4-</w:t>
            </w:r>
            <w:r>
              <w:rPr>
                <w:rFonts w:hint="eastAsia"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项目防渗结构示意图</w:t>
            </w:r>
          </w:p>
          <w:p w14:paraId="31C1C448">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采取上述措施后，建设项目不会对地下水、土壤环境产生明显影响。</w:t>
            </w:r>
          </w:p>
          <w:p w14:paraId="107054CB">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4.6环境风险</w:t>
            </w:r>
          </w:p>
          <w:p w14:paraId="4631BE1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4.6.1</w:t>
            </w:r>
            <w:r>
              <w:rPr>
                <w:rFonts w:hint="default" w:ascii="Times New Roman" w:hAnsi="Times New Roman" w:eastAsia="宋体" w:cs="Times New Roman"/>
                <w:b/>
                <w:bCs w:val="0"/>
                <w:color w:val="auto"/>
                <w:kern w:val="2"/>
                <w:sz w:val="24"/>
                <w:szCs w:val="24"/>
                <w:highlight w:val="none"/>
                <w:lang w:val="en-US" w:eastAsia="zh-CN" w:bidi="ar-SA"/>
              </w:rPr>
              <w:t>风险识别</w:t>
            </w:r>
          </w:p>
          <w:p w14:paraId="1C232CF7">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评价风险识别范围从生产设施风险识别和生产过程所涉及的物质风险识别两方面着手。通过对主要生产装置、生产过程的分析，结合原材料的物性及特点，常见的风险类型主要包括火灾、爆炸和泄漏三种类型。风险识别范围及类型分析见表</w:t>
            </w:r>
            <w:r>
              <w:rPr>
                <w:rFonts w:hint="eastAsia" w:ascii="Times New Roman" w:hAnsi="Times New Roman" w:eastAsia="宋体" w:cs="Times New Roman"/>
                <w:b w:val="0"/>
                <w:bCs/>
                <w:color w:val="auto"/>
                <w:kern w:val="2"/>
                <w:sz w:val="24"/>
                <w:szCs w:val="24"/>
                <w:highlight w:val="none"/>
                <w:lang w:val="en-US" w:eastAsia="zh-CN" w:bidi="ar-SA"/>
              </w:rPr>
              <w:t>4-</w:t>
            </w:r>
            <w:r>
              <w:rPr>
                <w:rFonts w:hint="eastAsia" w:cs="Times New Roman"/>
                <w:b w:val="0"/>
                <w:bCs/>
                <w:color w:val="auto"/>
                <w:kern w:val="2"/>
                <w:sz w:val="24"/>
                <w:szCs w:val="24"/>
                <w:highlight w:val="none"/>
                <w:lang w:val="en-US" w:eastAsia="zh-CN" w:bidi="ar-SA"/>
              </w:rPr>
              <w:t>27</w:t>
            </w:r>
            <w:r>
              <w:rPr>
                <w:rFonts w:hint="default" w:ascii="Times New Roman" w:hAnsi="Times New Roman" w:eastAsia="宋体" w:cs="Times New Roman"/>
                <w:b w:val="0"/>
                <w:bCs/>
                <w:color w:val="auto"/>
                <w:kern w:val="2"/>
                <w:sz w:val="24"/>
                <w:szCs w:val="24"/>
                <w:highlight w:val="none"/>
                <w:lang w:val="en-US" w:eastAsia="zh-CN" w:bidi="ar-SA"/>
              </w:rPr>
              <w:t>。</w:t>
            </w:r>
          </w:p>
          <w:p w14:paraId="55F5FE72">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 xml:space="preserve">表4-27 </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风险识别范围及类型</w:t>
            </w:r>
          </w:p>
          <w:tbl>
            <w:tblPr>
              <w:tblStyle w:val="24"/>
              <w:tblW w:w="4997"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90"/>
              <w:gridCol w:w="2791"/>
              <w:gridCol w:w="2791"/>
            </w:tblGrid>
            <w:tr w14:paraId="0FE28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l2br w:val="nil"/>
                    <w:tr2bl w:val="nil"/>
                  </w:tcBorders>
                  <w:noWrap w:val="0"/>
                  <w:vAlign w:val="center"/>
                </w:tcPr>
                <w:p w14:paraId="7B3E2AE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default" w:ascii="Times New Roman" w:hAnsi="Times New Roman" w:eastAsia="宋体" w:cs="Times New Roman"/>
                      <w:b/>
                      <w:bCs/>
                      <w:color w:val="auto"/>
                      <w:spacing w:val="-6"/>
                      <w:highlight w:val="none"/>
                      <w:lang w:val="en-US" w:eastAsia="zh-CN"/>
                    </w:rPr>
                    <w:t>生产装置风险识别范围</w:t>
                  </w:r>
                </w:p>
              </w:tc>
              <w:tc>
                <w:tcPr>
                  <w:tcW w:w="1666" w:type="pct"/>
                  <w:tcBorders>
                    <w:tl2br w:val="nil"/>
                    <w:tr2bl w:val="nil"/>
                  </w:tcBorders>
                  <w:noWrap w:val="0"/>
                  <w:vAlign w:val="center"/>
                </w:tcPr>
                <w:p w14:paraId="406FAB9F">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default" w:ascii="Times New Roman" w:hAnsi="Times New Roman" w:eastAsia="宋体" w:cs="Times New Roman"/>
                      <w:b/>
                      <w:bCs/>
                      <w:color w:val="auto"/>
                      <w:spacing w:val="-6"/>
                      <w:highlight w:val="none"/>
                      <w:lang w:val="en-US" w:eastAsia="zh-CN"/>
                    </w:rPr>
                    <w:t>物质风险识别范围</w:t>
                  </w:r>
                </w:p>
              </w:tc>
              <w:tc>
                <w:tcPr>
                  <w:tcW w:w="1666" w:type="pct"/>
                  <w:tcBorders>
                    <w:tl2br w:val="nil"/>
                    <w:tr2bl w:val="nil"/>
                  </w:tcBorders>
                  <w:noWrap w:val="0"/>
                  <w:vAlign w:val="center"/>
                </w:tcPr>
                <w:p w14:paraId="563749B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default" w:ascii="Times New Roman" w:hAnsi="Times New Roman" w:eastAsia="宋体" w:cs="Times New Roman"/>
                      <w:b/>
                      <w:bCs/>
                      <w:color w:val="auto"/>
                      <w:spacing w:val="-6"/>
                      <w:highlight w:val="none"/>
                      <w:lang w:val="en-US" w:eastAsia="zh-CN"/>
                    </w:rPr>
                    <w:t>风险类别</w:t>
                  </w:r>
                </w:p>
              </w:tc>
            </w:tr>
            <w:tr w14:paraId="60ACF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l2br w:val="nil"/>
                    <w:tr2bl w:val="nil"/>
                  </w:tcBorders>
                  <w:noWrap w:val="0"/>
                  <w:vAlign w:val="center"/>
                </w:tcPr>
                <w:p w14:paraId="30C735D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eastAsia" w:ascii="Times New Roman" w:hAnsi="Times New Roman" w:cs="Times New Roman"/>
                      <w:b w:val="0"/>
                      <w:bCs w:val="0"/>
                      <w:color w:val="auto"/>
                      <w:spacing w:val="-6"/>
                      <w:highlight w:val="none"/>
                      <w:lang w:val="en-US" w:eastAsia="zh-CN"/>
                    </w:rPr>
                    <w:t>危废贮存点</w:t>
                  </w:r>
                </w:p>
              </w:tc>
              <w:tc>
                <w:tcPr>
                  <w:tcW w:w="1666" w:type="pct"/>
                  <w:tcBorders>
                    <w:tl2br w:val="nil"/>
                    <w:tr2bl w:val="nil"/>
                  </w:tcBorders>
                  <w:noWrap w:val="0"/>
                  <w:vAlign w:val="center"/>
                </w:tcPr>
                <w:p w14:paraId="598A1D93">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废矿物油</w:t>
                  </w:r>
                </w:p>
              </w:tc>
              <w:tc>
                <w:tcPr>
                  <w:tcW w:w="1666" w:type="pct"/>
                  <w:tcBorders>
                    <w:tl2br w:val="nil"/>
                    <w:tr2bl w:val="nil"/>
                  </w:tcBorders>
                  <w:noWrap w:val="0"/>
                  <w:vAlign w:val="center"/>
                </w:tcPr>
                <w:p w14:paraId="14CA67E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泄漏、火灾</w:t>
                  </w:r>
                </w:p>
              </w:tc>
            </w:tr>
            <w:tr w14:paraId="58DDE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l2br w:val="nil"/>
                    <w:tr2bl w:val="nil"/>
                  </w:tcBorders>
                  <w:noWrap w:val="0"/>
                  <w:vAlign w:val="center"/>
                </w:tcPr>
                <w:p w14:paraId="7D690E59">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eastAsia" w:ascii="Times New Roman" w:hAnsi="Times New Roman" w:eastAsia="宋体" w:cs="Times New Roman"/>
                      <w:b w:val="0"/>
                      <w:bCs w:val="0"/>
                      <w:color w:val="auto"/>
                      <w:spacing w:val="-6"/>
                      <w:highlight w:val="none"/>
                      <w:lang w:val="en-US" w:eastAsia="zh-CN"/>
                    </w:rPr>
                    <w:t>循环水池</w:t>
                  </w:r>
                </w:p>
              </w:tc>
              <w:tc>
                <w:tcPr>
                  <w:tcW w:w="1666" w:type="pct"/>
                  <w:tcBorders>
                    <w:tl2br w:val="nil"/>
                    <w:tr2bl w:val="nil"/>
                  </w:tcBorders>
                  <w:noWrap w:val="0"/>
                  <w:vAlign w:val="center"/>
                </w:tcPr>
                <w:p w14:paraId="54AAC53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eastAsia" w:ascii="Times New Roman" w:hAnsi="Times New Roman" w:eastAsia="宋体" w:cs="Times New Roman"/>
                      <w:b w:val="0"/>
                      <w:bCs w:val="0"/>
                      <w:color w:val="auto"/>
                      <w:spacing w:val="-6"/>
                      <w:highlight w:val="none"/>
                      <w:lang w:val="en-US" w:eastAsia="zh-CN"/>
                    </w:rPr>
                    <w:t>脱硫浆液</w:t>
                  </w:r>
                </w:p>
              </w:tc>
              <w:tc>
                <w:tcPr>
                  <w:tcW w:w="1666" w:type="pct"/>
                  <w:tcBorders>
                    <w:tl2br w:val="nil"/>
                    <w:tr2bl w:val="nil"/>
                  </w:tcBorders>
                  <w:noWrap w:val="0"/>
                  <w:vAlign w:val="center"/>
                </w:tcPr>
                <w:p w14:paraId="5356AD7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泄漏</w:t>
                  </w:r>
                </w:p>
              </w:tc>
            </w:tr>
            <w:tr w14:paraId="1AB6E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l2br w:val="nil"/>
                    <w:tr2bl w:val="nil"/>
                  </w:tcBorders>
                  <w:noWrap w:val="0"/>
                  <w:vAlign w:val="center"/>
                </w:tcPr>
                <w:p w14:paraId="552DFF4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val="0"/>
                      <w:bCs w:val="0"/>
                      <w:color w:val="auto"/>
                      <w:spacing w:val="-6"/>
                      <w:highlight w:val="none"/>
                      <w:lang w:val="en-US" w:eastAsia="zh-CN"/>
                    </w:rPr>
                  </w:pPr>
                  <w:r>
                    <w:rPr>
                      <w:rFonts w:hint="eastAsia" w:ascii="Times New Roman" w:hAnsi="Times New Roman" w:eastAsia="宋体" w:cs="Times New Roman"/>
                      <w:b w:val="0"/>
                      <w:bCs w:val="0"/>
                      <w:color w:val="auto"/>
                      <w:spacing w:val="-6"/>
                      <w:highlight w:val="none"/>
                      <w:lang w:val="en-US" w:eastAsia="zh-CN"/>
                    </w:rPr>
                    <w:t>循环水池</w:t>
                  </w:r>
                </w:p>
              </w:tc>
              <w:tc>
                <w:tcPr>
                  <w:tcW w:w="1666" w:type="pct"/>
                  <w:tcBorders>
                    <w:tl2br w:val="nil"/>
                    <w:tr2bl w:val="nil"/>
                  </w:tcBorders>
                  <w:noWrap w:val="0"/>
                  <w:vAlign w:val="center"/>
                </w:tcPr>
                <w:p w14:paraId="28538C03">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val="0"/>
                      <w:bCs w:val="0"/>
                      <w:color w:val="auto"/>
                      <w:spacing w:val="-6"/>
                      <w:highlight w:val="none"/>
                      <w:lang w:val="en-US" w:eastAsia="zh-CN"/>
                    </w:rPr>
                  </w:pPr>
                  <w:r>
                    <w:rPr>
                      <w:rFonts w:hint="eastAsia" w:ascii="Times New Roman" w:hAnsi="Times New Roman" w:eastAsia="宋体" w:cs="Times New Roman"/>
                      <w:b w:val="0"/>
                      <w:bCs w:val="0"/>
                      <w:color w:val="auto"/>
                      <w:spacing w:val="-6"/>
                      <w:highlight w:val="none"/>
                      <w:lang w:val="en-US" w:eastAsia="zh-CN"/>
                    </w:rPr>
                    <w:t>脱硝溶液</w:t>
                  </w:r>
                </w:p>
              </w:tc>
              <w:tc>
                <w:tcPr>
                  <w:tcW w:w="1666" w:type="pct"/>
                  <w:tcBorders>
                    <w:tl2br w:val="nil"/>
                    <w:tr2bl w:val="nil"/>
                  </w:tcBorders>
                  <w:noWrap w:val="0"/>
                  <w:vAlign w:val="center"/>
                </w:tcPr>
                <w:p w14:paraId="6475ACDB">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泄漏</w:t>
                  </w:r>
                </w:p>
              </w:tc>
            </w:tr>
          </w:tbl>
          <w:p w14:paraId="58C07F55">
            <w:pPr>
              <w:keepNext w:val="0"/>
              <w:keepLines w:val="0"/>
              <w:pageBreakBefore w:val="0"/>
              <w:widowControl w:val="0"/>
              <w:kinsoku/>
              <w:wordWrap/>
              <w:overflowPunct/>
              <w:topLinePunct w:val="0"/>
              <w:autoSpaceDE/>
              <w:autoSpaceDN/>
              <w:bidi w:val="0"/>
              <w:adjustRightInd/>
              <w:snapToGrid/>
              <w:spacing w:line="480" w:lineRule="exact"/>
              <w:ind w:firstLine="512" w:firstLineChars="200"/>
              <w:jc w:val="both"/>
              <w:textAlignment w:val="bottom"/>
              <w:rPr>
                <w:rFonts w:hint="default" w:ascii="Times New Roman" w:hAnsi="Times New Roman" w:eastAsia="宋体" w:cs="Times New Roman"/>
                <w:bCs/>
                <w:color w:val="auto"/>
                <w:spacing w:val="8"/>
                <w:sz w:val="24"/>
                <w:lang w:val="en-US" w:eastAsia="zh-CN"/>
              </w:rPr>
            </w:pPr>
            <w:r>
              <w:rPr>
                <w:rFonts w:hint="eastAsia" w:ascii="Times New Roman" w:hAnsi="Times New Roman" w:eastAsia="宋体" w:cs="Times New Roman"/>
                <w:bCs/>
                <w:color w:val="auto"/>
                <w:spacing w:val="8"/>
                <w:sz w:val="24"/>
                <w:lang w:val="en-US" w:eastAsia="zh-CN"/>
              </w:rPr>
              <w:t>对照《建设项目环境风险评价技术导则》（HJ169-2018）附录B“重点关注的风险物质及临界量”以及《危险化学品重大危险源辨识》（GB 18218-2018），本项目项目涉及的危险物料最大使用量见下表。</w:t>
            </w:r>
          </w:p>
          <w:p w14:paraId="5E90A9E9">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4-28</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项目涉及的危险物料最大使用量</w:t>
            </w:r>
          </w:p>
          <w:tbl>
            <w:tblPr>
              <w:tblStyle w:val="98"/>
              <w:tblW w:w="4995" w:type="pct"/>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928"/>
              <w:gridCol w:w="2696"/>
              <w:gridCol w:w="1308"/>
              <w:gridCol w:w="1037"/>
            </w:tblGrid>
            <w:tr w14:paraId="48BC2C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36" w:type="pct"/>
                  <w:tcBorders>
                    <w:tl2br w:val="nil"/>
                    <w:tr2bl w:val="nil"/>
                  </w:tcBorders>
                  <w:noWrap w:val="0"/>
                  <w:vAlign w:val="center"/>
                </w:tcPr>
                <w:p w14:paraId="4D05D5A5">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eastAsia" w:ascii="Times New Roman" w:hAnsi="Times New Roman" w:eastAsia="宋体" w:cs="Times New Roman"/>
                      <w:b/>
                      <w:bCs/>
                      <w:color w:val="auto"/>
                      <w:spacing w:val="-6"/>
                      <w:highlight w:val="none"/>
                      <w:lang w:val="en-US" w:eastAsia="zh-CN"/>
                    </w:rPr>
                    <w:t>危险源名称</w:t>
                  </w:r>
                </w:p>
              </w:tc>
              <w:tc>
                <w:tcPr>
                  <w:tcW w:w="1151" w:type="pct"/>
                  <w:tcBorders>
                    <w:tl2br w:val="nil"/>
                    <w:tr2bl w:val="nil"/>
                  </w:tcBorders>
                  <w:noWrap w:val="0"/>
                  <w:vAlign w:val="center"/>
                </w:tcPr>
                <w:p w14:paraId="0FD11303">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default" w:ascii="Times New Roman" w:hAnsi="Times New Roman" w:eastAsia="宋体" w:cs="Times New Roman"/>
                      <w:b/>
                      <w:bCs/>
                      <w:color w:val="auto"/>
                      <w:spacing w:val="-6"/>
                      <w:highlight w:val="none"/>
                      <w:lang w:val="en-US" w:eastAsia="zh-CN"/>
                    </w:rPr>
                    <w:t>组分</w:t>
                  </w:r>
                </w:p>
              </w:tc>
              <w:tc>
                <w:tcPr>
                  <w:tcW w:w="1610" w:type="pct"/>
                  <w:tcBorders>
                    <w:tl2br w:val="nil"/>
                    <w:tr2bl w:val="nil"/>
                  </w:tcBorders>
                  <w:noWrap w:val="0"/>
                  <w:vAlign w:val="center"/>
                </w:tcPr>
                <w:p w14:paraId="6A6A3019">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6"/>
                      <w:highlight w:val="none"/>
                      <w:lang w:val="en-US" w:eastAsia="zh-CN"/>
                    </w:rPr>
                  </w:pPr>
                  <w:r>
                    <w:rPr>
                      <w:rFonts w:hint="eastAsia" w:ascii="Times New Roman" w:hAnsi="Times New Roman" w:eastAsia="宋体" w:cs="Times New Roman"/>
                      <w:b/>
                      <w:bCs/>
                      <w:color w:val="auto"/>
                      <w:spacing w:val="-6"/>
                      <w:highlight w:val="none"/>
                      <w:lang w:val="en-US" w:eastAsia="zh-CN"/>
                    </w:rPr>
                    <w:t>本项目最大储存量（</w:t>
                  </w:r>
                  <w:r>
                    <w:rPr>
                      <w:rFonts w:hint="default" w:ascii="Times New Roman" w:hAnsi="Times New Roman" w:eastAsia="宋体" w:cs="Times New Roman"/>
                      <w:b/>
                      <w:bCs/>
                      <w:color w:val="auto"/>
                      <w:spacing w:val="-6"/>
                      <w:highlight w:val="none"/>
                      <w:lang w:val="en-US" w:eastAsia="zh-CN"/>
                    </w:rPr>
                    <w:t>t</w:t>
                  </w:r>
                  <w:r>
                    <w:rPr>
                      <w:rFonts w:hint="eastAsia" w:ascii="Times New Roman" w:hAnsi="Times New Roman" w:eastAsia="宋体" w:cs="Times New Roman"/>
                      <w:b/>
                      <w:bCs/>
                      <w:color w:val="auto"/>
                      <w:spacing w:val="-6"/>
                      <w:highlight w:val="none"/>
                      <w:lang w:val="en-US" w:eastAsia="zh-CN"/>
                    </w:rPr>
                    <w:t>）</w:t>
                  </w:r>
                </w:p>
              </w:tc>
              <w:tc>
                <w:tcPr>
                  <w:tcW w:w="781" w:type="pct"/>
                  <w:tcBorders>
                    <w:tl2br w:val="nil"/>
                    <w:tr2bl w:val="nil"/>
                  </w:tcBorders>
                  <w:noWrap w:val="0"/>
                  <w:vAlign w:val="center"/>
                </w:tcPr>
                <w:p w14:paraId="466CCF0E">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6"/>
                      <w:kern w:val="2"/>
                      <w:sz w:val="21"/>
                      <w:szCs w:val="21"/>
                      <w:highlight w:val="none"/>
                      <w:lang w:val="en-US" w:eastAsia="zh-CN" w:bidi="ar-SA"/>
                    </w:rPr>
                  </w:pPr>
                  <w:r>
                    <w:rPr>
                      <w:rFonts w:hint="eastAsia" w:ascii="Times New Roman" w:hAnsi="Times New Roman" w:eastAsia="宋体" w:cs="Times New Roman"/>
                      <w:b/>
                      <w:bCs/>
                      <w:color w:val="auto"/>
                      <w:spacing w:val="-6"/>
                      <w:highlight w:val="none"/>
                      <w:lang w:val="en-US" w:eastAsia="zh-CN"/>
                    </w:rPr>
                    <w:t>临界量（</w:t>
                  </w:r>
                  <w:r>
                    <w:rPr>
                      <w:rFonts w:hint="default" w:ascii="Times New Roman" w:hAnsi="Times New Roman" w:eastAsia="宋体" w:cs="Times New Roman"/>
                      <w:b/>
                      <w:bCs/>
                      <w:color w:val="auto"/>
                      <w:spacing w:val="-6"/>
                      <w:highlight w:val="none"/>
                      <w:lang w:val="en-US" w:eastAsia="zh-CN"/>
                    </w:rPr>
                    <w:t>t</w:t>
                  </w:r>
                  <w:r>
                    <w:rPr>
                      <w:rFonts w:hint="eastAsia" w:ascii="Times New Roman" w:hAnsi="Times New Roman" w:eastAsia="宋体" w:cs="Times New Roman"/>
                      <w:b/>
                      <w:bCs/>
                      <w:color w:val="auto"/>
                      <w:spacing w:val="-6"/>
                      <w:highlight w:val="none"/>
                      <w:lang w:val="en-US" w:eastAsia="zh-CN"/>
                    </w:rPr>
                    <w:t>）</w:t>
                  </w:r>
                </w:p>
              </w:tc>
              <w:tc>
                <w:tcPr>
                  <w:tcW w:w="619" w:type="pct"/>
                  <w:tcBorders>
                    <w:tl2br w:val="nil"/>
                    <w:tr2bl w:val="nil"/>
                  </w:tcBorders>
                  <w:noWrap w:val="0"/>
                  <w:vAlign w:val="center"/>
                </w:tcPr>
                <w:p w14:paraId="3BD77385">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6"/>
                      <w:kern w:val="2"/>
                      <w:sz w:val="21"/>
                      <w:szCs w:val="21"/>
                      <w:highlight w:val="none"/>
                      <w:lang w:val="en-US" w:eastAsia="zh-CN" w:bidi="ar-SA"/>
                    </w:rPr>
                  </w:pPr>
                  <w:r>
                    <w:rPr>
                      <w:rFonts w:hint="default" w:ascii="Times New Roman" w:hAnsi="Times New Roman" w:eastAsia="宋体" w:cs="Times New Roman"/>
                      <w:b/>
                      <w:bCs/>
                      <w:color w:val="auto"/>
                      <w:spacing w:val="-6"/>
                      <w:highlight w:val="none"/>
                      <w:lang w:val="en-US" w:eastAsia="zh-CN"/>
                    </w:rPr>
                    <w:t>qn/Qn</w:t>
                  </w:r>
                </w:p>
              </w:tc>
            </w:tr>
            <w:tr w14:paraId="5FEE8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36" w:type="pct"/>
                  <w:tcBorders>
                    <w:tl2br w:val="nil"/>
                    <w:tr2bl w:val="nil"/>
                  </w:tcBorders>
                  <w:noWrap w:val="0"/>
                  <w:vAlign w:val="center"/>
                </w:tcPr>
                <w:p w14:paraId="5890350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废矿物油</w:t>
                  </w:r>
                </w:p>
              </w:tc>
              <w:tc>
                <w:tcPr>
                  <w:tcW w:w="1151" w:type="pct"/>
                  <w:tcBorders>
                    <w:tl2br w:val="nil"/>
                    <w:tr2bl w:val="nil"/>
                  </w:tcBorders>
                  <w:noWrap w:val="0"/>
                  <w:vAlign w:val="center"/>
                </w:tcPr>
                <w:p w14:paraId="7F5E766C">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default" w:ascii="Times New Roman" w:hAnsi="Times New Roman" w:eastAsia="宋体" w:cs="Times New Roman"/>
                      <w:b w:val="0"/>
                      <w:bCs w:val="0"/>
                      <w:color w:val="auto"/>
                      <w:spacing w:val="-6"/>
                      <w:highlight w:val="none"/>
                      <w:lang w:val="en-US" w:eastAsia="zh-CN"/>
                    </w:rPr>
                    <w:t>油类物质</w:t>
                  </w:r>
                </w:p>
              </w:tc>
              <w:tc>
                <w:tcPr>
                  <w:tcW w:w="1610" w:type="pct"/>
                  <w:tcBorders>
                    <w:tl2br w:val="nil"/>
                    <w:tr2bl w:val="nil"/>
                  </w:tcBorders>
                  <w:noWrap w:val="0"/>
                  <w:vAlign w:val="center"/>
                </w:tcPr>
                <w:p w14:paraId="342711ED">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highlight w:val="none"/>
                      <w:lang w:val="en-US" w:eastAsia="zh-CN"/>
                    </w:rPr>
                  </w:pPr>
                  <w:r>
                    <w:rPr>
                      <w:rFonts w:hint="eastAsia" w:ascii="Times New Roman" w:hAnsi="Times New Roman" w:cs="Times New Roman"/>
                      <w:b w:val="0"/>
                      <w:bCs w:val="0"/>
                      <w:color w:val="auto"/>
                      <w:spacing w:val="-6"/>
                      <w:highlight w:val="none"/>
                      <w:lang w:val="en-US" w:eastAsia="zh-CN"/>
                    </w:rPr>
                    <w:t>0.8</w:t>
                  </w:r>
                </w:p>
              </w:tc>
              <w:tc>
                <w:tcPr>
                  <w:tcW w:w="781" w:type="pct"/>
                  <w:tcBorders>
                    <w:tl2br w:val="nil"/>
                    <w:tr2bl w:val="nil"/>
                  </w:tcBorders>
                  <w:noWrap w:val="0"/>
                  <w:vAlign w:val="center"/>
                </w:tcPr>
                <w:p w14:paraId="2963B66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highlight w:val="none"/>
                      <w:lang w:val="en-US" w:eastAsia="zh-CN"/>
                    </w:rPr>
                    <w:t>2500</w:t>
                  </w:r>
                </w:p>
              </w:tc>
              <w:tc>
                <w:tcPr>
                  <w:tcW w:w="619" w:type="pct"/>
                  <w:tcBorders>
                    <w:tl2br w:val="nil"/>
                    <w:tr2bl w:val="nil"/>
                  </w:tcBorders>
                  <w:noWrap w:val="0"/>
                  <w:vAlign w:val="center"/>
                </w:tcPr>
                <w:p w14:paraId="13C12359">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cs="Times New Roman"/>
                      <w:b w:val="0"/>
                      <w:bCs w:val="0"/>
                      <w:color w:val="auto"/>
                      <w:spacing w:val="-6"/>
                      <w:highlight w:val="none"/>
                      <w:lang w:val="en-US" w:eastAsia="zh-CN"/>
                    </w:rPr>
                    <w:t>0.00032</w:t>
                  </w:r>
                </w:p>
              </w:tc>
            </w:tr>
            <w:tr w14:paraId="47331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80" w:type="pct"/>
                  <w:gridSpan w:val="4"/>
                  <w:tcBorders>
                    <w:tl2br w:val="nil"/>
                    <w:tr2bl w:val="nil"/>
                  </w:tcBorders>
                  <w:noWrap w:val="0"/>
                  <w:vAlign w:val="center"/>
                </w:tcPr>
                <w:p w14:paraId="770F0E0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kern w:val="2"/>
                      <w:sz w:val="21"/>
                      <w:szCs w:val="21"/>
                      <w:highlight w:val="none"/>
                      <w:lang w:val="en-US" w:eastAsia="zh-CN" w:bidi="ar-SA"/>
                    </w:rPr>
                    <w:t>合计</w:t>
                  </w:r>
                </w:p>
              </w:tc>
              <w:tc>
                <w:tcPr>
                  <w:tcW w:w="619" w:type="pct"/>
                  <w:tcBorders>
                    <w:tl2br w:val="nil"/>
                    <w:tr2bl w:val="nil"/>
                  </w:tcBorders>
                  <w:noWrap w:val="0"/>
                  <w:vAlign w:val="center"/>
                </w:tcPr>
                <w:p w14:paraId="2607917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kern w:val="2"/>
                      <w:sz w:val="21"/>
                      <w:szCs w:val="21"/>
                      <w:highlight w:val="none"/>
                      <w:lang w:val="en-US" w:eastAsia="zh-CN" w:bidi="ar-SA"/>
                    </w:rPr>
                    <w:t>0.000</w:t>
                  </w:r>
                  <w:r>
                    <w:rPr>
                      <w:rFonts w:hint="eastAsia" w:ascii="Times New Roman" w:hAnsi="Times New Roman" w:cs="Times New Roman"/>
                      <w:b w:val="0"/>
                      <w:bCs w:val="0"/>
                      <w:color w:val="auto"/>
                      <w:spacing w:val="-6"/>
                      <w:kern w:val="2"/>
                      <w:sz w:val="21"/>
                      <w:szCs w:val="21"/>
                      <w:highlight w:val="none"/>
                      <w:lang w:val="en-US" w:eastAsia="zh-CN" w:bidi="ar-SA"/>
                    </w:rPr>
                    <w:t>32</w:t>
                  </w:r>
                </w:p>
              </w:tc>
            </w:tr>
          </w:tbl>
          <w:p w14:paraId="7281C7C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根据《建设项目环境风险评价技术导则》（HJ 169-2018）附录B、附录C的有关规定，当存在多种危险物质时，则按式（C.1）计算物质总量与其临界量比值（Q）：</w:t>
            </w:r>
          </w:p>
          <w:p w14:paraId="3000246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Q=q1/Q1+ q2/Q2……+qn/Qn</w:t>
            </w:r>
          </w:p>
          <w:p w14:paraId="4E71B8E4">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式中q1</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q2…，qn为每种危险物质的最大存在总量，t；</w:t>
            </w:r>
          </w:p>
          <w:p w14:paraId="16D7040F">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Q1</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Q2…Qn为每种危险物质的临界量，t。经计算，本项目Q=Σqn/Qn=0.0000</w:t>
            </w:r>
            <w:r>
              <w:rPr>
                <w:rFonts w:hint="eastAsia" w:ascii="Times New Roman" w:hAnsi="Times New Roman" w:eastAsia="宋体" w:cs="Times New Roman"/>
                <w:b w:val="0"/>
                <w:bCs/>
                <w:color w:val="auto"/>
                <w:kern w:val="2"/>
                <w:sz w:val="24"/>
                <w:szCs w:val="24"/>
                <w:highlight w:val="none"/>
                <w:lang w:val="en-US" w:eastAsia="zh-CN" w:bidi="ar-SA"/>
              </w:rPr>
              <w:t>64</w:t>
            </w:r>
            <w:r>
              <w:rPr>
                <w:rFonts w:hint="default" w:ascii="Times New Roman" w:hAnsi="Times New Roman" w:eastAsia="宋体" w:cs="Times New Roman"/>
                <w:b w:val="0"/>
                <w:bCs/>
                <w:color w:val="auto"/>
                <w:kern w:val="2"/>
                <w:sz w:val="24"/>
                <w:szCs w:val="24"/>
                <w:highlight w:val="none"/>
                <w:lang w:val="en-US" w:eastAsia="zh-CN" w:bidi="ar-SA"/>
              </w:rPr>
              <w:t>&lt;1，因此，可以直接确定该项目的环境风险潜势为Ⅰ。</w:t>
            </w:r>
          </w:p>
          <w:p w14:paraId="6DAB3A68">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bottom"/>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4.6.2风险事故影响分析</w:t>
            </w:r>
          </w:p>
          <w:p w14:paraId="126C12C5">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ascii="Times New Roman" w:hAnsi="Times New Roman" w:eastAsia="宋体" w:cs="Times New Roman"/>
                <w:bCs/>
                <w:color w:val="auto"/>
                <w:spacing w:val="8"/>
                <w:sz w:val="24"/>
              </w:rPr>
            </w:pP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lang w:val="en-US" w:eastAsia="zh-CN"/>
              </w:rPr>
              <w:t>1</w:t>
            </w: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lang w:val="en-US" w:eastAsia="zh-CN"/>
              </w:rPr>
              <w:t>废矿物油</w:t>
            </w: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lang w:val="en-US" w:eastAsia="zh-CN"/>
              </w:rPr>
              <w:t>脱硫浆液、脱硝溶液</w:t>
            </w:r>
            <w:r>
              <w:rPr>
                <w:rFonts w:ascii="Times New Roman" w:hAnsi="Times New Roman" w:eastAsia="宋体" w:cs="Times New Roman"/>
                <w:bCs/>
                <w:color w:val="auto"/>
                <w:spacing w:val="8"/>
                <w:sz w:val="24"/>
              </w:rPr>
              <w:t>泄露</w:t>
            </w:r>
          </w:p>
          <w:p w14:paraId="11147DBA">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ascii="Times New Roman" w:hAnsi="Times New Roman" w:eastAsia="宋体" w:cs="Times New Roman"/>
                <w:bCs/>
                <w:color w:val="auto"/>
                <w:spacing w:val="8"/>
                <w:sz w:val="24"/>
              </w:rPr>
            </w:pPr>
            <w:r>
              <w:rPr>
                <w:rFonts w:ascii="Times New Roman" w:hAnsi="Times New Roman" w:eastAsia="宋体" w:cs="Times New Roman"/>
                <w:bCs/>
                <w:color w:val="auto"/>
                <w:spacing w:val="8"/>
                <w:sz w:val="24"/>
              </w:rPr>
              <w:t>对水环境的影响：</w:t>
            </w:r>
            <w:r>
              <w:rPr>
                <w:rFonts w:hint="eastAsia" w:ascii="Times New Roman" w:hAnsi="Times New Roman" w:eastAsia="宋体" w:cs="Times New Roman"/>
                <w:bCs/>
                <w:color w:val="auto"/>
                <w:spacing w:val="8"/>
                <w:sz w:val="24"/>
                <w:lang w:val="en-US" w:eastAsia="zh-CN"/>
              </w:rPr>
              <w:t>废矿物油</w:t>
            </w:r>
            <w:r>
              <w:rPr>
                <w:rFonts w:ascii="Times New Roman" w:hAnsi="Times New Roman" w:eastAsia="宋体" w:cs="Times New Roman"/>
                <w:bCs/>
                <w:color w:val="auto"/>
                <w:spacing w:val="8"/>
                <w:sz w:val="24"/>
              </w:rPr>
              <w:t>泄漏对地下水的污染较为严重</w:t>
            </w:r>
            <w:r>
              <w:rPr>
                <w:rFonts w:hint="eastAsia" w:ascii="Times New Roman" w:hAnsi="Times New Roman" w:eastAsia="宋体" w:cs="Times New Roman"/>
                <w:bCs/>
                <w:color w:val="auto"/>
                <w:spacing w:val="8"/>
                <w:sz w:val="24"/>
                <w:lang w:eastAsia="zh-CN"/>
              </w:rPr>
              <w:t>，</w:t>
            </w:r>
            <w:r>
              <w:rPr>
                <w:rFonts w:ascii="Times New Roman" w:hAnsi="Times New Roman" w:eastAsia="宋体" w:cs="Times New Roman"/>
                <w:bCs/>
                <w:color w:val="auto"/>
                <w:spacing w:val="8"/>
                <w:sz w:val="24"/>
              </w:rPr>
              <w:t>地下水一旦遭到油品的污染，将使地下水产生严重异味，并具有较强的致畸致癌性，无法饮用。又由于这种渗漏必然穿过较厚的土壤层，使土壤层中吸附了大量的废油，土壤层吸附的废油不仅会造成植物生物的死亡，而且土壤层吸附的燃料油还会随着地表水的下渗对土壤层的冲刷作用补充到地下水，即使污染源得到及时控制，地下水要完全恢复也需几十年甚至上百年的时间。</w:t>
            </w:r>
            <w:r>
              <w:rPr>
                <w:rFonts w:hint="eastAsia" w:ascii="Times New Roman" w:hAnsi="Times New Roman" w:eastAsia="宋体" w:cs="Times New Roman"/>
                <w:bCs/>
                <w:color w:val="auto"/>
                <w:spacing w:val="8"/>
                <w:sz w:val="24"/>
                <w:lang w:val="en-US" w:eastAsia="zh-CN"/>
              </w:rPr>
              <w:t>脱硫浆液、脱硝溶液</w:t>
            </w:r>
            <w:r>
              <w:rPr>
                <w:rFonts w:ascii="Times New Roman" w:hAnsi="Times New Roman" w:eastAsia="宋体" w:cs="Times New Roman"/>
                <w:bCs/>
                <w:color w:val="auto"/>
                <w:spacing w:val="8"/>
                <w:sz w:val="24"/>
              </w:rPr>
              <w:t>对环境的危害亦主要体现在对环境的破坏，主要表现在对土壤、水体等自然环境及生态系统的严重影响。</w:t>
            </w:r>
          </w:p>
          <w:p w14:paraId="59A5E2BB">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ascii="Times New Roman" w:hAnsi="Times New Roman" w:eastAsia="宋体" w:cs="Times New Roman"/>
                <w:bCs/>
                <w:color w:val="auto"/>
                <w:spacing w:val="8"/>
                <w:sz w:val="24"/>
              </w:rPr>
            </w:pPr>
            <w:r>
              <w:rPr>
                <w:rFonts w:ascii="Times New Roman" w:hAnsi="Times New Roman" w:eastAsia="宋体" w:cs="Times New Roman"/>
                <w:bCs/>
                <w:color w:val="auto"/>
                <w:spacing w:val="8"/>
                <w:sz w:val="24"/>
              </w:rPr>
              <w:t>本项目</w:t>
            </w:r>
            <w:r>
              <w:rPr>
                <w:rFonts w:hint="eastAsia" w:ascii="Times New Roman" w:hAnsi="Times New Roman" w:eastAsia="宋体" w:cs="Times New Roman"/>
                <w:bCs/>
                <w:color w:val="auto"/>
                <w:spacing w:val="8"/>
                <w:sz w:val="24"/>
                <w:lang w:val="en-US" w:eastAsia="zh-CN"/>
              </w:rPr>
              <w:t>废矿物油</w:t>
            </w:r>
            <w:r>
              <w:rPr>
                <w:rFonts w:ascii="Times New Roman" w:hAnsi="Times New Roman" w:eastAsia="宋体" w:cs="Times New Roman"/>
                <w:bCs/>
                <w:color w:val="auto"/>
                <w:spacing w:val="8"/>
                <w:sz w:val="24"/>
              </w:rPr>
              <w:t>暂存于</w:t>
            </w:r>
            <w:r>
              <w:rPr>
                <w:rFonts w:hint="eastAsia" w:cs="Times New Roman"/>
                <w:bCs/>
                <w:color w:val="auto"/>
                <w:spacing w:val="8"/>
                <w:sz w:val="24"/>
                <w:lang w:eastAsia="zh-CN"/>
              </w:rPr>
              <w:t>危废贮存点</w:t>
            </w:r>
            <w:r>
              <w:rPr>
                <w:rFonts w:ascii="Times New Roman" w:hAnsi="Times New Roman" w:eastAsia="宋体" w:cs="Times New Roman"/>
                <w:bCs/>
                <w:color w:val="auto"/>
                <w:spacing w:val="8"/>
                <w:sz w:val="24"/>
              </w:rPr>
              <w:t>，</w:t>
            </w:r>
            <w:r>
              <w:rPr>
                <w:rFonts w:hint="eastAsia" w:cs="Times New Roman"/>
                <w:bCs/>
                <w:color w:val="auto"/>
                <w:spacing w:val="8"/>
                <w:sz w:val="24"/>
                <w:lang w:eastAsia="zh-CN"/>
              </w:rPr>
              <w:t>危废贮存点</w:t>
            </w:r>
            <w:r>
              <w:rPr>
                <w:rFonts w:ascii="Times New Roman" w:hAnsi="Times New Roman" w:eastAsia="宋体" w:cs="Times New Roman"/>
                <w:bCs/>
                <w:color w:val="auto"/>
                <w:spacing w:val="8"/>
                <w:sz w:val="24"/>
              </w:rPr>
              <w:t>周围设置有围堰，渗漏的少量废油由于围堰的保护作用，积聚在围堰内，建设单位应及时将其清理出来，交由有资质单位处置。对地下水不会造成影响。</w:t>
            </w:r>
          </w:p>
          <w:p w14:paraId="7E8979B9">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hint="eastAsia" w:ascii="Times New Roman" w:hAnsi="Times New Roman" w:eastAsia="宋体" w:cs="Times New Roman"/>
                <w:bCs/>
                <w:color w:val="auto"/>
                <w:spacing w:val="8"/>
                <w:sz w:val="24"/>
              </w:rPr>
            </w:pP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lang w:val="en-US" w:eastAsia="zh-CN"/>
              </w:rPr>
              <w:t>2</w:t>
            </w: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rPr>
              <w:t>火灾和爆炸伴生/次生危害物质</w:t>
            </w:r>
          </w:p>
          <w:p w14:paraId="7F03B8C9">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ascii="Times New Roman" w:hAnsi="Times New Roman" w:eastAsia="宋体" w:cs="Times New Roman"/>
                <w:bCs/>
                <w:color w:val="auto"/>
                <w:spacing w:val="8"/>
                <w:sz w:val="24"/>
              </w:rPr>
            </w:pPr>
            <w:r>
              <w:rPr>
                <w:rFonts w:hint="eastAsia" w:ascii="Times New Roman" w:hAnsi="Times New Roman" w:eastAsia="宋体" w:cs="Times New Roman"/>
                <w:bCs/>
                <w:color w:val="auto"/>
                <w:spacing w:val="8"/>
                <w:sz w:val="24"/>
              </w:rPr>
              <w:t>在发生火灾爆炸事故情况下，主要气态伴生/次生危害物质为</w:t>
            </w:r>
            <w:r>
              <w:rPr>
                <w:rFonts w:hint="eastAsia" w:ascii="Times New Roman" w:hAnsi="Times New Roman" w:eastAsia="宋体" w:cs="Times New Roman"/>
                <w:bCs/>
                <w:color w:val="auto"/>
                <w:spacing w:val="8"/>
                <w:sz w:val="24"/>
                <w:lang w:val="en-US" w:eastAsia="zh-CN"/>
              </w:rPr>
              <w:t>氧气</w:t>
            </w:r>
            <w:r>
              <w:rPr>
                <w:rFonts w:hint="eastAsia" w:ascii="Times New Roman" w:hAnsi="Times New Roman" w:eastAsia="宋体" w:cs="Times New Roman"/>
                <w:bCs/>
                <w:color w:val="auto"/>
                <w:spacing w:val="8"/>
                <w:sz w:val="24"/>
              </w:rPr>
              <w:t>燃烧、不完全燃烧所产生的CO、CO</w:t>
            </w:r>
            <w:r>
              <w:rPr>
                <w:rFonts w:hint="eastAsia" w:ascii="Times New Roman" w:hAnsi="Times New Roman" w:eastAsia="宋体" w:cs="Times New Roman"/>
                <w:bCs/>
                <w:color w:val="auto"/>
                <w:spacing w:val="8"/>
                <w:sz w:val="24"/>
                <w:vertAlign w:val="subscript"/>
              </w:rPr>
              <w:t>2</w:t>
            </w:r>
            <w:r>
              <w:rPr>
                <w:rFonts w:hint="eastAsia" w:ascii="Times New Roman" w:hAnsi="Times New Roman" w:eastAsia="宋体" w:cs="Times New Roman"/>
                <w:bCs/>
                <w:color w:val="auto"/>
                <w:spacing w:val="8"/>
                <w:sz w:val="24"/>
              </w:rPr>
              <w:t>等有毒有害烟气及飞灰等</w:t>
            </w: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rPr>
              <w:t>燃烧</w:t>
            </w:r>
            <w:r>
              <w:rPr>
                <w:rFonts w:hint="eastAsia" w:ascii="Times New Roman" w:hAnsi="Times New Roman" w:eastAsia="宋体" w:cs="Times New Roman"/>
                <w:bCs/>
                <w:color w:val="auto"/>
                <w:spacing w:val="8"/>
                <w:sz w:val="24"/>
                <w:lang w:val="en-US" w:eastAsia="zh-CN"/>
              </w:rPr>
              <w:t>产生产生的烟雾和有毒气体</w:t>
            </w:r>
            <w:r>
              <w:rPr>
                <w:rFonts w:hint="eastAsia" w:ascii="Times New Roman" w:hAnsi="Times New Roman" w:eastAsia="宋体" w:cs="Times New Roman"/>
                <w:bCs/>
                <w:color w:val="auto"/>
                <w:spacing w:val="8"/>
                <w:sz w:val="24"/>
              </w:rPr>
              <w:t>。</w:t>
            </w:r>
          </w:p>
          <w:p w14:paraId="7DCD9E0A">
            <w:pPr>
              <w:keepNext w:val="0"/>
              <w:keepLines w:val="0"/>
              <w:pageBreakBefore w:val="0"/>
              <w:widowControl w:val="0"/>
              <w:kinsoku/>
              <w:wordWrap/>
              <w:overflowPunct/>
              <w:topLinePunct w:val="0"/>
              <w:bidi w:val="0"/>
              <w:adjustRightInd w:val="0"/>
              <w:snapToGrid w:val="0"/>
              <w:spacing w:line="480" w:lineRule="exact"/>
              <w:ind w:firstLine="512" w:firstLineChars="200"/>
              <w:jc w:val="both"/>
              <w:rPr>
                <w:rFonts w:ascii="Times New Roman" w:hAnsi="Times New Roman" w:eastAsia="宋体" w:cs="Times New Roman"/>
                <w:bCs/>
                <w:color w:val="auto"/>
                <w:spacing w:val="8"/>
                <w:sz w:val="24"/>
              </w:rPr>
            </w:pPr>
            <w:r>
              <w:rPr>
                <w:rFonts w:hint="eastAsia" w:ascii="Times New Roman" w:hAnsi="Times New Roman" w:eastAsia="宋体" w:cs="Times New Roman"/>
                <w:bCs/>
                <w:color w:val="auto"/>
                <w:spacing w:val="8"/>
                <w:sz w:val="24"/>
                <w:lang w:eastAsia="zh-CN"/>
              </w:rPr>
              <w:t>（</w:t>
            </w:r>
            <w:r>
              <w:rPr>
                <w:rFonts w:hint="eastAsia" w:ascii="Times New Roman" w:hAnsi="Times New Roman" w:eastAsia="宋体" w:cs="Times New Roman"/>
                <w:bCs/>
                <w:color w:val="auto"/>
                <w:spacing w:val="8"/>
                <w:sz w:val="24"/>
                <w:lang w:val="en-US" w:eastAsia="zh-CN"/>
              </w:rPr>
              <w:t>3</w:t>
            </w:r>
            <w:r>
              <w:rPr>
                <w:rFonts w:hint="eastAsia" w:ascii="Times New Roman" w:hAnsi="Times New Roman" w:eastAsia="宋体" w:cs="Times New Roman"/>
                <w:bCs/>
                <w:color w:val="auto"/>
                <w:spacing w:val="8"/>
                <w:sz w:val="24"/>
                <w:lang w:eastAsia="zh-CN"/>
              </w:rPr>
              <w:t>）</w:t>
            </w:r>
            <w:r>
              <w:rPr>
                <w:rFonts w:ascii="Times New Roman" w:hAnsi="Times New Roman" w:eastAsia="宋体" w:cs="Times New Roman"/>
                <w:bCs/>
                <w:color w:val="auto"/>
                <w:spacing w:val="8"/>
                <w:sz w:val="24"/>
              </w:rPr>
              <w:t>废气事故排放</w:t>
            </w:r>
          </w:p>
          <w:p w14:paraId="11DA0547">
            <w:pPr>
              <w:keepNext w:val="0"/>
              <w:keepLines w:val="0"/>
              <w:pageBreakBefore w:val="0"/>
              <w:widowControl w:val="0"/>
              <w:kinsoku/>
              <w:wordWrap/>
              <w:overflowPunct/>
              <w:topLinePunct w:val="0"/>
              <w:bidi w:val="0"/>
              <w:adjustRightInd w:val="0"/>
              <w:snapToGrid w:val="0"/>
              <w:spacing w:line="480" w:lineRule="exact"/>
              <w:ind w:firstLine="512" w:firstLineChars="200"/>
              <w:jc w:val="both"/>
              <w:rPr>
                <w:color w:val="auto"/>
              </w:rPr>
            </w:pPr>
            <w:r>
              <w:rPr>
                <w:rFonts w:ascii="Times New Roman" w:hAnsi="Times New Roman" w:eastAsia="宋体" w:cs="Times New Roman"/>
                <w:bCs/>
                <w:color w:val="auto"/>
                <w:spacing w:val="8"/>
                <w:sz w:val="24"/>
              </w:rPr>
              <w:t>废气处理装置发生故障，导致产生的大气污染物直接排，污染周围环境。</w:t>
            </w:r>
          </w:p>
          <w:p w14:paraId="57CA67C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4.6.3风险防范措施</w:t>
            </w:r>
          </w:p>
          <w:p w14:paraId="48E829B2">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（1）风险物质贮存风险事故防范措施</w:t>
            </w:r>
          </w:p>
          <w:p w14:paraId="54F8F4AB">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highlight w:val="none"/>
              </w:rPr>
              <w:t>①运输、储存及生产过程中风</w:t>
            </w:r>
            <w:r>
              <w:rPr>
                <w:rFonts w:hint="default" w:ascii="Times New Roman" w:hAnsi="Times New Roman" w:eastAsia="宋体" w:cs="Times New Roman"/>
                <w:bCs/>
                <w:color w:val="auto"/>
                <w:spacing w:val="8"/>
                <w:sz w:val="24"/>
                <w:szCs w:val="24"/>
              </w:rPr>
              <w:t>险防范对策与措施</w:t>
            </w:r>
          </w:p>
          <w:p w14:paraId="7AF5A701">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企业加强原料仓库安全管理，原料入库前要进行严格检查，入库后要进行定期检查，保证其安全和质量，并有相应的标识。严禁火种带入原料仓库，禁止在仓库储存区域内堆积可燃性废弃物。危险废物其在厂内收集和临时储存应严格执行</w:t>
            </w:r>
            <w:r>
              <w:rPr>
                <w:rFonts w:hint="eastAsia" w:cs="Times New Roman"/>
                <w:bCs/>
                <w:color w:val="auto"/>
                <w:spacing w:val="8"/>
                <w:sz w:val="24"/>
                <w:szCs w:val="24"/>
                <w:lang w:eastAsia="zh-CN"/>
              </w:rPr>
              <w:t>《危险废物贮存污染控制标准》（GB18597-2023）</w:t>
            </w:r>
            <w:r>
              <w:rPr>
                <w:rFonts w:hint="default" w:ascii="Times New Roman" w:hAnsi="Times New Roman" w:eastAsia="宋体" w:cs="Times New Roman"/>
                <w:bCs/>
                <w:color w:val="auto"/>
                <w:spacing w:val="8"/>
                <w:sz w:val="24"/>
                <w:szCs w:val="24"/>
              </w:rPr>
              <w:t>规定，危废须按照《危险废物收集贮存运输技术规范》（HJ2025-2012）相关规定执行。</w:t>
            </w:r>
          </w:p>
          <w:p w14:paraId="13022C94">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进货要严把质量关，并加强检修、维护，严禁生产中物料跑、冒、滴、漏现象的发生，电气设备须选用防腐、防爆型，电源绝缘良好，防止产生电火花，接地牢靠，防止产生静电。</w:t>
            </w:r>
          </w:p>
          <w:p w14:paraId="0F059506">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eastAsia" w:ascii="Times New Roman" w:hAnsi="Times New Roman" w:eastAsia="宋体" w:cs="Times New Roman"/>
                <w:bCs/>
                <w:color w:val="auto"/>
                <w:spacing w:val="8"/>
                <w:sz w:val="24"/>
                <w:szCs w:val="24"/>
                <w:lang w:val="en-US" w:eastAsia="zh-CN"/>
              </w:rPr>
              <w:t>废矿物油</w:t>
            </w:r>
            <w:r>
              <w:rPr>
                <w:rFonts w:hint="default" w:ascii="Times New Roman" w:hAnsi="Times New Roman" w:eastAsia="宋体" w:cs="Times New Roman"/>
                <w:bCs/>
                <w:color w:val="auto"/>
                <w:spacing w:val="8"/>
                <w:sz w:val="24"/>
                <w:szCs w:val="24"/>
              </w:rPr>
              <w:t>等应置于密闭容器中，由供应商定期运送，企业当日投入产线，尽量做到日运日清。非取用状态下的原料置于密闭容器中，库房设置托盘、围堰等防泄漏措施，地面全部硬化，配备收集桶、吸附棉等应急物资，一旦出现盛装液态物料的容器发生破裂或渗漏情况，马上修复或更换破损容器，地面残留液体用吸附棉擦拭干净，擦拭过的吸附棉作为危险废物统一收集，收集后委托有资质单位进行清运。</w:t>
            </w:r>
          </w:p>
          <w:p w14:paraId="10A6A6F4">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②强化管理及安全生产措施</w:t>
            </w:r>
          </w:p>
          <w:p w14:paraId="496173EA">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强化安全生产管理，必须制订岗位责任制，严格遵守操作规程，以及国家、地方关于易燃、有害物料的储运安全规定。</w:t>
            </w:r>
          </w:p>
          <w:p w14:paraId="54E34672">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强化安全生产及环境保护意识的教育，提高职工的素质，加强操作人员的上岗前的培训，进行安全生产、消防、环保、工业卫生等方面的技术培训教育。按照《建筑设计防火规范》等规范，落实消防相关配套设施。加强厂区的环境管理，积极做好环保、消防等的预防工作，以最大程度降低了可能产生的环境风险事故。加强个人劳动防护，进入生产区必须穿戴防护服装及防护手套。必须经常检查安全消防设施的完好性，使其处于即用状态，以备在事故发生时能及时、高效率的发挥作用。</w:t>
            </w:r>
          </w:p>
          <w:p w14:paraId="1E0DD5BD">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③个人防护措施</w:t>
            </w:r>
          </w:p>
          <w:p w14:paraId="2F1C31A0">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须保持作业场所清洁与通风，须配备个人防护设施，如佩戴防毒面具或防毒口罩等。定期对员工进行身体健康检查，同时公司应将检查结果告知员工，并将体检报告存档。加强员工职业安全培训与教育。</w:t>
            </w:r>
          </w:p>
          <w:p w14:paraId="1F717A6F">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④环保设备防护措施</w:t>
            </w:r>
          </w:p>
          <w:p w14:paraId="05445B61">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加强废气处理措施等日常运行管理，定期维护废气处理设施确保其正常运行，加强对操作人员的岗位培训，确保废气稳定达标排放，杜绝事故性排放。厂内设置</w:t>
            </w:r>
            <w:r>
              <w:rPr>
                <w:rFonts w:hint="eastAsia" w:cs="Times New Roman"/>
                <w:bCs/>
                <w:color w:val="auto"/>
                <w:spacing w:val="8"/>
                <w:sz w:val="24"/>
                <w:szCs w:val="24"/>
                <w:lang w:eastAsia="zh-CN"/>
              </w:rPr>
              <w:t>危废贮存点</w:t>
            </w:r>
            <w:r>
              <w:rPr>
                <w:rFonts w:hint="default" w:ascii="Times New Roman" w:hAnsi="Times New Roman" w:eastAsia="宋体" w:cs="Times New Roman"/>
                <w:bCs/>
                <w:color w:val="auto"/>
                <w:spacing w:val="8"/>
                <w:sz w:val="24"/>
                <w:szCs w:val="24"/>
              </w:rPr>
              <w:t>，地面硬化，防止废液泄露污染土壤及地下水。危险废物其在厂内收集和临时储存应严格执行</w:t>
            </w:r>
            <w:r>
              <w:rPr>
                <w:rFonts w:hint="eastAsia" w:cs="Times New Roman"/>
                <w:bCs/>
                <w:color w:val="auto"/>
                <w:spacing w:val="8"/>
                <w:sz w:val="24"/>
                <w:szCs w:val="24"/>
                <w:lang w:eastAsia="zh-CN"/>
              </w:rPr>
              <w:t>《危险废物贮存污染控制标准》（GB18597-2023）</w:t>
            </w:r>
            <w:r>
              <w:rPr>
                <w:rFonts w:hint="default" w:ascii="Times New Roman" w:hAnsi="Times New Roman" w:eastAsia="宋体" w:cs="Times New Roman"/>
                <w:bCs/>
                <w:color w:val="auto"/>
                <w:spacing w:val="8"/>
                <w:sz w:val="24"/>
                <w:szCs w:val="24"/>
              </w:rPr>
              <w:t>规定，危废须按照《危险废物收集贮存运输技术规范》（HJ2025-2012）相关规定执行。危险废物暂存于</w:t>
            </w:r>
            <w:r>
              <w:rPr>
                <w:rFonts w:hint="eastAsia" w:cs="Times New Roman"/>
                <w:bCs/>
                <w:color w:val="auto"/>
                <w:spacing w:val="8"/>
                <w:sz w:val="24"/>
                <w:szCs w:val="24"/>
                <w:lang w:eastAsia="zh-CN"/>
              </w:rPr>
              <w:t>危废贮存点</w:t>
            </w:r>
            <w:r>
              <w:rPr>
                <w:rFonts w:hint="default" w:ascii="Times New Roman" w:hAnsi="Times New Roman" w:eastAsia="宋体" w:cs="Times New Roman"/>
                <w:bCs/>
                <w:color w:val="auto"/>
                <w:spacing w:val="8"/>
                <w:sz w:val="24"/>
                <w:szCs w:val="24"/>
              </w:rPr>
              <w:t>，</w:t>
            </w:r>
            <w:r>
              <w:rPr>
                <w:rFonts w:hint="eastAsia" w:cs="Times New Roman"/>
                <w:bCs/>
                <w:color w:val="auto"/>
                <w:spacing w:val="8"/>
                <w:sz w:val="24"/>
                <w:szCs w:val="24"/>
                <w:lang w:eastAsia="zh-CN"/>
              </w:rPr>
              <w:t>危废贮存点</w:t>
            </w:r>
            <w:r>
              <w:rPr>
                <w:rFonts w:hint="default" w:ascii="Times New Roman" w:hAnsi="Times New Roman" w:eastAsia="宋体" w:cs="Times New Roman"/>
                <w:bCs/>
                <w:color w:val="auto"/>
                <w:spacing w:val="8"/>
                <w:sz w:val="24"/>
                <w:szCs w:val="24"/>
              </w:rPr>
              <w:t>地面硬化，设置托盘、围堰等防泄漏措施，设置吸附棉等应急物资</w:t>
            </w:r>
            <w:r>
              <w:rPr>
                <w:rFonts w:hint="eastAsia" w:cs="Times New Roman"/>
                <w:bCs/>
                <w:color w:val="auto"/>
                <w:spacing w:val="8"/>
                <w:sz w:val="24"/>
                <w:szCs w:val="24"/>
                <w:lang w:eastAsia="zh-CN"/>
              </w:rPr>
              <w:t>危废贮存点</w:t>
            </w:r>
            <w:r>
              <w:rPr>
                <w:rFonts w:hint="default" w:ascii="Times New Roman" w:hAnsi="Times New Roman" w:eastAsia="宋体" w:cs="Times New Roman"/>
                <w:bCs/>
                <w:color w:val="auto"/>
                <w:spacing w:val="8"/>
                <w:sz w:val="24"/>
                <w:szCs w:val="24"/>
              </w:rPr>
              <w:t>应配置相应灭火设备，并定期检查灭火状态及其有效期。建设单位应贮存一定量的应急物资和应急装备，以备应急使用，包括密闭收集桶、惰性吸附材料、消防沙等。</w:t>
            </w:r>
          </w:p>
          <w:p w14:paraId="59DBA320">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⑤监控与报警系统配置</w:t>
            </w:r>
          </w:p>
          <w:p w14:paraId="068D1C2B">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按《安全标志》规定在装置区设置有关的安全标志。并按规范在生产区和仓库区配备足够的消防器材。装卸、搬运时应按有关规定进行，做到轻装、轻卸，严禁摔、碰、撞。</w:t>
            </w:r>
          </w:p>
          <w:p w14:paraId="60B26651">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lang w:val="en-US" w:eastAsia="zh-CN"/>
              </w:rPr>
            </w:pPr>
            <w:r>
              <w:rPr>
                <w:rFonts w:hint="default" w:ascii="Times New Roman" w:hAnsi="Times New Roman" w:eastAsia="宋体" w:cs="Times New Roman"/>
                <w:bCs/>
                <w:color w:val="auto"/>
                <w:spacing w:val="8"/>
                <w:sz w:val="24"/>
                <w:szCs w:val="24"/>
              </w:rPr>
              <w:t>建立完善的消防设施，设置高压水消防系统、火灾报警系统、监控系统等。消防水是独立的稳高压消防水管网，消防水管道沿装置及辅助生产设施周围布置，在管道上按照规范要求配置消火栓。火灾报警系统：全厂采用电话报警，报警至消防局。根据需要设置报警装置。火灾报警信号报至中心控制室，再由中心控制室报至消防局。</w:t>
            </w:r>
          </w:p>
          <w:p w14:paraId="2B0E582A">
            <w:pPr>
              <w:keepNext w:val="0"/>
              <w:keepLines w:val="0"/>
              <w:pageBreakBefore w:val="0"/>
              <w:widowControl w:val="0"/>
              <w:kinsoku/>
              <w:wordWrap/>
              <w:overflowPunct/>
              <w:topLinePunct w:val="0"/>
              <w:autoSpaceDE/>
              <w:autoSpaceDN/>
              <w:bidi w:val="0"/>
              <w:adjustRightInd w:val="0"/>
              <w:snapToGrid w:val="0"/>
              <w:spacing w:line="480" w:lineRule="exact"/>
              <w:ind w:firstLine="514" w:firstLineChars="200"/>
              <w:jc w:val="both"/>
              <w:textAlignment w:val="auto"/>
              <w:rPr>
                <w:rFonts w:hint="default" w:ascii="Times New Roman" w:hAnsi="Times New Roman" w:eastAsia="宋体" w:cs="Times New Roman"/>
                <w:b/>
                <w:bCs w:val="0"/>
                <w:color w:val="auto"/>
                <w:spacing w:val="8"/>
                <w:sz w:val="24"/>
                <w:szCs w:val="24"/>
              </w:rPr>
            </w:pPr>
            <w:r>
              <w:rPr>
                <w:rFonts w:hint="eastAsia" w:ascii="Times New Roman" w:hAnsi="Times New Roman" w:eastAsia="宋体" w:cs="Times New Roman"/>
                <w:b/>
                <w:bCs w:val="0"/>
                <w:color w:val="auto"/>
                <w:spacing w:val="8"/>
                <w:sz w:val="24"/>
                <w:szCs w:val="24"/>
                <w:lang w:eastAsia="zh-CN"/>
              </w:rPr>
              <w:t>（</w:t>
            </w:r>
            <w:r>
              <w:rPr>
                <w:rFonts w:hint="eastAsia" w:ascii="Times New Roman" w:hAnsi="Times New Roman" w:eastAsia="宋体" w:cs="Times New Roman"/>
                <w:b/>
                <w:bCs w:val="0"/>
                <w:color w:val="auto"/>
                <w:spacing w:val="8"/>
                <w:sz w:val="24"/>
                <w:szCs w:val="24"/>
                <w:lang w:val="en-US" w:eastAsia="zh-CN"/>
              </w:rPr>
              <w:t>2</w:t>
            </w:r>
            <w:r>
              <w:rPr>
                <w:rFonts w:hint="eastAsia" w:ascii="Times New Roman" w:hAnsi="Times New Roman" w:eastAsia="宋体" w:cs="Times New Roman"/>
                <w:b/>
                <w:bCs w:val="0"/>
                <w:color w:val="auto"/>
                <w:spacing w:val="8"/>
                <w:sz w:val="24"/>
                <w:szCs w:val="24"/>
                <w:lang w:eastAsia="zh-CN"/>
              </w:rPr>
              <w:t>）</w:t>
            </w:r>
            <w:r>
              <w:rPr>
                <w:rFonts w:hint="default" w:ascii="Times New Roman" w:hAnsi="Times New Roman" w:eastAsia="宋体" w:cs="Times New Roman"/>
                <w:b/>
                <w:bCs w:val="0"/>
                <w:color w:val="auto"/>
                <w:spacing w:val="8"/>
                <w:sz w:val="24"/>
                <w:szCs w:val="24"/>
              </w:rPr>
              <w:t>火灾、爆炸风险事故防范措施</w:t>
            </w:r>
          </w:p>
          <w:p w14:paraId="6F5102E5">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当本项目发生火灾、爆炸事故，燃烧过程会产生烟尘、NOx、SO</w:t>
            </w:r>
            <w:r>
              <w:rPr>
                <w:rFonts w:hint="default" w:ascii="Times New Roman" w:hAnsi="Times New Roman" w:eastAsia="宋体" w:cs="Times New Roman"/>
                <w:bCs/>
                <w:color w:val="auto"/>
                <w:spacing w:val="8"/>
                <w:sz w:val="24"/>
                <w:szCs w:val="24"/>
                <w:vertAlign w:val="subscript"/>
              </w:rPr>
              <w:t>2</w:t>
            </w:r>
            <w:r>
              <w:rPr>
                <w:rFonts w:hint="default" w:ascii="Times New Roman" w:hAnsi="Times New Roman" w:eastAsia="宋体" w:cs="Times New Roman"/>
                <w:bCs/>
                <w:color w:val="auto"/>
                <w:spacing w:val="8"/>
                <w:sz w:val="24"/>
                <w:szCs w:val="24"/>
              </w:rPr>
              <w:t>、CO</w:t>
            </w:r>
            <w:r>
              <w:rPr>
                <w:rFonts w:hint="default" w:ascii="Times New Roman" w:hAnsi="Times New Roman" w:eastAsia="宋体" w:cs="Times New Roman"/>
                <w:bCs/>
                <w:color w:val="auto"/>
                <w:spacing w:val="8"/>
                <w:sz w:val="24"/>
                <w:szCs w:val="24"/>
                <w:vertAlign w:val="subscript"/>
              </w:rPr>
              <w:t>2</w:t>
            </w:r>
            <w:r>
              <w:rPr>
                <w:rFonts w:hint="default" w:ascii="Times New Roman" w:hAnsi="Times New Roman" w:eastAsia="宋体" w:cs="Times New Roman"/>
                <w:bCs/>
                <w:color w:val="auto"/>
                <w:spacing w:val="8"/>
                <w:sz w:val="24"/>
                <w:szCs w:val="24"/>
              </w:rPr>
              <w:t>等次生污染物，在火灾初期将对项目周边环境造成明显不利影响，尤其对项目下风向的大气环境产生危害，事故发生后到结束前这一时段内污染程度最大。火灾爆炸的同时还会产生废液泄露以及消防废水，泄露到周围环境，进入水体、土壤，从而对环境造成危害。</w:t>
            </w:r>
          </w:p>
          <w:p w14:paraId="5F086E56">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项目</w:t>
            </w:r>
            <w:r>
              <w:rPr>
                <w:rFonts w:hint="eastAsia" w:cs="Times New Roman"/>
                <w:bCs/>
                <w:color w:val="auto"/>
                <w:spacing w:val="8"/>
                <w:sz w:val="24"/>
                <w:szCs w:val="24"/>
                <w:lang w:eastAsia="zh-CN"/>
              </w:rPr>
              <w:t>危废贮存点</w:t>
            </w:r>
            <w:r>
              <w:rPr>
                <w:rFonts w:hint="default" w:ascii="Times New Roman" w:hAnsi="Times New Roman" w:eastAsia="宋体" w:cs="Times New Roman"/>
                <w:bCs/>
                <w:color w:val="auto"/>
                <w:spacing w:val="8"/>
                <w:sz w:val="24"/>
                <w:szCs w:val="24"/>
              </w:rPr>
              <w:t>所以及原料仓库设有良好避雨措施和消防措施，只要管理人员加强日常维护、巡视，发现问题马上解决，仓库发生火灾的风险是很小的。</w:t>
            </w:r>
          </w:p>
          <w:p w14:paraId="44CB0A6E">
            <w:pPr>
              <w:keepNext w:val="0"/>
              <w:keepLines w:val="0"/>
              <w:pageBreakBefore w:val="0"/>
              <w:widowControl w:val="0"/>
              <w:kinsoku/>
              <w:wordWrap/>
              <w:overflowPunct/>
              <w:topLinePunct w:val="0"/>
              <w:autoSpaceDE/>
              <w:autoSpaceDN/>
              <w:bidi w:val="0"/>
              <w:adjustRightInd w:val="0"/>
              <w:snapToGrid w:val="0"/>
              <w:spacing w:line="480" w:lineRule="exact"/>
              <w:ind w:firstLine="514" w:firstLineChars="200"/>
              <w:jc w:val="both"/>
              <w:textAlignment w:val="auto"/>
              <w:rPr>
                <w:rFonts w:hint="default" w:ascii="Times New Roman" w:hAnsi="Times New Roman" w:eastAsia="宋体" w:cs="Times New Roman"/>
                <w:b/>
                <w:bCs w:val="0"/>
                <w:color w:val="auto"/>
                <w:spacing w:val="8"/>
                <w:sz w:val="24"/>
                <w:szCs w:val="24"/>
              </w:rPr>
            </w:pPr>
            <w:r>
              <w:rPr>
                <w:rFonts w:hint="eastAsia" w:ascii="Times New Roman" w:hAnsi="Times New Roman" w:eastAsia="宋体" w:cs="Times New Roman"/>
                <w:b/>
                <w:bCs w:val="0"/>
                <w:color w:val="auto"/>
                <w:spacing w:val="8"/>
                <w:sz w:val="24"/>
                <w:szCs w:val="24"/>
                <w:lang w:eastAsia="zh-CN"/>
              </w:rPr>
              <w:t>（</w:t>
            </w:r>
            <w:r>
              <w:rPr>
                <w:rFonts w:hint="eastAsia" w:ascii="Times New Roman" w:hAnsi="Times New Roman" w:eastAsia="宋体" w:cs="Times New Roman"/>
                <w:b/>
                <w:bCs w:val="0"/>
                <w:color w:val="auto"/>
                <w:spacing w:val="8"/>
                <w:sz w:val="24"/>
                <w:szCs w:val="24"/>
                <w:lang w:val="en-US" w:eastAsia="zh-CN"/>
              </w:rPr>
              <w:t>3</w:t>
            </w:r>
            <w:r>
              <w:rPr>
                <w:rFonts w:hint="eastAsia" w:ascii="Times New Roman" w:hAnsi="Times New Roman" w:eastAsia="宋体" w:cs="Times New Roman"/>
                <w:b/>
                <w:bCs w:val="0"/>
                <w:color w:val="auto"/>
                <w:spacing w:val="8"/>
                <w:sz w:val="24"/>
                <w:szCs w:val="24"/>
                <w:lang w:eastAsia="zh-CN"/>
              </w:rPr>
              <w:t>）</w:t>
            </w:r>
            <w:r>
              <w:rPr>
                <w:rFonts w:hint="default" w:ascii="Times New Roman" w:hAnsi="Times New Roman" w:eastAsia="宋体" w:cs="Times New Roman"/>
                <w:b/>
                <w:bCs w:val="0"/>
                <w:color w:val="auto"/>
                <w:spacing w:val="8"/>
                <w:sz w:val="24"/>
                <w:szCs w:val="24"/>
              </w:rPr>
              <w:t>废气事故排放环境风险防范措施</w:t>
            </w:r>
          </w:p>
          <w:p w14:paraId="779116DD">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加强废气处理措施等日常运行管理，定期维护废气处理设施确保其正常运行，加强对操作人员的岗位培训，确保废气稳定达标排放，杜绝事故性排放。</w:t>
            </w:r>
          </w:p>
          <w:p w14:paraId="013F56ED">
            <w:pPr>
              <w:keepNext w:val="0"/>
              <w:keepLines w:val="0"/>
              <w:pageBreakBefore w:val="0"/>
              <w:widowControl w:val="0"/>
              <w:kinsoku/>
              <w:wordWrap/>
              <w:overflowPunct/>
              <w:topLinePunct w:val="0"/>
              <w:autoSpaceDE/>
              <w:autoSpaceDN/>
              <w:bidi w:val="0"/>
              <w:adjustRightInd w:val="0"/>
              <w:snapToGrid w:val="0"/>
              <w:spacing w:line="480" w:lineRule="exact"/>
              <w:ind w:firstLine="514" w:firstLineChars="200"/>
              <w:jc w:val="both"/>
              <w:textAlignment w:val="auto"/>
              <w:rPr>
                <w:rFonts w:hint="default" w:ascii="Times New Roman" w:hAnsi="Times New Roman" w:eastAsia="宋体" w:cs="Times New Roman"/>
                <w:b/>
                <w:bCs w:val="0"/>
                <w:color w:val="auto"/>
                <w:spacing w:val="8"/>
                <w:sz w:val="24"/>
                <w:szCs w:val="24"/>
              </w:rPr>
            </w:pPr>
            <w:r>
              <w:rPr>
                <w:rFonts w:hint="eastAsia" w:ascii="Times New Roman" w:hAnsi="Times New Roman" w:eastAsia="宋体" w:cs="Times New Roman"/>
                <w:b/>
                <w:bCs w:val="0"/>
                <w:color w:val="auto"/>
                <w:spacing w:val="8"/>
                <w:sz w:val="24"/>
                <w:szCs w:val="24"/>
                <w:lang w:eastAsia="zh-CN"/>
              </w:rPr>
              <w:t>（</w:t>
            </w:r>
            <w:r>
              <w:rPr>
                <w:rFonts w:hint="eastAsia" w:ascii="Times New Roman" w:hAnsi="Times New Roman" w:eastAsia="宋体" w:cs="Times New Roman"/>
                <w:b/>
                <w:bCs w:val="0"/>
                <w:color w:val="auto"/>
                <w:spacing w:val="8"/>
                <w:sz w:val="24"/>
                <w:szCs w:val="24"/>
                <w:lang w:val="en-US" w:eastAsia="zh-CN"/>
              </w:rPr>
              <w:t>4</w:t>
            </w:r>
            <w:r>
              <w:rPr>
                <w:rFonts w:hint="eastAsia" w:ascii="Times New Roman" w:hAnsi="Times New Roman" w:eastAsia="宋体" w:cs="Times New Roman"/>
                <w:b/>
                <w:bCs w:val="0"/>
                <w:color w:val="auto"/>
                <w:spacing w:val="8"/>
                <w:sz w:val="24"/>
                <w:szCs w:val="24"/>
                <w:lang w:eastAsia="zh-CN"/>
              </w:rPr>
              <w:t>）</w:t>
            </w:r>
            <w:r>
              <w:rPr>
                <w:rFonts w:hint="default" w:ascii="Times New Roman" w:hAnsi="Times New Roman" w:eastAsia="宋体" w:cs="Times New Roman"/>
                <w:b/>
                <w:bCs w:val="0"/>
                <w:color w:val="auto"/>
                <w:spacing w:val="8"/>
                <w:sz w:val="24"/>
                <w:szCs w:val="24"/>
              </w:rPr>
              <w:t>应急要求</w:t>
            </w:r>
          </w:p>
          <w:p w14:paraId="1D0AD747">
            <w:pPr>
              <w:keepNext w:val="0"/>
              <w:keepLines w:val="0"/>
              <w:pageBreakBefore w:val="0"/>
              <w:widowControl w:val="0"/>
              <w:kinsoku/>
              <w:wordWrap/>
              <w:overflowPunct/>
              <w:topLinePunct w:val="0"/>
              <w:autoSpaceDE/>
              <w:autoSpaceDN/>
              <w:bidi w:val="0"/>
              <w:adjustRightInd w:val="0"/>
              <w:snapToGrid w:val="0"/>
              <w:spacing w:line="480" w:lineRule="exact"/>
              <w:ind w:firstLine="512" w:firstLineChars="200"/>
              <w:jc w:val="both"/>
              <w:textAlignment w:val="auto"/>
              <w:rPr>
                <w:rFonts w:hint="default" w:ascii="Times New Roman" w:hAnsi="Times New Roman" w:eastAsia="宋体" w:cs="Times New Roman"/>
                <w:bCs/>
                <w:color w:val="auto"/>
                <w:spacing w:val="8"/>
                <w:sz w:val="24"/>
                <w:szCs w:val="24"/>
              </w:rPr>
            </w:pPr>
            <w:r>
              <w:rPr>
                <w:rFonts w:hint="default" w:ascii="Times New Roman" w:hAnsi="Times New Roman" w:eastAsia="宋体" w:cs="Times New Roman"/>
                <w:bCs/>
                <w:color w:val="auto"/>
                <w:spacing w:val="8"/>
                <w:sz w:val="24"/>
                <w:szCs w:val="24"/>
              </w:rPr>
              <w:t>风险事故的应急计划包括应急状态分类、应急计划区和事故等级水平、应急防护、应急医学处理等。因此，风险事故应急计划应当包括以下内容：项目生产过程中所使用以及产生的有毒化学品、危险源的概况；应急计划实施区域；应急和事故灾害控制的组织、责任、授权人；应急状态分类以及应急状态响应程序；应急设备、设施、材料和人员调动系统和程序；应急通知和与授权人、有关人员、相关方面的通讯系统和程序；应急环境监测和事故环境影响评价；应急预防措施，清除泄漏物的措施、方法和使用器材；应急人员接触计量控制、人员撤退、医疗救助与公众健康保证的系统和程序；应急状态终止与事故影响的恢复措施；应急人员培训、演练和试验应急系统的程序；应急事故的公众教育以及事故信息公布程序；调动第三方资源进行应急支持的安排和程序；事故的记录和报告程序。</w:t>
            </w:r>
          </w:p>
          <w:p w14:paraId="23610A9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Cs/>
                <w:color w:val="auto"/>
                <w:spacing w:val="8"/>
                <w:sz w:val="24"/>
                <w:szCs w:val="24"/>
              </w:rPr>
              <w:t>本工程实施后，企业应及时编制事故应急救援预案内容，并进一步结合安全生产及危化品的管理要求，补充和完善公司的风险防范措施及应急预案</w:t>
            </w:r>
            <w:r>
              <w:rPr>
                <w:rFonts w:hint="default" w:ascii="Times New Roman" w:hAnsi="Times New Roman" w:eastAsia="宋体" w:cs="Times New Roman"/>
                <w:bCs/>
                <w:color w:val="auto"/>
                <w:spacing w:val="8"/>
                <w:sz w:val="24"/>
                <w:szCs w:val="24"/>
                <w:lang w:eastAsia="zh-CN"/>
              </w:rPr>
              <w:t>。</w:t>
            </w:r>
            <w:r>
              <w:rPr>
                <w:rFonts w:hint="eastAsia" w:ascii="Times New Roman" w:hAnsi="Times New Roman" w:eastAsia="宋体" w:cs="Times New Roman"/>
                <w:b w:val="0"/>
                <w:bCs/>
                <w:color w:val="auto"/>
                <w:kern w:val="2"/>
                <w:sz w:val="24"/>
                <w:szCs w:val="24"/>
                <w:highlight w:val="none"/>
                <w:lang w:val="en-US" w:eastAsia="zh-CN" w:bidi="ar-SA"/>
              </w:rPr>
              <w:t>为了防止事故的发生，拟建项目的环境风险评价从管理、安全设计、防火、防毒等方面提出风险事故的防范措施。</w:t>
            </w:r>
          </w:p>
          <w:p w14:paraId="48B97DB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4.6.4</w:t>
            </w:r>
            <w:r>
              <w:rPr>
                <w:rFonts w:hint="default" w:ascii="Times New Roman" w:hAnsi="Times New Roman" w:eastAsia="宋体" w:cs="Times New Roman"/>
                <w:b/>
                <w:bCs/>
                <w:color w:val="auto"/>
                <w:sz w:val="24"/>
                <w:szCs w:val="24"/>
                <w:highlight w:val="none"/>
                <w:lang w:val="en-US" w:eastAsia="zh-CN"/>
              </w:rPr>
              <w:t>风险评价结论</w:t>
            </w:r>
          </w:p>
          <w:p w14:paraId="223A5979">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企业在采取环评提出的环境风险防范措施后，风险事故的环境影响可控制在可接受范围内。</w:t>
            </w:r>
          </w:p>
          <w:p w14:paraId="0AC7E4E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4.7监测计划</w:t>
            </w:r>
          </w:p>
          <w:p w14:paraId="096D15D2">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根据《排污许可证申请与核发技术规范 陶瓷砖瓦工业》（HJ954-2018）</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《排污单位自行监测技术指南 总则》（HJ819-2018）和《排污单位自行监测技术指南</w:t>
            </w:r>
            <w:r>
              <w:rPr>
                <w:rFonts w:hint="eastAsia" w:cs="Times New Roman"/>
                <w:b w:val="0"/>
                <w:bCs/>
                <w:color w:val="auto"/>
                <w:kern w:val="2"/>
                <w:sz w:val="24"/>
                <w:szCs w:val="24"/>
                <w:highlight w:val="none"/>
                <w:lang w:val="en-US" w:eastAsia="zh-CN" w:bidi="ar-SA"/>
              </w:rPr>
              <w:t xml:space="preserve"> </w:t>
            </w:r>
            <w:r>
              <w:rPr>
                <w:rFonts w:hint="default" w:ascii="Times New Roman" w:hAnsi="Times New Roman" w:eastAsia="宋体" w:cs="Times New Roman"/>
                <w:b w:val="0"/>
                <w:bCs/>
                <w:color w:val="auto"/>
                <w:kern w:val="2"/>
                <w:sz w:val="24"/>
                <w:szCs w:val="24"/>
                <w:highlight w:val="none"/>
                <w:lang w:val="en-US" w:eastAsia="zh-CN" w:bidi="ar-SA"/>
              </w:rPr>
              <w:t>砖瓦工业》（HJ1254-2022）等要求，制定相应的环境监测计划。</w:t>
            </w:r>
          </w:p>
          <w:p w14:paraId="31A90AE4">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4-29</w:t>
            </w:r>
            <w:r>
              <w:rPr>
                <w:rFonts w:hint="default" w:ascii="Times New Roman" w:hAnsi="Times New Roman" w:eastAsia="黑体" w:cs="Times New Roman"/>
                <w:b w:val="0"/>
                <w:bCs w:val="0"/>
                <w:color w:val="auto"/>
                <w:sz w:val="24"/>
                <w:szCs w:val="24"/>
                <w:highlight w:val="none"/>
                <w:lang w:val="en-US" w:eastAsia="zh-CN"/>
              </w:rPr>
              <w:t xml:space="preserve">  本项目排气口设置及大气污染物监测计划</w:t>
            </w:r>
          </w:p>
          <w:tbl>
            <w:tblPr>
              <w:tblStyle w:val="98"/>
              <w:tblW w:w="499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0"/>
              <w:gridCol w:w="3463"/>
              <w:gridCol w:w="2088"/>
              <w:gridCol w:w="1949"/>
            </w:tblGrid>
            <w:tr w14:paraId="02BA0C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tcBorders>
                    <w:tl2br w:val="nil"/>
                    <w:tr2bl w:val="nil"/>
                  </w:tcBorders>
                  <w:noWrap w:val="0"/>
                  <w:vAlign w:val="center"/>
                </w:tcPr>
                <w:p w14:paraId="36971D4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监测</w:t>
                  </w:r>
                  <w:r>
                    <w:rPr>
                      <w:rFonts w:hint="default" w:ascii="Times New Roman" w:hAnsi="Times New Roman" w:eastAsia="宋体" w:cs="Times New Roman"/>
                      <w:b/>
                      <w:bCs/>
                      <w:color w:val="auto"/>
                      <w:spacing w:val="-9"/>
                      <w:sz w:val="21"/>
                      <w:szCs w:val="21"/>
                      <w:highlight w:val="none"/>
                    </w:rPr>
                    <w:t>内容</w:t>
                  </w:r>
                </w:p>
              </w:tc>
              <w:tc>
                <w:tcPr>
                  <w:tcW w:w="2070" w:type="pct"/>
                  <w:tcBorders>
                    <w:tl2br w:val="nil"/>
                    <w:tr2bl w:val="nil"/>
                  </w:tcBorders>
                  <w:noWrap w:val="0"/>
                  <w:vAlign w:val="center"/>
                </w:tcPr>
                <w:p w14:paraId="2846A5E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监测点位</w:t>
                  </w:r>
                </w:p>
              </w:tc>
              <w:tc>
                <w:tcPr>
                  <w:tcW w:w="1248" w:type="pct"/>
                  <w:tcBorders>
                    <w:tl2br w:val="nil"/>
                    <w:tr2bl w:val="nil"/>
                  </w:tcBorders>
                  <w:noWrap w:val="0"/>
                  <w:vAlign w:val="center"/>
                </w:tcPr>
                <w:p w14:paraId="3495B84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监测项目</w:t>
                  </w:r>
                </w:p>
              </w:tc>
              <w:tc>
                <w:tcPr>
                  <w:tcW w:w="1165" w:type="pct"/>
                  <w:tcBorders>
                    <w:tl2br w:val="nil"/>
                    <w:tr2bl w:val="nil"/>
                  </w:tcBorders>
                  <w:noWrap w:val="0"/>
                  <w:vAlign w:val="center"/>
                </w:tcPr>
                <w:p w14:paraId="49BDB83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监测频</w:t>
                  </w:r>
                  <w:r>
                    <w:rPr>
                      <w:rFonts w:hint="default" w:ascii="Times New Roman" w:hAnsi="Times New Roman" w:eastAsia="宋体" w:cs="Times New Roman"/>
                      <w:b/>
                      <w:bCs/>
                      <w:color w:val="auto"/>
                      <w:sz w:val="21"/>
                      <w:szCs w:val="21"/>
                      <w:highlight w:val="none"/>
                    </w:rPr>
                    <w:t>率</w:t>
                  </w:r>
                </w:p>
              </w:tc>
            </w:tr>
            <w:tr w14:paraId="123834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vMerge w:val="restart"/>
                  <w:tcBorders>
                    <w:tl2br w:val="nil"/>
                    <w:tr2bl w:val="nil"/>
                  </w:tcBorders>
                  <w:noWrap w:val="0"/>
                  <w:vAlign w:val="center"/>
                </w:tcPr>
                <w:p w14:paraId="7C6246AA">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废气</w:t>
                  </w:r>
                </w:p>
              </w:tc>
              <w:tc>
                <w:tcPr>
                  <w:tcW w:w="2070" w:type="pct"/>
                  <w:tcBorders>
                    <w:tl2br w:val="nil"/>
                    <w:tr2bl w:val="nil"/>
                  </w:tcBorders>
                  <w:noWrap w:val="0"/>
                  <w:vAlign w:val="center"/>
                </w:tcPr>
                <w:p w14:paraId="3D1E77FD">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破碎工序排气筒（DA004）</w:t>
                  </w:r>
                </w:p>
              </w:tc>
              <w:tc>
                <w:tcPr>
                  <w:tcW w:w="1248" w:type="pct"/>
                  <w:tcBorders>
                    <w:tl2br w:val="nil"/>
                    <w:tr2bl w:val="nil"/>
                  </w:tcBorders>
                  <w:noWrap w:val="0"/>
                  <w:vAlign w:val="center"/>
                </w:tcPr>
                <w:p w14:paraId="038D56A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颗粒物</w:t>
                  </w:r>
                </w:p>
              </w:tc>
              <w:tc>
                <w:tcPr>
                  <w:tcW w:w="1165" w:type="pct"/>
                  <w:tcBorders>
                    <w:tl2br w:val="nil"/>
                    <w:tr2bl w:val="nil"/>
                  </w:tcBorders>
                  <w:noWrap w:val="0"/>
                  <w:vAlign w:val="center"/>
                </w:tcPr>
                <w:p w14:paraId="4BED954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0"/>
                      <w:sz w:val="21"/>
                      <w:szCs w:val="21"/>
                      <w:highlight w:val="none"/>
                    </w:rPr>
                    <w:t>1次/年</w:t>
                  </w:r>
                </w:p>
              </w:tc>
            </w:tr>
            <w:tr w14:paraId="55B0D3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vMerge w:val="continue"/>
                  <w:tcBorders>
                    <w:tl2br w:val="nil"/>
                    <w:tr2bl w:val="nil"/>
                  </w:tcBorders>
                  <w:noWrap w:val="0"/>
                  <w:vAlign w:val="center"/>
                </w:tcPr>
                <w:p w14:paraId="493A05DA">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2"/>
                      <w:sz w:val="21"/>
                      <w:szCs w:val="21"/>
                      <w:highlight w:val="none"/>
                    </w:rPr>
                  </w:pPr>
                </w:p>
              </w:tc>
              <w:tc>
                <w:tcPr>
                  <w:tcW w:w="3463" w:type="dxa"/>
                  <w:tcBorders>
                    <w:tl2br w:val="nil"/>
                    <w:tr2bl w:val="nil"/>
                  </w:tcBorders>
                  <w:noWrap w:val="0"/>
                  <w:vAlign w:val="center"/>
                </w:tcPr>
                <w:p w14:paraId="748E83A5">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筛分工序排气筒（DA005）</w:t>
                  </w:r>
                </w:p>
              </w:tc>
              <w:tc>
                <w:tcPr>
                  <w:tcW w:w="2088" w:type="dxa"/>
                  <w:tcBorders>
                    <w:tl2br w:val="nil"/>
                    <w:tr2bl w:val="nil"/>
                  </w:tcBorders>
                  <w:noWrap w:val="0"/>
                  <w:vAlign w:val="center"/>
                </w:tcPr>
                <w:p w14:paraId="41A04919">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1165" w:type="pct"/>
                  <w:tcBorders>
                    <w:tl2br w:val="nil"/>
                    <w:tr2bl w:val="nil"/>
                  </w:tcBorders>
                  <w:noWrap w:val="0"/>
                  <w:vAlign w:val="center"/>
                </w:tcPr>
                <w:p w14:paraId="15FC0D5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1次/年</w:t>
                  </w:r>
                </w:p>
              </w:tc>
            </w:tr>
            <w:tr w14:paraId="5A7BF3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vMerge w:val="continue"/>
                  <w:tcBorders>
                    <w:tl2br w:val="nil"/>
                    <w:tr2bl w:val="nil"/>
                  </w:tcBorders>
                  <w:noWrap w:val="0"/>
                  <w:vAlign w:val="center"/>
                </w:tcPr>
                <w:p w14:paraId="576081A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2"/>
                      <w:sz w:val="21"/>
                      <w:szCs w:val="21"/>
                      <w:highlight w:val="none"/>
                    </w:rPr>
                  </w:pPr>
                </w:p>
              </w:tc>
              <w:tc>
                <w:tcPr>
                  <w:tcW w:w="2070" w:type="pct"/>
                  <w:tcBorders>
                    <w:tl2br w:val="nil"/>
                    <w:tr2bl w:val="nil"/>
                  </w:tcBorders>
                  <w:noWrap w:val="0"/>
                  <w:vAlign w:val="center"/>
                </w:tcPr>
                <w:p w14:paraId="1C55244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7"/>
                      <w:sz w:val="20"/>
                      <w:szCs w:val="20"/>
                      <w:highlight w:val="none"/>
                    </w:rPr>
                    <w:t>隧道窑</w:t>
                  </w:r>
                  <w:r>
                    <w:rPr>
                      <w:rFonts w:hint="eastAsia" w:ascii="Times New Roman" w:hAnsi="Times New Roman" w:cs="Times New Roman"/>
                      <w:color w:val="auto"/>
                      <w:sz w:val="21"/>
                      <w:szCs w:val="21"/>
                      <w:highlight w:val="none"/>
                      <w:lang w:val="en-US" w:eastAsia="zh-CN"/>
                    </w:rPr>
                    <w:t>排气筒（DA001）</w:t>
                  </w:r>
                </w:p>
              </w:tc>
              <w:tc>
                <w:tcPr>
                  <w:tcW w:w="1248" w:type="pct"/>
                  <w:tcBorders>
                    <w:tl2br w:val="nil"/>
                    <w:tr2bl w:val="nil"/>
                  </w:tcBorders>
                  <w:noWrap w:val="0"/>
                  <w:vAlign w:val="center"/>
                </w:tcPr>
                <w:p w14:paraId="0648E3DE">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7"/>
                      <w:sz w:val="21"/>
                      <w:szCs w:val="21"/>
                      <w:highlight w:val="none"/>
                    </w:rPr>
                    <w:t>颗粒物、SO</w:t>
                  </w:r>
                  <w:r>
                    <w:rPr>
                      <w:rFonts w:hint="eastAsia" w:ascii="Times New Roman" w:hAnsi="Times New Roman" w:cs="Times New Roman"/>
                      <w:color w:val="auto"/>
                      <w:spacing w:val="-7"/>
                      <w:sz w:val="21"/>
                      <w:szCs w:val="21"/>
                      <w:highlight w:val="none"/>
                      <w:vertAlign w:val="subscript"/>
                      <w:lang w:val="en-US" w:eastAsia="zh-CN"/>
                    </w:rPr>
                    <w:t>2</w:t>
                  </w:r>
                  <w:r>
                    <w:rPr>
                      <w:rFonts w:hint="default" w:ascii="Times New Roman" w:hAnsi="Times New Roman" w:eastAsia="宋体" w:cs="Times New Roman"/>
                      <w:color w:val="auto"/>
                      <w:spacing w:val="-7"/>
                      <w:sz w:val="21"/>
                      <w:szCs w:val="21"/>
                      <w:highlight w:val="none"/>
                    </w:rPr>
                    <w:t>、</w:t>
                  </w:r>
                  <w:r>
                    <w:rPr>
                      <w:rFonts w:hint="default" w:ascii="Times New Roman" w:hAnsi="Times New Roman" w:eastAsia="宋体" w:cs="Times New Roman"/>
                      <w:color w:val="auto"/>
                      <w:spacing w:val="-1"/>
                      <w:sz w:val="21"/>
                      <w:szCs w:val="21"/>
                      <w:highlight w:val="none"/>
                    </w:rPr>
                    <w:t>NOx</w:t>
                  </w:r>
                  <w:r>
                    <w:rPr>
                      <w:rFonts w:hint="default" w:ascii="Times New Roman" w:hAnsi="Times New Roman" w:eastAsia="宋体" w:cs="Times New Roman"/>
                      <w:color w:val="auto"/>
                      <w:spacing w:val="-7"/>
                      <w:sz w:val="21"/>
                      <w:szCs w:val="21"/>
                      <w:highlight w:val="none"/>
                    </w:rPr>
                    <w:t>、</w:t>
                  </w:r>
                  <w:r>
                    <w:rPr>
                      <w:rFonts w:hint="default" w:ascii="Times New Roman" w:hAnsi="Times New Roman" w:eastAsia="宋体" w:cs="Times New Roman"/>
                      <w:color w:val="auto"/>
                      <w:spacing w:val="-1"/>
                      <w:sz w:val="21"/>
                      <w:szCs w:val="21"/>
                      <w:highlight w:val="none"/>
                    </w:rPr>
                    <w:t>氟化物</w:t>
                  </w:r>
                </w:p>
              </w:tc>
              <w:tc>
                <w:tcPr>
                  <w:tcW w:w="1165" w:type="pct"/>
                  <w:tcBorders>
                    <w:tl2br w:val="nil"/>
                    <w:tr2bl w:val="nil"/>
                  </w:tcBorders>
                  <w:noWrap w:val="0"/>
                  <w:vAlign w:val="center"/>
                </w:tcPr>
                <w:p w14:paraId="4D08E99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1次/</w:t>
                  </w:r>
                  <w:r>
                    <w:rPr>
                      <w:rFonts w:hint="eastAsia" w:ascii="Times New Roman" w:hAnsi="Times New Roman" w:eastAsia="宋体" w:cs="Times New Roman"/>
                      <w:color w:val="auto"/>
                      <w:spacing w:val="-10"/>
                      <w:sz w:val="21"/>
                      <w:szCs w:val="21"/>
                      <w:highlight w:val="none"/>
                      <w:lang w:val="en-US" w:eastAsia="zh-CN"/>
                    </w:rPr>
                    <w:t>半</w:t>
                  </w:r>
                  <w:r>
                    <w:rPr>
                      <w:rFonts w:hint="default" w:ascii="Times New Roman" w:hAnsi="Times New Roman" w:eastAsia="宋体" w:cs="Times New Roman"/>
                      <w:color w:val="auto"/>
                      <w:spacing w:val="-10"/>
                      <w:sz w:val="21"/>
                      <w:szCs w:val="21"/>
                      <w:highlight w:val="none"/>
                    </w:rPr>
                    <w:t>年</w:t>
                  </w:r>
                </w:p>
              </w:tc>
            </w:tr>
            <w:tr w14:paraId="689407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vMerge w:val="continue"/>
                  <w:tcBorders>
                    <w:tl2br w:val="nil"/>
                    <w:tr2bl w:val="nil"/>
                  </w:tcBorders>
                  <w:noWrap w:val="0"/>
                  <w:vAlign w:val="center"/>
                </w:tcPr>
                <w:p w14:paraId="39B28C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2070" w:type="pct"/>
                  <w:tcBorders>
                    <w:tl2br w:val="nil"/>
                    <w:tr2bl w:val="nil"/>
                  </w:tcBorders>
                  <w:noWrap w:val="0"/>
                  <w:vAlign w:val="center"/>
                </w:tcPr>
                <w:p w14:paraId="3EEE3D20">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color w:val="auto"/>
                      <w:spacing w:val="7"/>
                      <w:sz w:val="20"/>
                      <w:szCs w:val="20"/>
                      <w:highlight w:val="none"/>
                    </w:rPr>
                  </w:pPr>
                  <w:r>
                    <w:rPr>
                      <w:rFonts w:hint="eastAsia" w:ascii="Times New Roman" w:hAnsi="Times New Roman" w:cs="Times New Roman"/>
                      <w:bCs/>
                      <w:color w:val="auto"/>
                      <w:kern w:val="2"/>
                      <w:sz w:val="21"/>
                      <w:szCs w:val="21"/>
                      <w:highlight w:val="none"/>
                      <w:lang w:val="en-US" w:eastAsia="zh-CN" w:bidi="ar-SA"/>
                    </w:rPr>
                    <w:t>石灰筒仓</w:t>
                  </w:r>
                  <w:r>
                    <w:rPr>
                      <w:rFonts w:hint="eastAsia" w:ascii="Times New Roman" w:hAnsi="Times New Roman" w:cs="Times New Roman"/>
                      <w:color w:val="auto"/>
                      <w:sz w:val="21"/>
                      <w:szCs w:val="21"/>
                      <w:highlight w:val="none"/>
                      <w:lang w:val="en-US" w:eastAsia="zh-CN"/>
                    </w:rPr>
                    <w:t>排气筒（DA003）</w:t>
                  </w:r>
                </w:p>
              </w:tc>
              <w:tc>
                <w:tcPr>
                  <w:tcW w:w="1248" w:type="pct"/>
                  <w:tcBorders>
                    <w:tl2br w:val="nil"/>
                    <w:tr2bl w:val="nil"/>
                  </w:tcBorders>
                  <w:noWrap w:val="0"/>
                  <w:vAlign w:val="center"/>
                </w:tcPr>
                <w:p w14:paraId="76776DF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1165" w:type="pct"/>
                  <w:tcBorders>
                    <w:tl2br w:val="nil"/>
                    <w:tr2bl w:val="nil"/>
                  </w:tcBorders>
                  <w:noWrap w:val="0"/>
                  <w:vAlign w:val="center"/>
                </w:tcPr>
                <w:p w14:paraId="30A9BCA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pacing w:val="8"/>
                      <w:sz w:val="20"/>
                      <w:szCs w:val="20"/>
                      <w:highlight w:val="none"/>
                    </w:rPr>
                  </w:pPr>
                  <w:r>
                    <w:rPr>
                      <w:rFonts w:hint="default" w:ascii="Times New Roman" w:hAnsi="Times New Roman" w:eastAsia="宋体" w:cs="Times New Roman"/>
                      <w:color w:val="auto"/>
                      <w:spacing w:val="-10"/>
                      <w:sz w:val="21"/>
                      <w:szCs w:val="21"/>
                      <w:highlight w:val="none"/>
                    </w:rPr>
                    <w:t>1次/年</w:t>
                  </w:r>
                </w:p>
              </w:tc>
            </w:tr>
            <w:tr w14:paraId="4D728C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vMerge w:val="continue"/>
                  <w:tcBorders>
                    <w:tl2br w:val="nil"/>
                    <w:tr2bl w:val="nil"/>
                  </w:tcBorders>
                  <w:noWrap w:val="0"/>
                  <w:vAlign w:val="center"/>
                </w:tcPr>
                <w:p w14:paraId="639315A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2070" w:type="pct"/>
                  <w:tcBorders>
                    <w:tl2br w:val="nil"/>
                    <w:tr2bl w:val="nil"/>
                  </w:tcBorders>
                  <w:noWrap w:val="0"/>
                  <w:vAlign w:val="center"/>
                </w:tcPr>
                <w:p w14:paraId="76B2A9F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厂界</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上风向1个，</w:t>
                  </w:r>
                  <w:r>
                    <w:rPr>
                      <w:rFonts w:hint="default" w:ascii="Times New Roman" w:hAnsi="Times New Roman" w:eastAsia="宋体" w:cs="Times New Roman"/>
                      <w:color w:val="auto"/>
                      <w:spacing w:val="-5"/>
                      <w:sz w:val="21"/>
                      <w:szCs w:val="21"/>
                      <w:highlight w:val="none"/>
                    </w:rPr>
                    <w:t>下风向</w:t>
                  </w:r>
                  <w:r>
                    <w:rPr>
                      <w:rFonts w:hint="default" w:ascii="Times New Roman" w:hAnsi="Times New Roman" w:eastAsia="宋体" w:cs="Times New Roman"/>
                      <w:color w:val="auto"/>
                      <w:spacing w:val="-5"/>
                      <w:sz w:val="21"/>
                      <w:szCs w:val="21"/>
                      <w:highlight w:val="none"/>
                      <w:lang w:val="en-US" w:eastAsia="zh-CN"/>
                    </w:rPr>
                    <w:t>4</w:t>
                  </w:r>
                  <w:r>
                    <w:rPr>
                      <w:rFonts w:hint="default" w:ascii="Times New Roman" w:hAnsi="Times New Roman" w:eastAsia="宋体" w:cs="Times New Roman"/>
                      <w:color w:val="auto"/>
                      <w:spacing w:val="-5"/>
                      <w:sz w:val="21"/>
                      <w:szCs w:val="21"/>
                      <w:highlight w:val="none"/>
                    </w:rPr>
                    <w:t>个</w:t>
                  </w:r>
                  <w:r>
                    <w:rPr>
                      <w:rFonts w:hint="default" w:ascii="Times New Roman" w:hAnsi="Times New Roman" w:eastAsia="宋体" w:cs="Times New Roman"/>
                      <w:color w:val="auto"/>
                      <w:spacing w:val="-6"/>
                      <w:sz w:val="21"/>
                      <w:szCs w:val="21"/>
                      <w:highlight w:val="none"/>
                      <w:lang w:eastAsia="zh-CN"/>
                    </w:rPr>
                    <w:t>）</w:t>
                  </w:r>
                </w:p>
              </w:tc>
              <w:tc>
                <w:tcPr>
                  <w:tcW w:w="1248" w:type="pct"/>
                  <w:tcBorders>
                    <w:tl2br w:val="nil"/>
                    <w:tr2bl w:val="nil"/>
                  </w:tcBorders>
                  <w:noWrap w:val="0"/>
                  <w:vAlign w:val="center"/>
                </w:tcPr>
                <w:p w14:paraId="4360A21C">
                  <w:pPr>
                    <w:pStyle w:val="95"/>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颗粒物、SO</w:t>
                  </w:r>
                  <w:r>
                    <w:rPr>
                      <w:rFonts w:hint="default" w:ascii="Times New Roman" w:hAnsi="Times New Roman" w:eastAsia="宋体" w:cs="Times New Roman"/>
                      <w:color w:val="auto"/>
                      <w:spacing w:val="-4"/>
                      <w:position w:val="-2"/>
                      <w:sz w:val="21"/>
                      <w:szCs w:val="21"/>
                      <w:highlight w:val="none"/>
                      <w:vertAlign w:val="subscript"/>
                    </w:rPr>
                    <w:t>2</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3"/>
                      <w:sz w:val="21"/>
                      <w:szCs w:val="21"/>
                      <w:highlight w:val="none"/>
                    </w:rPr>
                    <w:t>氟化物</w:t>
                  </w:r>
                </w:p>
              </w:tc>
              <w:tc>
                <w:tcPr>
                  <w:tcW w:w="1165" w:type="pct"/>
                  <w:tcBorders>
                    <w:tl2br w:val="nil"/>
                    <w:tr2bl w:val="nil"/>
                  </w:tcBorders>
                  <w:noWrap w:val="0"/>
                  <w:vAlign w:val="center"/>
                </w:tcPr>
                <w:p w14:paraId="2FD0C64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0"/>
                      <w:sz w:val="21"/>
                      <w:szCs w:val="21"/>
                      <w:highlight w:val="none"/>
                    </w:rPr>
                    <w:t>1次/年</w:t>
                  </w:r>
                </w:p>
              </w:tc>
            </w:tr>
            <w:tr w14:paraId="45044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 w:type="pct"/>
                  <w:tcBorders>
                    <w:tl2br w:val="nil"/>
                    <w:tr2bl w:val="nil"/>
                  </w:tcBorders>
                  <w:noWrap w:val="0"/>
                  <w:vAlign w:val="center"/>
                </w:tcPr>
                <w:p w14:paraId="61109A3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噪声</w:t>
                  </w:r>
                </w:p>
              </w:tc>
              <w:tc>
                <w:tcPr>
                  <w:tcW w:w="2070" w:type="pct"/>
                  <w:tcBorders>
                    <w:tl2br w:val="nil"/>
                    <w:tr2bl w:val="nil"/>
                  </w:tcBorders>
                  <w:noWrap w:val="0"/>
                  <w:vAlign w:val="center"/>
                </w:tcPr>
                <w:p w14:paraId="67057A80">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r>
                    <w:rPr>
                      <w:color w:val="auto"/>
                      <w:spacing w:val="6"/>
                      <w:sz w:val="20"/>
                      <w:szCs w:val="20"/>
                      <w:highlight w:val="none"/>
                    </w:rPr>
                    <w:t>厂界四周</w:t>
                  </w:r>
                </w:p>
              </w:tc>
              <w:tc>
                <w:tcPr>
                  <w:tcW w:w="1248" w:type="pct"/>
                  <w:tcBorders>
                    <w:tl2br w:val="nil"/>
                    <w:tr2bl w:val="nil"/>
                  </w:tcBorders>
                  <w:noWrap w:val="0"/>
                  <w:vAlign w:val="center"/>
                </w:tcPr>
                <w:p w14:paraId="502BE5E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position w:val="2"/>
                      <w:sz w:val="21"/>
                      <w:szCs w:val="21"/>
                      <w:highlight w:val="none"/>
                    </w:rPr>
                    <w:t>L</w:t>
                  </w:r>
                  <w:r>
                    <w:rPr>
                      <w:rFonts w:hint="default" w:ascii="Times New Roman" w:hAnsi="Times New Roman" w:eastAsia="宋体" w:cs="Times New Roman"/>
                      <w:color w:val="auto"/>
                      <w:spacing w:val="-1"/>
                      <w:sz w:val="21"/>
                      <w:szCs w:val="21"/>
                      <w:highlight w:val="none"/>
                    </w:rPr>
                    <w:t>Aeq</w:t>
                  </w:r>
                </w:p>
              </w:tc>
              <w:tc>
                <w:tcPr>
                  <w:tcW w:w="1165" w:type="pct"/>
                  <w:tcBorders>
                    <w:tl2br w:val="nil"/>
                    <w:tr2bl w:val="nil"/>
                  </w:tcBorders>
                  <w:noWrap w:val="0"/>
                  <w:vAlign w:val="center"/>
                </w:tcPr>
                <w:p w14:paraId="65C17473">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1次/季度</w:t>
                  </w:r>
                </w:p>
              </w:tc>
            </w:tr>
          </w:tbl>
          <w:p w14:paraId="734D59B6">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4.8“</w:t>
            </w:r>
            <w:r>
              <w:rPr>
                <w:rFonts w:hint="eastAsia" w:ascii="Times New Roman" w:hAnsi="Times New Roman" w:eastAsia="宋体" w:cs="Times New Roman"/>
                <w:b/>
                <w:bCs w:val="0"/>
                <w:color w:val="auto"/>
                <w:kern w:val="2"/>
                <w:sz w:val="24"/>
                <w:szCs w:val="24"/>
                <w:highlight w:val="none"/>
                <w:lang w:val="en-US" w:eastAsia="zh-CN" w:bidi="ar-SA"/>
              </w:rPr>
              <w:t>三本账”分析</w:t>
            </w:r>
          </w:p>
          <w:p w14:paraId="1967D63B">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4-30</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本</w:t>
            </w:r>
            <w:r>
              <w:rPr>
                <w:rFonts w:hint="default" w:ascii="Times New Roman" w:hAnsi="Times New Roman" w:eastAsia="黑体" w:cs="Times New Roman"/>
                <w:b w:val="0"/>
                <w:bCs w:val="0"/>
                <w:color w:val="auto"/>
                <w:sz w:val="24"/>
                <w:szCs w:val="24"/>
                <w:highlight w:val="none"/>
                <w:lang w:val="en-US" w:eastAsia="zh-CN"/>
              </w:rPr>
              <w:t>项目</w:t>
            </w:r>
            <w:r>
              <w:rPr>
                <w:rFonts w:hint="eastAsia" w:ascii="Times New Roman" w:hAnsi="Times New Roman" w:eastAsia="黑体" w:cs="Times New Roman"/>
                <w:b w:val="0"/>
                <w:bCs w:val="0"/>
                <w:color w:val="auto"/>
                <w:sz w:val="24"/>
                <w:szCs w:val="24"/>
                <w:highlight w:val="none"/>
                <w:lang w:val="en-US" w:eastAsia="zh-CN"/>
              </w:rPr>
              <w:t>改建</w:t>
            </w:r>
            <w:r>
              <w:rPr>
                <w:rFonts w:hint="default" w:ascii="Times New Roman" w:hAnsi="Times New Roman" w:eastAsia="黑体" w:cs="Times New Roman"/>
                <w:b w:val="0"/>
                <w:bCs w:val="0"/>
                <w:color w:val="auto"/>
                <w:sz w:val="24"/>
                <w:szCs w:val="24"/>
                <w:highlight w:val="none"/>
                <w:lang w:val="en-US" w:eastAsia="zh-CN"/>
              </w:rPr>
              <w:t>前后污染源“三本账”汇总</w:t>
            </w:r>
          </w:p>
          <w:p w14:paraId="7722FBE1">
            <w:pPr>
              <w:pStyle w:val="31"/>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default" w:ascii="Times New Roman" w:hAnsi="Times New Roman" w:eastAsia="黑体" w:cs="Times New Roman"/>
                <w:b w:val="0"/>
                <w:bCs w:val="0"/>
                <w:color w:val="auto"/>
                <w:sz w:val="15"/>
                <w:szCs w:val="15"/>
                <w:highlight w:val="none"/>
                <w:lang w:val="en-US" w:eastAsia="zh-CN"/>
              </w:rPr>
            </w:pPr>
            <w:r>
              <w:rPr>
                <w:rFonts w:hint="default" w:ascii="Times New Roman" w:hAnsi="Times New Roman" w:eastAsia="黑体" w:cs="Times New Roman"/>
                <w:b w:val="0"/>
                <w:bCs w:val="0"/>
                <w:color w:val="auto"/>
                <w:sz w:val="15"/>
                <w:szCs w:val="15"/>
                <w:highlight w:val="none"/>
                <w:lang w:val="en-US" w:eastAsia="zh-CN"/>
              </w:rPr>
              <w:t>单位：t/a</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723"/>
              <w:gridCol w:w="1383"/>
              <w:gridCol w:w="887"/>
              <w:gridCol w:w="1034"/>
              <w:gridCol w:w="1199"/>
              <w:gridCol w:w="1151"/>
              <w:gridCol w:w="1141"/>
            </w:tblGrid>
            <w:tr w14:paraId="40C65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l2br w:val="nil"/>
                    <w:tr2bl w:val="nil"/>
                  </w:tcBorders>
                  <w:noWrap w:val="0"/>
                  <w:vAlign w:val="center"/>
                </w:tcPr>
                <w:p w14:paraId="174EAEF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hAnsi="Times New Roman" w:cs="Times New Roman"/>
                      <w:b/>
                      <w:color w:val="auto"/>
                      <w:sz w:val="21"/>
                      <w:szCs w:val="21"/>
                    </w:rPr>
                    <w:t>污染物类型</w:t>
                  </w:r>
                </w:p>
              </w:tc>
              <w:tc>
                <w:tcPr>
                  <w:tcW w:w="1258" w:type="pct"/>
                  <w:gridSpan w:val="2"/>
                  <w:tcBorders>
                    <w:tl2br w:val="nil"/>
                    <w:tr2bl w:val="nil"/>
                  </w:tcBorders>
                  <w:noWrap w:val="0"/>
                  <w:vAlign w:val="center"/>
                </w:tcPr>
                <w:p w14:paraId="03F58B3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hAnsi="Times New Roman" w:cs="Times New Roman"/>
                      <w:b/>
                      <w:color w:val="auto"/>
                      <w:sz w:val="21"/>
                      <w:szCs w:val="21"/>
                    </w:rPr>
                    <w:t>污染物</w:t>
                  </w:r>
                </w:p>
              </w:tc>
              <w:tc>
                <w:tcPr>
                  <w:tcW w:w="529" w:type="pct"/>
                  <w:tcBorders>
                    <w:tl2br w:val="nil"/>
                    <w:tr2bl w:val="nil"/>
                  </w:tcBorders>
                  <w:noWrap w:val="0"/>
                  <w:vAlign w:val="center"/>
                </w:tcPr>
                <w:p w14:paraId="45CF82E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hAnsi="Times New Roman" w:cs="Times New Roman"/>
                      <w:b/>
                      <w:color w:val="auto"/>
                      <w:sz w:val="21"/>
                      <w:szCs w:val="21"/>
                      <w:lang w:eastAsia="zh-CN"/>
                    </w:rPr>
                    <w:t>现有</w:t>
                  </w:r>
                  <w:r>
                    <w:rPr>
                      <w:rFonts w:hint="default" w:hAnsi="Times New Roman" w:cs="Times New Roman"/>
                      <w:b/>
                      <w:color w:val="auto"/>
                      <w:sz w:val="21"/>
                      <w:szCs w:val="21"/>
                    </w:rPr>
                    <w:t>排放量</w:t>
                  </w:r>
                </w:p>
              </w:tc>
              <w:tc>
                <w:tcPr>
                  <w:tcW w:w="617" w:type="pct"/>
                  <w:tcBorders>
                    <w:tl2br w:val="nil"/>
                    <w:tr2bl w:val="nil"/>
                  </w:tcBorders>
                  <w:noWrap w:val="0"/>
                  <w:vAlign w:val="center"/>
                </w:tcPr>
                <w:p w14:paraId="43339FD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hAnsi="Times New Roman" w:cs="Times New Roman"/>
                      <w:b/>
                      <w:color w:val="auto"/>
                      <w:sz w:val="21"/>
                      <w:szCs w:val="21"/>
                      <w:lang w:eastAsia="zh-CN"/>
                    </w:rPr>
                    <w:t>本</w:t>
                  </w:r>
                  <w:r>
                    <w:rPr>
                      <w:rFonts w:hint="default" w:hAnsi="Times New Roman" w:cs="Times New Roman"/>
                      <w:b/>
                      <w:color w:val="auto"/>
                      <w:sz w:val="21"/>
                      <w:szCs w:val="21"/>
                    </w:rPr>
                    <w:t>项目排放量</w:t>
                  </w:r>
                </w:p>
              </w:tc>
              <w:tc>
                <w:tcPr>
                  <w:tcW w:w="716" w:type="pct"/>
                  <w:tcBorders>
                    <w:tl2br w:val="nil"/>
                    <w:tr2bl w:val="nil"/>
                  </w:tcBorders>
                  <w:noWrap w:val="0"/>
                  <w:vAlign w:val="center"/>
                </w:tcPr>
                <w:p w14:paraId="544F2A7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w:t>
                  </w:r>
                  <w:r>
                    <w:rPr>
                      <w:rFonts w:hint="default" w:hAnsi="Times New Roman" w:cs="Times New Roman"/>
                      <w:b/>
                      <w:color w:val="auto"/>
                      <w:sz w:val="21"/>
                      <w:szCs w:val="21"/>
                    </w:rPr>
                    <w:t>以新带老”削减量</w:t>
                  </w:r>
                </w:p>
              </w:tc>
              <w:tc>
                <w:tcPr>
                  <w:tcW w:w="687" w:type="pct"/>
                  <w:tcBorders>
                    <w:tl2br w:val="nil"/>
                    <w:tr2bl w:val="nil"/>
                  </w:tcBorders>
                  <w:noWrap w:val="0"/>
                  <w:vAlign w:val="center"/>
                </w:tcPr>
                <w:p w14:paraId="6561FC4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eastAsia" w:cs="Times New Roman"/>
                      <w:b/>
                      <w:color w:val="auto"/>
                      <w:sz w:val="21"/>
                      <w:szCs w:val="21"/>
                      <w:lang w:eastAsia="zh-CN"/>
                    </w:rPr>
                    <w:t>改</w:t>
                  </w:r>
                  <w:r>
                    <w:rPr>
                      <w:rFonts w:hint="default" w:hAnsi="Times New Roman" w:cs="Times New Roman"/>
                      <w:b/>
                      <w:color w:val="auto"/>
                      <w:sz w:val="21"/>
                      <w:szCs w:val="21"/>
                    </w:rPr>
                    <w:t>建后总排放量</w:t>
                  </w:r>
                </w:p>
              </w:tc>
              <w:tc>
                <w:tcPr>
                  <w:tcW w:w="681" w:type="pct"/>
                  <w:tcBorders>
                    <w:tl2br w:val="nil"/>
                    <w:tr2bl w:val="nil"/>
                  </w:tcBorders>
                  <w:noWrap w:val="0"/>
                  <w:vAlign w:val="center"/>
                </w:tcPr>
                <w:p w14:paraId="5C3305C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color w:val="auto"/>
                      <w:sz w:val="21"/>
                      <w:szCs w:val="21"/>
                    </w:rPr>
                  </w:pPr>
                  <w:r>
                    <w:rPr>
                      <w:rFonts w:hint="default" w:hAnsi="Times New Roman" w:cs="Times New Roman"/>
                      <w:b/>
                      <w:color w:val="auto"/>
                      <w:sz w:val="21"/>
                      <w:szCs w:val="21"/>
                    </w:rPr>
                    <w:t>增减变化量</w:t>
                  </w:r>
                </w:p>
              </w:tc>
            </w:tr>
            <w:tr w14:paraId="2CA7B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restart"/>
                  <w:tcBorders>
                    <w:tl2br w:val="nil"/>
                    <w:tr2bl w:val="nil"/>
                  </w:tcBorders>
                  <w:noWrap w:val="0"/>
                  <w:vAlign w:val="center"/>
                </w:tcPr>
                <w:p w14:paraId="70C0503E">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r>
                    <w:rPr>
                      <w:rFonts w:hint="default" w:hAnsi="Times New Roman" w:cs="Times New Roman"/>
                      <w:color w:val="auto"/>
                      <w:sz w:val="21"/>
                      <w:szCs w:val="21"/>
                    </w:rPr>
                    <w:t>大气污染物</w:t>
                  </w:r>
                </w:p>
              </w:tc>
              <w:tc>
                <w:tcPr>
                  <w:tcW w:w="432" w:type="pct"/>
                  <w:vMerge w:val="restart"/>
                  <w:tcBorders>
                    <w:tl2br w:val="nil"/>
                    <w:tr2bl w:val="nil"/>
                  </w:tcBorders>
                  <w:noWrap w:val="0"/>
                  <w:vAlign w:val="center"/>
                </w:tcPr>
                <w:p w14:paraId="5502C49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r>
                    <w:rPr>
                      <w:rFonts w:hint="default" w:hAnsi="Times New Roman" w:cs="Times New Roman"/>
                      <w:color w:val="auto"/>
                      <w:sz w:val="21"/>
                      <w:szCs w:val="21"/>
                    </w:rPr>
                    <w:t>有组织</w:t>
                  </w:r>
                </w:p>
              </w:tc>
              <w:tc>
                <w:tcPr>
                  <w:tcW w:w="825" w:type="pct"/>
                  <w:tcBorders>
                    <w:tl2br w:val="nil"/>
                    <w:tr2bl w:val="nil"/>
                  </w:tcBorders>
                  <w:noWrap w:val="0"/>
                  <w:vAlign w:val="center"/>
                </w:tcPr>
                <w:p w14:paraId="18E3D34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default" w:hAnsi="Times New Roman" w:cs="Times New Roman"/>
                      <w:color w:val="auto"/>
                      <w:sz w:val="21"/>
                      <w:szCs w:val="21"/>
                      <w:lang w:eastAsia="zh-CN"/>
                    </w:rPr>
                    <w:t>颗粒物</w:t>
                  </w:r>
                </w:p>
              </w:tc>
              <w:tc>
                <w:tcPr>
                  <w:tcW w:w="529" w:type="pct"/>
                  <w:tcBorders>
                    <w:tl2br w:val="nil"/>
                    <w:tr2bl w:val="nil"/>
                  </w:tcBorders>
                  <w:noWrap w:val="0"/>
                  <w:vAlign w:val="center"/>
                </w:tcPr>
                <w:p w14:paraId="4ECE679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1.13</w:t>
                  </w:r>
                </w:p>
              </w:tc>
              <w:tc>
                <w:tcPr>
                  <w:tcW w:w="617" w:type="pct"/>
                  <w:tcBorders>
                    <w:tl2br w:val="nil"/>
                    <w:tr2bl w:val="nil"/>
                  </w:tcBorders>
                  <w:noWrap w:val="0"/>
                  <w:vAlign w:val="center"/>
                </w:tcPr>
                <w:p w14:paraId="0EA4A17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17.65</w:t>
                  </w:r>
                </w:p>
              </w:tc>
              <w:tc>
                <w:tcPr>
                  <w:tcW w:w="1199" w:type="dxa"/>
                  <w:tcBorders>
                    <w:tl2br w:val="nil"/>
                    <w:tr2bl w:val="nil"/>
                  </w:tcBorders>
                  <w:noWrap w:val="0"/>
                  <w:vAlign w:val="center"/>
                </w:tcPr>
                <w:p w14:paraId="64708DE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1.13</w:t>
                  </w:r>
                </w:p>
              </w:tc>
              <w:tc>
                <w:tcPr>
                  <w:tcW w:w="1151" w:type="dxa"/>
                  <w:tcBorders>
                    <w:tl2br w:val="nil"/>
                    <w:tr2bl w:val="nil"/>
                  </w:tcBorders>
                  <w:noWrap w:val="0"/>
                  <w:vAlign w:val="center"/>
                </w:tcPr>
                <w:p w14:paraId="2712A04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17.65</w:t>
                  </w:r>
                </w:p>
              </w:tc>
              <w:tc>
                <w:tcPr>
                  <w:tcW w:w="1141" w:type="dxa"/>
                  <w:tcBorders>
                    <w:tl2br w:val="nil"/>
                    <w:tr2bl w:val="nil"/>
                  </w:tcBorders>
                  <w:noWrap w:val="0"/>
                  <w:vAlign w:val="center"/>
                </w:tcPr>
                <w:p w14:paraId="5DC39730">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16.52</w:t>
                  </w:r>
                </w:p>
              </w:tc>
            </w:tr>
            <w:tr w14:paraId="62F18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745043D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4B7B751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706E2DC4">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二氧化硫</w:t>
                  </w:r>
                </w:p>
              </w:tc>
              <w:tc>
                <w:tcPr>
                  <w:tcW w:w="529" w:type="pct"/>
                  <w:tcBorders>
                    <w:tl2br w:val="nil"/>
                    <w:tr2bl w:val="nil"/>
                  </w:tcBorders>
                  <w:noWrap w:val="0"/>
                  <w:vAlign w:val="center"/>
                </w:tcPr>
                <w:p w14:paraId="52003D6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2.952</w:t>
                  </w:r>
                </w:p>
              </w:tc>
              <w:tc>
                <w:tcPr>
                  <w:tcW w:w="617" w:type="pct"/>
                  <w:tcBorders>
                    <w:tl2br w:val="nil"/>
                    <w:tr2bl w:val="nil"/>
                  </w:tcBorders>
                  <w:noWrap w:val="0"/>
                  <w:vAlign w:val="center"/>
                </w:tcPr>
                <w:p w14:paraId="6F1B656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13.87</w:t>
                  </w:r>
                </w:p>
              </w:tc>
              <w:tc>
                <w:tcPr>
                  <w:tcW w:w="1199" w:type="dxa"/>
                  <w:tcBorders>
                    <w:tl2br w:val="nil"/>
                    <w:tr2bl w:val="nil"/>
                  </w:tcBorders>
                  <w:noWrap w:val="0"/>
                  <w:vAlign w:val="center"/>
                </w:tcPr>
                <w:p w14:paraId="194191A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2.952</w:t>
                  </w:r>
                </w:p>
              </w:tc>
              <w:tc>
                <w:tcPr>
                  <w:tcW w:w="1151" w:type="dxa"/>
                  <w:tcBorders>
                    <w:tl2br w:val="nil"/>
                    <w:tr2bl w:val="nil"/>
                  </w:tcBorders>
                  <w:noWrap w:val="0"/>
                  <w:vAlign w:val="center"/>
                </w:tcPr>
                <w:p w14:paraId="60B8AC2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13.87</w:t>
                  </w:r>
                </w:p>
              </w:tc>
              <w:tc>
                <w:tcPr>
                  <w:tcW w:w="1141" w:type="dxa"/>
                  <w:tcBorders>
                    <w:tl2br w:val="nil"/>
                    <w:tr2bl w:val="nil"/>
                  </w:tcBorders>
                  <w:noWrap w:val="0"/>
                  <w:vAlign w:val="center"/>
                </w:tcPr>
                <w:p w14:paraId="116CF36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eastAsia" w:cs="Times New Roman"/>
                      <w:color w:val="auto"/>
                      <w:sz w:val="21"/>
                      <w:szCs w:val="21"/>
                      <w:lang w:val="en-US" w:eastAsia="zh-CN"/>
                    </w:rPr>
                    <w:t>918</w:t>
                  </w:r>
                </w:p>
              </w:tc>
            </w:tr>
            <w:tr w14:paraId="79162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0942206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406B019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26F4A4B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氮氧化物</w:t>
                  </w:r>
                </w:p>
              </w:tc>
              <w:tc>
                <w:tcPr>
                  <w:tcW w:w="529" w:type="pct"/>
                  <w:tcBorders>
                    <w:tl2br w:val="nil"/>
                    <w:tr2bl w:val="nil"/>
                  </w:tcBorders>
                  <w:noWrap w:val="0"/>
                  <w:vAlign w:val="center"/>
                </w:tcPr>
                <w:p w14:paraId="4E145DE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8.64</w:t>
                  </w:r>
                </w:p>
              </w:tc>
              <w:tc>
                <w:tcPr>
                  <w:tcW w:w="617" w:type="pct"/>
                  <w:tcBorders>
                    <w:tl2br w:val="nil"/>
                    <w:tr2bl w:val="nil"/>
                  </w:tcBorders>
                  <w:noWrap w:val="0"/>
                  <w:vAlign w:val="center"/>
                </w:tcPr>
                <w:p w14:paraId="0E9C1AA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44.88</w:t>
                  </w:r>
                </w:p>
              </w:tc>
              <w:tc>
                <w:tcPr>
                  <w:tcW w:w="1199" w:type="dxa"/>
                  <w:tcBorders>
                    <w:tl2br w:val="nil"/>
                    <w:tr2bl w:val="nil"/>
                  </w:tcBorders>
                  <w:noWrap w:val="0"/>
                  <w:vAlign w:val="center"/>
                </w:tcPr>
                <w:p w14:paraId="2CD77AA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8.64</w:t>
                  </w:r>
                </w:p>
              </w:tc>
              <w:tc>
                <w:tcPr>
                  <w:tcW w:w="1151" w:type="dxa"/>
                  <w:tcBorders>
                    <w:tl2br w:val="nil"/>
                    <w:tr2bl w:val="nil"/>
                  </w:tcBorders>
                  <w:noWrap w:val="0"/>
                  <w:vAlign w:val="center"/>
                </w:tcPr>
                <w:p w14:paraId="03C228C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44.88</w:t>
                  </w:r>
                </w:p>
              </w:tc>
              <w:tc>
                <w:tcPr>
                  <w:tcW w:w="1141" w:type="dxa"/>
                  <w:tcBorders>
                    <w:tl2br w:val="nil"/>
                    <w:tr2bl w:val="nil"/>
                  </w:tcBorders>
                  <w:noWrap w:val="0"/>
                  <w:vAlign w:val="center"/>
                </w:tcPr>
                <w:p w14:paraId="2BA19AF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r>
                    <w:rPr>
                      <w:rFonts w:hint="eastAsia" w:cs="Times New Roman"/>
                      <w:color w:val="auto"/>
                      <w:sz w:val="21"/>
                      <w:szCs w:val="21"/>
                      <w:lang w:val="en-US" w:eastAsia="zh-CN"/>
                    </w:rPr>
                    <w:t>16</w:t>
                  </w:r>
                </w:p>
              </w:tc>
            </w:tr>
            <w:tr w14:paraId="214D9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6B94E58D">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09F71A8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02C5577E">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氟化物</w:t>
                  </w:r>
                </w:p>
              </w:tc>
              <w:tc>
                <w:tcPr>
                  <w:tcW w:w="529" w:type="pct"/>
                  <w:tcBorders>
                    <w:tl2br w:val="nil"/>
                    <w:tr2bl w:val="nil"/>
                  </w:tcBorders>
                  <w:noWrap w:val="0"/>
                  <w:vAlign w:val="center"/>
                </w:tcPr>
                <w:p w14:paraId="3C698247">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0.23</w:t>
                  </w:r>
                </w:p>
              </w:tc>
              <w:tc>
                <w:tcPr>
                  <w:tcW w:w="617" w:type="pct"/>
                  <w:tcBorders>
                    <w:tl2br w:val="nil"/>
                    <w:tr2bl w:val="nil"/>
                  </w:tcBorders>
                  <w:noWrap w:val="0"/>
                  <w:vAlign w:val="center"/>
                </w:tcPr>
                <w:p w14:paraId="3F21711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3.01</w:t>
                  </w:r>
                </w:p>
              </w:tc>
              <w:tc>
                <w:tcPr>
                  <w:tcW w:w="1199" w:type="dxa"/>
                  <w:tcBorders>
                    <w:tl2br w:val="nil"/>
                    <w:tr2bl w:val="nil"/>
                  </w:tcBorders>
                  <w:noWrap w:val="0"/>
                  <w:vAlign w:val="center"/>
                </w:tcPr>
                <w:p w14:paraId="66E81580">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0.23</w:t>
                  </w:r>
                </w:p>
              </w:tc>
              <w:tc>
                <w:tcPr>
                  <w:tcW w:w="1151" w:type="dxa"/>
                  <w:tcBorders>
                    <w:tl2br w:val="nil"/>
                    <w:tr2bl w:val="nil"/>
                  </w:tcBorders>
                  <w:noWrap w:val="0"/>
                  <w:vAlign w:val="center"/>
                </w:tcPr>
                <w:p w14:paraId="34E1BB9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3.01</w:t>
                  </w:r>
                </w:p>
              </w:tc>
              <w:tc>
                <w:tcPr>
                  <w:tcW w:w="1141" w:type="dxa"/>
                  <w:tcBorders>
                    <w:tl2br w:val="nil"/>
                    <w:tr2bl w:val="nil"/>
                  </w:tcBorders>
                  <w:noWrap w:val="0"/>
                  <w:vAlign w:val="center"/>
                </w:tcPr>
                <w:p w14:paraId="74C77E7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+2.78</w:t>
                  </w:r>
                </w:p>
              </w:tc>
            </w:tr>
            <w:tr w14:paraId="77636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restart"/>
                  <w:tcBorders>
                    <w:tl2br w:val="nil"/>
                    <w:tr2bl w:val="nil"/>
                  </w:tcBorders>
                  <w:noWrap w:val="0"/>
                  <w:vAlign w:val="center"/>
                </w:tcPr>
                <w:p w14:paraId="0087464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r>
                    <w:rPr>
                      <w:rFonts w:hint="default" w:hAnsi="Times New Roman" w:cs="Times New Roman"/>
                      <w:color w:val="auto"/>
                      <w:sz w:val="21"/>
                      <w:szCs w:val="21"/>
                    </w:rPr>
                    <w:t>固体废物</w:t>
                  </w:r>
                </w:p>
              </w:tc>
              <w:tc>
                <w:tcPr>
                  <w:tcW w:w="432" w:type="pct"/>
                  <w:vMerge w:val="restart"/>
                  <w:tcBorders>
                    <w:tl2br w:val="nil"/>
                    <w:tr2bl w:val="nil"/>
                  </w:tcBorders>
                  <w:noWrap w:val="0"/>
                  <w:vAlign w:val="center"/>
                </w:tcPr>
                <w:p w14:paraId="5AF604B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default" w:hAnsi="Times New Roman" w:cs="Times New Roman"/>
                      <w:color w:val="auto"/>
                      <w:sz w:val="21"/>
                      <w:szCs w:val="21"/>
                      <w:lang w:eastAsia="zh-CN"/>
                    </w:rPr>
                    <w:t>一般工业固废</w:t>
                  </w:r>
                </w:p>
              </w:tc>
              <w:tc>
                <w:tcPr>
                  <w:tcW w:w="825" w:type="pct"/>
                  <w:tcBorders>
                    <w:tl2br w:val="nil"/>
                    <w:tr2bl w:val="nil"/>
                  </w:tcBorders>
                  <w:noWrap w:val="0"/>
                  <w:vAlign w:val="center"/>
                </w:tcPr>
                <w:p w14:paraId="51ADC2C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bidi="ar"/>
                    </w:rPr>
                    <w:t>废砖坯</w:t>
                  </w:r>
                </w:p>
              </w:tc>
              <w:tc>
                <w:tcPr>
                  <w:tcW w:w="529" w:type="pct"/>
                  <w:tcBorders>
                    <w:tl2br w:val="nil"/>
                    <w:tr2bl w:val="nil"/>
                  </w:tcBorders>
                  <w:noWrap w:val="0"/>
                  <w:vAlign w:val="center"/>
                </w:tcPr>
                <w:p w14:paraId="40002B4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138.8</w:t>
                  </w:r>
                </w:p>
              </w:tc>
              <w:tc>
                <w:tcPr>
                  <w:tcW w:w="617" w:type="pct"/>
                  <w:tcBorders>
                    <w:tl2br w:val="nil"/>
                    <w:tr2bl w:val="nil"/>
                  </w:tcBorders>
                  <w:noWrap w:val="0"/>
                  <w:vAlign w:val="center"/>
                </w:tcPr>
                <w:p w14:paraId="3620CEA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297.68</w:t>
                  </w:r>
                </w:p>
              </w:tc>
              <w:tc>
                <w:tcPr>
                  <w:tcW w:w="1199" w:type="dxa"/>
                  <w:tcBorders>
                    <w:tl2br w:val="nil"/>
                    <w:tr2bl w:val="nil"/>
                  </w:tcBorders>
                  <w:noWrap w:val="0"/>
                  <w:vAlign w:val="center"/>
                </w:tcPr>
                <w:p w14:paraId="4E37F7A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138.8</w:t>
                  </w:r>
                </w:p>
              </w:tc>
              <w:tc>
                <w:tcPr>
                  <w:tcW w:w="687" w:type="pct"/>
                  <w:tcBorders>
                    <w:tl2br w:val="nil"/>
                    <w:tr2bl w:val="nil"/>
                  </w:tcBorders>
                  <w:noWrap w:val="0"/>
                  <w:vAlign w:val="center"/>
                </w:tcPr>
                <w:p w14:paraId="02426340">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297.68</w:t>
                  </w:r>
                </w:p>
              </w:tc>
              <w:tc>
                <w:tcPr>
                  <w:tcW w:w="1163" w:type="dxa"/>
                  <w:tcBorders>
                    <w:tl2br w:val="nil"/>
                    <w:tr2bl w:val="nil"/>
                  </w:tcBorders>
                  <w:noWrap w:val="0"/>
                  <w:vAlign w:val="center"/>
                </w:tcPr>
                <w:p w14:paraId="45D568A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158.88</w:t>
                  </w:r>
                </w:p>
              </w:tc>
            </w:tr>
            <w:tr w14:paraId="2A69D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66ADC11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highlight w:val="yellow"/>
                    </w:rPr>
                  </w:pPr>
                </w:p>
              </w:tc>
              <w:tc>
                <w:tcPr>
                  <w:tcW w:w="432" w:type="pct"/>
                  <w:vMerge w:val="continue"/>
                  <w:tcBorders>
                    <w:tl2br w:val="nil"/>
                    <w:tr2bl w:val="nil"/>
                  </w:tcBorders>
                  <w:noWrap w:val="0"/>
                  <w:vAlign w:val="center"/>
                </w:tcPr>
                <w:p w14:paraId="450B0018">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0DE5FF3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bidi="ar"/>
                    </w:rPr>
                    <w:t>不合格品</w:t>
                  </w:r>
                </w:p>
              </w:tc>
              <w:tc>
                <w:tcPr>
                  <w:tcW w:w="529" w:type="pct"/>
                  <w:tcBorders>
                    <w:tl2br w:val="nil"/>
                    <w:tr2bl w:val="nil"/>
                  </w:tcBorders>
                  <w:noWrap w:val="0"/>
                  <w:vAlign w:val="center"/>
                </w:tcPr>
                <w:p w14:paraId="5F1B715E">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356</w:t>
                  </w:r>
                </w:p>
              </w:tc>
              <w:tc>
                <w:tcPr>
                  <w:tcW w:w="617" w:type="pct"/>
                  <w:tcBorders>
                    <w:tl2br w:val="nil"/>
                    <w:tr2bl w:val="nil"/>
                  </w:tcBorders>
                  <w:noWrap w:val="0"/>
                  <w:vAlign w:val="center"/>
                </w:tcPr>
                <w:p w14:paraId="42C1648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8930.4</w:t>
                  </w:r>
                </w:p>
              </w:tc>
              <w:tc>
                <w:tcPr>
                  <w:tcW w:w="1199" w:type="dxa"/>
                  <w:tcBorders>
                    <w:tl2br w:val="nil"/>
                    <w:tr2bl w:val="nil"/>
                  </w:tcBorders>
                  <w:noWrap w:val="0"/>
                  <w:vAlign w:val="center"/>
                </w:tcPr>
                <w:p w14:paraId="39C62DFD">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356</w:t>
                  </w:r>
                </w:p>
              </w:tc>
              <w:tc>
                <w:tcPr>
                  <w:tcW w:w="687" w:type="pct"/>
                  <w:tcBorders>
                    <w:tl2br w:val="nil"/>
                    <w:tr2bl w:val="nil"/>
                  </w:tcBorders>
                  <w:noWrap w:val="0"/>
                  <w:vAlign w:val="center"/>
                </w:tcPr>
                <w:p w14:paraId="4D4182E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8930.4</w:t>
                  </w:r>
                </w:p>
              </w:tc>
              <w:tc>
                <w:tcPr>
                  <w:tcW w:w="1163" w:type="dxa"/>
                  <w:tcBorders>
                    <w:tl2br w:val="nil"/>
                    <w:tr2bl w:val="nil"/>
                  </w:tcBorders>
                  <w:noWrap w:val="0"/>
                  <w:vAlign w:val="center"/>
                </w:tcPr>
                <w:p w14:paraId="038BAC0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8574.4</w:t>
                  </w:r>
                </w:p>
              </w:tc>
            </w:tr>
            <w:tr w14:paraId="30654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32FCE09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600AC54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43255AA7">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除</w:t>
                  </w:r>
                  <w:r>
                    <w:rPr>
                      <w:rFonts w:hint="eastAsia" w:ascii="Times New Roman" w:hAnsi="Times New Roman" w:eastAsia="宋体" w:cs="Times New Roman"/>
                      <w:color w:val="auto"/>
                      <w:sz w:val="21"/>
                      <w:szCs w:val="21"/>
                      <w:lang w:eastAsia="zh-CN" w:bidi="ar"/>
                    </w:rPr>
                    <w:t>尘灰</w:t>
                  </w:r>
                </w:p>
              </w:tc>
              <w:tc>
                <w:tcPr>
                  <w:tcW w:w="529" w:type="pct"/>
                  <w:tcBorders>
                    <w:tl2br w:val="nil"/>
                    <w:tr2bl w:val="nil"/>
                  </w:tcBorders>
                  <w:noWrap w:val="0"/>
                  <w:vAlign w:val="center"/>
                </w:tcPr>
                <w:p w14:paraId="509A2AA0">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4.15</w:t>
                  </w:r>
                </w:p>
              </w:tc>
              <w:tc>
                <w:tcPr>
                  <w:tcW w:w="617" w:type="pct"/>
                  <w:tcBorders>
                    <w:tl2br w:val="nil"/>
                    <w:tr2bl w:val="nil"/>
                  </w:tcBorders>
                  <w:noWrap w:val="0"/>
                  <w:vAlign w:val="center"/>
                </w:tcPr>
                <w:p w14:paraId="20A1BDF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w:t>
                  </w:r>
                </w:p>
              </w:tc>
              <w:tc>
                <w:tcPr>
                  <w:tcW w:w="1199" w:type="dxa"/>
                  <w:tcBorders>
                    <w:tl2br w:val="nil"/>
                    <w:tr2bl w:val="nil"/>
                  </w:tcBorders>
                  <w:noWrap w:val="0"/>
                  <w:vAlign w:val="center"/>
                </w:tcPr>
                <w:p w14:paraId="2F224012">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4.15</w:t>
                  </w:r>
                </w:p>
              </w:tc>
              <w:tc>
                <w:tcPr>
                  <w:tcW w:w="687" w:type="pct"/>
                  <w:tcBorders>
                    <w:tl2br w:val="nil"/>
                    <w:tr2bl w:val="nil"/>
                  </w:tcBorders>
                  <w:noWrap w:val="0"/>
                  <w:vAlign w:val="center"/>
                </w:tcPr>
                <w:p w14:paraId="29A36B7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w:t>
                  </w:r>
                </w:p>
              </w:tc>
              <w:tc>
                <w:tcPr>
                  <w:tcW w:w="1163" w:type="dxa"/>
                  <w:tcBorders>
                    <w:tl2br w:val="nil"/>
                    <w:tr2bl w:val="nil"/>
                  </w:tcBorders>
                  <w:noWrap w:val="0"/>
                  <w:vAlign w:val="center"/>
                </w:tcPr>
                <w:p w14:paraId="1A6C207C">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77.85</w:t>
                  </w:r>
                </w:p>
              </w:tc>
            </w:tr>
            <w:tr w14:paraId="28DAF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39D7DAC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3BC592D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47C302F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8"/>
                      <w:sz w:val="21"/>
                      <w:szCs w:val="21"/>
                      <w:lang w:eastAsia="zh-CN"/>
                    </w:rPr>
                    <w:t>脱硫废渣</w:t>
                  </w:r>
                </w:p>
              </w:tc>
              <w:tc>
                <w:tcPr>
                  <w:tcW w:w="529" w:type="pct"/>
                  <w:tcBorders>
                    <w:tl2br w:val="nil"/>
                    <w:tr2bl w:val="nil"/>
                  </w:tcBorders>
                  <w:noWrap w:val="0"/>
                  <w:vAlign w:val="center"/>
                </w:tcPr>
                <w:p w14:paraId="6C93DE54">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189.42</w:t>
                  </w:r>
                </w:p>
              </w:tc>
              <w:tc>
                <w:tcPr>
                  <w:tcW w:w="617" w:type="pct"/>
                  <w:tcBorders>
                    <w:tl2br w:val="nil"/>
                    <w:tr2bl w:val="nil"/>
                  </w:tcBorders>
                  <w:noWrap w:val="0"/>
                  <w:vAlign w:val="center"/>
                </w:tcPr>
                <w:p w14:paraId="6E0F36B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414.24</w:t>
                  </w:r>
                </w:p>
              </w:tc>
              <w:tc>
                <w:tcPr>
                  <w:tcW w:w="1199" w:type="dxa"/>
                  <w:tcBorders>
                    <w:tl2br w:val="nil"/>
                    <w:tr2bl w:val="nil"/>
                  </w:tcBorders>
                  <w:noWrap w:val="0"/>
                  <w:vAlign w:val="center"/>
                </w:tcPr>
                <w:p w14:paraId="516223A6">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189.42</w:t>
                  </w:r>
                </w:p>
              </w:tc>
              <w:tc>
                <w:tcPr>
                  <w:tcW w:w="687" w:type="pct"/>
                  <w:tcBorders>
                    <w:tl2br w:val="nil"/>
                    <w:tr2bl w:val="nil"/>
                  </w:tcBorders>
                  <w:noWrap w:val="0"/>
                  <w:vAlign w:val="center"/>
                </w:tcPr>
                <w:p w14:paraId="52A39A57">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414.24</w:t>
                  </w:r>
                </w:p>
              </w:tc>
              <w:tc>
                <w:tcPr>
                  <w:tcW w:w="1163" w:type="dxa"/>
                  <w:tcBorders>
                    <w:tl2br w:val="nil"/>
                    <w:tr2bl w:val="nil"/>
                  </w:tcBorders>
                  <w:noWrap w:val="0"/>
                  <w:vAlign w:val="center"/>
                </w:tcPr>
                <w:p w14:paraId="248F8E3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224.82</w:t>
                  </w:r>
                </w:p>
              </w:tc>
            </w:tr>
            <w:tr w14:paraId="180E5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6881198F">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restart"/>
                  <w:tcBorders>
                    <w:tl2br w:val="nil"/>
                    <w:tr2bl w:val="nil"/>
                  </w:tcBorders>
                  <w:noWrap w:val="0"/>
                  <w:vAlign w:val="center"/>
                </w:tcPr>
                <w:p w14:paraId="0AB54BC9">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eastAsia="zh-CN"/>
                    </w:rPr>
                  </w:pPr>
                  <w:r>
                    <w:rPr>
                      <w:rFonts w:hint="default" w:hAnsi="Times New Roman" w:cs="Times New Roman"/>
                      <w:color w:val="auto"/>
                      <w:sz w:val="21"/>
                      <w:szCs w:val="21"/>
                      <w:lang w:eastAsia="zh-CN"/>
                    </w:rPr>
                    <w:t>危险废物</w:t>
                  </w:r>
                </w:p>
              </w:tc>
              <w:tc>
                <w:tcPr>
                  <w:tcW w:w="825" w:type="pct"/>
                  <w:tcBorders>
                    <w:tl2br w:val="nil"/>
                    <w:tr2bl w:val="nil"/>
                  </w:tcBorders>
                  <w:noWrap w:val="0"/>
                  <w:vAlign w:val="center"/>
                </w:tcPr>
                <w:p w14:paraId="2EBFFDC9">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pacing w:val="8"/>
                      <w:sz w:val="21"/>
                      <w:szCs w:val="21"/>
                      <w:lang w:eastAsia="zh-CN"/>
                    </w:rPr>
                    <w:t>废矿物油</w:t>
                  </w:r>
                </w:p>
              </w:tc>
              <w:tc>
                <w:tcPr>
                  <w:tcW w:w="529" w:type="pct"/>
                  <w:tcBorders>
                    <w:tl2br w:val="nil"/>
                    <w:tr2bl w:val="nil"/>
                  </w:tcBorders>
                  <w:noWrap w:val="0"/>
                  <w:vAlign w:val="center"/>
                </w:tcPr>
                <w:p w14:paraId="6BAE0FF8">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617" w:type="pct"/>
                  <w:tcBorders>
                    <w:tl2br w:val="nil"/>
                    <w:tr2bl w:val="nil"/>
                  </w:tcBorders>
                  <w:noWrap w:val="0"/>
                  <w:vAlign w:val="center"/>
                </w:tcPr>
                <w:p w14:paraId="7564AAD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w:t>
                  </w:r>
                </w:p>
              </w:tc>
              <w:tc>
                <w:tcPr>
                  <w:tcW w:w="1199" w:type="dxa"/>
                  <w:tcBorders>
                    <w:tl2br w:val="nil"/>
                    <w:tr2bl w:val="nil"/>
                  </w:tcBorders>
                  <w:noWrap w:val="0"/>
                  <w:vAlign w:val="center"/>
                </w:tcPr>
                <w:p w14:paraId="0E28843E">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w:t>
                  </w:r>
                </w:p>
              </w:tc>
              <w:tc>
                <w:tcPr>
                  <w:tcW w:w="687" w:type="pct"/>
                  <w:tcBorders>
                    <w:tl2br w:val="nil"/>
                    <w:tr2bl w:val="nil"/>
                  </w:tcBorders>
                  <w:noWrap w:val="0"/>
                  <w:vAlign w:val="center"/>
                </w:tcPr>
                <w:p w14:paraId="0810B01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b w:val="0"/>
                      <w:bCs w:val="0"/>
                      <w:color w:val="auto"/>
                      <w:spacing w:val="8"/>
                      <w:sz w:val="21"/>
                      <w:szCs w:val="21"/>
                      <w:lang w:val="en-US" w:eastAsia="zh-CN"/>
                    </w:rPr>
                  </w:pPr>
                  <w:r>
                    <w:rPr>
                      <w:rFonts w:hint="eastAsia" w:ascii="Times New Roman" w:hAnsi="Times New Roman" w:eastAsia="宋体" w:cs="Times New Roman"/>
                      <w:b w:val="0"/>
                      <w:bCs w:val="0"/>
                      <w:color w:val="auto"/>
                      <w:spacing w:val="8"/>
                      <w:sz w:val="21"/>
                      <w:szCs w:val="21"/>
                      <w:lang w:val="en-US" w:eastAsia="zh-CN"/>
                    </w:rPr>
                    <w:t>0.8</w:t>
                  </w:r>
                </w:p>
              </w:tc>
              <w:tc>
                <w:tcPr>
                  <w:tcW w:w="1163" w:type="dxa"/>
                  <w:tcBorders>
                    <w:tl2br w:val="nil"/>
                    <w:tr2bl w:val="nil"/>
                  </w:tcBorders>
                  <w:noWrap w:val="0"/>
                  <w:vAlign w:val="center"/>
                </w:tcPr>
                <w:p w14:paraId="6905F9B3">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+0.4</w:t>
                  </w:r>
                </w:p>
              </w:tc>
            </w:tr>
            <w:tr w14:paraId="25A62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3F52C23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432" w:type="pct"/>
                  <w:vMerge w:val="continue"/>
                  <w:tcBorders>
                    <w:tl2br w:val="nil"/>
                    <w:tr2bl w:val="nil"/>
                  </w:tcBorders>
                  <w:noWrap w:val="0"/>
                  <w:vAlign w:val="center"/>
                </w:tcPr>
                <w:p w14:paraId="2B1924A2">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825" w:type="pct"/>
                  <w:tcBorders>
                    <w:tl2br w:val="nil"/>
                    <w:tr2bl w:val="nil"/>
                  </w:tcBorders>
                  <w:noWrap w:val="0"/>
                  <w:vAlign w:val="center"/>
                </w:tcPr>
                <w:p w14:paraId="21E142DB">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bottom"/>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bidi="ar"/>
                    </w:rPr>
                    <w:t>废油桶</w:t>
                  </w:r>
                </w:p>
              </w:tc>
              <w:tc>
                <w:tcPr>
                  <w:tcW w:w="529" w:type="pct"/>
                  <w:tcBorders>
                    <w:tl2br w:val="nil"/>
                    <w:tr2bl w:val="nil"/>
                  </w:tcBorders>
                  <w:noWrap w:val="0"/>
                  <w:vAlign w:val="center"/>
                </w:tcPr>
                <w:p w14:paraId="6B79CA5E">
                  <w:pPr>
                    <w:keepNext w:val="0"/>
                    <w:keepLines w:val="0"/>
                    <w:pageBreakBefore w:val="0"/>
                    <w:widowControl w:val="0"/>
                    <w:kinsoku/>
                    <w:wordWrap/>
                    <w:overflowPunct/>
                    <w:topLinePunct w:val="0"/>
                    <w:autoSpaceDE/>
                    <w:autoSpaceDN/>
                    <w:bidi w:val="0"/>
                    <w:adjustRightInd w:val="0"/>
                    <w:snapToGrid w:val="0"/>
                    <w:spacing w:beforeLines="0" w:afterLines="0"/>
                    <w:ind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617" w:type="pct"/>
                  <w:tcBorders>
                    <w:tl2br w:val="nil"/>
                    <w:tr2bl w:val="nil"/>
                  </w:tcBorders>
                  <w:noWrap w:val="0"/>
                  <w:vAlign w:val="center"/>
                </w:tcPr>
                <w:p w14:paraId="5FE2AEC5">
                  <w:pPr>
                    <w:pStyle w:val="4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0.5</w:t>
                  </w:r>
                </w:p>
              </w:tc>
              <w:tc>
                <w:tcPr>
                  <w:tcW w:w="1199" w:type="dxa"/>
                  <w:tcBorders>
                    <w:tl2br w:val="nil"/>
                    <w:tr2bl w:val="nil"/>
                  </w:tcBorders>
                  <w:noWrap w:val="0"/>
                  <w:vAlign w:val="center"/>
                </w:tcPr>
                <w:p w14:paraId="6028096B">
                  <w:pPr>
                    <w:keepNext w:val="0"/>
                    <w:keepLines w:val="0"/>
                    <w:pageBreakBefore w:val="0"/>
                    <w:widowControl w:val="0"/>
                    <w:kinsoku/>
                    <w:wordWrap/>
                    <w:overflowPunct/>
                    <w:topLinePunct w:val="0"/>
                    <w:autoSpaceDE/>
                    <w:autoSpaceDN/>
                    <w:bidi w:val="0"/>
                    <w:adjustRightInd w:val="0"/>
                    <w:snapToGrid w:val="0"/>
                    <w:spacing w:beforeLines="0" w:afterLines="0"/>
                    <w:ind w:firstLineChars="0"/>
                    <w:jc w:val="center"/>
                    <w:textAlignment w:val="bottom"/>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0.25</w:t>
                  </w:r>
                </w:p>
              </w:tc>
              <w:tc>
                <w:tcPr>
                  <w:tcW w:w="687" w:type="pct"/>
                  <w:tcBorders>
                    <w:tl2br w:val="nil"/>
                    <w:tr2bl w:val="nil"/>
                  </w:tcBorders>
                  <w:noWrap w:val="0"/>
                  <w:vAlign w:val="center"/>
                </w:tcPr>
                <w:p w14:paraId="0A792EC7">
                  <w:pPr>
                    <w:pStyle w:val="4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b w:val="0"/>
                      <w:bCs w:val="0"/>
                      <w:color w:val="auto"/>
                      <w:spacing w:val="8"/>
                      <w:sz w:val="21"/>
                      <w:szCs w:val="21"/>
                      <w:lang w:val="en-US" w:eastAsia="zh-CN"/>
                    </w:rPr>
                  </w:pPr>
                  <w:r>
                    <w:rPr>
                      <w:rFonts w:hint="eastAsia" w:ascii="Times New Roman" w:hAnsi="Times New Roman" w:cs="Times New Roman"/>
                      <w:b w:val="0"/>
                      <w:bCs w:val="0"/>
                      <w:color w:val="auto"/>
                      <w:spacing w:val="8"/>
                      <w:sz w:val="21"/>
                      <w:szCs w:val="21"/>
                      <w:lang w:val="en-US" w:eastAsia="zh-CN"/>
                    </w:rPr>
                    <w:t>0.5</w:t>
                  </w:r>
                </w:p>
              </w:tc>
              <w:tc>
                <w:tcPr>
                  <w:tcW w:w="1163" w:type="dxa"/>
                  <w:tcBorders>
                    <w:tl2br w:val="nil"/>
                    <w:tr2bl w:val="nil"/>
                  </w:tcBorders>
                  <w:noWrap w:val="0"/>
                  <w:vAlign w:val="center"/>
                </w:tcPr>
                <w:p w14:paraId="6B7DF54A">
                  <w:pPr>
                    <w:pStyle w:val="4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+0.25</w:t>
                  </w:r>
                </w:p>
              </w:tc>
            </w:tr>
            <w:tr w14:paraId="461DA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noWrap w:val="0"/>
                  <w:vAlign w:val="center"/>
                </w:tcPr>
                <w:p w14:paraId="64049E5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p>
              </w:tc>
              <w:tc>
                <w:tcPr>
                  <w:tcW w:w="1258" w:type="pct"/>
                  <w:gridSpan w:val="2"/>
                  <w:tcBorders>
                    <w:tl2br w:val="nil"/>
                    <w:tr2bl w:val="nil"/>
                  </w:tcBorders>
                  <w:noWrap w:val="0"/>
                  <w:vAlign w:val="center"/>
                </w:tcPr>
                <w:p w14:paraId="4BB90110">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cs="Times New Roman"/>
                      <w:color w:val="auto"/>
                      <w:sz w:val="21"/>
                      <w:szCs w:val="21"/>
                    </w:rPr>
                  </w:pPr>
                  <w:r>
                    <w:rPr>
                      <w:rFonts w:hint="default" w:hAnsi="Times New Roman" w:cs="Times New Roman"/>
                      <w:color w:val="auto"/>
                      <w:sz w:val="21"/>
                      <w:szCs w:val="21"/>
                    </w:rPr>
                    <w:t>生活垃圾</w:t>
                  </w:r>
                </w:p>
              </w:tc>
              <w:tc>
                <w:tcPr>
                  <w:tcW w:w="529" w:type="pct"/>
                  <w:tcBorders>
                    <w:tl2br w:val="nil"/>
                    <w:tr2bl w:val="nil"/>
                  </w:tcBorders>
                  <w:noWrap w:val="0"/>
                  <w:vAlign w:val="center"/>
                </w:tcPr>
                <w:p w14:paraId="119F6FA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617" w:type="pct"/>
                  <w:tcBorders>
                    <w:tl2br w:val="nil"/>
                    <w:tr2bl w:val="nil"/>
                  </w:tcBorders>
                  <w:noWrap w:val="0"/>
                  <w:vAlign w:val="center"/>
                </w:tcPr>
                <w:p w14:paraId="68A955DC">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.3</w:t>
                  </w:r>
                </w:p>
              </w:tc>
              <w:tc>
                <w:tcPr>
                  <w:tcW w:w="716" w:type="pct"/>
                  <w:tcBorders>
                    <w:tl2br w:val="nil"/>
                    <w:tr2bl w:val="nil"/>
                  </w:tcBorders>
                  <w:noWrap w:val="0"/>
                  <w:vAlign w:val="center"/>
                </w:tcPr>
                <w:p w14:paraId="5013D6A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687" w:type="pct"/>
                  <w:tcBorders>
                    <w:tl2br w:val="nil"/>
                    <w:tr2bl w:val="nil"/>
                  </w:tcBorders>
                  <w:noWrap w:val="0"/>
                  <w:vAlign w:val="center"/>
                </w:tcPr>
                <w:p w14:paraId="6A587911">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.3</w:t>
                  </w:r>
                </w:p>
              </w:tc>
              <w:tc>
                <w:tcPr>
                  <w:tcW w:w="1163" w:type="dxa"/>
                  <w:tcBorders>
                    <w:tl2br w:val="nil"/>
                    <w:tr2bl w:val="nil"/>
                  </w:tcBorders>
                  <w:noWrap w:val="0"/>
                  <w:vAlign w:val="center"/>
                </w:tcPr>
                <w:p w14:paraId="4562FB3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1.2</w:t>
                  </w:r>
                </w:p>
              </w:tc>
            </w:tr>
          </w:tbl>
          <w:p w14:paraId="6F78AC21">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w:t>
            </w:r>
            <w:r>
              <w:rPr>
                <w:rFonts w:hint="eastAsia" w:cs="Times New Roman"/>
                <w:b/>
                <w:bCs w:val="0"/>
                <w:color w:val="auto"/>
                <w:kern w:val="2"/>
                <w:sz w:val="24"/>
                <w:szCs w:val="24"/>
                <w:highlight w:val="none"/>
                <w:lang w:val="en-US" w:eastAsia="zh-CN" w:bidi="ar-SA"/>
              </w:rPr>
              <w:t>9</w:t>
            </w:r>
            <w:r>
              <w:rPr>
                <w:rFonts w:hint="eastAsia" w:ascii="Times New Roman" w:hAnsi="Times New Roman" w:eastAsia="宋体" w:cs="Times New Roman"/>
                <w:b/>
                <w:bCs w:val="0"/>
                <w:color w:val="auto"/>
                <w:kern w:val="2"/>
                <w:sz w:val="24"/>
                <w:szCs w:val="24"/>
                <w:highlight w:val="none"/>
                <w:lang w:val="en-US" w:eastAsia="zh-CN" w:bidi="ar-SA"/>
              </w:rPr>
              <w:t>环保投资</w:t>
            </w:r>
          </w:p>
          <w:p w14:paraId="59D242B0">
            <w:pPr>
              <w:keepNext w:val="0"/>
              <w:keepLines w:val="0"/>
              <w:pageBreakBefore w:val="0"/>
              <w:widowControl w:val="0"/>
              <w:kinsoku/>
              <w:wordWrap/>
              <w:overflowPunct/>
              <w:topLinePunct w:val="0"/>
              <w:autoSpaceDE/>
              <w:autoSpaceDN/>
              <w:bidi w:val="0"/>
              <w:adjustRightInd/>
              <w:snapToGrid/>
              <w:spacing w:line="480" w:lineRule="exact"/>
              <w:ind w:firstLine="482"/>
              <w:jc w:val="both"/>
              <w:textAlignment w:val="bottom"/>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本项目总投资为</w:t>
            </w:r>
            <w:r>
              <w:rPr>
                <w:rFonts w:hint="eastAsia" w:ascii="Times New Roman" w:hAnsi="Times New Roman" w:eastAsia="宋体"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00</w:t>
            </w:r>
            <w:r>
              <w:rPr>
                <w:rFonts w:hint="default" w:ascii="Times New Roman" w:hAnsi="Times New Roman" w:eastAsia="宋体" w:cs="Times New Roman"/>
                <w:b w:val="0"/>
                <w:bCs/>
                <w:color w:val="auto"/>
                <w:kern w:val="2"/>
                <w:sz w:val="24"/>
                <w:szCs w:val="24"/>
                <w:highlight w:val="none"/>
                <w:lang w:val="en-US" w:eastAsia="zh-CN" w:bidi="ar-SA"/>
              </w:rPr>
              <w:t>万元，其中环保投资</w:t>
            </w:r>
            <w:r>
              <w:rPr>
                <w:rFonts w:hint="eastAsia" w:cs="Times New Roman"/>
                <w:b w:val="0"/>
                <w:bCs/>
                <w:color w:val="auto"/>
                <w:kern w:val="2"/>
                <w:sz w:val="24"/>
                <w:szCs w:val="24"/>
                <w:highlight w:val="none"/>
                <w:lang w:val="en-US" w:eastAsia="zh-CN" w:bidi="ar-SA"/>
              </w:rPr>
              <w:t>42</w:t>
            </w:r>
            <w:r>
              <w:rPr>
                <w:rFonts w:hint="default" w:ascii="Times New Roman" w:hAnsi="Times New Roman" w:eastAsia="宋体" w:cs="Times New Roman"/>
                <w:b w:val="0"/>
                <w:bCs/>
                <w:color w:val="auto"/>
                <w:kern w:val="2"/>
                <w:sz w:val="24"/>
                <w:szCs w:val="24"/>
                <w:highlight w:val="none"/>
                <w:lang w:val="en-US" w:eastAsia="zh-CN" w:bidi="ar-SA"/>
              </w:rPr>
              <w:t>万元，占总投资的</w:t>
            </w:r>
            <w:r>
              <w:rPr>
                <w:rFonts w:hint="eastAsia" w:cs="Times New Roman"/>
                <w:b w:val="0"/>
                <w:bCs/>
                <w:color w:val="auto"/>
                <w:kern w:val="2"/>
                <w:sz w:val="24"/>
                <w:szCs w:val="24"/>
                <w:highlight w:val="none"/>
                <w:lang w:val="en-US" w:eastAsia="zh-CN" w:bidi="ar-SA"/>
              </w:rPr>
              <w:t>4.2</w:t>
            </w:r>
            <w:r>
              <w:rPr>
                <w:rFonts w:hint="default" w:ascii="Times New Roman" w:hAnsi="Times New Roman" w:eastAsia="宋体" w:cs="Times New Roman"/>
                <w:b w:val="0"/>
                <w:bCs/>
                <w:color w:val="auto"/>
                <w:kern w:val="2"/>
                <w:sz w:val="24"/>
                <w:szCs w:val="24"/>
                <w:highlight w:val="none"/>
                <w:lang w:val="en-US" w:eastAsia="zh-CN" w:bidi="ar-SA"/>
              </w:rPr>
              <w:t>%。环保投资情况见下表。</w:t>
            </w:r>
          </w:p>
          <w:p w14:paraId="62271986">
            <w:pPr>
              <w:pStyle w:val="31"/>
              <w:keepNext w:val="0"/>
              <w:keepLines w:val="0"/>
              <w:pageBreakBefore w:val="0"/>
              <w:kinsoku/>
              <w:wordWrap/>
              <w:overflowPunct/>
              <w:topLinePunct w:val="0"/>
              <w:bidi w:val="0"/>
              <w:snapToGrid/>
              <w:spacing w:line="480" w:lineRule="exact"/>
              <w:jc w:val="center"/>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4-31</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环保投资估算一览表</w:t>
            </w:r>
          </w:p>
          <w:tbl>
            <w:tblPr>
              <w:tblStyle w:val="24"/>
              <w:tblW w:w="8543"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830"/>
              <w:gridCol w:w="4584"/>
              <w:gridCol w:w="1098"/>
            </w:tblGrid>
            <w:tr w14:paraId="3127E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555162F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bCs/>
                      <w:color w:val="auto"/>
                      <w:spacing w:val="-3"/>
                      <w:sz w:val="21"/>
                      <w:szCs w:val="21"/>
                      <w:highlight w:val="none"/>
                      <w:lang w:val="en-US" w:eastAsia="zh-CN"/>
                    </w:rPr>
                  </w:pPr>
                  <w:r>
                    <w:rPr>
                      <w:rFonts w:hint="eastAsia" w:ascii="Times New Roman" w:hAnsi="Times New Roman" w:eastAsia="宋体" w:cs="Times New Roman"/>
                      <w:b/>
                      <w:bCs/>
                      <w:color w:val="auto"/>
                      <w:spacing w:val="-3"/>
                      <w:sz w:val="21"/>
                      <w:szCs w:val="21"/>
                      <w:highlight w:val="none"/>
                      <w:lang w:val="en-US" w:eastAsia="zh-CN"/>
                    </w:rPr>
                    <w:t>类别</w:t>
                  </w:r>
                </w:p>
              </w:tc>
              <w:tc>
                <w:tcPr>
                  <w:tcW w:w="1830" w:type="dxa"/>
                  <w:tcBorders>
                    <w:tl2br w:val="nil"/>
                    <w:tr2bl w:val="nil"/>
                  </w:tcBorders>
                  <w:noWrap w:val="0"/>
                  <w:vAlign w:val="center"/>
                </w:tcPr>
                <w:p w14:paraId="0E403CB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bCs/>
                      <w:color w:val="auto"/>
                      <w:spacing w:val="-3"/>
                      <w:sz w:val="21"/>
                      <w:szCs w:val="21"/>
                      <w:highlight w:val="none"/>
                      <w:lang w:val="en-US" w:eastAsia="zh-CN"/>
                    </w:rPr>
                  </w:pPr>
                  <w:r>
                    <w:rPr>
                      <w:rFonts w:hint="eastAsia" w:ascii="Times New Roman" w:hAnsi="Times New Roman" w:eastAsia="宋体" w:cs="Times New Roman"/>
                      <w:b/>
                      <w:bCs/>
                      <w:color w:val="auto"/>
                      <w:spacing w:val="-3"/>
                      <w:sz w:val="21"/>
                      <w:szCs w:val="21"/>
                      <w:highlight w:val="none"/>
                      <w:lang w:val="en-US" w:eastAsia="zh-CN"/>
                    </w:rPr>
                    <w:t>污染物</w:t>
                  </w:r>
                </w:p>
              </w:tc>
              <w:tc>
                <w:tcPr>
                  <w:tcW w:w="4584" w:type="dxa"/>
                  <w:tcBorders>
                    <w:tl2br w:val="nil"/>
                    <w:tr2bl w:val="nil"/>
                  </w:tcBorders>
                  <w:noWrap w:val="0"/>
                  <w:vAlign w:val="center"/>
                </w:tcPr>
                <w:p w14:paraId="3B62BF76">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3"/>
                      <w:sz w:val="21"/>
                      <w:szCs w:val="21"/>
                      <w:highlight w:val="none"/>
                      <w:lang w:val="en-US" w:eastAsia="zh-CN"/>
                    </w:rPr>
                  </w:pPr>
                  <w:r>
                    <w:rPr>
                      <w:rFonts w:hint="eastAsia" w:ascii="Times New Roman" w:hAnsi="Times New Roman" w:eastAsia="宋体" w:cs="Times New Roman"/>
                      <w:b/>
                      <w:bCs/>
                      <w:color w:val="auto"/>
                      <w:spacing w:val="-3"/>
                      <w:sz w:val="21"/>
                      <w:szCs w:val="21"/>
                      <w:highlight w:val="none"/>
                      <w:lang w:val="en-US" w:eastAsia="zh-CN"/>
                    </w:rPr>
                    <w:t>治理措施</w:t>
                  </w:r>
                </w:p>
              </w:tc>
              <w:tc>
                <w:tcPr>
                  <w:tcW w:w="1098" w:type="dxa"/>
                  <w:tcBorders>
                    <w:tl2br w:val="nil"/>
                    <w:tr2bl w:val="nil"/>
                  </w:tcBorders>
                  <w:noWrap w:val="0"/>
                  <w:vAlign w:val="center"/>
                </w:tcPr>
                <w:p w14:paraId="4434C38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3"/>
                      <w:sz w:val="21"/>
                      <w:szCs w:val="21"/>
                      <w:highlight w:val="none"/>
                      <w:lang w:val="en-US" w:eastAsia="zh-CN"/>
                    </w:rPr>
                  </w:pPr>
                  <w:r>
                    <w:rPr>
                      <w:rFonts w:hint="eastAsia" w:ascii="Times New Roman" w:hAnsi="Times New Roman" w:eastAsia="宋体" w:cs="Times New Roman"/>
                      <w:b/>
                      <w:bCs/>
                      <w:color w:val="auto"/>
                      <w:spacing w:val="-3"/>
                      <w:sz w:val="21"/>
                      <w:szCs w:val="21"/>
                      <w:highlight w:val="none"/>
                      <w:lang w:val="en-US" w:eastAsia="zh-CN"/>
                    </w:rPr>
                    <w:t>环保投资（万元）</w:t>
                  </w:r>
                </w:p>
              </w:tc>
            </w:tr>
            <w:tr w14:paraId="3983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3838EF7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大气污染</w:t>
                  </w:r>
                </w:p>
              </w:tc>
              <w:tc>
                <w:tcPr>
                  <w:tcW w:w="1830" w:type="dxa"/>
                  <w:tcBorders>
                    <w:tl2br w:val="nil"/>
                    <w:tr2bl w:val="nil"/>
                  </w:tcBorders>
                  <w:noWrap w:val="0"/>
                  <w:vAlign w:val="center"/>
                </w:tcPr>
                <w:p w14:paraId="0DA337E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物料堆存、装卸粉尘</w:t>
                  </w:r>
                </w:p>
              </w:tc>
              <w:tc>
                <w:tcPr>
                  <w:tcW w:w="4584" w:type="dxa"/>
                  <w:tcBorders>
                    <w:tl2br w:val="nil"/>
                    <w:tr2bl w:val="nil"/>
                  </w:tcBorders>
                  <w:noWrap w:val="0"/>
                  <w:vAlign w:val="center"/>
                </w:tcPr>
                <w:p w14:paraId="334A0E3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①全封闭原料库，地面硬化，顶部配套建设覆盖该全场的喷淋洒水装置，以及1台移动式雾炮机。原料全部储存其内，不得露天堆放。②物料装卸装卸必须在封闭原料库内进行，必须固定装卸位；卸车时开启喷雾抑尘设施；③厂区出入口设置洗车平台，对进出厂区的车辆车身及轮胎进行冲洗；④厂区地面粉尘要及时清理，保持原料堆场周边整洁、干净，减少二次扬尘</w:t>
                  </w:r>
                </w:p>
              </w:tc>
              <w:tc>
                <w:tcPr>
                  <w:tcW w:w="1098" w:type="dxa"/>
                  <w:tcBorders>
                    <w:tl2br w:val="nil"/>
                    <w:tr2bl w:val="nil"/>
                  </w:tcBorders>
                  <w:noWrap w:val="0"/>
                  <w:vAlign w:val="center"/>
                </w:tcPr>
                <w:p w14:paraId="08029CB3">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5</w:t>
                  </w:r>
                </w:p>
              </w:tc>
            </w:tr>
            <w:tr w14:paraId="20F03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3349D7E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2F87CEE4">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破碎、筛分工序粉尘</w:t>
                  </w:r>
                </w:p>
              </w:tc>
              <w:tc>
                <w:tcPr>
                  <w:tcW w:w="4584" w:type="dxa"/>
                  <w:tcBorders>
                    <w:tl2br w:val="nil"/>
                    <w:tr2bl w:val="nil"/>
                  </w:tcBorders>
                  <w:noWrap w:val="0"/>
                  <w:vAlign w:val="center"/>
                </w:tcPr>
                <w:p w14:paraId="548387E0">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z w:val="21"/>
                      <w:szCs w:val="21"/>
                      <w:highlight w:val="none"/>
                      <w:lang w:val="en-US" w:eastAsia="zh-CN"/>
                    </w:rPr>
                    <w:t>在破碎、</w:t>
                  </w:r>
                  <w:r>
                    <w:rPr>
                      <w:rFonts w:hint="eastAsia" w:ascii="Times New Roman" w:hAnsi="Times New Roman" w:eastAsia="宋体"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val="en-US" w:eastAsia="zh-CN"/>
                    </w:rPr>
                    <w:t>处设置集尘罩，</w:t>
                  </w:r>
                  <w:r>
                    <w:rPr>
                      <w:rFonts w:hint="eastAsia" w:ascii="Times New Roman" w:hAnsi="Times New Roman" w:eastAsia="宋体" w:cs="Times New Roman"/>
                      <w:color w:val="auto"/>
                      <w:sz w:val="21"/>
                      <w:szCs w:val="21"/>
                      <w:highlight w:val="none"/>
                      <w:lang w:val="en-US" w:eastAsia="zh-CN"/>
                    </w:rPr>
                    <w:t>产生的颗粒物通过布袋除尘器处理+1根15m高排气筒排放</w:t>
                  </w:r>
                </w:p>
              </w:tc>
              <w:tc>
                <w:tcPr>
                  <w:tcW w:w="1098" w:type="dxa"/>
                  <w:tcBorders>
                    <w:tl2br w:val="nil"/>
                    <w:tr2bl w:val="nil"/>
                  </w:tcBorders>
                  <w:noWrap w:val="0"/>
                  <w:vAlign w:val="center"/>
                </w:tcPr>
                <w:p w14:paraId="6A6F9D03">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54B51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0F9A70B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283C358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炉窑焙烧废气</w:t>
                  </w:r>
                </w:p>
              </w:tc>
              <w:tc>
                <w:tcPr>
                  <w:tcW w:w="4584" w:type="dxa"/>
                  <w:tcBorders>
                    <w:tl2br w:val="nil"/>
                    <w:tr2bl w:val="nil"/>
                  </w:tcBorders>
                  <w:noWrap w:val="0"/>
                  <w:vAlign w:val="center"/>
                </w:tcPr>
                <w:p w14:paraId="0DE8F94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宋体" w:eastAsia="宋体" w:cs="宋体"/>
                      <w:bCs/>
                      <w:color w:val="auto"/>
                      <w:kern w:val="2"/>
                      <w:sz w:val="21"/>
                      <w:szCs w:val="21"/>
                      <w:highlight w:val="none"/>
                      <w:lang w:val="en-US" w:eastAsia="zh-CN" w:bidi="ar-SA"/>
                    </w:rPr>
                    <w:t>隧道窑焙烧段烟气经</w:t>
                  </w:r>
                  <w:r>
                    <w:rPr>
                      <w:rFonts w:hint="default" w:ascii="Times New Roman" w:hAnsi="宋体" w:eastAsia="宋体" w:cs="宋体"/>
                      <w:bCs/>
                      <w:color w:val="auto"/>
                      <w:kern w:val="2"/>
                      <w:sz w:val="21"/>
                      <w:szCs w:val="21"/>
                      <w:highlight w:val="none"/>
                      <w:lang w:val="en-US" w:eastAsia="zh-CN" w:bidi="ar-SA"/>
                    </w:rPr>
                    <w:t>1</w:t>
                  </w:r>
                  <w:r>
                    <w:rPr>
                      <w:rFonts w:hint="eastAsia" w:ascii="Times New Roman" w:hAnsi="宋体" w:eastAsia="宋体" w:cs="宋体"/>
                      <w:bCs/>
                      <w:color w:val="auto"/>
                      <w:kern w:val="2"/>
                      <w:sz w:val="21"/>
                      <w:szCs w:val="21"/>
                      <w:highlight w:val="none"/>
                      <w:lang w:val="en-US" w:eastAsia="zh-CN" w:bidi="ar-SA"/>
                    </w:rPr>
                    <w:t>套SNCR脱硝+双碱法脱硫+湿电除尘器处理后经</w:t>
                  </w:r>
                  <w:r>
                    <w:rPr>
                      <w:rFonts w:hint="default" w:ascii="Times New Roman" w:hAnsi="宋体" w:eastAsia="宋体" w:cs="宋体"/>
                      <w:bCs/>
                      <w:color w:val="auto"/>
                      <w:kern w:val="2"/>
                      <w:sz w:val="21"/>
                      <w:szCs w:val="21"/>
                      <w:highlight w:val="none"/>
                      <w:lang w:val="en-US" w:eastAsia="zh-CN" w:bidi="ar-SA"/>
                    </w:rPr>
                    <w:t>1</w:t>
                  </w:r>
                  <w:r>
                    <w:rPr>
                      <w:rFonts w:hint="eastAsia" w:ascii="Times New Roman" w:hAnsi="宋体" w:eastAsia="宋体" w:cs="宋体"/>
                      <w:bCs/>
                      <w:color w:val="auto"/>
                      <w:kern w:val="2"/>
                      <w:sz w:val="21"/>
                      <w:szCs w:val="21"/>
                      <w:highlight w:val="none"/>
                      <w:lang w:val="en-US" w:eastAsia="zh-CN" w:bidi="ar-SA"/>
                    </w:rPr>
                    <w:t>根</w:t>
                  </w:r>
                  <w:r>
                    <w:rPr>
                      <w:rFonts w:hint="eastAsia" w:ascii="Times New Roman" w:cs="宋体"/>
                      <w:bCs/>
                      <w:color w:val="auto"/>
                      <w:kern w:val="2"/>
                      <w:sz w:val="21"/>
                      <w:szCs w:val="21"/>
                      <w:highlight w:val="none"/>
                      <w:lang w:val="en-US" w:eastAsia="zh-CN" w:bidi="ar-SA"/>
                    </w:rPr>
                    <w:t>32</w:t>
                  </w:r>
                  <w:r>
                    <w:rPr>
                      <w:rFonts w:hint="default" w:ascii="Times New Roman" w:hAnsi="宋体" w:eastAsia="宋体" w:cs="宋体"/>
                      <w:bCs/>
                      <w:color w:val="auto"/>
                      <w:kern w:val="2"/>
                      <w:sz w:val="21"/>
                      <w:szCs w:val="21"/>
                      <w:highlight w:val="none"/>
                      <w:lang w:val="en-US" w:eastAsia="zh-CN" w:bidi="ar-SA"/>
                    </w:rPr>
                    <w:t>m</w:t>
                  </w:r>
                  <w:r>
                    <w:rPr>
                      <w:rFonts w:hint="eastAsia" w:ascii="Times New Roman" w:hAnsi="宋体" w:eastAsia="宋体" w:cs="宋体"/>
                      <w:bCs/>
                      <w:color w:val="auto"/>
                      <w:kern w:val="2"/>
                      <w:sz w:val="21"/>
                      <w:szCs w:val="21"/>
                      <w:highlight w:val="none"/>
                      <w:lang w:val="en-US" w:eastAsia="zh-CN" w:bidi="ar-SA"/>
                    </w:rPr>
                    <w:t>高排气筒排放，</w:t>
                  </w:r>
                  <w:r>
                    <w:rPr>
                      <w:rFonts w:hint="default" w:ascii="Times New Roman" w:hAnsi="Times New Roman" w:eastAsia="宋体" w:cs="Times New Roman"/>
                      <w:color w:val="auto"/>
                      <w:sz w:val="21"/>
                      <w:szCs w:val="21"/>
                      <w:highlight w:val="none"/>
                      <w:lang w:eastAsia="zh-CN"/>
                    </w:rPr>
                    <w:t>排气筒设置在线监测装置</w:t>
                  </w:r>
                </w:p>
              </w:tc>
              <w:tc>
                <w:tcPr>
                  <w:tcW w:w="1098" w:type="dxa"/>
                  <w:tcBorders>
                    <w:tl2br w:val="nil"/>
                    <w:tr2bl w:val="nil"/>
                  </w:tcBorders>
                  <w:noWrap w:val="0"/>
                  <w:vAlign w:val="center"/>
                </w:tcPr>
                <w:p w14:paraId="5647B2E3">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25</w:t>
                  </w:r>
                </w:p>
              </w:tc>
            </w:tr>
            <w:tr w14:paraId="435F5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31CE319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7C508A4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道路运输扬尘</w:t>
                  </w:r>
                </w:p>
              </w:tc>
              <w:tc>
                <w:tcPr>
                  <w:tcW w:w="4584" w:type="dxa"/>
                  <w:tcBorders>
                    <w:tl2br w:val="nil"/>
                    <w:tr2bl w:val="nil"/>
                  </w:tcBorders>
                  <w:noWrap w:val="0"/>
                  <w:vAlign w:val="center"/>
                </w:tcPr>
                <w:p w14:paraId="6E5AA04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宋体" w:eastAsia="宋体" w:cs="宋体"/>
                      <w:bCs/>
                      <w:color w:val="auto"/>
                      <w:kern w:val="2"/>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①厂内运输道路</w:t>
                  </w:r>
                  <w:r>
                    <w:rPr>
                      <w:rFonts w:hint="eastAsia" w:ascii="Times New Roman" w:hAnsi="Times New Roman" w:cs="Times New Roman"/>
                      <w:snapToGrid w:val="0"/>
                      <w:color w:val="auto"/>
                      <w:kern w:val="0"/>
                      <w:sz w:val="21"/>
                      <w:szCs w:val="21"/>
                      <w:highlight w:val="none"/>
                      <w:lang w:val="en-US" w:eastAsia="zh-CN" w:bidi="ar-SA"/>
                    </w:rPr>
                    <w:t>硬化和</w:t>
                  </w:r>
                  <w:r>
                    <w:rPr>
                      <w:rFonts w:hint="default" w:ascii="Times New Roman" w:hAnsi="Times New Roman" w:cs="Times New Roman"/>
                      <w:snapToGrid w:val="0"/>
                      <w:color w:val="auto"/>
                      <w:kern w:val="0"/>
                      <w:sz w:val="21"/>
                      <w:szCs w:val="21"/>
                      <w:highlight w:val="none"/>
                      <w:lang w:val="en-US" w:eastAsia="zh-CN" w:bidi="ar-SA"/>
                    </w:rPr>
                    <w:t>洒水</w:t>
                  </w:r>
                  <w:r>
                    <w:rPr>
                      <w:rFonts w:hint="eastAsia" w:ascii="Times New Roman" w:hAnsi="Times New Roman" w:cs="Times New Roman"/>
                      <w:snapToGrid w:val="0"/>
                      <w:color w:val="auto"/>
                      <w:kern w:val="0"/>
                      <w:sz w:val="21"/>
                      <w:szCs w:val="21"/>
                      <w:highlight w:val="none"/>
                      <w:lang w:val="en-US" w:eastAsia="zh-CN" w:bidi="ar-SA"/>
                    </w:rPr>
                    <w:t>抑尘</w:t>
                  </w:r>
                  <w:r>
                    <w:rPr>
                      <w:rFonts w:hint="default" w:ascii="Times New Roman" w:hAnsi="Times New Roman" w:cs="Times New Roman"/>
                      <w:snapToGrid w:val="0"/>
                      <w:color w:val="auto"/>
                      <w:kern w:val="0"/>
                      <w:sz w:val="21"/>
                      <w:szCs w:val="21"/>
                      <w:highlight w:val="none"/>
                      <w:lang w:val="en-US" w:eastAsia="zh-CN" w:bidi="ar-SA"/>
                    </w:rPr>
                    <w:t>；②</w:t>
                  </w:r>
                  <w:r>
                    <w:rPr>
                      <w:rFonts w:hint="eastAsia" w:ascii="Times New Roman" w:hAnsi="Times New Roman" w:cs="Times New Roman"/>
                      <w:snapToGrid w:val="0"/>
                      <w:color w:val="auto"/>
                      <w:kern w:val="0"/>
                      <w:sz w:val="21"/>
                      <w:szCs w:val="21"/>
                      <w:highlight w:val="none"/>
                      <w:lang w:val="en-US" w:eastAsia="zh-CN" w:bidi="ar-SA"/>
                    </w:rPr>
                    <w:t>块状</w:t>
                  </w:r>
                  <w:r>
                    <w:rPr>
                      <w:rFonts w:hint="default" w:ascii="Times New Roman" w:hAnsi="Times New Roman" w:cs="Times New Roman"/>
                      <w:snapToGrid w:val="0"/>
                      <w:color w:val="auto"/>
                      <w:kern w:val="0"/>
                      <w:sz w:val="21"/>
                      <w:szCs w:val="21"/>
                      <w:highlight w:val="none"/>
                      <w:lang w:val="en-US" w:eastAsia="zh-CN" w:bidi="ar-SA"/>
                    </w:rPr>
                    <w:t>物料</w:t>
                  </w:r>
                  <w:r>
                    <w:rPr>
                      <w:rFonts w:hint="eastAsia" w:ascii="Times New Roman" w:hAnsi="Times New Roman" w:cs="Times New Roman"/>
                      <w:snapToGrid w:val="0"/>
                      <w:color w:val="auto"/>
                      <w:kern w:val="0"/>
                      <w:sz w:val="21"/>
                      <w:szCs w:val="21"/>
                      <w:highlight w:val="none"/>
                      <w:lang w:val="en-US" w:eastAsia="zh-CN" w:bidi="ar-SA"/>
                    </w:rPr>
                    <w:t>运输</w:t>
                  </w:r>
                  <w:r>
                    <w:rPr>
                      <w:rFonts w:hint="default" w:ascii="Times New Roman" w:hAnsi="Times New Roman" w:cs="Times New Roman"/>
                      <w:snapToGrid w:val="0"/>
                      <w:color w:val="auto"/>
                      <w:kern w:val="0"/>
                      <w:sz w:val="21"/>
                      <w:szCs w:val="21"/>
                      <w:highlight w:val="none"/>
                      <w:lang w:val="en-US" w:eastAsia="zh-CN" w:bidi="ar-SA"/>
                    </w:rPr>
                    <w:t>必须苫盖，密闭运输</w:t>
                  </w:r>
                  <w:r>
                    <w:rPr>
                      <w:rFonts w:hint="eastAsia" w:ascii="Times New Roman" w:hAnsi="Times New Roman" w:cs="Times New Roman"/>
                      <w:snapToGrid w:val="0"/>
                      <w:color w:val="auto"/>
                      <w:kern w:val="0"/>
                      <w:sz w:val="21"/>
                      <w:szCs w:val="21"/>
                      <w:highlight w:val="none"/>
                      <w:lang w:val="en-US" w:eastAsia="zh-CN" w:bidi="ar-SA"/>
                    </w:rPr>
                    <w:t>；</w:t>
                  </w:r>
                  <w:r>
                    <w:rPr>
                      <w:rFonts w:hint="default" w:ascii="Times New Roman" w:hAnsi="Times New Roman" w:cs="Times New Roman"/>
                      <w:snapToGrid w:val="0"/>
                      <w:color w:val="auto"/>
                      <w:kern w:val="0"/>
                      <w:sz w:val="21"/>
                      <w:szCs w:val="21"/>
                      <w:highlight w:val="none"/>
                      <w:lang w:val="en-US" w:eastAsia="zh-CN" w:bidi="ar-SA"/>
                    </w:rPr>
                    <w:t>③</w:t>
                  </w:r>
                  <w:r>
                    <w:rPr>
                      <w:rFonts w:hint="eastAsia" w:ascii="Times New Roman" w:hAnsi="Times New Roman" w:cs="Times New Roman"/>
                      <w:snapToGrid w:val="0"/>
                      <w:color w:val="auto"/>
                      <w:kern w:val="0"/>
                      <w:sz w:val="21"/>
                      <w:szCs w:val="21"/>
                      <w:highlight w:val="none"/>
                      <w:lang w:val="en-US" w:eastAsia="zh-CN" w:bidi="ar-SA"/>
                    </w:rPr>
                    <w:t>厂区出入口设置洗车平台，</w:t>
                  </w:r>
                  <w:r>
                    <w:rPr>
                      <w:rFonts w:hint="default" w:ascii="Times New Roman" w:hAnsi="Times New Roman" w:cs="Times New Roman"/>
                      <w:snapToGrid w:val="0"/>
                      <w:color w:val="auto"/>
                      <w:kern w:val="0"/>
                      <w:sz w:val="21"/>
                      <w:szCs w:val="21"/>
                      <w:highlight w:val="none"/>
                      <w:lang w:val="en-US" w:eastAsia="zh-CN" w:bidi="ar-SA"/>
                    </w:rPr>
                    <w:t>对运输车辆车身及轮胎进行冲洗</w:t>
                  </w:r>
                </w:p>
              </w:tc>
              <w:tc>
                <w:tcPr>
                  <w:tcW w:w="1098" w:type="dxa"/>
                  <w:tcBorders>
                    <w:tl2br w:val="nil"/>
                    <w:tr2bl w:val="nil"/>
                  </w:tcBorders>
                  <w:noWrap w:val="0"/>
                  <w:vAlign w:val="center"/>
                </w:tcPr>
                <w:p w14:paraId="17F7092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262C1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2B299715">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68997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石灰筒仓粉尘</w:t>
                  </w:r>
                </w:p>
              </w:tc>
              <w:tc>
                <w:tcPr>
                  <w:tcW w:w="4584" w:type="dxa"/>
                  <w:tcBorders>
                    <w:tl2br w:val="nil"/>
                    <w:tr2bl w:val="nil"/>
                  </w:tcBorders>
                  <w:noWrap w:val="0"/>
                  <w:vAlign w:val="center"/>
                </w:tcPr>
                <w:p w14:paraId="7CB951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配1套</w:t>
                  </w:r>
                  <w:r>
                    <w:rPr>
                      <w:rFonts w:hint="eastAsia" w:ascii="Times New Roman" w:hAnsi="Times New Roman" w:cs="Times New Roman"/>
                      <w:snapToGrid w:val="0"/>
                      <w:color w:val="auto"/>
                      <w:kern w:val="0"/>
                      <w:sz w:val="21"/>
                      <w:szCs w:val="21"/>
                      <w:highlight w:val="none"/>
                      <w:lang w:val="en-US" w:eastAsia="zh-CN" w:bidi="ar-SA"/>
                    </w:rPr>
                    <w:t>布袋</w:t>
                  </w:r>
                  <w:r>
                    <w:rPr>
                      <w:rFonts w:hint="default" w:ascii="Times New Roman" w:hAnsi="Times New Roman" w:cs="Times New Roman"/>
                      <w:snapToGrid w:val="0"/>
                      <w:color w:val="auto"/>
                      <w:kern w:val="0"/>
                      <w:sz w:val="21"/>
                      <w:szCs w:val="21"/>
                      <w:highlight w:val="none"/>
                      <w:lang w:val="en-US" w:eastAsia="zh-CN" w:bidi="ar-SA"/>
                    </w:rPr>
                    <w:t>除尘器，粉尘经处理后由1根</w:t>
                  </w:r>
                  <w:r>
                    <w:rPr>
                      <w:rFonts w:hint="eastAsia" w:cs="Times New Roman"/>
                      <w:snapToGrid w:val="0"/>
                      <w:color w:val="auto"/>
                      <w:kern w:val="0"/>
                      <w:sz w:val="21"/>
                      <w:szCs w:val="21"/>
                      <w:highlight w:val="none"/>
                      <w:lang w:val="en-US" w:eastAsia="zh-CN" w:bidi="ar-SA"/>
                    </w:rPr>
                    <w:t>15m</w:t>
                  </w:r>
                  <w:r>
                    <w:rPr>
                      <w:rFonts w:hint="default" w:ascii="Times New Roman" w:hAnsi="Times New Roman" w:cs="Times New Roman"/>
                      <w:snapToGrid w:val="0"/>
                      <w:color w:val="auto"/>
                      <w:kern w:val="0"/>
                      <w:sz w:val="21"/>
                      <w:szCs w:val="21"/>
                      <w:highlight w:val="none"/>
                      <w:lang w:val="en-US" w:eastAsia="zh-CN" w:bidi="ar-SA"/>
                    </w:rPr>
                    <w:t>高排气筒排放</w:t>
                  </w:r>
                </w:p>
              </w:tc>
              <w:tc>
                <w:tcPr>
                  <w:tcW w:w="1098" w:type="dxa"/>
                  <w:tcBorders>
                    <w:tl2br w:val="nil"/>
                    <w:tr2bl w:val="nil"/>
                  </w:tcBorders>
                  <w:noWrap w:val="0"/>
                  <w:vAlign w:val="center"/>
                </w:tcPr>
                <w:p w14:paraId="312E646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w:t>
                  </w:r>
                </w:p>
              </w:tc>
            </w:tr>
            <w:tr w14:paraId="73B4F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324DA69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3EA3F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皮带输送粉尘</w:t>
                  </w:r>
                </w:p>
              </w:tc>
              <w:tc>
                <w:tcPr>
                  <w:tcW w:w="4584" w:type="dxa"/>
                  <w:tcBorders>
                    <w:tl2br w:val="nil"/>
                    <w:tr2bl w:val="nil"/>
                  </w:tcBorders>
                  <w:noWrap w:val="0"/>
                  <w:vAlign w:val="center"/>
                </w:tcPr>
                <w:p w14:paraId="62A48B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车间</w:t>
                  </w:r>
                  <w:r>
                    <w:rPr>
                      <w:rFonts w:hint="eastAsia" w:ascii="Times New Roman" w:hAnsi="Times New Roman" w:eastAsia="宋体" w:cs="Times New Roman"/>
                      <w:color w:val="auto"/>
                      <w:sz w:val="21"/>
                      <w:szCs w:val="21"/>
                      <w:highlight w:val="none"/>
                      <w:lang w:val="en-US" w:eastAsia="zh-CN"/>
                    </w:rPr>
                    <w:t>皮带</w:t>
                  </w:r>
                  <w:r>
                    <w:rPr>
                      <w:rFonts w:hint="eastAsia" w:ascii="Times New Roman" w:hAnsi="Times New Roman" w:cs="Times New Roman"/>
                      <w:snapToGrid w:val="0"/>
                      <w:color w:val="auto"/>
                      <w:kern w:val="0"/>
                      <w:sz w:val="21"/>
                      <w:szCs w:val="21"/>
                      <w:highlight w:val="none"/>
                      <w:lang w:val="en-US" w:eastAsia="zh-CN" w:bidi="ar-SA"/>
                    </w:rPr>
                    <w:t>输送</w:t>
                  </w:r>
                  <w:r>
                    <w:rPr>
                      <w:rFonts w:hint="default" w:ascii="Times New Roman" w:hAnsi="Times New Roman" w:cs="Times New Roman"/>
                      <w:snapToGrid w:val="0"/>
                      <w:color w:val="auto"/>
                      <w:kern w:val="0"/>
                      <w:sz w:val="21"/>
                      <w:szCs w:val="21"/>
                      <w:highlight w:val="none"/>
                      <w:lang w:val="en-US" w:eastAsia="zh-CN" w:bidi="ar-SA"/>
                    </w:rPr>
                    <w:t>采用全封闭</w:t>
                  </w:r>
                  <w:r>
                    <w:rPr>
                      <w:rFonts w:hint="eastAsia" w:ascii="Times New Roman" w:hAnsi="Times New Roman" w:cs="Times New Roman"/>
                      <w:snapToGrid w:val="0"/>
                      <w:color w:val="auto"/>
                      <w:kern w:val="0"/>
                      <w:sz w:val="21"/>
                      <w:szCs w:val="21"/>
                      <w:highlight w:val="none"/>
                      <w:lang w:val="en-US" w:eastAsia="zh-CN" w:bidi="ar-SA"/>
                    </w:rPr>
                    <w:t>，并</w:t>
                  </w:r>
                  <w:r>
                    <w:rPr>
                      <w:rFonts w:hint="default" w:ascii="Times New Roman" w:hAnsi="Times New Roman" w:cs="Times New Roman"/>
                      <w:snapToGrid w:val="0"/>
                      <w:color w:val="auto"/>
                      <w:kern w:val="0"/>
                      <w:sz w:val="21"/>
                      <w:szCs w:val="21"/>
                      <w:highlight w:val="none"/>
                      <w:lang w:val="en-US" w:eastAsia="zh-CN" w:bidi="ar-SA"/>
                    </w:rPr>
                    <w:t>降低物料跌落高度</w:t>
                  </w:r>
                </w:p>
              </w:tc>
              <w:tc>
                <w:tcPr>
                  <w:tcW w:w="1098" w:type="dxa"/>
                  <w:tcBorders>
                    <w:tl2br w:val="nil"/>
                    <w:tr2bl w:val="nil"/>
                  </w:tcBorders>
                  <w:noWrap w:val="0"/>
                  <w:vAlign w:val="center"/>
                </w:tcPr>
                <w:p w14:paraId="59253CC1">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1</w:t>
                  </w:r>
                </w:p>
              </w:tc>
            </w:tr>
            <w:tr w14:paraId="7F236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540B0AA1">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水污染</w:t>
                  </w:r>
                </w:p>
              </w:tc>
              <w:tc>
                <w:tcPr>
                  <w:tcW w:w="1830" w:type="dxa"/>
                  <w:tcBorders>
                    <w:tl2br w:val="nil"/>
                    <w:tr2bl w:val="nil"/>
                  </w:tcBorders>
                  <w:noWrap w:val="0"/>
                  <w:vAlign w:val="center"/>
                </w:tcPr>
                <w:p w14:paraId="46B262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w:t>
                  </w:r>
                  <w:r>
                    <w:rPr>
                      <w:rFonts w:hint="eastAsia"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w:t>
                  </w:r>
                </w:p>
              </w:tc>
              <w:tc>
                <w:tcPr>
                  <w:tcW w:w="4584" w:type="dxa"/>
                  <w:tcBorders>
                    <w:tl2br w:val="nil"/>
                    <w:tr2bl w:val="nil"/>
                  </w:tcBorders>
                  <w:noWrap w:val="0"/>
                  <w:vAlign w:val="center"/>
                </w:tcPr>
                <w:p w14:paraId="3391E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排入</w:t>
                  </w:r>
                  <w:r>
                    <w:rPr>
                      <w:rFonts w:hint="eastAsia" w:cs="Times New Roman"/>
                      <w:snapToGrid w:val="0"/>
                      <w:color w:val="auto"/>
                      <w:kern w:val="0"/>
                      <w:sz w:val="21"/>
                      <w:szCs w:val="21"/>
                      <w:highlight w:val="none"/>
                      <w:lang w:val="en-US" w:eastAsia="zh-CN" w:bidi="ar-SA"/>
                    </w:rPr>
                    <w:t>化粪池</w:t>
                  </w:r>
                  <w:r>
                    <w:rPr>
                      <w:rFonts w:hint="default" w:ascii="Times New Roman" w:hAnsi="Times New Roman" w:cs="Times New Roman"/>
                      <w:snapToGrid w:val="0"/>
                      <w:color w:val="auto"/>
                      <w:kern w:val="0"/>
                      <w:sz w:val="21"/>
                      <w:szCs w:val="21"/>
                      <w:highlight w:val="none"/>
                      <w:lang w:val="en-US" w:eastAsia="zh-CN" w:bidi="ar-SA"/>
                    </w:rPr>
                    <w:t>定期清掏用作农肥不外排</w:t>
                  </w:r>
                </w:p>
              </w:tc>
              <w:tc>
                <w:tcPr>
                  <w:tcW w:w="1098" w:type="dxa"/>
                  <w:tcBorders>
                    <w:tl2br w:val="nil"/>
                    <w:tr2bl w:val="nil"/>
                  </w:tcBorders>
                  <w:noWrap w:val="0"/>
                  <w:vAlign w:val="center"/>
                </w:tcPr>
                <w:p w14:paraId="423FA712">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369EC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62FC19E1">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4B887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脱硫</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湿式电除尘</w:t>
                  </w:r>
                  <w:r>
                    <w:rPr>
                      <w:rFonts w:hint="default" w:ascii="Times New Roman" w:hAnsi="Times New Roman" w:eastAsia="宋体" w:cs="Times New Roman"/>
                      <w:color w:val="auto"/>
                      <w:sz w:val="21"/>
                      <w:szCs w:val="21"/>
                      <w:highlight w:val="none"/>
                      <w:lang w:eastAsia="zh-CN"/>
                    </w:rPr>
                    <w:t>废水</w:t>
                  </w:r>
                </w:p>
              </w:tc>
              <w:tc>
                <w:tcPr>
                  <w:tcW w:w="4584" w:type="dxa"/>
                  <w:tcBorders>
                    <w:tl2br w:val="nil"/>
                    <w:tr2bl w:val="nil"/>
                  </w:tcBorders>
                  <w:noWrap w:val="0"/>
                  <w:vAlign w:val="center"/>
                </w:tcPr>
                <w:p w14:paraId="78183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循环水池</w:t>
                  </w:r>
                  <w:r>
                    <w:rPr>
                      <w:rFonts w:hint="default" w:ascii="Times New Roman" w:hAnsi="Times New Roman" w:eastAsia="宋体" w:cs="Times New Roman"/>
                      <w:color w:val="auto"/>
                      <w:sz w:val="21"/>
                      <w:szCs w:val="21"/>
                      <w:highlight w:val="none"/>
                      <w:lang w:val="en-US" w:eastAsia="zh-CN"/>
                    </w:rPr>
                    <w:t>处理后循环使用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不外</w:t>
                  </w:r>
                  <w:r>
                    <w:rPr>
                      <w:rFonts w:hint="default" w:ascii="Times New Roman" w:hAnsi="Times New Roman" w:eastAsia="宋体" w:cs="Times New Roman"/>
                      <w:color w:val="auto"/>
                      <w:sz w:val="21"/>
                      <w:szCs w:val="21"/>
                      <w:highlight w:val="none"/>
                      <w:lang w:eastAsia="zh-CN"/>
                    </w:rPr>
                    <w:t>排</w:t>
                  </w:r>
                </w:p>
              </w:tc>
              <w:tc>
                <w:tcPr>
                  <w:tcW w:w="1098" w:type="dxa"/>
                  <w:tcBorders>
                    <w:tl2br w:val="nil"/>
                    <w:tr2bl w:val="nil"/>
                  </w:tcBorders>
                  <w:noWrap w:val="0"/>
                  <w:vAlign w:val="center"/>
                </w:tcPr>
                <w:p w14:paraId="2604899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6</w:t>
                  </w:r>
                </w:p>
              </w:tc>
            </w:tr>
            <w:tr w14:paraId="4E86B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34AC777B">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05EF5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洗车废水</w:t>
                  </w:r>
                </w:p>
              </w:tc>
              <w:tc>
                <w:tcPr>
                  <w:tcW w:w="4584" w:type="dxa"/>
                  <w:tcBorders>
                    <w:tl2br w:val="nil"/>
                    <w:tr2bl w:val="nil"/>
                  </w:tcBorders>
                  <w:noWrap w:val="0"/>
                  <w:vAlign w:val="center"/>
                </w:tcPr>
                <w:p w14:paraId="29349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经沉淀池（合计5m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处理后回用</w:t>
                  </w:r>
                  <w:r>
                    <w:rPr>
                      <w:rFonts w:hint="default" w:ascii="Times New Roman" w:hAnsi="Times New Roman" w:eastAsia="宋体" w:cs="Times New Roman"/>
                      <w:color w:val="auto"/>
                      <w:sz w:val="21"/>
                      <w:szCs w:val="21"/>
                      <w:highlight w:val="none"/>
                      <w:lang w:eastAsia="zh-CN"/>
                    </w:rPr>
                    <w:t>，不外排</w:t>
                  </w:r>
                </w:p>
              </w:tc>
              <w:tc>
                <w:tcPr>
                  <w:tcW w:w="1098" w:type="dxa"/>
                  <w:tcBorders>
                    <w:tl2br w:val="nil"/>
                    <w:tr2bl w:val="nil"/>
                  </w:tcBorders>
                  <w:noWrap w:val="0"/>
                  <w:vAlign w:val="center"/>
                </w:tcPr>
                <w:p w14:paraId="4CEFC29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08C34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0D9283F8">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rPr>
                  </w:pPr>
                </w:p>
              </w:tc>
              <w:tc>
                <w:tcPr>
                  <w:tcW w:w="1830" w:type="dxa"/>
                  <w:tcBorders>
                    <w:tl2br w:val="nil"/>
                    <w:tr2bl w:val="nil"/>
                  </w:tcBorders>
                  <w:noWrap w:val="0"/>
                  <w:vAlign w:val="center"/>
                </w:tcPr>
                <w:p w14:paraId="231380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初期雨水</w:t>
                  </w:r>
                </w:p>
              </w:tc>
              <w:tc>
                <w:tcPr>
                  <w:tcW w:w="4584" w:type="dxa"/>
                  <w:tcBorders>
                    <w:tl2br w:val="nil"/>
                    <w:tr2bl w:val="nil"/>
                  </w:tcBorders>
                  <w:noWrap w:val="0"/>
                  <w:vAlign w:val="center"/>
                </w:tcPr>
                <w:p w14:paraId="05D8B3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val="en-US" w:eastAsia="zh-CN"/>
                    </w:rPr>
                    <w:t>550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初期雨水池收集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回用于抑尘洒水</w:t>
                  </w:r>
                  <w:r>
                    <w:rPr>
                      <w:rFonts w:hint="eastAsia" w:ascii="Times New Roman" w:hAnsi="Times New Roman" w:eastAsia="宋体" w:cs="Times New Roman"/>
                      <w:color w:val="auto"/>
                      <w:sz w:val="21"/>
                      <w:szCs w:val="21"/>
                      <w:highlight w:val="none"/>
                      <w:lang w:val="en-US" w:eastAsia="zh-CN"/>
                    </w:rPr>
                    <w:t>不外排</w:t>
                  </w:r>
                </w:p>
              </w:tc>
              <w:tc>
                <w:tcPr>
                  <w:tcW w:w="1098" w:type="dxa"/>
                  <w:tcBorders>
                    <w:tl2br w:val="nil"/>
                    <w:tr2bl w:val="nil"/>
                  </w:tcBorders>
                  <w:noWrap w:val="0"/>
                  <w:vAlign w:val="center"/>
                </w:tcPr>
                <w:p w14:paraId="009409F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3</w:t>
                  </w:r>
                </w:p>
              </w:tc>
            </w:tr>
            <w:tr w14:paraId="7F962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063D4C74">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噪声污染</w:t>
                  </w:r>
                </w:p>
              </w:tc>
              <w:tc>
                <w:tcPr>
                  <w:tcW w:w="1830" w:type="dxa"/>
                  <w:tcBorders>
                    <w:tl2br w:val="nil"/>
                    <w:tr2bl w:val="nil"/>
                  </w:tcBorders>
                  <w:noWrap w:val="0"/>
                  <w:vAlign w:val="center"/>
                </w:tcPr>
                <w:p w14:paraId="0E18247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设备、运输车辆、装载机等</w:t>
                  </w:r>
                </w:p>
              </w:tc>
              <w:tc>
                <w:tcPr>
                  <w:tcW w:w="4584" w:type="dxa"/>
                  <w:tcBorders>
                    <w:tl2br w:val="nil"/>
                    <w:tr2bl w:val="nil"/>
                  </w:tcBorders>
                  <w:noWrap w:val="0"/>
                  <w:vAlign w:val="center"/>
                </w:tcPr>
                <w:p w14:paraId="4305279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选用低噪设备、生产设备全部位于室内，设置基础减震、</w:t>
                  </w:r>
                  <w:r>
                    <w:rPr>
                      <w:rFonts w:hint="default" w:ascii="Times New Roman" w:hAnsi="Times New Roman" w:eastAsia="宋体"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lang w:eastAsia="zh-CN"/>
                    </w:rPr>
                    <w:t>隔声等措施，运输车辆限速、禁鸣笛；装载机定期维护保持良好工况</w:t>
                  </w:r>
                </w:p>
              </w:tc>
              <w:tc>
                <w:tcPr>
                  <w:tcW w:w="1098" w:type="dxa"/>
                  <w:tcBorders>
                    <w:tl2br w:val="nil"/>
                    <w:tr2bl w:val="nil"/>
                  </w:tcBorders>
                  <w:noWrap w:val="0"/>
                  <w:vAlign w:val="center"/>
                </w:tcPr>
                <w:p w14:paraId="4EE1E4F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1</w:t>
                  </w:r>
                </w:p>
              </w:tc>
            </w:tr>
            <w:tr w14:paraId="1D2FE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1A86136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固废</w:t>
                  </w:r>
                </w:p>
              </w:tc>
              <w:tc>
                <w:tcPr>
                  <w:tcW w:w="1830" w:type="dxa"/>
                  <w:tcBorders>
                    <w:tl2br w:val="nil"/>
                    <w:tr2bl w:val="nil"/>
                  </w:tcBorders>
                  <w:noWrap w:val="0"/>
                  <w:vAlign w:val="center"/>
                </w:tcPr>
                <w:p w14:paraId="7D36B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生活垃圾</w:t>
                  </w:r>
                </w:p>
              </w:tc>
              <w:tc>
                <w:tcPr>
                  <w:tcW w:w="4584" w:type="dxa"/>
                  <w:tcBorders>
                    <w:tl2br w:val="nil"/>
                    <w:tr2bl w:val="nil"/>
                  </w:tcBorders>
                  <w:noWrap w:val="0"/>
                  <w:vAlign w:val="center"/>
                </w:tcPr>
                <w:p w14:paraId="662E1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集中收集后由当地环卫部门统一处理</w:t>
                  </w:r>
                </w:p>
              </w:tc>
              <w:tc>
                <w:tcPr>
                  <w:tcW w:w="1098" w:type="dxa"/>
                  <w:tcBorders>
                    <w:tl2br w:val="nil"/>
                    <w:tr2bl w:val="nil"/>
                  </w:tcBorders>
                  <w:noWrap w:val="0"/>
                  <w:vAlign w:val="center"/>
                </w:tcPr>
                <w:p w14:paraId="00442F7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22AC9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77CC1C7E">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p>
              </w:tc>
              <w:tc>
                <w:tcPr>
                  <w:tcW w:w="1830" w:type="dxa"/>
                  <w:tcBorders>
                    <w:tl2br w:val="nil"/>
                    <w:tr2bl w:val="nil"/>
                  </w:tcBorders>
                  <w:noWrap w:val="0"/>
                  <w:vAlign w:val="center"/>
                </w:tcPr>
                <w:p w14:paraId="712DA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除尘灰、废砖坯、不合格</w:t>
                  </w:r>
                </w:p>
              </w:tc>
              <w:tc>
                <w:tcPr>
                  <w:tcW w:w="4584" w:type="dxa"/>
                  <w:tcBorders>
                    <w:tl2br w:val="nil"/>
                    <w:tr2bl w:val="nil"/>
                  </w:tcBorders>
                  <w:noWrap w:val="0"/>
                  <w:vAlign w:val="center"/>
                </w:tcPr>
                <w:p w14:paraId="3EDD40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作为原料进行回用于生产</w:t>
                  </w:r>
                </w:p>
              </w:tc>
              <w:tc>
                <w:tcPr>
                  <w:tcW w:w="1098" w:type="dxa"/>
                  <w:tcBorders>
                    <w:tl2br w:val="nil"/>
                    <w:tr2bl w:val="nil"/>
                  </w:tcBorders>
                  <w:noWrap w:val="0"/>
                  <w:vAlign w:val="center"/>
                </w:tcPr>
                <w:p w14:paraId="5DFCB26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p>
              </w:tc>
            </w:tr>
            <w:tr w14:paraId="6B692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670E32EB">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p>
              </w:tc>
              <w:tc>
                <w:tcPr>
                  <w:tcW w:w="1830" w:type="dxa"/>
                  <w:tcBorders>
                    <w:tl2br w:val="nil"/>
                    <w:tr2bl w:val="nil"/>
                  </w:tcBorders>
                  <w:noWrap w:val="0"/>
                  <w:vAlign w:val="center"/>
                </w:tcPr>
                <w:p w14:paraId="39E9A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脱硫废渣</w:t>
                  </w:r>
                </w:p>
              </w:tc>
              <w:tc>
                <w:tcPr>
                  <w:tcW w:w="4584" w:type="dxa"/>
                  <w:tcBorders>
                    <w:tl2br w:val="nil"/>
                    <w:tr2bl w:val="nil"/>
                  </w:tcBorders>
                  <w:noWrap w:val="0"/>
                  <w:vAlign w:val="center"/>
                </w:tcPr>
                <w:p w14:paraId="5803E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作为建材原料外售综合利用</w:t>
                  </w:r>
                </w:p>
              </w:tc>
              <w:tc>
                <w:tcPr>
                  <w:tcW w:w="1098" w:type="dxa"/>
                  <w:tcBorders>
                    <w:tl2br w:val="nil"/>
                    <w:tr2bl w:val="nil"/>
                  </w:tcBorders>
                  <w:noWrap w:val="0"/>
                  <w:vAlign w:val="center"/>
                </w:tcPr>
                <w:p w14:paraId="7A4096E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p>
              </w:tc>
            </w:tr>
            <w:tr w14:paraId="31E8F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6679F5E7">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p>
              </w:tc>
              <w:tc>
                <w:tcPr>
                  <w:tcW w:w="1830" w:type="dxa"/>
                  <w:tcBorders>
                    <w:tl2br w:val="nil"/>
                    <w:tr2bl w:val="nil"/>
                  </w:tcBorders>
                  <w:noWrap w:val="0"/>
                  <w:vAlign w:val="center"/>
                </w:tcPr>
                <w:p w14:paraId="3824A5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4584" w:type="dxa"/>
                  <w:tcBorders>
                    <w:tl2br w:val="nil"/>
                    <w:tr2bl w:val="nil"/>
                  </w:tcBorders>
                  <w:noWrap w:val="0"/>
                  <w:vAlign w:val="center"/>
                </w:tcPr>
                <w:p w14:paraId="63258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废矿物油</w:t>
                  </w:r>
                  <w:r>
                    <w:rPr>
                      <w:rFonts w:hint="eastAsia" w:ascii="Times New Roman" w:hAnsi="Times New Roman" w:cs="Times New Roman"/>
                      <w:color w:val="auto"/>
                      <w:szCs w:val="21"/>
                      <w:highlight w:val="none"/>
                      <w:lang w:val="en-US" w:eastAsia="zh-CN"/>
                    </w:rPr>
                    <w:t>、废油桶暂存于</w:t>
                  </w:r>
                  <w:r>
                    <w:rPr>
                      <w:rFonts w:hint="eastAsia" w:cs="Times New Roman"/>
                      <w:color w:val="auto"/>
                      <w:szCs w:val="21"/>
                      <w:highlight w:val="none"/>
                      <w:lang w:val="en-US" w:eastAsia="zh-CN"/>
                    </w:rPr>
                    <w:t>危废贮存点</w:t>
                  </w:r>
                  <w:r>
                    <w:rPr>
                      <w:rFonts w:hint="eastAsia" w:ascii="Times New Roman" w:hAnsi="Times New Roman" w:cs="Times New Roman"/>
                      <w:color w:val="auto"/>
                      <w:szCs w:val="21"/>
                      <w:highlight w:val="none"/>
                      <w:lang w:val="en-US" w:eastAsia="zh-CN"/>
                    </w:rPr>
                    <w:t>，定期交有资质单位处理</w:t>
                  </w:r>
                </w:p>
              </w:tc>
              <w:tc>
                <w:tcPr>
                  <w:tcW w:w="1098" w:type="dxa"/>
                  <w:tcBorders>
                    <w:tl2br w:val="nil"/>
                    <w:tr2bl w:val="nil"/>
                  </w:tcBorders>
                  <w:noWrap w:val="0"/>
                  <w:vAlign w:val="center"/>
                </w:tcPr>
                <w:p w14:paraId="4BF8EF4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1</w:t>
                  </w:r>
                </w:p>
              </w:tc>
            </w:tr>
            <w:tr w14:paraId="43AA4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5" w:type="dxa"/>
                  <w:gridSpan w:val="3"/>
                  <w:tcBorders>
                    <w:tl2br w:val="nil"/>
                    <w:tr2bl w:val="nil"/>
                  </w:tcBorders>
                  <w:noWrap w:val="0"/>
                  <w:vAlign w:val="center"/>
                </w:tcPr>
                <w:p w14:paraId="22170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合计</w:t>
                  </w:r>
                </w:p>
              </w:tc>
              <w:tc>
                <w:tcPr>
                  <w:tcW w:w="1098" w:type="dxa"/>
                  <w:tcBorders>
                    <w:tl2br w:val="nil"/>
                    <w:tr2bl w:val="nil"/>
                  </w:tcBorders>
                  <w:noWrap w:val="0"/>
                  <w:vAlign w:val="center"/>
                </w:tcPr>
                <w:p w14:paraId="1B38BE3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42</w:t>
                  </w:r>
                </w:p>
              </w:tc>
            </w:tr>
          </w:tbl>
          <w:p w14:paraId="32F7CD82">
            <w:pPr>
              <w:rPr>
                <w:color w:val="auto"/>
              </w:rPr>
            </w:pPr>
          </w:p>
          <w:p w14:paraId="124EC582">
            <w:pPr>
              <w:pStyle w:val="29"/>
              <w:rPr>
                <w:color w:val="auto"/>
              </w:rPr>
            </w:pPr>
          </w:p>
        </w:tc>
      </w:tr>
    </w:tbl>
    <w:p w14:paraId="30F01076">
      <w:pPr>
        <w:pStyle w:val="20"/>
        <w:jc w:val="center"/>
        <w:outlineLvl w:val="0"/>
        <w:rPr>
          <w:rFonts w:ascii="Times New Roman" w:hAnsi="Times New Roman" w:eastAsia="黑体"/>
          <w:snapToGrid w:val="0"/>
          <w:sz w:val="30"/>
          <w:szCs w:val="30"/>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8ED8D66">
      <w:pPr>
        <w:pStyle w:val="20"/>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五、</w:t>
      </w:r>
      <w:bookmarkStart w:id="4" w:name="_Hlk54167917"/>
      <w:r>
        <w:rPr>
          <w:rFonts w:ascii="Times New Roman" w:hAnsi="Times New Roman" w:eastAsia="黑体"/>
          <w:snapToGrid w:val="0"/>
          <w:color w:val="000000"/>
          <w:sz w:val="30"/>
          <w:szCs w:val="30"/>
        </w:rPr>
        <w:t>环境保护措施监督检查清单</w:t>
      </w:r>
      <w:bookmarkEnd w:id="4"/>
    </w:p>
    <w:tbl>
      <w:tblPr>
        <w:tblStyle w:val="23"/>
        <w:tblW w:w="49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479"/>
        <w:gridCol w:w="1069"/>
        <w:gridCol w:w="3258"/>
        <w:gridCol w:w="2105"/>
      </w:tblGrid>
      <w:tr w14:paraId="3AF81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tcBorders>
              <w:tl2br w:val="single" w:color="auto" w:sz="2" w:space="0"/>
            </w:tcBorders>
            <w:noWrap w:val="0"/>
            <w:vAlign w:val="center"/>
          </w:tcPr>
          <w:p w14:paraId="00667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p w14:paraId="2FB90FA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tc>
        <w:tc>
          <w:tcPr>
            <w:tcW w:w="822" w:type="pct"/>
            <w:tcBorders>
              <w:tl2br w:val="nil"/>
              <w:tr2bl w:val="nil"/>
            </w:tcBorders>
            <w:noWrap w:val="0"/>
            <w:vAlign w:val="center"/>
          </w:tcPr>
          <w:p w14:paraId="7EE77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排放口(编号、名称)/污染源</w:t>
            </w:r>
          </w:p>
        </w:tc>
        <w:tc>
          <w:tcPr>
            <w:tcW w:w="594" w:type="pct"/>
            <w:tcBorders>
              <w:tl2br w:val="nil"/>
              <w:tr2bl w:val="nil"/>
            </w:tcBorders>
            <w:noWrap w:val="0"/>
            <w:vAlign w:val="center"/>
          </w:tcPr>
          <w:p w14:paraId="1B43A2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p w14:paraId="2DB14D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811" w:type="pct"/>
            <w:tcBorders>
              <w:tl2br w:val="nil"/>
              <w:tr2bl w:val="nil"/>
            </w:tcBorders>
            <w:noWrap w:val="0"/>
            <w:vAlign w:val="center"/>
          </w:tcPr>
          <w:p w14:paraId="43103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1168" w:type="pct"/>
            <w:tcBorders>
              <w:tl2br w:val="nil"/>
              <w:tr2bl w:val="nil"/>
            </w:tcBorders>
            <w:noWrap w:val="0"/>
            <w:vAlign w:val="center"/>
          </w:tcPr>
          <w:p w14:paraId="70A64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7FA22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tcBorders>
              <w:tl2br w:val="nil"/>
              <w:tr2bl w:val="nil"/>
            </w:tcBorders>
            <w:noWrap w:val="0"/>
            <w:vAlign w:val="center"/>
          </w:tcPr>
          <w:p w14:paraId="41792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822" w:type="pct"/>
            <w:tcBorders>
              <w:tl2br w:val="nil"/>
              <w:tr2bl w:val="nil"/>
            </w:tcBorders>
            <w:noWrap w:val="0"/>
            <w:vAlign w:val="center"/>
          </w:tcPr>
          <w:p w14:paraId="3817045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4"/>
                <w:highlight w:val="none"/>
                <w:lang w:val="en-US" w:eastAsia="zh-CN"/>
              </w:rPr>
              <w:t>物料堆存、装卸</w:t>
            </w:r>
          </w:p>
        </w:tc>
        <w:tc>
          <w:tcPr>
            <w:tcW w:w="594" w:type="pct"/>
            <w:tcBorders>
              <w:tl2br w:val="nil"/>
              <w:tr2bl w:val="nil"/>
            </w:tcBorders>
            <w:noWrap w:val="0"/>
            <w:vAlign w:val="center"/>
          </w:tcPr>
          <w:p w14:paraId="1857C38C">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pacing w:val="-2"/>
                <w:highlight w:val="none"/>
              </w:rPr>
              <w:t>颗粒物</w:t>
            </w:r>
          </w:p>
        </w:tc>
        <w:tc>
          <w:tcPr>
            <w:tcW w:w="1811" w:type="pct"/>
            <w:tcBorders>
              <w:tl2br w:val="nil"/>
              <w:tr2bl w:val="nil"/>
            </w:tcBorders>
            <w:noWrap w:val="0"/>
            <w:vAlign w:val="center"/>
          </w:tcPr>
          <w:p w14:paraId="4C6F122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①全封闭</w:t>
            </w:r>
            <w:r>
              <w:rPr>
                <w:rFonts w:hint="eastAsia" w:cs="Times New Roman"/>
                <w:color w:val="auto"/>
                <w:sz w:val="21"/>
                <w:szCs w:val="21"/>
                <w:highlight w:val="none"/>
                <w:lang w:val="en-US" w:eastAsia="zh-CN"/>
              </w:rPr>
              <w:t>原料库</w:t>
            </w:r>
            <w:r>
              <w:rPr>
                <w:rFonts w:hint="default" w:ascii="Times New Roman" w:hAnsi="Times New Roman" w:eastAsia="宋体" w:cs="Times New Roman"/>
                <w:color w:val="auto"/>
                <w:sz w:val="21"/>
                <w:szCs w:val="21"/>
                <w:highlight w:val="none"/>
                <w:lang w:val="en-US" w:eastAsia="zh-CN"/>
              </w:rPr>
              <w:t>，地面硬化，顶部配套建设覆盖该全场的</w:t>
            </w:r>
            <w:r>
              <w:rPr>
                <w:rFonts w:hint="eastAsia"/>
                <w:color w:val="auto"/>
                <w:highlight w:val="none"/>
                <w:lang w:val="en-US" w:eastAsia="zh-CN"/>
              </w:rPr>
              <w:t>喷淋洒水</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以及</w:t>
            </w:r>
            <w:r>
              <w:rPr>
                <w:rFonts w:hint="default" w:ascii="Times New Roman" w:hAnsi="Times New Roman" w:eastAsia="宋体" w:cs="Times New Roman"/>
                <w:color w:val="auto"/>
                <w:sz w:val="21"/>
                <w:szCs w:val="21"/>
                <w:highlight w:val="none"/>
                <w:lang w:val="en-US" w:eastAsia="zh-CN"/>
              </w:rPr>
              <w:t>1台移动式雾炮机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原料全部储存其内，不得露天堆放。②物料装卸装卸必须在封闭</w:t>
            </w:r>
            <w:r>
              <w:rPr>
                <w:rFonts w:hint="eastAsia" w:cs="Times New Roman"/>
                <w:color w:val="auto"/>
                <w:sz w:val="21"/>
                <w:szCs w:val="21"/>
                <w:highlight w:val="none"/>
                <w:lang w:val="en-US" w:eastAsia="zh-CN"/>
              </w:rPr>
              <w:t>原料库</w:t>
            </w:r>
            <w:r>
              <w:rPr>
                <w:rFonts w:hint="default" w:ascii="Times New Roman" w:hAnsi="Times New Roman" w:eastAsia="宋体" w:cs="Times New Roman"/>
                <w:color w:val="auto"/>
                <w:sz w:val="21"/>
                <w:szCs w:val="21"/>
                <w:highlight w:val="none"/>
                <w:lang w:val="en-US" w:eastAsia="zh-CN"/>
              </w:rPr>
              <w:t>内进行，必须固定装卸位；卸车时开启喷雾抑尘设施；③厂区出入口设置洗车平台，对进出厂区的车辆车身及轮胎进行冲洗；④厂区地面粉尘要及时清理，保持原料堆场周边整洁、干净，减少二次扬尘</w:t>
            </w:r>
          </w:p>
        </w:tc>
        <w:tc>
          <w:tcPr>
            <w:tcW w:w="1168" w:type="pct"/>
            <w:vMerge w:val="restart"/>
            <w:tcBorders>
              <w:tl2br w:val="nil"/>
              <w:tr2bl w:val="nil"/>
            </w:tcBorders>
            <w:noWrap w:val="0"/>
            <w:vAlign w:val="center"/>
          </w:tcPr>
          <w:p w14:paraId="53C5EA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rPr>
              <w:t>《长治市人民政府办公室关于印发长治市大气和水污染物排放管控要求的通知》（长政办规〔2023〕1号）砖瓦管控要求</w:t>
            </w:r>
          </w:p>
        </w:tc>
      </w:tr>
      <w:tr w14:paraId="4B177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2C625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36C24F13">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highlight w:val="none"/>
                <w:lang w:val="en-US" w:eastAsia="zh-CN"/>
              </w:rPr>
              <w:t>破碎</w:t>
            </w:r>
            <w:r>
              <w:rPr>
                <w:rFonts w:hint="default" w:ascii="Times New Roman" w:hAnsi="Times New Roman" w:cs="Times New Roman"/>
                <w:color w:val="auto"/>
                <w:spacing w:val="-2"/>
                <w:highlight w:val="none"/>
              </w:rPr>
              <w:t>废气排气筒</w:t>
            </w:r>
            <w:r>
              <w:rPr>
                <w:rFonts w:hint="eastAsia" w:ascii="Times New Roman" w:hAnsi="Times New Roman" w:cs="Times New Roman"/>
                <w:color w:val="auto"/>
                <w:spacing w:val="-2"/>
                <w:highlight w:val="none"/>
                <w:lang w:val="en-US" w:eastAsia="zh-CN"/>
              </w:rPr>
              <w:t>(DA004)</w:t>
            </w:r>
          </w:p>
        </w:tc>
        <w:tc>
          <w:tcPr>
            <w:tcW w:w="594" w:type="pct"/>
            <w:tcBorders>
              <w:tl2br w:val="nil"/>
              <w:tr2bl w:val="nil"/>
            </w:tcBorders>
            <w:noWrap w:val="0"/>
            <w:vAlign w:val="center"/>
          </w:tcPr>
          <w:p w14:paraId="5562F36F">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color w:val="auto"/>
                <w:spacing w:val="-2"/>
                <w:highlight w:val="none"/>
              </w:rPr>
              <w:t>颗粒物</w:t>
            </w:r>
          </w:p>
        </w:tc>
        <w:tc>
          <w:tcPr>
            <w:tcW w:w="1811" w:type="pct"/>
            <w:tcBorders>
              <w:tl2br w:val="nil"/>
              <w:tr2bl w:val="nil"/>
            </w:tcBorders>
            <w:noWrap w:val="0"/>
            <w:vAlign w:val="center"/>
          </w:tcPr>
          <w:p w14:paraId="6E133D1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在破碎处设置集尘罩，</w:t>
            </w:r>
            <w:r>
              <w:rPr>
                <w:rFonts w:hint="eastAsia" w:ascii="Times New Roman" w:hAnsi="Times New Roman" w:eastAsia="宋体" w:cs="Times New Roman"/>
                <w:color w:val="auto"/>
                <w:sz w:val="21"/>
                <w:szCs w:val="21"/>
                <w:highlight w:val="none"/>
                <w:lang w:val="en-US" w:eastAsia="zh-CN"/>
              </w:rPr>
              <w:t>产生的颗粒物通过布袋除尘器处理+1根15m高排气筒（DA00</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）排放</w:t>
            </w:r>
          </w:p>
        </w:tc>
        <w:tc>
          <w:tcPr>
            <w:tcW w:w="1168" w:type="pct"/>
            <w:vMerge w:val="continue"/>
            <w:tcBorders>
              <w:tl2br w:val="nil"/>
              <w:tr2bl w:val="nil"/>
            </w:tcBorders>
            <w:noWrap w:val="0"/>
            <w:vAlign w:val="center"/>
          </w:tcPr>
          <w:p w14:paraId="06D748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r>
      <w:tr w14:paraId="25850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7578C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55E7BEF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3"/>
                <w:highlight w:val="none"/>
                <w:lang w:val="en-US" w:eastAsia="zh-CN"/>
              </w:rPr>
            </w:pPr>
            <w:r>
              <w:rPr>
                <w:rFonts w:hint="default" w:ascii="Times New Roman" w:hAnsi="Times New Roman" w:cs="Times New Roman"/>
                <w:color w:val="auto"/>
                <w:spacing w:val="-3"/>
                <w:highlight w:val="none"/>
                <w:lang w:val="en-US" w:eastAsia="zh-CN"/>
              </w:rPr>
              <w:t>筛分</w:t>
            </w:r>
            <w:r>
              <w:rPr>
                <w:rFonts w:hint="default" w:ascii="Times New Roman" w:hAnsi="Times New Roman" w:cs="Times New Roman"/>
                <w:color w:val="auto"/>
                <w:spacing w:val="-2"/>
                <w:highlight w:val="none"/>
              </w:rPr>
              <w:t>废气排气筒</w:t>
            </w:r>
            <w:r>
              <w:rPr>
                <w:rFonts w:hint="eastAsia" w:ascii="Times New Roman" w:hAnsi="Times New Roman" w:cs="Times New Roman"/>
                <w:color w:val="auto"/>
                <w:spacing w:val="-2"/>
                <w:highlight w:val="none"/>
                <w:lang w:val="en-US" w:eastAsia="zh-CN"/>
              </w:rPr>
              <w:t>(DA005)</w:t>
            </w:r>
          </w:p>
        </w:tc>
        <w:tc>
          <w:tcPr>
            <w:tcW w:w="594" w:type="pct"/>
            <w:tcBorders>
              <w:tl2br w:val="nil"/>
              <w:tr2bl w:val="nil"/>
            </w:tcBorders>
            <w:noWrap w:val="0"/>
            <w:vAlign w:val="center"/>
          </w:tcPr>
          <w:p w14:paraId="33D98EB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颗粒物</w:t>
            </w:r>
          </w:p>
        </w:tc>
        <w:tc>
          <w:tcPr>
            <w:tcW w:w="1811" w:type="pct"/>
            <w:tcBorders>
              <w:tl2br w:val="nil"/>
              <w:tr2bl w:val="nil"/>
            </w:tcBorders>
            <w:noWrap w:val="0"/>
            <w:vAlign w:val="center"/>
          </w:tcPr>
          <w:p w14:paraId="0B9B36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w:t>
            </w:r>
            <w:r>
              <w:rPr>
                <w:rFonts w:hint="eastAsia" w:ascii="Times New Roman" w:hAnsi="Times New Roman" w:eastAsia="宋体"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val="en-US" w:eastAsia="zh-CN"/>
              </w:rPr>
              <w:t>处设置集尘罩，</w:t>
            </w:r>
            <w:r>
              <w:rPr>
                <w:rFonts w:hint="eastAsia" w:ascii="Times New Roman" w:hAnsi="Times New Roman" w:eastAsia="宋体" w:cs="Times New Roman"/>
                <w:color w:val="auto"/>
                <w:sz w:val="21"/>
                <w:szCs w:val="21"/>
                <w:highlight w:val="none"/>
                <w:lang w:val="en-US" w:eastAsia="zh-CN"/>
              </w:rPr>
              <w:t>产生的颗粒物通过布袋除尘器处理+1根15m高排气筒（DA00</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）排放</w:t>
            </w:r>
          </w:p>
        </w:tc>
        <w:tc>
          <w:tcPr>
            <w:tcW w:w="1168" w:type="pct"/>
            <w:vMerge w:val="continue"/>
            <w:tcBorders>
              <w:tl2br w:val="nil"/>
              <w:tr2bl w:val="nil"/>
            </w:tcBorders>
            <w:noWrap w:val="0"/>
            <w:vAlign w:val="center"/>
          </w:tcPr>
          <w:p w14:paraId="7153CC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r>
      <w:tr w14:paraId="2FA63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4D192B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vMerge w:val="restart"/>
            <w:tcBorders>
              <w:tl2br w:val="nil"/>
              <w:tr2bl w:val="nil"/>
            </w:tcBorders>
            <w:noWrap w:val="0"/>
            <w:vAlign w:val="center"/>
          </w:tcPr>
          <w:p w14:paraId="16BDF97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隧道窑</w:t>
            </w:r>
            <w:r>
              <w:rPr>
                <w:rFonts w:hint="default" w:ascii="Times New Roman" w:hAnsi="Times New Roman" w:cs="Times New Roman"/>
                <w:color w:val="auto"/>
                <w:spacing w:val="-2"/>
                <w:sz w:val="21"/>
                <w:szCs w:val="21"/>
                <w:highlight w:val="none"/>
              </w:rPr>
              <w:t>排气筒</w:t>
            </w:r>
            <w:r>
              <w:rPr>
                <w:rFonts w:hint="eastAsia" w:ascii="Times New Roman" w:hAnsi="Times New Roman" w:cs="Times New Roman"/>
                <w:color w:val="auto"/>
                <w:spacing w:val="-2"/>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DA001</w:t>
            </w:r>
            <w:r>
              <w:rPr>
                <w:rFonts w:hint="eastAsia" w:ascii="Times New Roman" w:hAnsi="Times New Roman" w:cs="Times New Roman"/>
                <w:color w:val="auto"/>
                <w:spacing w:val="-2"/>
                <w:sz w:val="21"/>
                <w:szCs w:val="21"/>
                <w:highlight w:val="none"/>
                <w:lang w:eastAsia="zh-CN"/>
              </w:rPr>
              <w:t>）</w:t>
            </w:r>
          </w:p>
        </w:tc>
        <w:tc>
          <w:tcPr>
            <w:tcW w:w="594" w:type="pct"/>
            <w:tcBorders>
              <w:tl2br w:val="nil"/>
              <w:tr2bl w:val="nil"/>
            </w:tcBorders>
            <w:noWrap w:val="0"/>
            <w:vAlign w:val="center"/>
          </w:tcPr>
          <w:p w14:paraId="715D30BC">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color w:val="auto"/>
                <w:spacing w:val="5"/>
                <w:sz w:val="21"/>
                <w:szCs w:val="21"/>
                <w:highlight w:val="none"/>
              </w:rPr>
              <w:t>颗粒物、</w:t>
            </w:r>
            <w:r>
              <w:rPr>
                <w:rFonts w:hint="default" w:ascii="Times New Roman" w:hAnsi="Times New Roman" w:eastAsia="Times New Roman" w:cs="Times New Roman"/>
                <w:color w:val="auto"/>
                <w:sz w:val="21"/>
                <w:szCs w:val="21"/>
                <w:highlight w:val="none"/>
              </w:rPr>
              <w:t>NO</w:t>
            </w:r>
            <w:r>
              <w:rPr>
                <w:rFonts w:hint="default" w:ascii="Times New Roman" w:hAnsi="Times New Roman" w:eastAsia="Times New Roman" w:cs="Times New Roman"/>
                <w:color w:val="auto"/>
                <w:position w:val="-2"/>
                <w:sz w:val="21"/>
                <w:szCs w:val="21"/>
                <w:highlight w:val="none"/>
              </w:rPr>
              <w:t>x</w:t>
            </w:r>
            <w:r>
              <w:rPr>
                <w:rFonts w:hint="default" w:ascii="Times New Roman" w:hAnsi="Times New Roman" w:cs="Times New Roman"/>
                <w:color w:val="auto"/>
                <w:spacing w:val="5"/>
                <w:sz w:val="21"/>
                <w:szCs w:val="21"/>
                <w:highlight w:val="none"/>
              </w:rPr>
              <w:t>、</w:t>
            </w:r>
            <w:r>
              <w:rPr>
                <w:rFonts w:hint="default" w:ascii="Times New Roman" w:hAnsi="Times New Roman" w:eastAsia="Times New Roman" w:cs="Times New Roman"/>
                <w:color w:val="auto"/>
                <w:spacing w:val="-2"/>
                <w:sz w:val="21"/>
                <w:szCs w:val="21"/>
                <w:highlight w:val="none"/>
              </w:rPr>
              <w:t>SO</w:t>
            </w:r>
            <w:r>
              <w:rPr>
                <w:rFonts w:hint="eastAsia" w:ascii="Times New Roman" w:hAnsi="Times New Roman" w:cs="Times New Roman"/>
                <w:color w:val="auto"/>
                <w:spacing w:val="-2"/>
                <w:sz w:val="21"/>
                <w:szCs w:val="21"/>
                <w:highlight w:val="none"/>
                <w:vertAlign w:val="subscript"/>
                <w:lang w:val="en-US" w:eastAsia="zh-CN"/>
              </w:rPr>
              <w:t>2</w:t>
            </w:r>
          </w:p>
        </w:tc>
        <w:tc>
          <w:tcPr>
            <w:tcW w:w="1811" w:type="pct"/>
            <w:vMerge w:val="restart"/>
            <w:tcBorders>
              <w:tl2br w:val="nil"/>
              <w:tr2bl w:val="nil"/>
            </w:tcBorders>
            <w:noWrap w:val="0"/>
            <w:vAlign w:val="center"/>
          </w:tcPr>
          <w:p w14:paraId="526FBDEE">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通过1套SNCR脱硝+双碱法脱硫+湿电除尘器处理后经1根</w:t>
            </w:r>
            <w:r>
              <w:rPr>
                <w:rFonts w:hint="eastAsia" w:ascii="Times New Roman" w:hAnsi="Times New Roman" w:cs="Times New Roman"/>
                <w:color w:val="auto"/>
                <w:kern w:val="2"/>
                <w:sz w:val="21"/>
                <w:szCs w:val="21"/>
                <w:highlight w:val="none"/>
                <w:lang w:val="en-US" w:eastAsia="zh-CN"/>
              </w:rPr>
              <w:t>32</w:t>
            </w:r>
            <w:r>
              <w:rPr>
                <w:rFonts w:hint="eastAsia" w:ascii="Times New Roman" w:hAnsi="Times New Roman" w:eastAsia="宋体" w:cs="Times New Roman"/>
                <w:color w:val="auto"/>
                <w:kern w:val="2"/>
                <w:sz w:val="21"/>
                <w:szCs w:val="21"/>
                <w:highlight w:val="none"/>
                <w:lang w:val="en-US" w:eastAsia="zh-CN"/>
              </w:rPr>
              <w:t>m高排气筒</w:t>
            </w:r>
            <w:r>
              <w:rPr>
                <w:rFonts w:hint="eastAsia" w:ascii="Times New Roman" w:hAnsi="宋体" w:eastAsia="宋体" w:cs="宋体"/>
                <w:bCs/>
                <w:color w:val="auto"/>
                <w:kern w:val="2"/>
                <w:sz w:val="21"/>
                <w:szCs w:val="21"/>
                <w:highlight w:val="none"/>
                <w:lang w:val="en-US" w:eastAsia="zh-CN" w:bidi="ar-SA"/>
              </w:rPr>
              <w:t>（DA00</w:t>
            </w:r>
            <w:r>
              <w:rPr>
                <w:rFonts w:hint="eastAsia" w:ascii="Times New Roman" w:cs="宋体"/>
                <w:bCs/>
                <w:color w:val="auto"/>
                <w:kern w:val="2"/>
                <w:sz w:val="21"/>
                <w:szCs w:val="21"/>
                <w:highlight w:val="none"/>
                <w:lang w:val="en-US" w:eastAsia="zh-CN" w:bidi="ar-SA"/>
              </w:rPr>
              <w:t>1</w:t>
            </w:r>
            <w:r>
              <w:rPr>
                <w:rFonts w:hint="eastAsia" w:ascii="Times New Roman" w:hAnsi="宋体" w:eastAsia="宋体" w:cs="宋体"/>
                <w:bCs/>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rPr>
              <w:t>排放，排气筒设置在线监测装置</w:t>
            </w:r>
          </w:p>
        </w:tc>
        <w:tc>
          <w:tcPr>
            <w:tcW w:w="1168" w:type="pct"/>
            <w:vMerge w:val="continue"/>
            <w:tcBorders>
              <w:tl2br w:val="nil"/>
              <w:tr2bl w:val="nil"/>
            </w:tcBorders>
            <w:noWrap w:val="0"/>
            <w:vAlign w:val="center"/>
          </w:tcPr>
          <w:p w14:paraId="6BB0ED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p>
        </w:tc>
      </w:tr>
      <w:tr w14:paraId="1012A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337FC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vMerge w:val="continue"/>
            <w:tcBorders>
              <w:tl2br w:val="nil"/>
              <w:tr2bl w:val="nil"/>
            </w:tcBorders>
            <w:noWrap w:val="0"/>
            <w:vAlign w:val="center"/>
          </w:tcPr>
          <w:p w14:paraId="4D0584F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2"/>
                <w:sz w:val="21"/>
                <w:szCs w:val="21"/>
                <w:highlight w:val="none"/>
                <w:lang w:val="en-US" w:eastAsia="zh-CN"/>
              </w:rPr>
            </w:pPr>
          </w:p>
        </w:tc>
        <w:tc>
          <w:tcPr>
            <w:tcW w:w="594" w:type="pct"/>
            <w:tcBorders>
              <w:tl2br w:val="nil"/>
              <w:tr2bl w:val="nil"/>
            </w:tcBorders>
            <w:noWrap w:val="0"/>
            <w:vAlign w:val="center"/>
          </w:tcPr>
          <w:p w14:paraId="7183B00E">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2"/>
                <w:sz w:val="21"/>
                <w:szCs w:val="21"/>
                <w:highlight w:val="none"/>
              </w:rPr>
              <w:t>氟化物</w:t>
            </w:r>
          </w:p>
        </w:tc>
        <w:tc>
          <w:tcPr>
            <w:tcW w:w="1811" w:type="pct"/>
            <w:vMerge w:val="continue"/>
            <w:tcBorders>
              <w:tl2br w:val="nil"/>
              <w:tr2bl w:val="nil"/>
            </w:tcBorders>
            <w:noWrap w:val="0"/>
            <w:vAlign w:val="center"/>
          </w:tcPr>
          <w:p w14:paraId="52F44EE0">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rPr>
            </w:pPr>
          </w:p>
        </w:tc>
        <w:tc>
          <w:tcPr>
            <w:tcW w:w="1168" w:type="pct"/>
            <w:tcBorders>
              <w:tl2br w:val="nil"/>
              <w:tr2bl w:val="nil"/>
            </w:tcBorders>
            <w:noWrap w:val="0"/>
            <w:vAlign w:val="center"/>
          </w:tcPr>
          <w:p w14:paraId="7B25C2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《建材工业大气污染物排放标准》（DB37/2373-2018）表 2 重点控制区</w:t>
            </w:r>
          </w:p>
        </w:tc>
      </w:tr>
      <w:tr w14:paraId="16BD0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20A314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3DAF0928">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道路</w:t>
            </w:r>
            <w:r>
              <w:rPr>
                <w:rFonts w:hint="eastAsia" w:ascii="Times New Roman" w:hAnsi="Times New Roman" w:cs="Times New Roman"/>
                <w:snapToGrid w:val="0"/>
                <w:color w:val="auto"/>
                <w:kern w:val="0"/>
                <w:sz w:val="21"/>
                <w:szCs w:val="21"/>
                <w:highlight w:val="none"/>
                <w:lang w:val="en-US" w:eastAsia="zh-CN" w:bidi="ar-SA"/>
              </w:rPr>
              <w:t>运输</w:t>
            </w:r>
            <w:r>
              <w:rPr>
                <w:rFonts w:hint="default" w:ascii="Times New Roman" w:hAnsi="Times New Roman" w:cs="Times New Roman"/>
                <w:snapToGrid w:val="0"/>
                <w:color w:val="auto"/>
                <w:kern w:val="0"/>
                <w:sz w:val="21"/>
                <w:szCs w:val="21"/>
                <w:highlight w:val="none"/>
                <w:lang w:val="en-US" w:eastAsia="zh-CN" w:bidi="ar-SA"/>
              </w:rPr>
              <w:t>扬尘</w:t>
            </w:r>
          </w:p>
        </w:tc>
        <w:tc>
          <w:tcPr>
            <w:tcW w:w="594" w:type="pct"/>
            <w:tcBorders>
              <w:tl2br w:val="nil"/>
              <w:tr2bl w:val="nil"/>
            </w:tcBorders>
            <w:noWrap w:val="0"/>
            <w:vAlign w:val="center"/>
          </w:tcPr>
          <w:p w14:paraId="22590D3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color w:val="auto"/>
                <w:spacing w:val="5"/>
                <w:sz w:val="21"/>
                <w:szCs w:val="21"/>
                <w:highlight w:val="none"/>
              </w:rPr>
              <w:t>颗粒物</w:t>
            </w:r>
          </w:p>
        </w:tc>
        <w:tc>
          <w:tcPr>
            <w:tcW w:w="1811" w:type="pct"/>
            <w:tcBorders>
              <w:tl2br w:val="nil"/>
              <w:tr2bl w:val="nil"/>
            </w:tcBorders>
            <w:noWrap w:val="0"/>
            <w:vAlign w:val="center"/>
          </w:tcPr>
          <w:p w14:paraId="3965760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①厂内运输道路硬化和洒水抑尘；②块状物料运输必须苫盖，密闭运输；③厂区出入口设置洗车平台，对运输车辆车身及轮胎进行冲洗</w:t>
            </w:r>
          </w:p>
        </w:tc>
        <w:tc>
          <w:tcPr>
            <w:tcW w:w="1168" w:type="pct"/>
            <w:vMerge w:val="restart"/>
            <w:tcBorders>
              <w:tl2br w:val="nil"/>
              <w:tr2bl w:val="nil"/>
            </w:tcBorders>
            <w:noWrap w:val="0"/>
            <w:vAlign w:val="center"/>
          </w:tcPr>
          <w:p w14:paraId="27D035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rPr>
              <w:t>《长治市人民政府办公室关于印发长治市大气和水污染物排放管控要求的通知》（长政办规〔2023〕1号）砖瓦管控要求</w:t>
            </w:r>
          </w:p>
        </w:tc>
      </w:tr>
      <w:tr w14:paraId="25257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65643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0602C29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石灰筒仓</w:t>
            </w:r>
            <w:r>
              <w:rPr>
                <w:rFonts w:hint="default" w:ascii="Times New Roman" w:hAnsi="Times New Roman" w:cs="Times New Roman"/>
                <w:color w:val="auto"/>
                <w:spacing w:val="-2"/>
                <w:sz w:val="21"/>
                <w:szCs w:val="21"/>
                <w:highlight w:val="none"/>
              </w:rPr>
              <w:t>排气筒</w:t>
            </w:r>
            <w:r>
              <w:rPr>
                <w:rFonts w:hint="eastAsia" w:ascii="Times New Roman" w:hAnsi="Times New Roman" w:cs="Times New Roman"/>
                <w:color w:val="auto"/>
                <w:spacing w:val="-2"/>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DA003</w:t>
            </w:r>
            <w:r>
              <w:rPr>
                <w:rFonts w:hint="eastAsia" w:ascii="Times New Roman" w:hAnsi="Times New Roman" w:cs="Times New Roman"/>
                <w:color w:val="auto"/>
                <w:spacing w:val="-2"/>
                <w:sz w:val="21"/>
                <w:szCs w:val="21"/>
                <w:highlight w:val="none"/>
                <w:lang w:eastAsia="zh-CN"/>
              </w:rPr>
              <w:t>）</w:t>
            </w:r>
          </w:p>
        </w:tc>
        <w:tc>
          <w:tcPr>
            <w:tcW w:w="594" w:type="pct"/>
            <w:tcBorders>
              <w:tl2br w:val="nil"/>
              <w:tr2bl w:val="nil"/>
            </w:tcBorders>
            <w:noWrap w:val="0"/>
            <w:vAlign w:val="center"/>
          </w:tcPr>
          <w:p w14:paraId="5E6F504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5"/>
                <w:sz w:val="21"/>
                <w:szCs w:val="21"/>
                <w:highlight w:val="none"/>
              </w:rPr>
            </w:pPr>
            <w:r>
              <w:rPr>
                <w:rFonts w:hint="default" w:ascii="Times New Roman" w:hAnsi="Times New Roman" w:cs="Times New Roman"/>
                <w:snapToGrid w:val="0"/>
                <w:color w:val="auto"/>
                <w:kern w:val="0"/>
                <w:sz w:val="21"/>
                <w:szCs w:val="21"/>
                <w:highlight w:val="none"/>
                <w:lang w:val="en-US" w:eastAsia="zh-CN" w:bidi="ar-SA"/>
              </w:rPr>
              <w:t>颗粒物</w:t>
            </w:r>
          </w:p>
        </w:tc>
        <w:tc>
          <w:tcPr>
            <w:tcW w:w="1811" w:type="pct"/>
            <w:tcBorders>
              <w:tl2br w:val="nil"/>
              <w:tr2bl w:val="nil"/>
            </w:tcBorders>
            <w:noWrap w:val="0"/>
            <w:vAlign w:val="center"/>
          </w:tcPr>
          <w:p w14:paraId="16F01C8B">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配1套</w:t>
            </w:r>
            <w:r>
              <w:rPr>
                <w:rFonts w:hint="eastAsia" w:ascii="Times New Roman" w:hAnsi="Times New Roman" w:cs="Times New Roman"/>
                <w:snapToGrid w:val="0"/>
                <w:color w:val="auto"/>
                <w:kern w:val="0"/>
                <w:sz w:val="21"/>
                <w:szCs w:val="21"/>
                <w:highlight w:val="none"/>
                <w:lang w:val="en-US" w:eastAsia="zh-CN" w:bidi="ar-SA"/>
              </w:rPr>
              <w:t>布袋</w:t>
            </w:r>
            <w:r>
              <w:rPr>
                <w:rFonts w:hint="default" w:ascii="Times New Roman" w:hAnsi="Times New Roman" w:cs="Times New Roman"/>
                <w:snapToGrid w:val="0"/>
                <w:color w:val="auto"/>
                <w:kern w:val="0"/>
                <w:sz w:val="21"/>
                <w:szCs w:val="21"/>
                <w:highlight w:val="none"/>
                <w:lang w:val="en-US" w:eastAsia="zh-CN" w:bidi="ar-SA"/>
              </w:rPr>
              <w:t>除尘器，粉尘经处理后由1根</w:t>
            </w:r>
            <w:r>
              <w:rPr>
                <w:rFonts w:hint="eastAsia" w:ascii="Times New Roman" w:hAnsi="Times New Roman" w:cs="Times New Roman"/>
                <w:snapToGrid w:val="0"/>
                <w:color w:val="auto"/>
                <w:kern w:val="0"/>
                <w:sz w:val="21"/>
                <w:szCs w:val="21"/>
                <w:highlight w:val="none"/>
                <w:lang w:val="en-US" w:eastAsia="zh-CN" w:bidi="ar-SA"/>
              </w:rPr>
              <w:t>15</w:t>
            </w:r>
            <w:r>
              <w:rPr>
                <w:rFonts w:hint="default" w:ascii="Times New Roman" w:hAnsi="Times New Roman" w:cs="Times New Roman"/>
                <w:snapToGrid w:val="0"/>
                <w:color w:val="auto"/>
                <w:kern w:val="0"/>
                <w:sz w:val="21"/>
                <w:szCs w:val="21"/>
                <w:highlight w:val="none"/>
                <w:lang w:val="en-US" w:eastAsia="zh-CN" w:bidi="ar-SA"/>
              </w:rPr>
              <w:t>m高排气筒</w:t>
            </w:r>
            <w:r>
              <w:rPr>
                <w:rFonts w:hint="eastAsia" w:ascii="Times New Roman" w:hAnsi="Times New Roman" w:cs="Times New Roman"/>
                <w:snapToGrid w:val="0"/>
                <w:color w:val="auto"/>
                <w:kern w:val="0"/>
                <w:sz w:val="21"/>
                <w:szCs w:val="21"/>
                <w:highlight w:val="none"/>
                <w:lang w:val="en-US" w:eastAsia="zh-CN" w:bidi="ar-SA"/>
              </w:rPr>
              <w:t>（DA003）</w:t>
            </w:r>
            <w:r>
              <w:rPr>
                <w:rFonts w:hint="default" w:ascii="Times New Roman" w:hAnsi="Times New Roman" w:cs="Times New Roman"/>
                <w:snapToGrid w:val="0"/>
                <w:color w:val="auto"/>
                <w:kern w:val="0"/>
                <w:sz w:val="21"/>
                <w:szCs w:val="21"/>
                <w:highlight w:val="none"/>
                <w:lang w:val="en-US" w:eastAsia="zh-CN" w:bidi="ar-SA"/>
              </w:rPr>
              <w:t>排放</w:t>
            </w:r>
          </w:p>
        </w:tc>
        <w:tc>
          <w:tcPr>
            <w:tcW w:w="1168" w:type="pct"/>
            <w:vMerge w:val="continue"/>
            <w:tcBorders>
              <w:tl2br w:val="nil"/>
              <w:tr2bl w:val="nil"/>
            </w:tcBorders>
            <w:noWrap w:val="0"/>
            <w:vAlign w:val="center"/>
          </w:tcPr>
          <w:p w14:paraId="46F7D2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2"/>
                <w:sz w:val="21"/>
                <w:szCs w:val="21"/>
                <w:highlight w:val="none"/>
              </w:rPr>
            </w:pPr>
          </w:p>
        </w:tc>
      </w:tr>
      <w:tr w14:paraId="500EC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1F2DD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162C792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皮带输送粉尘</w:t>
            </w:r>
          </w:p>
        </w:tc>
        <w:tc>
          <w:tcPr>
            <w:tcW w:w="594" w:type="pct"/>
            <w:tcBorders>
              <w:tl2br w:val="nil"/>
              <w:tr2bl w:val="nil"/>
            </w:tcBorders>
            <w:noWrap w:val="0"/>
            <w:vAlign w:val="center"/>
          </w:tcPr>
          <w:p w14:paraId="0429EA7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lang w:val="en-US" w:eastAsia="zh-CN" w:bidi="ar-SA"/>
              </w:rPr>
              <w:t>颗粒物</w:t>
            </w:r>
          </w:p>
        </w:tc>
        <w:tc>
          <w:tcPr>
            <w:tcW w:w="1811" w:type="pct"/>
            <w:tcBorders>
              <w:tl2br w:val="nil"/>
              <w:tr2bl w:val="nil"/>
            </w:tcBorders>
            <w:noWrap w:val="0"/>
            <w:vAlign w:val="center"/>
          </w:tcPr>
          <w:p w14:paraId="7FC2387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车间</w:t>
            </w:r>
            <w:r>
              <w:rPr>
                <w:rFonts w:hint="eastAsia" w:ascii="Times New Roman" w:hAnsi="Times New Roman" w:eastAsia="宋体" w:cs="Times New Roman"/>
                <w:color w:val="auto"/>
                <w:sz w:val="21"/>
                <w:szCs w:val="21"/>
                <w:highlight w:val="none"/>
                <w:lang w:val="en-US" w:eastAsia="zh-CN"/>
              </w:rPr>
              <w:t>皮带</w:t>
            </w:r>
            <w:r>
              <w:rPr>
                <w:rFonts w:hint="eastAsia" w:ascii="Times New Roman" w:hAnsi="Times New Roman" w:cs="Times New Roman"/>
                <w:snapToGrid w:val="0"/>
                <w:color w:val="auto"/>
                <w:kern w:val="0"/>
                <w:sz w:val="21"/>
                <w:szCs w:val="21"/>
                <w:highlight w:val="none"/>
                <w:lang w:val="en-US" w:eastAsia="zh-CN" w:bidi="ar-SA"/>
              </w:rPr>
              <w:t>输送</w:t>
            </w:r>
            <w:r>
              <w:rPr>
                <w:rFonts w:hint="default" w:ascii="Times New Roman" w:hAnsi="Times New Roman" w:cs="Times New Roman"/>
                <w:snapToGrid w:val="0"/>
                <w:color w:val="auto"/>
                <w:kern w:val="0"/>
                <w:sz w:val="21"/>
                <w:szCs w:val="21"/>
                <w:highlight w:val="none"/>
                <w:lang w:val="en-US" w:eastAsia="zh-CN" w:bidi="ar-SA"/>
              </w:rPr>
              <w:t>采用全封闭</w:t>
            </w:r>
            <w:r>
              <w:rPr>
                <w:rFonts w:hint="eastAsia" w:ascii="Times New Roman" w:hAnsi="Times New Roman" w:cs="Times New Roman"/>
                <w:snapToGrid w:val="0"/>
                <w:color w:val="auto"/>
                <w:kern w:val="0"/>
                <w:sz w:val="21"/>
                <w:szCs w:val="21"/>
                <w:highlight w:val="none"/>
                <w:lang w:val="en-US" w:eastAsia="zh-CN" w:bidi="ar-SA"/>
              </w:rPr>
              <w:t>，并</w:t>
            </w:r>
            <w:r>
              <w:rPr>
                <w:rFonts w:hint="default" w:ascii="Times New Roman" w:hAnsi="Times New Roman" w:cs="Times New Roman"/>
                <w:snapToGrid w:val="0"/>
                <w:color w:val="auto"/>
                <w:kern w:val="0"/>
                <w:sz w:val="21"/>
                <w:szCs w:val="21"/>
                <w:highlight w:val="none"/>
                <w:lang w:val="en-US" w:eastAsia="zh-CN" w:bidi="ar-SA"/>
              </w:rPr>
              <w:t>降低物料跌落高度</w:t>
            </w:r>
          </w:p>
        </w:tc>
        <w:tc>
          <w:tcPr>
            <w:tcW w:w="1168" w:type="pct"/>
            <w:vMerge w:val="continue"/>
            <w:tcBorders>
              <w:tl2br w:val="nil"/>
              <w:tr2bl w:val="nil"/>
            </w:tcBorders>
            <w:noWrap w:val="0"/>
            <w:vAlign w:val="center"/>
          </w:tcPr>
          <w:p w14:paraId="2E36C3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p>
        </w:tc>
      </w:tr>
      <w:tr w14:paraId="687EE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tcBorders>
              <w:tl2br w:val="nil"/>
              <w:tr2bl w:val="nil"/>
            </w:tcBorders>
            <w:noWrap w:val="0"/>
            <w:vAlign w:val="center"/>
          </w:tcPr>
          <w:p w14:paraId="0BB6F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822" w:type="pct"/>
            <w:tcBorders>
              <w:tl2br w:val="nil"/>
              <w:tr2bl w:val="nil"/>
            </w:tcBorders>
            <w:noWrap w:val="0"/>
            <w:vAlign w:val="center"/>
          </w:tcPr>
          <w:p w14:paraId="547DB6FC">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2"/>
                <w:highlight w:val="none"/>
              </w:rPr>
              <w:t>生活污水</w:t>
            </w:r>
          </w:p>
        </w:tc>
        <w:tc>
          <w:tcPr>
            <w:tcW w:w="594" w:type="pct"/>
            <w:tcBorders>
              <w:tl2br w:val="nil"/>
              <w:tr2bl w:val="nil"/>
            </w:tcBorders>
            <w:noWrap w:val="0"/>
            <w:vAlign w:val="center"/>
          </w:tcPr>
          <w:p w14:paraId="0466412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eastAsia="Times New Roman" w:cs="Times New Roman"/>
                <w:color w:val="auto"/>
                <w:spacing w:val="-6"/>
                <w:highlight w:val="none"/>
              </w:rPr>
              <w:t>SS</w:t>
            </w:r>
            <w:r>
              <w:rPr>
                <w:rFonts w:hint="default" w:ascii="Times New Roman" w:hAnsi="Times New Roman" w:cs="Times New Roman"/>
                <w:color w:val="auto"/>
                <w:spacing w:val="-6"/>
                <w:highlight w:val="none"/>
              </w:rPr>
              <w:t>、</w:t>
            </w:r>
            <w:r>
              <w:rPr>
                <w:rFonts w:hint="default" w:ascii="Times New Roman" w:hAnsi="Times New Roman" w:eastAsia="Times New Roman" w:cs="Times New Roman"/>
                <w:color w:val="auto"/>
                <w:spacing w:val="-6"/>
                <w:highlight w:val="none"/>
              </w:rPr>
              <w:t>COD</w:t>
            </w:r>
            <w:r>
              <w:rPr>
                <w:rFonts w:hint="default" w:ascii="Times New Roman" w:hAnsi="Times New Roman" w:cs="Times New Roman"/>
                <w:color w:val="auto"/>
                <w:spacing w:val="-6"/>
                <w:highlight w:val="none"/>
              </w:rPr>
              <w:t>、</w:t>
            </w:r>
            <w:r>
              <w:rPr>
                <w:rFonts w:hint="default" w:ascii="Times New Roman" w:hAnsi="Times New Roman" w:eastAsia="Times New Roman" w:cs="Times New Roman"/>
                <w:color w:val="auto"/>
                <w:spacing w:val="-2"/>
                <w:position w:val="1"/>
                <w:highlight w:val="none"/>
              </w:rPr>
              <w:t>BOD</w:t>
            </w:r>
            <w:r>
              <w:rPr>
                <w:rFonts w:hint="default" w:ascii="Times New Roman" w:hAnsi="Times New Roman" w:eastAsia="Times New Roman" w:cs="Times New Roman"/>
                <w:color w:val="auto"/>
                <w:spacing w:val="-2"/>
                <w:position w:val="-1"/>
                <w:sz w:val="14"/>
                <w:szCs w:val="14"/>
                <w:highlight w:val="none"/>
              </w:rPr>
              <w:t>5</w:t>
            </w:r>
            <w:r>
              <w:rPr>
                <w:rFonts w:hint="default" w:ascii="Times New Roman" w:hAnsi="Times New Roman" w:cs="Times New Roman"/>
                <w:color w:val="auto"/>
                <w:spacing w:val="-2"/>
                <w:position w:val="1"/>
                <w:highlight w:val="none"/>
              </w:rPr>
              <w:t>、氨氮等</w:t>
            </w:r>
          </w:p>
        </w:tc>
        <w:tc>
          <w:tcPr>
            <w:tcW w:w="1811" w:type="pct"/>
            <w:tcBorders>
              <w:tl2br w:val="nil"/>
              <w:tr2bl w:val="nil"/>
            </w:tcBorders>
            <w:noWrap w:val="0"/>
            <w:vAlign w:val="center"/>
          </w:tcPr>
          <w:p w14:paraId="0AA0EE5C">
            <w:pPr>
              <w:pStyle w:val="9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排于</w:t>
            </w:r>
            <w:r>
              <w:rPr>
                <w:rFonts w:hint="eastAsia" w:ascii="Times New Roman" w:hAnsi="Times New Roman" w:cs="Times New Roman"/>
                <w:color w:val="auto"/>
                <w:szCs w:val="21"/>
                <w:highlight w:val="none"/>
                <w:lang w:val="en-US" w:eastAsia="zh-CN"/>
              </w:rPr>
              <w:t>化粪池</w:t>
            </w:r>
            <w:r>
              <w:rPr>
                <w:rFonts w:hint="eastAsia" w:ascii="Times New Roman" w:hAnsi="Times New Roman" w:eastAsia="宋体" w:cs="Times New Roman"/>
                <w:color w:val="auto"/>
                <w:szCs w:val="21"/>
                <w:highlight w:val="none"/>
                <w:lang w:val="en-US" w:eastAsia="zh-CN"/>
              </w:rPr>
              <w:t>，定期清掏用作农肥</w:t>
            </w:r>
          </w:p>
        </w:tc>
        <w:tc>
          <w:tcPr>
            <w:tcW w:w="1168" w:type="pct"/>
            <w:vMerge w:val="restart"/>
            <w:tcBorders>
              <w:tl2br w:val="nil"/>
              <w:tr2bl w:val="nil"/>
            </w:tcBorders>
            <w:noWrap w:val="0"/>
            <w:vAlign w:val="center"/>
          </w:tcPr>
          <w:p w14:paraId="7D6560CE">
            <w:pPr>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52573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4D76B6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0E7AD1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运输车辆冲洗废水</w:t>
            </w:r>
          </w:p>
        </w:tc>
        <w:tc>
          <w:tcPr>
            <w:tcW w:w="594" w:type="pct"/>
            <w:tcBorders>
              <w:tl2br w:val="nil"/>
              <w:tr2bl w:val="nil"/>
            </w:tcBorders>
            <w:noWrap w:val="0"/>
            <w:vAlign w:val="center"/>
          </w:tcPr>
          <w:p w14:paraId="2DE7C8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SS</w:t>
            </w:r>
          </w:p>
        </w:tc>
        <w:tc>
          <w:tcPr>
            <w:tcW w:w="1811" w:type="pct"/>
            <w:tcBorders>
              <w:tl2br w:val="nil"/>
              <w:tr2bl w:val="nil"/>
            </w:tcBorders>
            <w:noWrap w:val="0"/>
            <w:vAlign w:val="center"/>
          </w:tcPr>
          <w:p w14:paraId="115A4EC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沉淀池处理后回用于车辆冲洗</w:t>
            </w:r>
            <w:r>
              <w:rPr>
                <w:rFonts w:hint="eastAsia" w:ascii="Times New Roman" w:hAnsi="Times New Roman" w:eastAsia="宋体" w:cs="Times New Roman"/>
                <w:color w:val="auto"/>
                <w:sz w:val="21"/>
                <w:szCs w:val="21"/>
                <w:highlight w:val="none"/>
                <w:lang w:val="en-US" w:eastAsia="zh-CN"/>
              </w:rPr>
              <w:t>，不外排</w:t>
            </w:r>
          </w:p>
        </w:tc>
        <w:tc>
          <w:tcPr>
            <w:tcW w:w="1168" w:type="pct"/>
            <w:vMerge w:val="continue"/>
            <w:tcBorders>
              <w:tl2br w:val="nil"/>
              <w:tr2bl w:val="nil"/>
            </w:tcBorders>
            <w:noWrap w:val="0"/>
            <w:vAlign w:val="center"/>
          </w:tcPr>
          <w:p w14:paraId="3B767E5B">
            <w:pPr>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p>
        </w:tc>
      </w:tr>
      <w:tr w14:paraId="012F9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1BED3F86">
            <w:pPr>
              <w:pStyle w:val="3"/>
              <w:pageBreakBefore w:val="0"/>
              <w:wordWrap/>
              <w:overflowPunct/>
              <w:topLinePunct w:val="0"/>
              <w:bidi w:val="0"/>
              <w:spacing w:line="240" w:lineRule="auto"/>
              <w:ind w:left="0" w:leftChars="0" w:firstLine="0" w:firstLineChars="0"/>
              <w:rPr>
                <w:rFonts w:hint="default"/>
                <w:color w:val="auto"/>
                <w:highlight w:val="none"/>
              </w:rPr>
            </w:pPr>
          </w:p>
        </w:tc>
        <w:tc>
          <w:tcPr>
            <w:tcW w:w="822" w:type="pct"/>
            <w:tcBorders>
              <w:tl2br w:val="nil"/>
              <w:tr2bl w:val="nil"/>
            </w:tcBorders>
            <w:noWrap w:val="0"/>
            <w:vAlign w:val="center"/>
          </w:tcPr>
          <w:p w14:paraId="23DD7F2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脱硫</w:t>
            </w:r>
            <w:r>
              <w:rPr>
                <w:rFonts w:hint="eastAsia" w:ascii="Times New Roman" w:hAnsi="Times New Roman" w:eastAsia="宋体" w:cs="Times New Roman"/>
                <w:color w:val="auto"/>
                <w:spacing w:val="-2"/>
                <w:sz w:val="21"/>
                <w:szCs w:val="21"/>
                <w:highlight w:val="none"/>
                <w:lang w:val="en-US" w:eastAsia="zh-CN"/>
              </w:rPr>
              <w:t>除尘</w:t>
            </w:r>
            <w:r>
              <w:rPr>
                <w:rFonts w:hint="eastAsia" w:ascii="Times New Roman" w:hAnsi="Times New Roman" w:cs="Times New Roman"/>
                <w:color w:val="auto"/>
                <w:spacing w:val="-2"/>
                <w:sz w:val="21"/>
                <w:szCs w:val="21"/>
                <w:highlight w:val="none"/>
                <w:lang w:val="en-US" w:eastAsia="zh-CN"/>
              </w:rPr>
              <w:t>、湿电除尘废水</w:t>
            </w:r>
          </w:p>
        </w:tc>
        <w:tc>
          <w:tcPr>
            <w:tcW w:w="594" w:type="pct"/>
            <w:tcBorders>
              <w:tl2br w:val="nil"/>
              <w:tr2bl w:val="nil"/>
            </w:tcBorders>
            <w:noWrap w:val="0"/>
            <w:vAlign w:val="center"/>
          </w:tcPr>
          <w:p w14:paraId="091C6F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4"/>
                <w:kern w:val="2"/>
                <w:sz w:val="21"/>
                <w:szCs w:val="21"/>
                <w:highlight w:val="none"/>
                <w:lang w:val="en-US" w:eastAsia="zh-CN" w:bidi="ar-SA"/>
              </w:rPr>
              <w:t>SS</w:t>
            </w:r>
          </w:p>
        </w:tc>
        <w:tc>
          <w:tcPr>
            <w:tcW w:w="1811" w:type="pct"/>
            <w:tcBorders>
              <w:tl2br w:val="nil"/>
              <w:tr2bl w:val="nil"/>
            </w:tcBorders>
            <w:noWrap w:val="0"/>
            <w:vAlign w:val="center"/>
          </w:tcPr>
          <w:p w14:paraId="4884DB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收集至</w:t>
            </w:r>
            <w:r>
              <w:rPr>
                <w:rFonts w:hint="eastAsia"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循坏水池</w:t>
            </w:r>
            <w:r>
              <w:rPr>
                <w:rFonts w:hint="eastAsia" w:ascii="Times New Roman" w:hAnsi="Times New Roman" w:eastAsia="宋体" w:cs="Times New Roman"/>
                <w:color w:val="auto"/>
                <w:sz w:val="21"/>
                <w:szCs w:val="21"/>
                <w:highlight w:val="none"/>
                <w:lang w:val="en-US" w:eastAsia="zh-CN"/>
              </w:rPr>
              <w:t>，循环使用，不外排</w:t>
            </w:r>
          </w:p>
        </w:tc>
        <w:tc>
          <w:tcPr>
            <w:tcW w:w="1168" w:type="pct"/>
            <w:vMerge w:val="continue"/>
            <w:tcBorders>
              <w:tl2br w:val="nil"/>
              <w:tr2bl w:val="nil"/>
            </w:tcBorders>
            <w:noWrap w:val="0"/>
            <w:vAlign w:val="center"/>
          </w:tcPr>
          <w:p w14:paraId="5B1C86FC">
            <w:pPr>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p>
        </w:tc>
      </w:tr>
      <w:tr w14:paraId="230B9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24B6A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413420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pacing w:val="-4"/>
                <w:kern w:val="2"/>
                <w:sz w:val="21"/>
                <w:szCs w:val="21"/>
                <w:highlight w:val="none"/>
                <w:lang w:val="en-US" w:eastAsia="zh-CN" w:bidi="ar-SA"/>
              </w:rPr>
              <w:t>初期雨水</w:t>
            </w:r>
          </w:p>
        </w:tc>
        <w:tc>
          <w:tcPr>
            <w:tcW w:w="594" w:type="pct"/>
            <w:tcBorders>
              <w:tl2br w:val="nil"/>
              <w:tr2bl w:val="nil"/>
            </w:tcBorders>
            <w:noWrap w:val="0"/>
            <w:vAlign w:val="center"/>
          </w:tcPr>
          <w:p w14:paraId="044469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4"/>
                <w:kern w:val="2"/>
                <w:sz w:val="21"/>
                <w:szCs w:val="21"/>
                <w:highlight w:val="none"/>
                <w:lang w:val="en-US" w:eastAsia="zh-CN" w:bidi="ar-SA"/>
              </w:rPr>
              <w:t>SS</w:t>
            </w:r>
          </w:p>
        </w:tc>
        <w:tc>
          <w:tcPr>
            <w:tcW w:w="1811" w:type="pct"/>
            <w:tcBorders>
              <w:tl2br w:val="nil"/>
              <w:tr2bl w:val="nil"/>
            </w:tcBorders>
            <w:noWrap w:val="0"/>
            <w:vAlign w:val="center"/>
          </w:tcPr>
          <w:p w14:paraId="3A809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收集至</w:t>
            </w:r>
            <w:r>
              <w:rPr>
                <w:rFonts w:hint="eastAsia" w:cs="Times New Roman"/>
                <w:color w:val="auto"/>
                <w:sz w:val="21"/>
                <w:szCs w:val="21"/>
                <w:highlight w:val="none"/>
                <w:lang w:val="en-US" w:eastAsia="zh-CN"/>
              </w:rPr>
              <w:t>550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初期雨水收集池用于洒水抑尘</w:t>
            </w:r>
            <w:r>
              <w:rPr>
                <w:rFonts w:hint="eastAsia" w:ascii="Times New Roman" w:hAnsi="Times New Roman" w:eastAsia="宋体" w:cs="Times New Roman"/>
                <w:color w:val="auto"/>
                <w:sz w:val="21"/>
                <w:szCs w:val="21"/>
                <w:highlight w:val="none"/>
                <w:lang w:val="en-US" w:eastAsia="zh-CN"/>
              </w:rPr>
              <w:t>，不外排</w:t>
            </w:r>
          </w:p>
        </w:tc>
        <w:tc>
          <w:tcPr>
            <w:tcW w:w="1168" w:type="pct"/>
            <w:vMerge w:val="continue"/>
            <w:tcBorders>
              <w:tl2br w:val="nil"/>
              <w:tr2bl w:val="nil"/>
            </w:tcBorders>
            <w:noWrap w:val="0"/>
            <w:vAlign w:val="center"/>
          </w:tcPr>
          <w:p w14:paraId="19803501">
            <w:pPr>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p>
        </w:tc>
      </w:tr>
      <w:tr w14:paraId="4AC1A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tcBorders>
              <w:tl2br w:val="nil"/>
              <w:tr2bl w:val="nil"/>
            </w:tcBorders>
            <w:noWrap w:val="0"/>
            <w:vAlign w:val="center"/>
          </w:tcPr>
          <w:p w14:paraId="7A82D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822" w:type="pct"/>
            <w:tcBorders>
              <w:tl2br w:val="nil"/>
              <w:tr2bl w:val="nil"/>
            </w:tcBorders>
            <w:noWrap w:val="0"/>
            <w:vAlign w:val="center"/>
          </w:tcPr>
          <w:p w14:paraId="70B2040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搅拌机、粉碎机、</w:t>
            </w:r>
            <w:r>
              <w:rPr>
                <w:rFonts w:hint="eastAsia" w:ascii="Times New Roman" w:hAnsi="Times New Roman" w:cs="Times New Roman"/>
                <w:color w:val="auto"/>
                <w:sz w:val="21"/>
                <w:szCs w:val="21"/>
                <w:highlight w:val="none"/>
                <w:lang w:val="en-US" w:eastAsia="zh-CN"/>
              </w:rPr>
              <w:t>筛分机</w:t>
            </w:r>
            <w:r>
              <w:rPr>
                <w:rFonts w:hint="default" w:ascii="Times New Roman" w:hAnsi="Times New Roman" w:cs="Times New Roman"/>
                <w:color w:val="auto"/>
                <w:sz w:val="21"/>
                <w:szCs w:val="21"/>
                <w:highlight w:val="none"/>
                <w:lang w:val="en-US" w:eastAsia="zh-CN"/>
              </w:rPr>
              <w:t>、挤砖机、装载机等</w:t>
            </w:r>
            <w:r>
              <w:rPr>
                <w:rFonts w:hint="eastAsia" w:ascii="Times New Roman" w:hAnsi="Times New Roman" w:cs="Times New Roman"/>
                <w:color w:val="auto"/>
                <w:sz w:val="21"/>
                <w:szCs w:val="21"/>
                <w:highlight w:val="none"/>
                <w:lang w:val="en-US" w:eastAsia="zh-CN"/>
              </w:rPr>
              <w:t>生产设备</w:t>
            </w:r>
          </w:p>
        </w:tc>
        <w:tc>
          <w:tcPr>
            <w:tcW w:w="594" w:type="pct"/>
            <w:tcBorders>
              <w:tl2br w:val="nil"/>
              <w:tr2bl w:val="nil"/>
            </w:tcBorders>
            <w:noWrap w:val="0"/>
            <w:vAlign w:val="center"/>
          </w:tcPr>
          <w:p w14:paraId="7848FC4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highlight w:val="none"/>
              </w:rPr>
              <w:t>噪声</w:t>
            </w:r>
          </w:p>
        </w:tc>
        <w:tc>
          <w:tcPr>
            <w:tcW w:w="1811" w:type="pct"/>
            <w:vMerge w:val="restart"/>
            <w:tcBorders>
              <w:tl2br w:val="nil"/>
              <w:tr2bl w:val="nil"/>
            </w:tcBorders>
            <w:noWrap w:val="0"/>
            <w:vAlign w:val="center"/>
          </w:tcPr>
          <w:p w14:paraId="6B97BB5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2"/>
                <w:highlight w:val="none"/>
                <w:lang w:eastAsia="zh-CN"/>
              </w:rPr>
              <w:t>选用低噪设备、生产设备全部位于室内，设置基础减震、建筑物隔声等措施，运输车辆限速、禁鸣笛；装载机定期维护保持良好工况</w:t>
            </w:r>
          </w:p>
        </w:tc>
        <w:tc>
          <w:tcPr>
            <w:tcW w:w="1168" w:type="pct"/>
            <w:vMerge w:val="restart"/>
            <w:tcBorders>
              <w:tl2br w:val="nil"/>
              <w:tr2bl w:val="nil"/>
            </w:tcBorders>
            <w:noWrap w:val="0"/>
            <w:vAlign w:val="center"/>
          </w:tcPr>
          <w:p w14:paraId="07AA244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pacing w:val="-2"/>
                <w:highlight w:val="none"/>
              </w:rPr>
              <w:t>《工业企业厂界环境噪声排放标准》（GB12348）</w:t>
            </w:r>
          </w:p>
        </w:tc>
      </w:tr>
      <w:tr w14:paraId="2000B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770D4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7FA79712">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运输车辆</w:t>
            </w:r>
          </w:p>
        </w:tc>
        <w:tc>
          <w:tcPr>
            <w:tcW w:w="594" w:type="pct"/>
            <w:tcBorders>
              <w:tl2br w:val="nil"/>
              <w:tr2bl w:val="nil"/>
            </w:tcBorders>
            <w:noWrap w:val="0"/>
            <w:vAlign w:val="center"/>
          </w:tcPr>
          <w:p w14:paraId="7AA2CAC3">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13"/>
                <w:highlight w:val="none"/>
              </w:rPr>
            </w:pPr>
            <w:r>
              <w:rPr>
                <w:rFonts w:hint="default" w:ascii="Times New Roman" w:hAnsi="Times New Roman" w:cs="Times New Roman"/>
                <w:color w:val="auto"/>
                <w:spacing w:val="-2"/>
                <w:highlight w:val="none"/>
              </w:rPr>
              <w:t>噪声</w:t>
            </w:r>
          </w:p>
        </w:tc>
        <w:tc>
          <w:tcPr>
            <w:tcW w:w="1811" w:type="pct"/>
            <w:vMerge w:val="continue"/>
            <w:tcBorders>
              <w:tl2br w:val="nil"/>
              <w:tr2bl w:val="nil"/>
            </w:tcBorders>
            <w:noWrap w:val="0"/>
            <w:vAlign w:val="center"/>
          </w:tcPr>
          <w:p w14:paraId="75F898C1">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2"/>
                <w:highlight w:val="none"/>
                <w:lang w:eastAsia="zh-CN"/>
              </w:rPr>
            </w:pPr>
          </w:p>
        </w:tc>
        <w:tc>
          <w:tcPr>
            <w:tcW w:w="1168" w:type="pct"/>
            <w:vMerge w:val="continue"/>
            <w:tcBorders>
              <w:tl2br w:val="nil"/>
              <w:tr2bl w:val="nil"/>
            </w:tcBorders>
            <w:noWrap w:val="0"/>
            <w:vAlign w:val="center"/>
          </w:tcPr>
          <w:p w14:paraId="36E5A034">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auto"/>
                <w:spacing w:val="-2"/>
                <w:highlight w:val="none"/>
              </w:rPr>
            </w:pPr>
          </w:p>
        </w:tc>
      </w:tr>
      <w:tr w14:paraId="6F18F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tcBorders>
              <w:tl2br w:val="nil"/>
              <w:tr2bl w:val="nil"/>
            </w:tcBorders>
            <w:noWrap w:val="0"/>
            <w:vAlign w:val="center"/>
          </w:tcPr>
          <w:p w14:paraId="28BDE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822" w:type="pct"/>
            <w:tcBorders>
              <w:tl2br w:val="nil"/>
              <w:tr2bl w:val="nil"/>
            </w:tcBorders>
            <w:shd w:val="clear" w:color="auto" w:fill="auto"/>
            <w:noWrap w:val="0"/>
            <w:vAlign w:val="center"/>
          </w:tcPr>
          <w:p w14:paraId="68A6BF33">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w:t>
            </w:r>
          </w:p>
        </w:tc>
        <w:tc>
          <w:tcPr>
            <w:tcW w:w="594" w:type="pct"/>
            <w:tcBorders>
              <w:tl2br w:val="nil"/>
              <w:tr2bl w:val="nil"/>
            </w:tcBorders>
            <w:shd w:val="clear" w:color="auto" w:fill="auto"/>
            <w:noWrap w:val="0"/>
            <w:vAlign w:val="center"/>
          </w:tcPr>
          <w:p w14:paraId="4384E384">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w:t>
            </w:r>
            <w:r>
              <w:rPr>
                <w:rFonts w:hint="default" w:ascii="Times New Roman" w:hAnsi="Times New Roman" w:eastAsia="宋体" w:cs="Times New Roman"/>
                <w:color w:val="auto"/>
                <w:sz w:val="21"/>
                <w:szCs w:val="21"/>
                <w:highlight w:val="none"/>
                <w:lang w:val="en-US" w:eastAsia="zh-CN"/>
              </w:rPr>
              <w:t>尘灰</w:t>
            </w:r>
          </w:p>
        </w:tc>
        <w:tc>
          <w:tcPr>
            <w:tcW w:w="1811" w:type="pct"/>
            <w:vMerge w:val="restart"/>
            <w:tcBorders>
              <w:tl2br w:val="nil"/>
              <w:tr2bl w:val="nil"/>
            </w:tcBorders>
            <w:noWrap w:val="0"/>
            <w:vAlign w:val="center"/>
          </w:tcPr>
          <w:p w14:paraId="11125510">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作为原料进行回用于生产</w:t>
            </w:r>
          </w:p>
        </w:tc>
        <w:tc>
          <w:tcPr>
            <w:tcW w:w="1168" w:type="pct"/>
            <w:vMerge w:val="restart"/>
            <w:tcBorders>
              <w:tl2br w:val="nil"/>
              <w:tr2bl w:val="nil"/>
            </w:tcBorders>
            <w:noWrap w:val="0"/>
            <w:vAlign w:val="center"/>
          </w:tcPr>
          <w:p w14:paraId="4CAA7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kern w:val="0"/>
                <w:szCs w:val="21"/>
                <w:highlight w:val="none"/>
              </w:rPr>
              <w:t>《一般工业固体废物贮存和填埋污染控制标准》（GB18599-</w:t>
            </w:r>
            <w:r>
              <w:rPr>
                <w:rFonts w:hint="default" w:ascii="Times New Roman" w:hAnsi="Times New Roman" w:cs="Times New Roman"/>
                <w:bCs/>
                <w:color w:val="auto"/>
                <w:szCs w:val="21"/>
                <w:highlight w:val="none"/>
              </w:rPr>
              <w:t>2020）</w:t>
            </w:r>
          </w:p>
        </w:tc>
      </w:tr>
      <w:tr w14:paraId="1619E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5EB43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7FCB3D7E">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切坯</w:t>
            </w:r>
          </w:p>
        </w:tc>
        <w:tc>
          <w:tcPr>
            <w:tcW w:w="594" w:type="pct"/>
            <w:tcBorders>
              <w:tl2br w:val="nil"/>
              <w:tr2bl w:val="nil"/>
            </w:tcBorders>
            <w:noWrap w:val="0"/>
            <w:vAlign w:val="center"/>
          </w:tcPr>
          <w:p w14:paraId="52E22881">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废砖坯</w:t>
            </w:r>
          </w:p>
        </w:tc>
        <w:tc>
          <w:tcPr>
            <w:tcW w:w="1811" w:type="pct"/>
            <w:vMerge w:val="continue"/>
            <w:tcBorders>
              <w:tl2br w:val="nil"/>
              <w:tr2bl w:val="nil"/>
            </w:tcBorders>
            <w:noWrap w:val="0"/>
            <w:vAlign w:val="center"/>
          </w:tcPr>
          <w:p w14:paraId="1EEFC795">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cs="Times New Roman"/>
                <w:color w:val="auto"/>
                <w:sz w:val="21"/>
                <w:szCs w:val="21"/>
                <w:highlight w:val="none"/>
              </w:rPr>
            </w:pPr>
          </w:p>
        </w:tc>
        <w:tc>
          <w:tcPr>
            <w:tcW w:w="1168" w:type="pct"/>
            <w:vMerge w:val="continue"/>
            <w:tcBorders>
              <w:tl2br w:val="nil"/>
              <w:tr2bl w:val="nil"/>
            </w:tcBorders>
            <w:noWrap w:val="0"/>
            <w:vAlign w:val="center"/>
          </w:tcPr>
          <w:p w14:paraId="6A73BE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p>
        </w:tc>
      </w:tr>
      <w:tr w14:paraId="4D431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1376FF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50CE3899">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焙烧</w:t>
            </w:r>
          </w:p>
        </w:tc>
        <w:tc>
          <w:tcPr>
            <w:tcW w:w="594" w:type="pct"/>
            <w:tcBorders>
              <w:tl2br w:val="nil"/>
              <w:tr2bl w:val="nil"/>
            </w:tcBorders>
            <w:noWrap w:val="0"/>
            <w:vAlign w:val="center"/>
          </w:tcPr>
          <w:p w14:paraId="6FC3C4AC">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不合格品</w:t>
            </w:r>
          </w:p>
        </w:tc>
        <w:tc>
          <w:tcPr>
            <w:tcW w:w="1811" w:type="pct"/>
            <w:vMerge w:val="continue"/>
            <w:tcBorders>
              <w:tl2br w:val="nil"/>
              <w:tr2bl w:val="nil"/>
            </w:tcBorders>
            <w:noWrap w:val="0"/>
            <w:vAlign w:val="center"/>
          </w:tcPr>
          <w:p w14:paraId="61BC7964">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168" w:type="pct"/>
            <w:vMerge w:val="continue"/>
            <w:tcBorders>
              <w:tl2br w:val="nil"/>
              <w:tr2bl w:val="nil"/>
            </w:tcBorders>
            <w:noWrap w:val="0"/>
            <w:vAlign w:val="center"/>
          </w:tcPr>
          <w:p w14:paraId="50650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p>
        </w:tc>
      </w:tr>
      <w:tr w14:paraId="171AC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746DE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709FB8EE">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脱硫除尘装置</w:t>
            </w:r>
          </w:p>
        </w:tc>
        <w:tc>
          <w:tcPr>
            <w:tcW w:w="594" w:type="pct"/>
            <w:tcBorders>
              <w:tl2br w:val="nil"/>
              <w:tr2bl w:val="nil"/>
            </w:tcBorders>
            <w:noWrap w:val="0"/>
            <w:vAlign w:val="center"/>
          </w:tcPr>
          <w:p w14:paraId="7D91FBAA">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脱硫废渣</w:t>
            </w:r>
          </w:p>
        </w:tc>
        <w:tc>
          <w:tcPr>
            <w:tcW w:w="1811" w:type="pct"/>
            <w:tcBorders>
              <w:tl2br w:val="nil"/>
              <w:tr2bl w:val="nil"/>
            </w:tcBorders>
            <w:noWrap w:val="0"/>
            <w:vAlign w:val="center"/>
          </w:tcPr>
          <w:p w14:paraId="2786FD8E">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作为建材原料外售综合利用</w:t>
            </w:r>
          </w:p>
        </w:tc>
        <w:tc>
          <w:tcPr>
            <w:tcW w:w="1168" w:type="pct"/>
            <w:vMerge w:val="continue"/>
            <w:tcBorders>
              <w:tl2br w:val="nil"/>
              <w:tr2bl w:val="nil"/>
            </w:tcBorders>
            <w:noWrap w:val="0"/>
            <w:vAlign w:val="center"/>
          </w:tcPr>
          <w:p w14:paraId="22019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p>
        </w:tc>
      </w:tr>
      <w:tr w14:paraId="14C8A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107BE6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vMerge w:val="restart"/>
            <w:tcBorders>
              <w:tl2br w:val="nil"/>
              <w:tr2bl w:val="nil"/>
            </w:tcBorders>
            <w:noWrap w:val="0"/>
            <w:vAlign w:val="center"/>
          </w:tcPr>
          <w:p w14:paraId="39BBFBB6">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设备维修</w:t>
            </w:r>
          </w:p>
        </w:tc>
        <w:tc>
          <w:tcPr>
            <w:tcW w:w="594" w:type="pct"/>
            <w:tcBorders>
              <w:tl2br w:val="nil"/>
              <w:tr2bl w:val="nil"/>
            </w:tcBorders>
            <w:noWrap w:val="0"/>
            <w:vAlign w:val="center"/>
          </w:tcPr>
          <w:p w14:paraId="137F6B4F">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废矿物油</w:t>
            </w:r>
          </w:p>
        </w:tc>
        <w:tc>
          <w:tcPr>
            <w:tcW w:w="1811" w:type="pct"/>
            <w:vMerge w:val="restart"/>
            <w:tcBorders>
              <w:tl2br w:val="nil"/>
              <w:tr2bl w:val="nil"/>
            </w:tcBorders>
            <w:noWrap w:val="0"/>
            <w:vAlign w:val="center"/>
          </w:tcPr>
          <w:p w14:paraId="18A464EC">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暂存于</w:t>
            </w:r>
            <w:r>
              <w:rPr>
                <w:rFonts w:hint="eastAsia" w:cs="Times New Roman"/>
                <w:color w:val="auto"/>
                <w:sz w:val="21"/>
                <w:szCs w:val="21"/>
                <w:highlight w:val="none"/>
                <w:lang w:val="en-US" w:eastAsia="zh-CN"/>
              </w:rPr>
              <w:t>危废贮存点</w:t>
            </w:r>
            <w:r>
              <w:rPr>
                <w:rFonts w:hint="default" w:ascii="Times New Roman" w:hAnsi="Times New Roman" w:cs="Times New Roman"/>
                <w:color w:val="auto"/>
                <w:sz w:val="21"/>
                <w:szCs w:val="21"/>
                <w:highlight w:val="none"/>
                <w:lang w:val="en-US" w:eastAsia="zh-CN"/>
              </w:rPr>
              <w:t>，定期交有资质单位处置</w:t>
            </w:r>
          </w:p>
        </w:tc>
        <w:tc>
          <w:tcPr>
            <w:tcW w:w="1168" w:type="pct"/>
            <w:vMerge w:val="restart"/>
            <w:tcBorders>
              <w:tl2br w:val="nil"/>
              <w:tr2bl w:val="nil"/>
            </w:tcBorders>
            <w:noWrap w:val="0"/>
            <w:vAlign w:val="center"/>
          </w:tcPr>
          <w:p w14:paraId="5CACD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《危险废物贮存污染控制标准》（GB18597-2023）</w:t>
            </w:r>
          </w:p>
        </w:tc>
      </w:tr>
      <w:tr w14:paraId="168B0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335E82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vMerge w:val="continue"/>
            <w:tcBorders>
              <w:tl2br w:val="nil"/>
              <w:tr2bl w:val="nil"/>
            </w:tcBorders>
            <w:noWrap w:val="0"/>
            <w:vAlign w:val="center"/>
          </w:tcPr>
          <w:p w14:paraId="18BF9E43">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lang w:val="en-US" w:eastAsia="zh-CN"/>
              </w:rPr>
            </w:pPr>
          </w:p>
        </w:tc>
        <w:tc>
          <w:tcPr>
            <w:tcW w:w="594" w:type="pct"/>
            <w:tcBorders>
              <w:tl2br w:val="nil"/>
              <w:tr2bl w:val="nil"/>
            </w:tcBorders>
            <w:noWrap w:val="0"/>
            <w:vAlign w:val="center"/>
          </w:tcPr>
          <w:p w14:paraId="28F78605">
            <w:pPr>
              <w:keepNext w:val="0"/>
              <w:keepLines w:val="0"/>
              <w:pageBreakBefore w:val="0"/>
              <w:widowControl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废油桶</w:t>
            </w:r>
          </w:p>
        </w:tc>
        <w:tc>
          <w:tcPr>
            <w:tcW w:w="1811" w:type="pct"/>
            <w:vMerge w:val="continue"/>
            <w:tcBorders>
              <w:tl2br w:val="nil"/>
              <w:tr2bl w:val="nil"/>
            </w:tcBorders>
            <w:noWrap w:val="0"/>
            <w:vAlign w:val="center"/>
          </w:tcPr>
          <w:p w14:paraId="464AAA76">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168" w:type="pct"/>
            <w:vMerge w:val="continue"/>
            <w:tcBorders>
              <w:tl2br w:val="nil"/>
              <w:tr2bl w:val="nil"/>
            </w:tcBorders>
            <w:noWrap w:val="0"/>
            <w:vAlign w:val="center"/>
          </w:tcPr>
          <w:p w14:paraId="1AF38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eastAsia="zh-CN"/>
              </w:rPr>
            </w:pPr>
          </w:p>
        </w:tc>
      </w:tr>
      <w:tr w14:paraId="0C78C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tcBorders>
              <w:tl2br w:val="nil"/>
              <w:tr2bl w:val="nil"/>
            </w:tcBorders>
            <w:noWrap w:val="0"/>
            <w:vAlign w:val="center"/>
          </w:tcPr>
          <w:p w14:paraId="00A56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22" w:type="pct"/>
            <w:tcBorders>
              <w:tl2br w:val="nil"/>
              <w:tr2bl w:val="nil"/>
            </w:tcBorders>
            <w:noWrap w:val="0"/>
            <w:vAlign w:val="center"/>
          </w:tcPr>
          <w:p w14:paraId="2679F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w:t>
            </w:r>
            <w:r>
              <w:rPr>
                <w:rFonts w:hint="default" w:ascii="Times New Roman" w:hAnsi="Times New Roman" w:cs="Times New Roman"/>
                <w:color w:val="auto"/>
                <w:sz w:val="21"/>
                <w:szCs w:val="21"/>
                <w:highlight w:val="none"/>
                <w:lang w:eastAsia="zh-CN"/>
              </w:rPr>
              <w:t>生活</w:t>
            </w:r>
          </w:p>
        </w:tc>
        <w:tc>
          <w:tcPr>
            <w:tcW w:w="594" w:type="pct"/>
            <w:tcBorders>
              <w:tl2br w:val="nil"/>
              <w:tr2bl w:val="nil"/>
            </w:tcBorders>
            <w:noWrap w:val="0"/>
            <w:vAlign w:val="center"/>
          </w:tcPr>
          <w:p w14:paraId="7D292D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生活垃圾</w:t>
            </w:r>
          </w:p>
        </w:tc>
        <w:tc>
          <w:tcPr>
            <w:tcW w:w="1811" w:type="pct"/>
            <w:tcBorders>
              <w:tl2br w:val="nil"/>
              <w:tr2bl w:val="nil"/>
            </w:tcBorders>
            <w:noWrap w:val="0"/>
            <w:vAlign w:val="center"/>
          </w:tcPr>
          <w:p w14:paraId="057A52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集中收集后由环卫部门统一清运处理</w:t>
            </w:r>
          </w:p>
        </w:tc>
        <w:tc>
          <w:tcPr>
            <w:tcW w:w="1168" w:type="pct"/>
            <w:tcBorders>
              <w:tl2br w:val="nil"/>
              <w:tr2bl w:val="nil"/>
            </w:tcBorders>
            <w:noWrap w:val="0"/>
            <w:vAlign w:val="center"/>
          </w:tcPr>
          <w:p w14:paraId="413EB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w:t>
            </w:r>
            <w:r>
              <w:rPr>
                <w:rFonts w:hint="default" w:ascii="Times New Roman" w:hAnsi="Times New Roman" w:cs="Times New Roman"/>
                <w:color w:val="auto"/>
                <w:sz w:val="21"/>
                <w:szCs w:val="21"/>
                <w:highlight w:val="none"/>
                <w:lang w:val="en-US" w:eastAsia="zh-CN"/>
              </w:rPr>
              <w:t>卫部门管理要求</w:t>
            </w:r>
          </w:p>
        </w:tc>
      </w:tr>
      <w:tr w14:paraId="192EA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tcBorders>
              <w:tl2br w:val="nil"/>
              <w:tr2bl w:val="nil"/>
            </w:tcBorders>
            <w:noWrap w:val="0"/>
            <w:vAlign w:val="center"/>
          </w:tcPr>
          <w:p w14:paraId="66775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4397" w:type="pct"/>
            <w:gridSpan w:val="4"/>
            <w:tcBorders>
              <w:tl2br w:val="nil"/>
              <w:tr2bl w:val="nil"/>
            </w:tcBorders>
            <w:noWrap w:val="0"/>
            <w:vAlign w:val="center"/>
          </w:tcPr>
          <w:p w14:paraId="64F2B6A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加强设备运行维护管理，减少跑冒滴漏事故产生；</w:t>
            </w:r>
          </w:p>
          <w:p w14:paraId="4654CFD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②加强污染防治措施运行管理，保证污染物达标排放；</w:t>
            </w:r>
          </w:p>
          <w:p w14:paraId="1D1B252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③加强厂区内</w:t>
            </w:r>
            <w:r>
              <w:rPr>
                <w:rFonts w:hint="eastAsia" w:cs="Times New Roman"/>
                <w:color w:val="auto"/>
                <w:highlight w:val="none"/>
                <w:lang w:val="en-US" w:eastAsia="zh-CN"/>
              </w:rPr>
              <w:t>危废贮存点</w:t>
            </w:r>
            <w:r>
              <w:rPr>
                <w:rFonts w:hint="default" w:ascii="Times New Roman" w:hAnsi="Times New Roman" w:cs="Times New Roman"/>
                <w:color w:val="auto"/>
                <w:highlight w:val="none"/>
                <w:lang w:val="en-US" w:eastAsia="zh-CN"/>
              </w:rPr>
              <w:t>等构筑物的防渗措施，重点防渗区包括（</w:t>
            </w:r>
            <w:r>
              <w:rPr>
                <w:rFonts w:hint="eastAsia" w:cs="Times New Roman"/>
                <w:color w:val="auto"/>
                <w:highlight w:val="none"/>
                <w:lang w:val="en-US" w:eastAsia="zh-CN"/>
              </w:rPr>
              <w:t>危废贮存点</w:t>
            </w:r>
            <w:r>
              <w:rPr>
                <w:rFonts w:hint="default" w:ascii="Times New Roman" w:hAnsi="Times New Roman" w:cs="Times New Roman"/>
                <w:color w:val="auto"/>
                <w:highlight w:val="none"/>
                <w:lang w:val="en-US" w:eastAsia="zh-CN"/>
              </w:rPr>
              <w:t>），防渗方案为防渗层为2mm厚的高密度聚乙烯，或至少2mm厚的其它人工材料，渗透系数≤1×10</w:t>
            </w:r>
            <w:r>
              <w:rPr>
                <w:rFonts w:hint="default" w:ascii="Times New Roman" w:hAnsi="Times New Roman" w:cs="Times New Roman"/>
                <w:color w:val="auto"/>
                <w:highlight w:val="none"/>
                <w:vertAlign w:val="superscript"/>
                <w:lang w:val="en-US" w:eastAsia="zh-CN"/>
              </w:rPr>
              <w:t>-12</w:t>
            </w:r>
            <w:r>
              <w:rPr>
                <w:rFonts w:hint="default" w:ascii="Times New Roman" w:hAnsi="Times New Roman" w:cs="Times New Roman"/>
                <w:color w:val="auto"/>
                <w:highlight w:val="none"/>
                <w:lang w:val="en-US" w:eastAsia="zh-CN"/>
              </w:rPr>
              <w:t>cm/s，地面加覆0.5mm厚环氧树脂膜；一般防渗区（生产车间、原料库、雨水池、沉淀池），防渗方案为混凝土硬化，防渗层为至少1.5m厚的粘土层，保证各单元防水层渗透系数≤10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cm/s；简单防渗区（办公区），防渗方案为一般混凝土硬化；</w:t>
            </w:r>
          </w:p>
          <w:p w14:paraId="48B83BE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④落实跟踪监测计划；</w:t>
            </w:r>
          </w:p>
        </w:tc>
      </w:tr>
      <w:tr w14:paraId="41036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tcBorders>
              <w:tl2br w:val="nil"/>
              <w:tr2bl w:val="nil"/>
            </w:tcBorders>
            <w:noWrap w:val="0"/>
            <w:vAlign w:val="center"/>
          </w:tcPr>
          <w:p w14:paraId="67A8E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4397" w:type="pct"/>
            <w:gridSpan w:val="4"/>
            <w:tcBorders>
              <w:tl2br w:val="nil"/>
              <w:tr2bl w:val="nil"/>
            </w:tcBorders>
            <w:noWrap w:val="0"/>
            <w:vAlign w:val="center"/>
          </w:tcPr>
          <w:p w14:paraId="1E0EED7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加强污染防治措施运行管理，保证污染物达标排放； </w:t>
            </w:r>
          </w:p>
          <w:p w14:paraId="2B987F2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加强厂区硬化、绿化措施</w:t>
            </w:r>
          </w:p>
        </w:tc>
      </w:tr>
      <w:tr w14:paraId="530A1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tcBorders>
              <w:tl2br w:val="nil"/>
              <w:tr2bl w:val="nil"/>
            </w:tcBorders>
            <w:noWrap w:val="0"/>
            <w:vAlign w:val="center"/>
          </w:tcPr>
          <w:p w14:paraId="40854A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环境风险防范措施</w:t>
            </w:r>
          </w:p>
        </w:tc>
        <w:tc>
          <w:tcPr>
            <w:tcW w:w="4397" w:type="pct"/>
            <w:gridSpan w:val="4"/>
            <w:tcBorders>
              <w:tl2br w:val="nil"/>
              <w:tr2bl w:val="nil"/>
            </w:tcBorders>
            <w:noWrap w:val="0"/>
            <w:vAlign w:val="center"/>
          </w:tcPr>
          <w:p w14:paraId="317FDF6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①</w:t>
            </w:r>
            <w:r>
              <w:rPr>
                <w:rFonts w:hint="default" w:ascii="Times New Roman" w:hAnsi="Times New Roman" w:eastAsia="宋体" w:cs="Times New Roman"/>
                <w:color w:val="auto"/>
                <w:sz w:val="21"/>
                <w:szCs w:val="21"/>
                <w:highlight w:val="none"/>
                <w:lang w:val="en-US" w:eastAsia="zh-CN"/>
              </w:rPr>
              <w:t>完善危险物质贮存设施，加强对物料储存、使用的安全管理和检查，避免物料出现泄漏。</w:t>
            </w:r>
          </w:p>
          <w:p w14:paraId="036C6DD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②</w:t>
            </w:r>
            <w:r>
              <w:rPr>
                <w:rFonts w:hint="default" w:ascii="Times New Roman" w:hAnsi="Times New Roman" w:eastAsia="宋体" w:cs="Times New Roman"/>
                <w:color w:val="auto"/>
                <w:sz w:val="21"/>
                <w:szCs w:val="21"/>
                <w:highlight w:val="none"/>
                <w:lang w:val="en-US" w:eastAsia="zh-CN"/>
              </w:rPr>
              <w:t>.落实安全检查制度，定期检查，排除火灾隐患；加强厂区消防检查和管理，在厂区按照消防要求设置灭火器材。</w:t>
            </w:r>
          </w:p>
          <w:p w14:paraId="3C82DD4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③</w:t>
            </w:r>
            <w:r>
              <w:rPr>
                <w:rFonts w:hint="default" w:ascii="Times New Roman" w:hAnsi="Times New Roman" w:eastAsia="宋体" w:cs="Times New Roman"/>
                <w:color w:val="auto"/>
                <w:sz w:val="21"/>
                <w:szCs w:val="21"/>
                <w:highlight w:val="none"/>
                <w:lang w:val="en-US" w:eastAsia="zh-CN"/>
              </w:rPr>
              <w:t>要加强对各岗位员工进行风险意识、风险知识、安全技能、规章制度、应变能力等素质等各方面的培训和教育。</w:t>
            </w:r>
          </w:p>
          <w:p w14:paraId="1134E06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④</w:t>
            </w:r>
            <w:r>
              <w:rPr>
                <w:rFonts w:hint="default" w:ascii="Times New Roman" w:hAnsi="Times New Roman" w:eastAsia="宋体" w:cs="Times New Roman"/>
                <w:color w:val="auto"/>
                <w:sz w:val="21"/>
                <w:szCs w:val="21"/>
                <w:highlight w:val="none"/>
                <w:lang w:val="en-US" w:eastAsia="zh-CN"/>
              </w:rPr>
              <w:t>企业应当按照安全监督管理部门和消防部门要求，严格执行相关风险控制措施。</w:t>
            </w:r>
          </w:p>
          <w:p w14:paraId="7273278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t>企业编制突发环境事件应急预案，配备应急器材，在发生泄漏、火灾和爆炸等事故时控制泄漏物和消防废水进入下水道。企业应完善突发环境事故应急措施。</w:t>
            </w:r>
          </w:p>
          <w:p w14:paraId="17AE15F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t>做好总图布置和建筑物安全防范措施。</w:t>
            </w:r>
          </w:p>
          <w:p w14:paraId="12ECF75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t>准备各项应急救援物资。</w:t>
            </w:r>
          </w:p>
          <w:p w14:paraId="19DE336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⑧</w:t>
            </w:r>
            <w:r>
              <w:rPr>
                <w:rFonts w:hint="default" w:ascii="Times New Roman" w:hAnsi="Times New Roman" w:eastAsia="宋体" w:cs="Times New Roman"/>
                <w:color w:val="auto"/>
                <w:sz w:val="21"/>
                <w:szCs w:val="21"/>
                <w:highlight w:val="none"/>
                <w:lang w:val="en-US" w:eastAsia="zh-CN"/>
              </w:rPr>
              <w:t>仓库区禁止吸烟，远离火源、热源、电源，无产生火花的条件，禁止明火作业；设置醒目易燃品标志。</w:t>
            </w:r>
          </w:p>
        </w:tc>
      </w:tr>
      <w:tr w14:paraId="11B0D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6" w:hRule="atLeast"/>
          <w:jc w:val="center"/>
        </w:trPr>
        <w:tc>
          <w:tcPr>
            <w:tcW w:w="602" w:type="pct"/>
            <w:tcBorders>
              <w:tl2br w:val="nil"/>
              <w:tr2bl w:val="nil"/>
            </w:tcBorders>
            <w:noWrap w:val="0"/>
            <w:vAlign w:val="center"/>
          </w:tcPr>
          <w:p w14:paraId="5B05214C">
            <w:pPr>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其他环境管理要求</w:t>
            </w:r>
          </w:p>
        </w:tc>
        <w:tc>
          <w:tcPr>
            <w:tcW w:w="4397" w:type="pct"/>
            <w:gridSpan w:val="4"/>
            <w:tcBorders>
              <w:tl2br w:val="nil"/>
              <w:tr2bl w:val="nil"/>
            </w:tcBorders>
            <w:noWrap w:val="0"/>
            <w:vAlign w:val="center"/>
          </w:tcPr>
          <w:p w14:paraId="1296998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①贯彻执行国家环境保护的方针、政策、法律、法规；</w:t>
            </w:r>
          </w:p>
          <w:p w14:paraId="5280981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②组织制定项目的环境保护规章制度和标准并督促检查执行，制定污染控制及改善环境质量计划；</w:t>
            </w:r>
          </w:p>
          <w:p w14:paraId="3668F9C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③负责组织环境监测、事故防范以及外部协调工作，负责组织突发事故的应急处理的善后事宜；</w:t>
            </w:r>
          </w:p>
          <w:p w14:paraId="1E53E1A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④组织开展环境保护的科研、宣传教育和技术培训工作；</w:t>
            </w:r>
          </w:p>
          <w:p w14:paraId="756B393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⑤监督“三同时”规定的执行情况，确保环境保护设施与主体工程同时设计、同时施工、同时运行，有效控制污染；</w:t>
            </w:r>
          </w:p>
          <w:p w14:paraId="78C7D72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⑥建立环境管理台账，定期接受环保管理部门的监督和检查，环境监测按照《排污许可证申请与核发技术规范 陶瓷砖瓦工业》（HJ954-2018）和《排污单位自行监测技术指南 总则》（HJ819-2018）要求进行监测。</w:t>
            </w:r>
          </w:p>
        </w:tc>
      </w:tr>
    </w:tbl>
    <w:p w14:paraId="271899D0">
      <w:pPr>
        <w:pStyle w:val="20"/>
        <w:jc w:val="center"/>
        <w:outlineLvl w:val="0"/>
        <w:rPr>
          <w:rFonts w:ascii="Times New Roman" w:hAnsi="Times New Roman" w:eastAsia="黑体"/>
          <w:snapToGrid w:val="0"/>
          <w:sz w:val="30"/>
          <w:szCs w:val="30"/>
        </w:rPr>
      </w:pPr>
      <w:r>
        <w:rPr>
          <w:rFonts w:ascii="Times New Roman" w:hAnsi="Times New Roman"/>
          <w:snapToGrid w:val="0"/>
          <w:color w:val="000000"/>
        </w:rPr>
        <w:br w:type="page"/>
      </w:r>
      <w:r>
        <w:rPr>
          <w:rFonts w:ascii="Times New Roman" w:hAnsi="Times New Roman" w:eastAsia="黑体"/>
          <w:snapToGrid w:val="0"/>
          <w:sz w:val="30"/>
          <w:szCs w:val="30"/>
        </w:rPr>
        <w:t>六、结论</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B75C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34" w:hRule="atLeast"/>
          <w:jc w:val="center"/>
        </w:trPr>
        <w:tc>
          <w:tcPr>
            <w:tcW w:w="8865" w:type="dxa"/>
            <w:tcBorders>
              <w:tl2br w:val="nil"/>
              <w:tr2bl w:val="nil"/>
            </w:tcBorders>
            <w:vAlign w:val="top"/>
          </w:tcPr>
          <w:p w14:paraId="5DED161A">
            <w:pPr>
              <w:pStyle w:val="12"/>
              <w:spacing w:line="460" w:lineRule="exact"/>
              <w:ind w:firstLine="480" w:firstLineChars="200"/>
              <w:rPr>
                <w:rFonts w:ascii="Times New Roman" w:hAnsi="Times New Roman"/>
                <w:sz w:val="24"/>
              </w:rPr>
            </w:pPr>
            <w:r>
              <w:rPr>
                <w:rFonts w:ascii="Times New Roman" w:hAnsi="Times New Roman"/>
                <w:sz w:val="24"/>
              </w:rPr>
              <w:t>从环境保护角度出发，</w:t>
            </w:r>
            <w:r>
              <w:rPr>
                <w:rFonts w:hint="eastAsia" w:ascii="Times New Roman" w:hAnsi="Times New Roman"/>
                <w:sz w:val="24"/>
                <w:lang w:eastAsia="zh-CN"/>
              </w:rPr>
              <w:t>屯留县圣烨建材有限公司煤矸石砖技改项目</w:t>
            </w:r>
            <w:r>
              <w:rPr>
                <w:rFonts w:ascii="Times New Roman" w:hAnsi="Times New Roman"/>
                <w:sz w:val="24"/>
              </w:rPr>
              <w:t>煤矸石砖技改项目的建设是可行的。</w:t>
            </w:r>
            <w:bookmarkStart w:id="5" w:name="_GoBack"/>
            <w:bookmarkEnd w:id="5"/>
          </w:p>
        </w:tc>
      </w:tr>
    </w:tbl>
    <w:p w14:paraId="1F55C669">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11CE1D6">
      <w:pPr>
        <w:pStyle w:val="20"/>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14:paraId="4A67022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宋体" w:hAnsi="宋体" w:eastAsia="宋体" w:cs="宋体"/>
          <w:b/>
          <w:bCs/>
          <w:snapToGrid w:val="0"/>
          <w:color w:val="auto"/>
          <w:sz w:val="36"/>
          <w:szCs w:val="36"/>
          <w:highlight w:val="none"/>
        </w:rPr>
      </w:pPr>
      <w:r>
        <w:rPr>
          <w:rFonts w:hint="eastAsia" w:ascii="宋体" w:hAnsi="宋体" w:eastAsia="宋体" w:cs="宋体"/>
          <w:b/>
          <w:bCs/>
          <w:snapToGrid w:val="0"/>
          <w:color w:val="auto"/>
          <w:sz w:val="36"/>
          <w:szCs w:val="36"/>
          <w:highlight w:val="none"/>
        </w:rPr>
        <w:t>建设项目污染物排放量汇总表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695"/>
        <w:gridCol w:w="1514"/>
        <w:gridCol w:w="1274"/>
        <w:gridCol w:w="1617"/>
        <w:gridCol w:w="1617"/>
        <w:gridCol w:w="1617"/>
        <w:gridCol w:w="1482"/>
        <w:gridCol w:w="1395"/>
      </w:tblGrid>
      <w:tr w14:paraId="5381E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tcBorders>
              <w:tl2br w:val="single" w:color="auto" w:sz="2" w:space="0"/>
            </w:tcBorders>
            <w:noWrap w:val="0"/>
            <w:tcMar>
              <w:left w:w="28" w:type="dxa"/>
              <w:right w:w="28" w:type="dxa"/>
            </w:tcMar>
            <w:vAlign w:val="center"/>
          </w:tcPr>
          <w:p w14:paraId="092046B4">
            <w:pPr>
              <w:pStyle w:val="43"/>
              <w:keepNext w:val="0"/>
              <w:keepLines w:val="0"/>
              <w:pageBreakBefore w:val="0"/>
              <w:wordWrap/>
              <w:overflowPunct/>
              <w:topLinePunct w:val="0"/>
              <w:bidi w:val="0"/>
              <w:spacing w:before="0" w:beforeLines="0" w:after="0" w:afterLines="0" w:line="240" w:lineRule="auto"/>
              <w:ind w:left="0" w:leftChars="0" w:firstLine="0" w:firstLineChars="0"/>
              <w:jc w:val="right"/>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项目</w:t>
            </w:r>
          </w:p>
          <w:p w14:paraId="38233DB6">
            <w:pPr>
              <w:pStyle w:val="43"/>
              <w:keepNext w:val="0"/>
              <w:keepLines w:val="0"/>
              <w:pageBreakBefore w:val="0"/>
              <w:wordWrap/>
              <w:overflowPunct/>
              <w:topLinePunct w:val="0"/>
              <w:bidi w:val="0"/>
              <w:spacing w:before="0" w:beforeLines="0" w:after="0" w:afterLines="0" w:line="240" w:lineRule="auto"/>
              <w:ind w:left="0" w:leftChars="0" w:firstLine="0" w:firstLineChars="0"/>
              <w:jc w:val="left"/>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分类</w:t>
            </w:r>
          </w:p>
        </w:tc>
        <w:tc>
          <w:tcPr>
            <w:tcW w:w="628" w:type="pct"/>
            <w:tcBorders>
              <w:tl2br w:val="nil"/>
              <w:tr2bl w:val="nil"/>
            </w:tcBorders>
            <w:noWrap w:val="0"/>
            <w:tcMar>
              <w:left w:w="28" w:type="dxa"/>
              <w:right w:w="28" w:type="dxa"/>
            </w:tcMar>
            <w:vAlign w:val="center"/>
          </w:tcPr>
          <w:p w14:paraId="1268F5E4">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污染物名称</w:t>
            </w:r>
          </w:p>
        </w:tc>
        <w:tc>
          <w:tcPr>
            <w:tcW w:w="561" w:type="pct"/>
            <w:tcBorders>
              <w:tl2br w:val="nil"/>
              <w:tr2bl w:val="nil"/>
            </w:tcBorders>
            <w:noWrap w:val="0"/>
            <w:tcMar>
              <w:left w:w="28" w:type="dxa"/>
              <w:right w:w="28" w:type="dxa"/>
            </w:tcMar>
            <w:vAlign w:val="center"/>
          </w:tcPr>
          <w:p w14:paraId="03D5CA5F">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现有工程排放量（固体废物产生量）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1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①</w:t>
            </w:r>
            <w:r>
              <w:rPr>
                <w:rFonts w:hint="eastAsia" w:ascii="宋体" w:hAnsi="宋体" w:eastAsia="宋体" w:cs="宋体"/>
                <w:snapToGrid w:val="0"/>
                <w:color w:val="auto"/>
                <w:spacing w:val="-6"/>
                <w:kern w:val="21"/>
                <w:sz w:val="21"/>
                <w:szCs w:val="21"/>
                <w:highlight w:val="none"/>
              </w:rPr>
              <w:fldChar w:fldCharType="end"/>
            </w:r>
          </w:p>
        </w:tc>
        <w:tc>
          <w:tcPr>
            <w:tcW w:w="472" w:type="pct"/>
            <w:tcBorders>
              <w:tl2br w:val="nil"/>
              <w:tr2bl w:val="nil"/>
            </w:tcBorders>
            <w:noWrap w:val="0"/>
            <w:tcMar>
              <w:left w:w="28" w:type="dxa"/>
              <w:right w:w="28" w:type="dxa"/>
            </w:tcMar>
            <w:vAlign w:val="center"/>
          </w:tcPr>
          <w:p w14:paraId="2497C52B">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现有工程许可排放量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2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snapToGrid w:val="0"/>
                <w:color w:val="auto"/>
                <w:spacing w:val="-6"/>
                <w:kern w:val="21"/>
                <w:sz w:val="21"/>
                <w:szCs w:val="21"/>
                <w:highlight w:val="none"/>
              </w:rPr>
              <w:t>②</w:t>
            </w:r>
            <w:r>
              <w:rPr>
                <w:rFonts w:hint="eastAsia" w:ascii="宋体" w:hAnsi="宋体" w:eastAsia="宋体" w:cs="宋体"/>
                <w:snapToGrid w:val="0"/>
                <w:color w:val="auto"/>
                <w:spacing w:val="-6"/>
                <w:kern w:val="21"/>
                <w:sz w:val="21"/>
                <w:szCs w:val="21"/>
                <w:highlight w:val="none"/>
              </w:rPr>
              <w:fldChar w:fldCharType="end"/>
            </w:r>
          </w:p>
        </w:tc>
        <w:tc>
          <w:tcPr>
            <w:tcW w:w="599" w:type="pct"/>
            <w:tcBorders>
              <w:tl2br w:val="nil"/>
              <w:tr2bl w:val="nil"/>
            </w:tcBorders>
            <w:noWrap w:val="0"/>
            <w:tcMar>
              <w:left w:w="28" w:type="dxa"/>
              <w:right w:w="28" w:type="dxa"/>
            </w:tcMar>
            <w:vAlign w:val="center"/>
          </w:tcPr>
          <w:p w14:paraId="6A435840">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在建工程排放量（固体废物产生量）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3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③</w:t>
            </w:r>
            <w:r>
              <w:rPr>
                <w:rFonts w:hint="eastAsia" w:ascii="宋体" w:hAnsi="宋体" w:eastAsia="宋体" w:cs="宋体"/>
                <w:snapToGrid w:val="0"/>
                <w:color w:val="auto"/>
                <w:spacing w:val="-6"/>
                <w:kern w:val="21"/>
                <w:sz w:val="21"/>
                <w:szCs w:val="21"/>
                <w:highlight w:val="none"/>
              </w:rPr>
              <w:fldChar w:fldCharType="end"/>
            </w:r>
          </w:p>
        </w:tc>
        <w:tc>
          <w:tcPr>
            <w:tcW w:w="599" w:type="pct"/>
            <w:tcBorders>
              <w:tl2br w:val="nil"/>
              <w:tr2bl w:val="nil"/>
            </w:tcBorders>
            <w:noWrap w:val="0"/>
            <w:tcMar>
              <w:left w:w="28" w:type="dxa"/>
              <w:right w:w="28" w:type="dxa"/>
            </w:tcMar>
            <w:vAlign w:val="center"/>
          </w:tcPr>
          <w:p w14:paraId="0BC66561">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本项目排放量（固体废物产生量）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4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④</w:t>
            </w:r>
            <w:r>
              <w:rPr>
                <w:rFonts w:hint="eastAsia" w:ascii="宋体" w:hAnsi="宋体" w:eastAsia="宋体" w:cs="宋体"/>
                <w:snapToGrid w:val="0"/>
                <w:color w:val="auto"/>
                <w:spacing w:val="-6"/>
                <w:kern w:val="21"/>
                <w:sz w:val="21"/>
                <w:szCs w:val="21"/>
                <w:highlight w:val="none"/>
              </w:rPr>
              <w:fldChar w:fldCharType="end"/>
            </w:r>
          </w:p>
        </w:tc>
        <w:tc>
          <w:tcPr>
            <w:tcW w:w="599" w:type="pct"/>
            <w:tcBorders>
              <w:tl2br w:val="nil"/>
              <w:tr2bl w:val="nil"/>
            </w:tcBorders>
            <w:noWrap w:val="0"/>
            <w:tcMar>
              <w:left w:w="28" w:type="dxa"/>
              <w:right w:w="28" w:type="dxa"/>
            </w:tcMar>
            <w:vAlign w:val="center"/>
          </w:tcPr>
          <w:p w14:paraId="7128E502">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16"/>
                <w:kern w:val="21"/>
                <w:sz w:val="21"/>
                <w:szCs w:val="21"/>
                <w:highlight w:val="none"/>
              </w:rPr>
            </w:pPr>
            <w:r>
              <w:rPr>
                <w:rFonts w:hint="eastAsia" w:ascii="宋体" w:hAnsi="宋体" w:eastAsia="宋体" w:cs="宋体"/>
                <w:snapToGrid w:val="0"/>
                <w:color w:val="auto"/>
                <w:spacing w:val="-16"/>
                <w:kern w:val="21"/>
                <w:sz w:val="21"/>
                <w:szCs w:val="21"/>
                <w:highlight w:val="none"/>
              </w:rPr>
              <w:t>以新带老削减量（新建项目不填）</w:t>
            </w:r>
            <w:r>
              <w:rPr>
                <w:rFonts w:hint="eastAsia" w:ascii="宋体" w:hAnsi="宋体" w:eastAsia="宋体" w:cs="宋体"/>
                <w:snapToGrid w:val="0"/>
                <w:color w:val="auto"/>
                <w:spacing w:val="-16"/>
                <w:kern w:val="21"/>
                <w:sz w:val="21"/>
                <w:szCs w:val="21"/>
                <w:highlight w:val="none"/>
              </w:rPr>
              <w:fldChar w:fldCharType="begin"/>
            </w:r>
            <w:r>
              <w:rPr>
                <w:rFonts w:hint="eastAsia" w:ascii="宋体" w:hAnsi="宋体" w:eastAsia="宋体" w:cs="宋体"/>
                <w:snapToGrid w:val="0"/>
                <w:color w:val="auto"/>
                <w:spacing w:val="-16"/>
                <w:kern w:val="21"/>
                <w:sz w:val="21"/>
                <w:szCs w:val="21"/>
                <w:highlight w:val="none"/>
              </w:rPr>
              <w:instrText xml:space="preserve"> = 5 \* GB3 \* MERGEFORMAT </w:instrText>
            </w:r>
            <w:r>
              <w:rPr>
                <w:rFonts w:hint="eastAsia" w:ascii="宋体" w:hAnsi="宋体" w:eastAsia="宋体" w:cs="宋体"/>
                <w:snapToGrid w:val="0"/>
                <w:color w:val="auto"/>
                <w:spacing w:val="-16"/>
                <w:kern w:val="21"/>
                <w:sz w:val="21"/>
                <w:szCs w:val="21"/>
                <w:highlight w:val="none"/>
              </w:rPr>
              <w:fldChar w:fldCharType="separate"/>
            </w:r>
            <w:r>
              <w:rPr>
                <w:rFonts w:hint="eastAsia" w:ascii="宋体" w:hAnsi="宋体" w:eastAsia="宋体" w:cs="宋体"/>
                <w:color w:val="auto"/>
                <w:kern w:val="2"/>
                <w:sz w:val="21"/>
                <w:szCs w:val="21"/>
                <w:highlight w:val="none"/>
              </w:rPr>
              <w:t>⑤</w:t>
            </w:r>
            <w:r>
              <w:rPr>
                <w:rFonts w:hint="eastAsia" w:ascii="宋体" w:hAnsi="宋体" w:eastAsia="宋体" w:cs="宋体"/>
                <w:snapToGrid w:val="0"/>
                <w:color w:val="auto"/>
                <w:spacing w:val="-16"/>
                <w:kern w:val="21"/>
                <w:sz w:val="21"/>
                <w:szCs w:val="21"/>
                <w:highlight w:val="none"/>
              </w:rPr>
              <w:fldChar w:fldCharType="end"/>
            </w:r>
          </w:p>
        </w:tc>
        <w:tc>
          <w:tcPr>
            <w:tcW w:w="549" w:type="pct"/>
            <w:tcBorders>
              <w:tl2br w:val="nil"/>
              <w:tr2bl w:val="nil"/>
            </w:tcBorders>
            <w:noWrap w:val="0"/>
            <w:tcMar>
              <w:left w:w="28" w:type="dxa"/>
              <w:right w:w="28" w:type="dxa"/>
            </w:tcMar>
            <w:vAlign w:val="center"/>
          </w:tcPr>
          <w:p w14:paraId="31D749F0">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16"/>
                <w:kern w:val="21"/>
                <w:sz w:val="21"/>
                <w:szCs w:val="21"/>
                <w:highlight w:val="none"/>
              </w:rPr>
            </w:pPr>
            <w:r>
              <w:rPr>
                <w:rFonts w:hint="eastAsia" w:ascii="宋体" w:hAnsi="宋体" w:eastAsia="宋体" w:cs="宋体"/>
                <w:snapToGrid w:val="0"/>
                <w:color w:val="auto"/>
                <w:spacing w:val="-16"/>
                <w:kern w:val="21"/>
                <w:sz w:val="21"/>
                <w:szCs w:val="21"/>
                <w:highlight w:val="none"/>
              </w:rPr>
              <w:t>本项目建成后全厂排放量（固体废物产生量）</w:t>
            </w:r>
            <w:r>
              <w:rPr>
                <w:rFonts w:hint="eastAsia" w:ascii="宋体" w:hAnsi="宋体" w:eastAsia="宋体" w:cs="宋体"/>
                <w:snapToGrid w:val="0"/>
                <w:color w:val="auto"/>
                <w:spacing w:val="-16"/>
                <w:kern w:val="21"/>
                <w:sz w:val="21"/>
                <w:szCs w:val="21"/>
                <w:highlight w:val="none"/>
              </w:rPr>
              <w:fldChar w:fldCharType="begin"/>
            </w:r>
            <w:r>
              <w:rPr>
                <w:rFonts w:hint="eastAsia" w:ascii="宋体" w:hAnsi="宋体" w:eastAsia="宋体" w:cs="宋体"/>
                <w:snapToGrid w:val="0"/>
                <w:color w:val="auto"/>
                <w:spacing w:val="-16"/>
                <w:kern w:val="21"/>
                <w:sz w:val="21"/>
                <w:szCs w:val="21"/>
                <w:highlight w:val="none"/>
              </w:rPr>
              <w:instrText xml:space="preserve"> = 6 \* GB3 \* MERGEFORMAT </w:instrText>
            </w:r>
            <w:r>
              <w:rPr>
                <w:rFonts w:hint="eastAsia" w:ascii="宋体" w:hAnsi="宋体" w:eastAsia="宋体" w:cs="宋体"/>
                <w:snapToGrid w:val="0"/>
                <w:color w:val="auto"/>
                <w:spacing w:val="-16"/>
                <w:kern w:val="21"/>
                <w:sz w:val="21"/>
                <w:szCs w:val="21"/>
                <w:highlight w:val="none"/>
              </w:rPr>
              <w:fldChar w:fldCharType="separate"/>
            </w:r>
            <w:r>
              <w:rPr>
                <w:rFonts w:hint="eastAsia" w:ascii="宋体" w:hAnsi="宋体" w:eastAsia="宋体" w:cs="宋体"/>
                <w:color w:val="auto"/>
                <w:kern w:val="2"/>
                <w:sz w:val="21"/>
                <w:szCs w:val="21"/>
                <w:highlight w:val="none"/>
              </w:rPr>
              <w:t>⑥</w:t>
            </w:r>
            <w:r>
              <w:rPr>
                <w:rFonts w:hint="eastAsia" w:ascii="宋体" w:hAnsi="宋体" w:eastAsia="宋体" w:cs="宋体"/>
                <w:snapToGrid w:val="0"/>
                <w:color w:val="auto"/>
                <w:spacing w:val="-16"/>
                <w:kern w:val="21"/>
                <w:sz w:val="21"/>
                <w:szCs w:val="21"/>
                <w:highlight w:val="none"/>
              </w:rPr>
              <w:fldChar w:fldCharType="end"/>
            </w:r>
          </w:p>
        </w:tc>
        <w:tc>
          <w:tcPr>
            <w:tcW w:w="517" w:type="pct"/>
            <w:tcBorders>
              <w:tl2br w:val="nil"/>
              <w:tr2bl w:val="nil"/>
            </w:tcBorders>
            <w:noWrap w:val="0"/>
            <w:tcMar>
              <w:left w:w="28" w:type="dxa"/>
              <w:right w:w="28" w:type="dxa"/>
            </w:tcMar>
            <w:vAlign w:val="center"/>
          </w:tcPr>
          <w:p w14:paraId="0DF6C44A">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变化量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7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⑦</w:t>
            </w:r>
            <w:r>
              <w:rPr>
                <w:rFonts w:hint="eastAsia" w:ascii="宋体" w:hAnsi="宋体" w:eastAsia="宋体" w:cs="宋体"/>
                <w:snapToGrid w:val="0"/>
                <w:color w:val="auto"/>
                <w:spacing w:val="-6"/>
                <w:kern w:val="21"/>
                <w:sz w:val="21"/>
                <w:szCs w:val="21"/>
                <w:highlight w:val="none"/>
              </w:rPr>
              <w:fldChar w:fldCharType="end"/>
            </w:r>
          </w:p>
        </w:tc>
      </w:tr>
      <w:tr w14:paraId="0D114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restart"/>
            <w:tcBorders>
              <w:tl2br w:val="nil"/>
              <w:tr2bl w:val="nil"/>
            </w:tcBorders>
            <w:noWrap w:val="0"/>
            <w:vAlign w:val="center"/>
          </w:tcPr>
          <w:p w14:paraId="3E8B56BB">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废气</w:t>
            </w:r>
          </w:p>
        </w:tc>
        <w:tc>
          <w:tcPr>
            <w:tcW w:w="628" w:type="pct"/>
            <w:tcBorders>
              <w:tl2br w:val="nil"/>
              <w:tr2bl w:val="nil"/>
            </w:tcBorders>
            <w:noWrap w:val="0"/>
            <w:vAlign w:val="center"/>
          </w:tcPr>
          <w:p w14:paraId="4ABCB5CB">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z w:val="21"/>
                <w:szCs w:val="21"/>
                <w:highlight w:val="none"/>
              </w:rPr>
            </w:pPr>
            <w:r>
              <w:rPr>
                <w:rFonts w:hint="default" w:ascii="Times New Roman" w:hAnsi="Times New Roman" w:cs="Times New Roman"/>
                <w:b w:val="0"/>
                <w:bCs w:val="0"/>
                <w:color w:val="auto"/>
                <w:spacing w:val="-2"/>
                <w:sz w:val="21"/>
                <w:szCs w:val="21"/>
                <w:highlight w:val="none"/>
              </w:rPr>
              <w:t>颗粒物</w:t>
            </w:r>
          </w:p>
        </w:tc>
        <w:tc>
          <w:tcPr>
            <w:tcW w:w="561" w:type="pct"/>
            <w:tcBorders>
              <w:tl2br w:val="nil"/>
              <w:tr2bl w:val="nil"/>
            </w:tcBorders>
            <w:noWrap w:val="0"/>
            <w:vAlign w:val="center"/>
          </w:tcPr>
          <w:p w14:paraId="1DBF6D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s="宋体"/>
                <w:b w:val="0"/>
                <w:bCs w:val="0"/>
                <w:snapToGrid w:val="0"/>
                <w:color w:val="auto"/>
                <w:kern w:val="21"/>
                <w:sz w:val="21"/>
                <w:szCs w:val="21"/>
                <w:highlight w:val="none"/>
                <w:lang w:val="en-US"/>
              </w:rPr>
            </w:pPr>
            <w:r>
              <w:rPr>
                <w:rFonts w:hint="eastAsia" w:cs="Times New Roman"/>
                <w:b w:val="0"/>
                <w:bCs w:val="0"/>
                <w:color w:val="auto"/>
                <w:sz w:val="21"/>
                <w:szCs w:val="21"/>
                <w:highlight w:val="none"/>
                <w:lang w:val="en-US" w:eastAsia="zh-CN"/>
              </w:rPr>
              <w:t>1.13</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4A176E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128t/a</w:t>
            </w:r>
          </w:p>
        </w:tc>
        <w:tc>
          <w:tcPr>
            <w:tcW w:w="599" w:type="pct"/>
            <w:tcBorders>
              <w:tl2br w:val="nil"/>
              <w:tr2bl w:val="nil"/>
            </w:tcBorders>
            <w:noWrap w:val="0"/>
            <w:vAlign w:val="center"/>
          </w:tcPr>
          <w:p w14:paraId="32938EF9">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39E061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17.65</w:t>
            </w:r>
            <w:r>
              <w:rPr>
                <w:rFonts w:hint="eastAsia" w:ascii="Times New Roman" w:hAnsi="Times New Roman" w:eastAsia="宋体" w:cs="Times New Roman"/>
                <w:b w:val="0"/>
                <w:bCs w:val="0"/>
                <w:color w:val="auto"/>
                <w:sz w:val="21"/>
                <w:szCs w:val="21"/>
                <w:highlight w:val="none"/>
                <w:lang w:val="en-US" w:eastAsia="zh-CN"/>
              </w:rPr>
              <w:t>t/a</w:t>
            </w:r>
          </w:p>
        </w:tc>
        <w:tc>
          <w:tcPr>
            <w:tcW w:w="1617" w:type="dxa"/>
            <w:tcBorders>
              <w:tl2br w:val="nil"/>
              <w:tr2bl w:val="nil"/>
            </w:tcBorders>
            <w:noWrap w:val="0"/>
            <w:vAlign w:val="center"/>
          </w:tcPr>
          <w:p w14:paraId="018701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1.13</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5E3FCF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17.65</w:t>
            </w:r>
            <w:r>
              <w:rPr>
                <w:rFonts w:hint="eastAsia" w:ascii="Times New Roman" w:hAnsi="Times New Roman" w:eastAsia="宋体" w:cs="Times New Roman"/>
                <w:b w:val="0"/>
                <w:bCs w:val="0"/>
                <w:color w:val="auto"/>
                <w:sz w:val="21"/>
                <w:szCs w:val="21"/>
                <w:highlight w:val="none"/>
                <w:lang w:val="en-US" w:eastAsia="zh-CN"/>
              </w:rPr>
              <w:t>t/a</w:t>
            </w:r>
          </w:p>
        </w:tc>
        <w:tc>
          <w:tcPr>
            <w:tcW w:w="1395" w:type="dxa"/>
            <w:tcBorders>
              <w:tl2br w:val="nil"/>
              <w:tr2bl w:val="nil"/>
            </w:tcBorders>
            <w:noWrap w:val="0"/>
            <w:vAlign w:val="center"/>
          </w:tcPr>
          <w:p w14:paraId="40B38A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w:t>
            </w:r>
            <w:r>
              <w:rPr>
                <w:rFonts w:hint="eastAsia" w:cs="Times New Roman"/>
                <w:b w:val="0"/>
                <w:bCs w:val="0"/>
                <w:color w:val="auto"/>
                <w:sz w:val="21"/>
                <w:szCs w:val="21"/>
                <w:highlight w:val="none"/>
                <w:lang w:val="en-US" w:eastAsia="zh-CN"/>
              </w:rPr>
              <w:t>52</w:t>
            </w:r>
            <w:r>
              <w:rPr>
                <w:rFonts w:hint="eastAsia" w:ascii="Times New Roman" w:hAnsi="Times New Roman" w:eastAsia="宋体" w:cs="Times New Roman"/>
                <w:b w:val="0"/>
                <w:bCs w:val="0"/>
                <w:color w:val="auto"/>
                <w:sz w:val="21"/>
                <w:szCs w:val="21"/>
                <w:highlight w:val="none"/>
                <w:lang w:val="en-US" w:eastAsia="zh-CN"/>
              </w:rPr>
              <w:t>t/a</w:t>
            </w:r>
          </w:p>
        </w:tc>
      </w:tr>
      <w:tr w14:paraId="23D97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3F17604E">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263CFBD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z w:val="21"/>
                <w:szCs w:val="21"/>
                <w:highlight w:val="none"/>
              </w:rPr>
            </w:pPr>
            <w:r>
              <w:rPr>
                <w:rFonts w:hint="default" w:ascii="Times New Roman" w:hAnsi="Times New Roman" w:cs="Times New Roman"/>
                <w:b w:val="0"/>
                <w:bCs w:val="0"/>
                <w:color w:val="auto"/>
                <w:spacing w:val="-3"/>
                <w:sz w:val="21"/>
                <w:szCs w:val="21"/>
                <w:highlight w:val="none"/>
              </w:rPr>
              <w:t>二氧化硫</w:t>
            </w:r>
          </w:p>
        </w:tc>
        <w:tc>
          <w:tcPr>
            <w:tcW w:w="561" w:type="pct"/>
            <w:tcBorders>
              <w:tl2br w:val="nil"/>
              <w:tr2bl w:val="nil"/>
            </w:tcBorders>
            <w:noWrap w:val="0"/>
            <w:vAlign w:val="center"/>
          </w:tcPr>
          <w:p w14:paraId="439241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2.952</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22B462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12.64t/a</w:t>
            </w:r>
          </w:p>
        </w:tc>
        <w:tc>
          <w:tcPr>
            <w:tcW w:w="599" w:type="pct"/>
            <w:tcBorders>
              <w:tl2br w:val="nil"/>
              <w:tr2bl w:val="nil"/>
            </w:tcBorders>
            <w:noWrap w:val="0"/>
            <w:vAlign w:val="center"/>
          </w:tcPr>
          <w:p w14:paraId="658368CE">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55DD67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highlight w:val="none"/>
                <w:lang w:val="en-US" w:eastAsia="zh-CN"/>
              </w:rPr>
              <w:t>13.87</w:t>
            </w:r>
            <w:r>
              <w:rPr>
                <w:rFonts w:hint="eastAsia" w:ascii="Times New Roman" w:hAnsi="Times New Roman" w:eastAsia="宋体" w:cs="Times New Roman"/>
                <w:b w:val="0"/>
                <w:bCs w:val="0"/>
                <w:color w:val="auto"/>
                <w:sz w:val="21"/>
                <w:szCs w:val="21"/>
                <w:highlight w:val="none"/>
                <w:lang w:val="en-US" w:eastAsia="zh-CN"/>
              </w:rPr>
              <w:t>t/a</w:t>
            </w:r>
          </w:p>
        </w:tc>
        <w:tc>
          <w:tcPr>
            <w:tcW w:w="1617" w:type="dxa"/>
            <w:tcBorders>
              <w:tl2br w:val="nil"/>
              <w:tr2bl w:val="nil"/>
            </w:tcBorders>
            <w:noWrap w:val="0"/>
            <w:vAlign w:val="center"/>
          </w:tcPr>
          <w:p w14:paraId="00849C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2.952</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12D9CA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highlight w:val="none"/>
                <w:lang w:val="en-US" w:eastAsia="zh-CN"/>
              </w:rPr>
              <w:t>13.87</w:t>
            </w:r>
            <w:r>
              <w:rPr>
                <w:rFonts w:hint="eastAsia" w:ascii="Times New Roman" w:hAnsi="Times New Roman" w:eastAsia="宋体" w:cs="Times New Roman"/>
                <w:b w:val="0"/>
                <w:bCs w:val="0"/>
                <w:color w:val="auto"/>
                <w:sz w:val="21"/>
                <w:szCs w:val="21"/>
                <w:highlight w:val="none"/>
                <w:lang w:val="en-US" w:eastAsia="zh-CN"/>
              </w:rPr>
              <w:t>t/a</w:t>
            </w:r>
          </w:p>
        </w:tc>
        <w:tc>
          <w:tcPr>
            <w:tcW w:w="1395" w:type="dxa"/>
            <w:tcBorders>
              <w:tl2br w:val="nil"/>
              <w:tr2bl w:val="nil"/>
            </w:tcBorders>
            <w:noWrap w:val="0"/>
            <w:vAlign w:val="center"/>
          </w:tcPr>
          <w:p w14:paraId="43340A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r>
              <w:rPr>
                <w:rFonts w:hint="eastAsia" w:cs="Times New Roman"/>
                <w:b w:val="0"/>
                <w:bCs w:val="0"/>
                <w:color w:val="auto"/>
                <w:sz w:val="21"/>
                <w:szCs w:val="21"/>
                <w:highlight w:val="none"/>
                <w:lang w:val="en-US" w:eastAsia="zh-CN"/>
              </w:rPr>
              <w:t>918</w:t>
            </w:r>
            <w:r>
              <w:rPr>
                <w:rFonts w:hint="eastAsia" w:ascii="Times New Roman" w:hAnsi="Times New Roman" w:eastAsia="宋体" w:cs="Times New Roman"/>
                <w:b w:val="0"/>
                <w:bCs w:val="0"/>
                <w:color w:val="auto"/>
                <w:sz w:val="21"/>
                <w:szCs w:val="21"/>
                <w:highlight w:val="none"/>
                <w:lang w:val="en-US" w:eastAsia="zh-CN"/>
              </w:rPr>
              <w:t>t/a</w:t>
            </w:r>
          </w:p>
        </w:tc>
      </w:tr>
      <w:tr w14:paraId="001AE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0591BE51">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5D6BB0B7">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z w:val="21"/>
                <w:szCs w:val="21"/>
                <w:highlight w:val="none"/>
              </w:rPr>
            </w:pPr>
            <w:r>
              <w:rPr>
                <w:rFonts w:hint="default" w:ascii="Times New Roman" w:hAnsi="Times New Roman" w:cs="Times New Roman"/>
                <w:b w:val="0"/>
                <w:bCs w:val="0"/>
                <w:color w:val="auto"/>
                <w:spacing w:val="-2"/>
                <w:sz w:val="21"/>
                <w:szCs w:val="21"/>
                <w:highlight w:val="none"/>
              </w:rPr>
              <w:t>氮氧化物</w:t>
            </w:r>
          </w:p>
        </w:tc>
        <w:tc>
          <w:tcPr>
            <w:tcW w:w="561" w:type="pct"/>
            <w:tcBorders>
              <w:tl2br w:val="nil"/>
              <w:tr2bl w:val="nil"/>
            </w:tcBorders>
            <w:noWrap w:val="0"/>
            <w:vAlign w:val="center"/>
          </w:tcPr>
          <w:p w14:paraId="6D7A35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s="宋体"/>
                <w:b w:val="0"/>
                <w:bCs w:val="0"/>
                <w:snapToGrid w:val="0"/>
                <w:color w:val="auto"/>
                <w:kern w:val="21"/>
                <w:sz w:val="21"/>
                <w:szCs w:val="21"/>
                <w:highlight w:val="none"/>
                <w:lang w:val="en-US"/>
              </w:rPr>
            </w:pPr>
            <w:r>
              <w:rPr>
                <w:rFonts w:hint="eastAsia" w:cs="Times New Roman"/>
                <w:b w:val="0"/>
                <w:bCs w:val="0"/>
                <w:color w:val="auto"/>
                <w:sz w:val="21"/>
                <w:szCs w:val="21"/>
                <w:highlight w:val="none"/>
                <w:lang w:val="en-US" w:eastAsia="zh-CN"/>
              </w:rPr>
              <w:t>8.64</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726659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14.688t/a</w:t>
            </w:r>
          </w:p>
        </w:tc>
        <w:tc>
          <w:tcPr>
            <w:tcW w:w="599" w:type="pct"/>
            <w:tcBorders>
              <w:tl2br w:val="nil"/>
              <w:tr2bl w:val="nil"/>
            </w:tcBorders>
            <w:noWrap w:val="0"/>
            <w:vAlign w:val="center"/>
          </w:tcPr>
          <w:p w14:paraId="52F9F21F">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510E44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highlight w:val="none"/>
                <w:vertAlign w:val="baseline"/>
                <w:lang w:val="en-US" w:eastAsia="zh-CN"/>
              </w:rPr>
              <w:t>44.88</w:t>
            </w:r>
            <w:r>
              <w:rPr>
                <w:rFonts w:hint="eastAsia" w:ascii="Times New Roman" w:hAnsi="Times New Roman" w:eastAsia="宋体" w:cs="Times New Roman"/>
                <w:b w:val="0"/>
                <w:bCs w:val="0"/>
                <w:color w:val="auto"/>
                <w:sz w:val="21"/>
                <w:szCs w:val="21"/>
                <w:highlight w:val="none"/>
                <w:lang w:val="en-US" w:eastAsia="zh-CN"/>
              </w:rPr>
              <w:t>t/a</w:t>
            </w:r>
          </w:p>
        </w:tc>
        <w:tc>
          <w:tcPr>
            <w:tcW w:w="1617" w:type="dxa"/>
            <w:tcBorders>
              <w:tl2br w:val="nil"/>
              <w:tr2bl w:val="nil"/>
            </w:tcBorders>
            <w:noWrap w:val="0"/>
            <w:vAlign w:val="center"/>
          </w:tcPr>
          <w:p w14:paraId="2B8624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宋体" w:hAnsi="宋体" w:eastAsia="宋体" w:cs="宋体"/>
                <w:b w:val="0"/>
                <w:bCs w:val="0"/>
                <w:snapToGrid w:val="0"/>
                <w:color w:val="auto"/>
                <w:kern w:val="21"/>
                <w:sz w:val="21"/>
                <w:szCs w:val="21"/>
                <w:highlight w:val="none"/>
                <w:lang w:val="en-US"/>
              </w:rPr>
            </w:pPr>
            <w:r>
              <w:rPr>
                <w:rFonts w:hint="eastAsia" w:cs="Times New Roman"/>
                <w:b w:val="0"/>
                <w:bCs w:val="0"/>
                <w:color w:val="auto"/>
                <w:sz w:val="21"/>
                <w:szCs w:val="21"/>
                <w:highlight w:val="none"/>
                <w:lang w:val="en-US" w:eastAsia="zh-CN"/>
              </w:rPr>
              <w:t>8.64</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66FF42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highlight w:val="none"/>
                <w:vertAlign w:val="baseline"/>
                <w:lang w:val="en-US" w:eastAsia="zh-CN"/>
              </w:rPr>
              <w:t>44.88</w:t>
            </w:r>
            <w:r>
              <w:rPr>
                <w:rFonts w:hint="eastAsia" w:ascii="Times New Roman" w:hAnsi="Times New Roman" w:eastAsia="宋体" w:cs="Times New Roman"/>
                <w:b w:val="0"/>
                <w:bCs w:val="0"/>
                <w:color w:val="auto"/>
                <w:sz w:val="21"/>
                <w:szCs w:val="21"/>
                <w:highlight w:val="none"/>
                <w:lang w:val="en-US" w:eastAsia="zh-CN"/>
              </w:rPr>
              <w:t>t/a</w:t>
            </w:r>
          </w:p>
        </w:tc>
        <w:tc>
          <w:tcPr>
            <w:tcW w:w="1395" w:type="dxa"/>
            <w:tcBorders>
              <w:tl2br w:val="nil"/>
              <w:tr2bl w:val="nil"/>
            </w:tcBorders>
            <w:noWrap w:val="0"/>
            <w:vAlign w:val="center"/>
          </w:tcPr>
          <w:p w14:paraId="4F53FD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+36.</w:t>
            </w:r>
            <w:r>
              <w:rPr>
                <w:rFonts w:hint="eastAsia" w:cs="Times New Roman"/>
                <w:b w:val="0"/>
                <w:bCs w:val="0"/>
                <w:color w:val="auto"/>
                <w:sz w:val="21"/>
                <w:szCs w:val="21"/>
                <w:highlight w:val="none"/>
                <w:lang w:val="en-US" w:eastAsia="zh-CN"/>
              </w:rPr>
              <w:t>16</w:t>
            </w:r>
            <w:r>
              <w:rPr>
                <w:rFonts w:hint="eastAsia" w:ascii="Times New Roman" w:hAnsi="Times New Roman" w:eastAsia="宋体" w:cs="Times New Roman"/>
                <w:b w:val="0"/>
                <w:bCs w:val="0"/>
                <w:color w:val="auto"/>
                <w:sz w:val="21"/>
                <w:szCs w:val="21"/>
                <w:highlight w:val="none"/>
                <w:lang w:val="en-US" w:eastAsia="zh-CN"/>
              </w:rPr>
              <w:t>t/a</w:t>
            </w:r>
          </w:p>
        </w:tc>
      </w:tr>
      <w:tr w14:paraId="3A513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6FA1FE39">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339D44E6">
            <w:pPr>
              <w:pStyle w:val="9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b w:val="0"/>
                <w:bCs w:val="0"/>
                <w:color w:val="auto"/>
                <w:spacing w:val="-2"/>
                <w:sz w:val="21"/>
                <w:szCs w:val="21"/>
                <w:highlight w:val="none"/>
                <w:lang w:val="en-US" w:eastAsia="zh-CN"/>
              </w:rPr>
            </w:pPr>
            <w:r>
              <w:rPr>
                <w:rFonts w:hint="eastAsia" w:ascii="Times New Roman" w:hAnsi="Times New Roman" w:cs="Times New Roman"/>
                <w:b w:val="0"/>
                <w:bCs w:val="0"/>
                <w:color w:val="auto"/>
                <w:spacing w:val="-2"/>
                <w:sz w:val="21"/>
                <w:szCs w:val="21"/>
                <w:highlight w:val="none"/>
                <w:lang w:val="en-US" w:eastAsia="zh-CN"/>
              </w:rPr>
              <w:t>氟化物</w:t>
            </w:r>
          </w:p>
        </w:tc>
        <w:tc>
          <w:tcPr>
            <w:tcW w:w="561" w:type="pct"/>
            <w:tcBorders>
              <w:tl2br w:val="nil"/>
              <w:tr2bl w:val="nil"/>
            </w:tcBorders>
            <w:noWrap w:val="0"/>
            <w:vAlign w:val="center"/>
          </w:tcPr>
          <w:p w14:paraId="7F5591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58EDDE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ascii="宋体"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1883F093">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1D8E09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3.01</w:t>
            </w:r>
            <w:r>
              <w:rPr>
                <w:rFonts w:hint="eastAsia" w:ascii="Times New Roman" w:hAnsi="Times New Roman" w:eastAsia="宋体" w:cs="Times New Roman"/>
                <w:b w:val="0"/>
                <w:bCs w:val="0"/>
                <w:color w:val="auto"/>
                <w:sz w:val="21"/>
                <w:szCs w:val="21"/>
                <w:highlight w:val="none"/>
                <w:vertAlign w:val="baseline"/>
                <w:lang w:val="en-US" w:eastAsia="zh-CN"/>
              </w:rPr>
              <w:t>t/a</w:t>
            </w:r>
          </w:p>
        </w:tc>
        <w:tc>
          <w:tcPr>
            <w:tcW w:w="1617" w:type="dxa"/>
            <w:tcBorders>
              <w:tl2br w:val="nil"/>
              <w:tr2bl w:val="nil"/>
            </w:tcBorders>
            <w:noWrap w:val="0"/>
            <w:vAlign w:val="center"/>
          </w:tcPr>
          <w:p w14:paraId="5F37C4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344534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3.01</w:t>
            </w:r>
            <w:r>
              <w:rPr>
                <w:rFonts w:hint="eastAsia" w:ascii="Times New Roman" w:hAnsi="Times New Roman" w:eastAsia="宋体" w:cs="Times New Roman"/>
                <w:b w:val="0"/>
                <w:bCs w:val="0"/>
                <w:color w:val="auto"/>
                <w:sz w:val="21"/>
                <w:szCs w:val="21"/>
                <w:highlight w:val="none"/>
                <w:vertAlign w:val="baseline"/>
                <w:lang w:val="en-US" w:eastAsia="zh-CN"/>
              </w:rPr>
              <w:t>t/a</w:t>
            </w:r>
          </w:p>
        </w:tc>
        <w:tc>
          <w:tcPr>
            <w:tcW w:w="1395" w:type="dxa"/>
            <w:tcBorders>
              <w:tl2br w:val="nil"/>
              <w:tr2bl w:val="nil"/>
            </w:tcBorders>
            <w:noWrap w:val="0"/>
            <w:vAlign w:val="center"/>
          </w:tcPr>
          <w:p w14:paraId="5EA522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+2.78t/a</w:t>
            </w:r>
          </w:p>
        </w:tc>
      </w:tr>
      <w:tr w14:paraId="63347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tcBorders>
              <w:tl2br w:val="nil"/>
              <w:tr2bl w:val="nil"/>
            </w:tcBorders>
            <w:noWrap w:val="0"/>
            <w:vAlign w:val="center"/>
          </w:tcPr>
          <w:p w14:paraId="5AE62D6D">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废水</w:t>
            </w:r>
          </w:p>
        </w:tc>
        <w:tc>
          <w:tcPr>
            <w:tcW w:w="628" w:type="pct"/>
            <w:tcBorders>
              <w:tl2br w:val="nil"/>
              <w:tr2bl w:val="nil"/>
            </w:tcBorders>
            <w:noWrap w:val="0"/>
            <w:vAlign w:val="center"/>
          </w:tcPr>
          <w:p w14:paraId="09FBCC2F">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561" w:type="pct"/>
            <w:tcBorders>
              <w:tl2br w:val="nil"/>
              <w:tr2bl w:val="nil"/>
            </w:tcBorders>
            <w:noWrap w:val="0"/>
            <w:vAlign w:val="center"/>
          </w:tcPr>
          <w:p w14:paraId="7F3C5695">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472" w:type="pct"/>
            <w:tcBorders>
              <w:tl2br w:val="nil"/>
              <w:tr2bl w:val="nil"/>
            </w:tcBorders>
            <w:noWrap w:val="0"/>
            <w:vAlign w:val="center"/>
          </w:tcPr>
          <w:p w14:paraId="69D7EE7D">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599" w:type="pct"/>
            <w:tcBorders>
              <w:tl2br w:val="nil"/>
              <w:tr2bl w:val="nil"/>
            </w:tcBorders>
            <w:noWrap w:val="0"/>
            <w:vAlign w:val="center"/>
          </w:tcPr>
          <w:p w14:paraId="31FFD583">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599" w:type="pct"/>
            <w:tcBorders>
              <w:tl2br w:val="nil"/>
              <w:tr2bl w:val="nil"/>
            </w:tcBorders>
            <w:noWrap w:val="0"/>
            <w:vAlign w:val="center"/>
          </w:tcPr>
          <w:p w14:paraId="4C5D9B80">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1617" w:type="dxa"/>
            <w:tcBorders>
              <w:tl2br w:val="nil"/>
              <w:tr2bl w:val="nil"/>
            </w:tcBorders>
            <w:noWrap w:val="0"/>
            <w:vAlign w:val="center"/>
          </w:tcPr>
          <w:p w14:paraId="6D596525">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1482" w:type="dxa"/>
            <w:tcBorders>
              <w:tl2br w:val="nil"/>
              <w:tr2bl w:val="nil"/>
            </w:tcBorders>
            <w:noWrap w:val="0"/>
            <w:vAlign w:val="center"/>
          </w:tcPr>
          <w:p w14:paraId="78227128">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snapToGrid w:val="0"/>
                <w:color w:val="auto"/>
                <w:kern w:val="21"/>
                <w:sz w:val="21"/>
                <w:szCs w:val="21"/>
                <w:highlight w:val="none"/>
              </w:rPr>
              <w:t>/</w:t>
            </w:r>
          </w:p>
        </w:tc>
        <w:tc>
          <w:tcPr>
            <w:tcW w:w="517" w:type="pct"/>
            <w:tcBorders>
              <w:tl2br w:val="nil"/>
              <w:tr2bl w:val="nil"/>
            </w:tcBorders>
            <w:noWrap w:val="0"/>
            <w:vAlign w:val="center"/>
          </w:tcPr>
          <w:p w14:paraId="3B0E655D">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宋体" w:hAnsi="宋体" w:eastAsia="宋体" w:cs="宋体"/>
                <w:b w:val="0"/>
                <w:bCs w:val="0"/>
                <w:snapToGrid w:val="0"/>
                <w:color w:val="auto"/>
                <w:kern w:val="21"/>
                <w:sz w:val="21"/>
                <w:szCs w:val="21"/>
                <w:highlight w:val="none"/>
              </w:rPr>
              <w:t>/</w:t>
            </w:r>
          </w:p>
        </w:tc>
      </w:tr>
      <w:tr w14:paraId="72A79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restart"/>
            <w:tcBorders>
              <w:tl2br w:val="nil"/>
              <w:tr2bl w:val="nil"/>
            </w:tcBorders>
            <w:noWrap w:val="0"/>
            <w:vAlign w:val="center"/>
          </w:tcPr>
          <w:p w14:paraId="187917D7">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hAnsi="宋体" w:eastAsia="宋体" w:cs="宋体"/>
                <w:snapToGrid w:val="0"/>
                <w:color w:val="auto"/>
                <w:kern w:val="21"/>
                <w:sz w:val="21"/>
                <w:szCs w:val="21"/>
                <w:highlight w:val="none"/>
                <w:lang w:val="en-US" w:eastAsia="zh-CN"/>
              </w:rPr>
            </w:pPr>
            <w:r>
              <w:rPr>
                <w:rFonts w:hint="eastAsia" w:hAnsi="宋体" w:eastAsia="宋体" w:cs="宋体"/>
                <w:snapToGrid w:val="0"/>
                <w:color w:val="auto"/>
                <w:kern w:val="21"/>
                <w:sz w:val="21"/>
                <w:szCs w:val="21"/>
                <w:highlight w:val="none"/>
                <w:lang w:val="en-US" w:eastAsia="zh-CN"/>
              </w:rPr>
              <w:t>一般工业</w:t>
            </w:r>
          </w:p>
          <w:p w14:paraId="111B0E8D">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snapToGrid w:val="0"/>
                <w:color w:val="auto"/>
                <w:kern w:val="21"/>
                <w:sz w:val="21"/>
                <w:szCs w:val="21"/>
                <w:highlight w:val="none"/>
                <w:lang w:val="en-US" w:eastAsia="zh-CN"/>
              </w:rPr>
            </w:pPr>
            <w:r>
              <w:rPr>
                <w:rFonts w:hint="eastAsia" w:hAnsi="宋体" w:eastAsia="宋体" w:cs="宋体"/>
                <w:snapToGrid w:val="0"/>
                <w:color w:val="auto"/>
                <w:kern w:val="21"/>
                <w:sz w:val="21"/>
                <w:szCs w:val="21"/>
                <w:highlight w:val="none"/>
                <w:lang w:val="en-US" w:eastAsia="zh-CN"/>
              </w:rPr>
              <w:t>固废</w:t>
            </w:r>
          </w:p>
        </w:tc>
        <w:tc>
          <w:tcPr>
            <w:tcW w:w="628" w:type="pct"/>
            <w:tcBorders>
              <w:tl2br w:val="nil"/>
              <w:tr2bl w:val="nil"/>
            </w:tcBorders>
            <w:noWrap w:val="0"/>
            <w:vAlign w:val="center"/>
          </w:tcPr>
          <w:p w14:paraId="64410665">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z w:val="21"/>
                <w:szCs w:val="21"/>
                <w:lang w:eastAsia="zh-CN" w:bidi="ar"/>
              </w:rPr>
              <w:t>废砖坯</w:t>
            </w:r>
          </w:p>
        </w:tc>
        <w:tc>
          <w:tcPr>
            <w:tcW w:w="561" w:type="pct"/>
            <w:tcBorders>
              <w:tl2br w:val="nil"/>
              <w:tr2bl w:val="nil"/>
            </w:tcBorders>
            <w:noWrap w:val="0"/>
            <w:vAlign w:val="center"/>
          </w:tcPr>
          <w:p w14:paraId="6DB9255A">
            <w:pPr>
              <w:keepNext w:val="0"/>
              <w:keepLines w:val="0"/>
              <w:pageBreakBefore w:val="0"/>
              <w:widowControl w:val="0"/>
              <w:wordWrap/>
              <w:overflowPunct/>
              <w:topLinePunct w:val="0"/>
              <w:autoSpaceDN/>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138.8</w:t>
            </w:r>
            <w:r>
              <w:rPr>
                <w:rFonts w:hint="eastAsia" w:ascii="Times New Roman" w:hAnsi="Times New Roman" w:eastAsia="宋体" w:cs="Times New Roman"/>
                <w:b w:val="0"/>
                <w:bCs w:val="0"/>
                <w:color w:val="auto"/>
                <w:sz w:val="21"/>
                <w:szCs w:val="21"/>
                <w:lang w:val="en-US" w:eastAsia="zh-CN"/>
              </w:rPr>
              <w:t>t/a</w:t>
            </w:r>
          </w:p>
        </w:tc>
        <w:tc>
          <w:tcPr>
            <w:tcW w:w="472" w:type="pct"/>
            <w:tcBorders>
              <w:tl2br w:val="nil"/>
              <w:tr2bl w:val="nil"/>
            </w:tcBorders>
            <w:noWrap w:val="0"/>
            <w:vAlign w:val="center"/>
          </w:tcPr>
          <w:p w14:paraId="51D38CDC">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432374AA">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16CB2943">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297.68</w:t>
            </w:r>
            <w:r>
              <w:rPr>
                <w:rFonts w:hint="eastAsia" w:ascii="Times New Roman" w:hAnsi="Times New Roman" w:eastAsia="宋体" w:cs="Times New Roman"/>
                <w:b w:val="0"/>
                <w:bCs w:val="0"/>
                <w:color w:val="auto"/>
                <w:sz w:val="21"/>
                <w:szCs w:val="21"/>
                <w:lang w:val="en-US" w:eastAsia="zh-CN"/>
              </w:rPr>
              <w:t>t/a</w:t>
            </w:r>
          </w:p>
        </w:tc>
        <w:tc>
          <w:tcPr>
            <w:tcW w:w="1617" w:type="dxa"/>
            <w:tcBorders>
              <w:tl2br w:val="nil"/>
              <w:tr2bl w:val="nil"/>
            </w:tcBorders>
            <w:noWrap w:val="0"/>
            <w:vAlign w:val="center"/>
          </w:tcPr>
          <w:p w14:paraId="6783A960">
            <w:pPr>
              <w:keepNext w:val="0"/>
              <w:keepLines w:val="0"/>
              <w:pageBreakBefore w:val="0"/>
              <w:widowControl w:val="0"/>
              <w:wordWrap/>
              <w:overflowPunct/>
              <w:topLinePunct w:val="0"/>
              <w:autoSpaceDN/>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138.8</w:t>
            </w:r>
            <w:r>
              <w:rPr>
                <w:rFonts w:hint="eastAsia" w:ascii="Times New Roman" w:hAnsi="Times New Roman" w:eastAsia="宋体" w:cs="Times New Roman"/>
                <w:b w:val="0"/>
                <w:bCs w:val="0"/>
                <w:color w:val="auto"/>
                <w:sz w:val="21"/>
                <w:szCs w:val="21"/>
                <w:lang w:val="en-US" w:eastAsia="zh-CN"/>
              </w:rPr>
              <w:t>t/a</w:t>
            </w:r>
          </w:p>
        </w:tc>
        <w:tc>
          <w:tcPr>
            <w:tcW w:w="1482" w:type="dxa"/>
            <w:tcBorders>
              <w:tl2br w:val="nil"/>
              <w:tr2bl w:val="nil"/>
            </w:tcBorders>
            <w:noWrap w:val="0"/>
            <w:vAlign w:val="center"/>
          </w:tcPr>
          <w:p w14:paraId="2AD05E89">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297.68</w:t>
            </w:r>
            <w:r>
              <w:rPr>
                <w:rFonts w:hint="eastAsia" w:ascii="Times New Roman" w:hAnsi="Times New Roman" w:eastAsia="宋体" w:cs="Times New Roman"/>
                <w:b w:val="0"/>
                <w:bCs w:val="0"/>
                <w:color w:val="auto"/>
                <w:sz w:val="21"/>
                <w:szCs w:val="21"/>
                <w:lang w:val="en-US" w:eastAsia="zh-CN"/>
              </w:rPr>
              <w:t>t/a</w:t>
            </w:r>
          </w:p>
        </w:tc>
        <w:tc>
          <w:tcPr>
            <w:tcW w:w="1395" w:type="dxa"/>
            <w:tcBorders>
              <w:tl2br w:val="nil"/>
              <w:tr2bl w:val="nil"/>
            </w:tcBorders>
            <w:noWrap w:val="0"/>
            <w:vAlign w:val="center"/>
          </w:tcPr>
          <w:p w14:paraId="38E3C69A">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58.88</w:t>
            </w:r>
            <w:r>
              <w:rPr>
                <w:rFonts w:hint="eastAsia" w:ascii="Times New Roman" w:hAnsi="Times New Roman" w:eastAsia="宋体" w:cs="Times New Roman"/>
                <w:b w:val="0"/>
                <w:bCs w:val="0"/>
                <w:color w:val="auto"/>
                <w:sz w:val="21"/>
                <w:szCs w:val="21"/>
                <w:lang w:val="en-US" w:eastAsia="zh-CN"/>
              </w:rPr>
              <w:t>t/a</w:t>
            </w:r>
          </w:p>
        </w:tc>
      </w:tr>
      <w:tr w14:paraId="407E5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4E1F93D4">
            <w:pPr>
              <w:pStyle w:val="43"/>
              <w:keepNext w:val="0"/>
              <w:keepLines w:val="0"/>
              <w:pageBreakBefore w:val="0"/>
              <w:wordWrap/>
              <w:overflowPunct/>
              <w:topLinePunct w:val="0"/>
              <w:bidi w:val="0"/>
              <w:spacing w:before="0" w:beforeLines="0" w:after="0" w:afterLines="0" w:line="240" w:lineRule="auto"/>
              <w:ind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46F61F64">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z w:val="21"/>
                <w:szCs w:val="21"/>
                <w:lang w:eastAsia="zh-CN" w:bidi="ar"/>
              </w:rPr>
              <w:t>不合格品</w:t>
            </w:r>
          </w:p>
        </w:tc>
        <w:tc>
          <w:tcPr>
            <w:tcW w:w="561" w:type="pct"/>
            <w:tcBorders>
              <w:tl2br w:val="nil"/>
              <w:tr2bl w:val="nil"/>
            </w:tcBorders>
            <w:noWrap w:val="0"/>
            <w:vAlign w:val="center"/>
          </w:tcPr>
          <w:p w14:paraId="1FAC56A8">
            <w:pPr>
              <w:keepNext w:val="0"/>
              <w:keepLines w:val="0"/>
              <w:pageBreakBefore w:val="0"/>
              <w:widowControl w:val="0"/>
              <w:wordWrap/>
              <w:overflowPunct/>
              <w:topLinePunct w:val="0"/>
              <w:autoSpaceDN/>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356</w:t>
            </w:r>
            <w:r>
              <w:rPr>
                <w:rFonts w:hint="eastAsia" w:ascii="Times New Roman" w:hAnsi="Times New Roman" w:cs="Times New Roman"/>
                <w:b w:val="0"/>
                <w:bCs w:val="0"/>
                <w:color w:val="auto"/>
                <w:sz w:val="21"/>
                <w:szCs w:val="21"/>
                <w:lang w:val="en-US" w:eastAsia="zh-CN"/>
              </w:rPr>
              <w:t>t/a</w:t>
            </w:r>
          </w:p>
        </w:tc>
        <w:tc>
          <w:tcPr>
            <w:tcW w:w="472" w:type="pct"/>
            <w:tcBorders>
              <w:tl2br w:val="nil"/>
              <w:tr2bl w:val="nil"/>
            </w:tcBorders>
            <w:noWrap w:val="0"/>
            <w:vAlign w:val="center"/>
          </w:tcPr>
          <w:p w14:paraId="507E929A">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502533E9">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316D984C">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lang w:val="en-US" w:eastAsia="zh-CN"/>
              </w:rPr>
              <w:t>8930.4</w:t>
            </w:r>
            <w:r>
              <w:rPr>
                <w:rFonts w:hint="eastAsia" w:ascii="Times New Roman" w:hAnsi="Times New Roman" w:eastAsia="宋体" w:cs="Times New Roman"/>
                <w:b w:val="0"/>
                <w:bCs w:val="0"/>
                <w:color w:val="auto"/>
                <w:sz w:val="21"/>
                <w:szCs w:val="21"/>
                <w:lang w:val="en-US" w:eastAsia="zh-CN"/>
              </w:rPr>
              <w:t>t/a</w:t>
            </w:r>
          </w:p>
        </w:tc>
        <w:tc>
          <w:tcPr>
            <w:tcW w:w="1617" w:type="dxa"/>
            <w:tcBorders>
              <w:tl2br w:val="nil"/>
              <w:tr2bl w:val="nil"/>
            </w:tcBorders>
            <w:noWrap w:val="0"/>
            <w:vAlign w:val="center"/>
          </w:tcPr>
          <w:p w14:paraId="5D55F95E">
            <w:pPr>
              <w:keepNext w:val="0"/>
              <w:keepLines w:val="0"/>
              <w:pageBreakBefore w:val="0"/>
              <w:widowControl w:val="0"/>
              <w:wordWrap/>
              <w:overflowPunct/>
              <w:topLinePunct w:val="0"/>
              <w:autoSpaceDN/>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356</w:t>
            </w:r>
            <w:r>
              <w:rPr>
                <w:rFonts w:hint="eastAsia" w:ascii="Times New Roman" w:hAnsi="Times New Roman" w:cs="Times New Roman"/>
                <w:b w:val="0"/>
                <w:bCs w:val="0"/>
                <w:color w:val="auto"/>
                <w:sz w:val="21"/>
                <w:szCs w:val="21"/>
                <w:lang w:val="en-US" w:eastAsia="zh-CN"/>
              </w:rPr>
              <w:t>t/a</w:t>
            </w:r>
          </w:p>
        </w:tc>
        <w:tc>
          <w:tcPr>
            <w:tcW w:w="1482" w:type="dxa"/>
            <w:tcBorders>
              <w:tl2br w:val="nil"/>
              <w:tr2bl w:val="nil"/>
            </w:tcBorders>
            <w:noWrap w:val="0"/>
            <w:vAlign w:val="center"/>
          </w:tcPr>
          <w:p w14:paraId="5C69A740">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cs="Times New Roman"/>
                <w:b w:val="0"/>
                <w:bCs w:val="0"/>
                <w:color w:val="auto"/>
                <w:sz w:val="21"/>
                <w:szCs w:val="21"/>
                <w:lang w:val="en-US" w:eastAsia="zh-CN"/>
              </w:rPr>
              <w:t>8930.4</w:t>
            </w:r>
            <w:r>
              <w:rPr>
                <w:rFonts w:hint="eastAsia" w:ascii="Times New Roman" w:hAnsi="Times New Roman" w:eastAsia="宋体" w:cs="Times New Roman"/>
                <w:b w:val="0"/>
                <w:bCs w:val="0"/>
                <w:color w:val="auto"/>
                <w:sz w:val="21"/>
                <w:szCs w:val="21"/>
                <w:lang w:val="en-US" w:eastAsia="zh-CN"/>
              </w:rPr>
              <w:t>t/a</w:t>
            </w:r>
          </w:p>
        </w:tc>
        <w:tc>
          <w:tcPr>
            <w:tcW w:w="1395" w:type="dxa"/>
            <w:tcBorders>
              <w:tl2br w:val="nil"/>
              <w:tr2bl w:val="nil"/>
            </w:tcBorders>
            <w:noWrap w:val="0"/>
            <w:vAlign w:val="center"/>
          </w:tcPr>
          <w:p w14:paraId="2E29725E">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宋体" w:hAnsi="宋体" w:eastAsia="宋体" w:cs="宋体"/>
                <w:b w:val="0"/>
                <w:bCs w:val="0"/>
                <w:color w:val="auto"/>
                <w:sz w:val="21"/>
                <w:szCs w:val="21"/>
                <w:highlight w:val="none"/>
                <w:lang w:bidi="ar"/>
              </w:rPr>
            </w:pP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8574.4</w:t>
            </w:r>
            <w:r>
              <w:rPr>
                <w:rFonts w:hint="eastAsia" w:ascii="Times New Roman" w:hAnsi="Times New Roman" w:eastAsia="宋体" w:cs="Times New Roman"/>
                <w:b w:val="0"/>
                <w:bCs w:val="0"/>
                <w:color w:val="auto"/>
                <w:sz w:val="21"/>
                <w:szCs w:val="21"/>
                <w:lang w:val="en-US" w:eastAsia="zh-CN"/>
              </w:rPr>
              <w:t>t/a</w:t>
            </w:r>
          </w:p>
        </w:tc>
      </w:tr>
      <w:tr w14:paraId="0C585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32F2DCB4">
            <w:pPr>
              <w:pStyle w:val="43"/>
              <w:keepNext w:val="0"/>
              <w:keepLines w:val="0"/>
              <w:pageBreakBefore w:val="0"/>
              <w:wordWrap/>
              <w:overflowPunct/>
              <w:topLinePunct w:val="0"/>
              <w:bidi w:val="0"/>
              <w:spacing w:before="0" w:beforeLines="0" w:after="0" w:afterLines="0" w:line="240" w:lineRule="auto"/>
              <w:ind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237760DC">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bidi="ar"/>
              </w:rPr>
              <w:t>除</w:t>
            </w:r>
            <w:r>
              <w:rPr>
                <w:rFonts w:hint="eastAsia" w:ascii="Times New Roman" w:hAnsi="Times New Roman" w:eastAsia="宋体" w:cs="Times New Roman"/>
                <w:b w:val="0"/>
                <w:bCs w:val="0"/>
                <w:color w:val="auto"/>
                <w:sz w:val="21"/>
                <w:szCs w:val="21"/>
                <w:lang w:eastAsia="zh-CN" w:bidi="ar"/>
              </w:rPr>
              <w:t>尘灰</w:t>
            </w:r>
          </w:p>
        </w:tc>
        <w:tc>
          <w:tcPr>
            <w:tcW w:w="561" w:type="pct"/>
            <w:tcBorders>
              <w:tl2br w:val="nil"/>
              <w:tr2bl w:val="nil"/>
            </w:tcBorders>
            <w:noWrap w:val="0"/>
            <w:vAlign w:val="center"/>
          </w:tcPr>
          <w:p w14:paraId="709C55F5">
            <w:pPr>
              <w:keepNext w:val="0"/>
              <w:keepLines w:val="0"/>
              <w:pageBreakBefore w:val="0"/>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4.15</w:t>
            </w:r>
            <w:r>
              <w:rPr>
                <w:rFonts w:hint="eastAsia" w:ascii="Times New Roman" w:hAnsi="Times New Roman" w:eastAsia="宋体" w:cs="Times New Roman"/>
                <w:b w:val="0"/>
                <w:bCs w:val="0"/>
                <w:color w:val="auto"/>
                <w:sz w:val="21"/>
                <w:szCs w:val="21"/>
                <w:lang w:val="en-US" w:eastAsia="zh-CN"/>
              </w:rPr>
              <w:t>t/a</w:t>
            </w:r>
          </w:p>
        </w:tc>
        <w:tc>
          <w:tcPr>
            <w:tcW w:w="472" w:type="pct"/>
            <w:tcBorders>
              <w:tl2br w:val="nil"/>
              <w:tr2bl w:val="nil"/>
            </w:tcBorders>
            <w:noWrap w:val="0"/>
            <w:vAlign w:val="center"/>
          </w:tcPr>
          <w:p w14:paraId="4BD6AEFD">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09A07304">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0807B3B1">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82</w:t>
            </w:r>
            <w:r>
              <w:rPr>
                <w:rFonts w:hint="eastAsia" w:ascii="Times New Roman" w:hAnsi="Times New Roman" w:eastAsia="宋体" w:cs="Times New Roman"/>
                <w:b w:val="0"/>
                <w:bCs w:val="0"/>
                <w:color w:val="auto"/>
                <w:sz w:val="21"/>
                <w:szCs w:val="21"/>
                <w:lang w:val="en-US" w:eastAsia="zh-CN"/>
              </w:rPr>
              <w:t>t/a</w:t>
            </w:r>
          </w:p>
        </w:tc>
        <w:tc>
          <w:tcPr>
            <w:tcW w:w="1617" w:type="dxa"/>
            <w:tcBorders>
              <w:tl2br w:val="nil"/>
              <w:tr2bl w:val="nil"/>
            </w:tcBorders>
            <w:noWrap w:val="0"/>
            <w:vAlign w:val="center"/>
          </w:tcPr>
          <w:p w14:paraId="78C65002">
            <w:pPr>
              <w:keepNext w:val="0"/>
              <w:keepLines w:val="0"/>
              <w:pageBreakBefore w:val="0"/>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4.15</w:t>
            </w:r>
            <w:r>
              <w:rPr>
                <w:rFonts w:hint="eastAsia" w:ascii="Times New Roman" w:hAnsi="Times New Roman" w:eastAsia="宋体" w:cs="Times New Roman"/>
                <w:b w:val="0"/>
                <w:bCs w:val="0"/>
                <w:color w:val="auto"/>
                <w:sz w:val="21"/>
                <w:szCs w:val="21"/>
                <w:lang w:val="en-US" w:eastAsia="zh-CN"/>
              </w:rPr>
              <w:t>t/a</w:t>
            </w:r>
          </w:p>
        </w:tc>
        <w:tc>
          <w:tcPr>
            <w:tcW w:w="1482" w:type="dxa"/>
            <w:tcBorders>
              <w:tl2br w:val="nil"/>
              <w:tr2bl w:val="nil"/>
            </w:tcBorders>
            <w:noWrap w:val="0"/>
            <w:vAlign w:val="center"/>
          </w:tcPr>
          <w:p w14:paraId="30C174F1">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82</w:t>
            </w:r>
            <w:r>
              <w:rPr>
                <w:rFonts w:hint="eastAsia" w:ascii="Times New Roman" w:hAnsi="Times New Roman" w:eastAsia="宋体" w:cs="Times New Roman"/>
                <w:b w:val="0"/>
                <w:bCs w:val="0"/>
                <w:color w:val="auto"/>
                <w:sz w:val="21"/>
                <w:szCs w:val="21"/>
                <w:lang w:val="en-US" w:eastAsia="zh-CN"/>
              </w:rPr>
              <w:t>t/a</w:t>
            </w:r>
          </w:p>
        </w:tc>
        <w:tc>
          <w:tcPr>
            <w:tcW w:w="1395" w:type="dxa"/>
            <w:tcBorders>
              <w:tl2br w:val="nil"/>
              <w:tr2bl w:val="nil"/>
            </w:tcBorders>
            <w:noWrap w:val="0"/>
            <w:vAlign w:val="center"/>
          </w:tcPr>
          <w:p w14:paraId="6A92C046">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77.85</w:t>
            </w:r>
            <w:r>
              <w:rPr>
                <w:rFonts w:hint="eastAsia" w:ascii="Times New Roman" w:hAnsi="Times New Roman" w:eastAsia="宋体" w:cs="Times New Roman"/>
                <w:b w:val="0"/>
                <w:bCs w:val="0"/>
                <w:color w:val="auto"/>
                <w:sz w:val="21"/>
                <w:szCs w:val="21"/>
                <w:lang w:val="en-US" w:eastAsia="zh-CN"/>
              </w:rPr>
              <w:t>t/a</w:t>
            </w:r>
          </w:p>
        </w:tc>
      </w:tr>
      <w:tr w14:paraId="16122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10C13402">
            <w:pPr>
              <w:pStyle w:val="43"/>
              <w:keepNext w:val="0"/>
              <w:keepLines w:val="0"/>
              <w:pageBreakBefore w:val="0"/>
              <w:wordWrap/>
              <w:overflowPunct/>
              <w:topLinePunct w:val="0"/>
              <w:bidi w:val="0"/>
              <w:spacing w:before="0" w:beforeLines="0" w:after="0" w:afterLines="0" w:line="240" w:lineRule="auto"/>
              <w:ind w:firstLine="0" w:firstLineChars="0"/>
              <w:jc w:val="center"/>
              <w:rPr>
                <w:rFonts w:hint="eastAsia" w:ascii="宋体" w:hAnsi="宋体" w:eastAsia="宋体" w:cs="宋体"/>
                <w:snapToGrid w:val="0"/>
                <w:color w:val="auto"/>
                <w:kern w:val="21"/>
                <w:sz w:val="21"/>
                <w:szCs w:val="21"/>
                <w:highlight w:val="none"/>
              </w:rPr>
            </w:pPr>
          </w:p>
        </w:tc>
        <w:tc>
          <w:tcPr>
            <w:tcW w:w="628" w:type="pct"/>
            <w:tcBorders>
              <w:tl2br w:val="nil"/>
              <w:tr2bl w:val="nil"/>
            </w:tcBorders>
            <w:noWrap w:val="0"/>
            <w:vAlign w:val="center"/>
          </w:tcPr>
          <w:p w14:paraId="38592D33">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pacing w:val="8"/>
                <w:sz w:val="21"/>
                <w:szCs w:val="21"/>
                <w:lang w:eastAsia="zh-CN"/>
              </w:rPr>
              <w:t>脱硫废渣</w:t>
            </w:r>
          </w:p>
        </w:tc>
        <w:tc>
          <w:tcPr>
            <w:tcW w:w="561" w:type="pct"/>
            <w:tcBorders>
              <w:tl2br w:val="nil"/>
              <w:tr2bl w:val="nil"/>
            </w:tcBorders>
            <w:noWrap w:val="0"/>
            <w:vAlign w:val="center"/>
          </w:tcPr>
          <w:p w14:paraId="7DC63ED2">
            <w:pPr>
              <w:keepNext w:val="0"/>
              <w:keepLines w:val="0"/>
              <w:pageBreakBefore w:val="0"/>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189.42</w:t>
            </w:r>
            <w:r>
              <w:rPr>
                <w:rFonts w:hint="eastAsia" w:ascii="Times New Roman" w:hAnsi="Times New Roman" w:eastAsia="宋体" w:cs="Times New Roman"/>
                <w:b w:val="0"/>
                <w:bCs w:val="0"/>
                <w:color w:val="auto"/>
                <w:sz w:val="21"/>
                <w:szCs w:val="21"/>
                <w:lang w:val="en-US" w:eastAsia="zh-CN"/>
              </w:rPr>
              <w:t>t/a</w:t>
            </w:r>
          </w:p>
        </w:tc>
        <w:tc>
          <w:tcPr>
            <w:tcW w:w="472" w:type="pct"/>
            <w:tcBorders>
              <w:tl2br w:val="nil"/>
              <w:tr2bl w:val="nil"/>
            </w:tcBorders>
            <w:noWrap w:val="0"/>
            <w:vAlign w:val="center"/>
          </w:tcPr>
          <w:p w14:paraId="46E0F5E4">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07DD94F5">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4DACA181">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414.24</w:t>
            </w:r>
            <w:r>
              <w:rPr>
                <w:rFonts w:hint="eastAsia" w:ascii="Times New Roman" w:hAnsi="Times New Roman" w:eastAsia="宋体" w:cs="Times New Roman"/>
                <w:b w:val="0"/>
                <w:bCs w:val="0"/>
                <w:color w:val="auto"/>
                <w:sz w:val="21"/>
                <w:szCs w:val="21"/>
                <w:lang w:val="en-US" w:eastAsia="zh-CN"/>
              </w:rPr>
              <w:t>t/a</w:t>
            </w:r>
          </w:p>
        </w:tc>
        <w:tc>
          <w:tcPr>
            <w:tcW w:w="1617" w:type="dxa"/>
            <w:tcBorders>
              <w:tl2br w:val="nil"/>
              <w:tr2bl w:val="nil"/>
            </w:tcBorders>
            <w:noWrap w:val="0"/>
            <w:vAlign w:val="center"/>
          </w:tcPr>
          <w:p w14:paraId="3B1A43A6">
            <w:pPr>
              <w:keepNext w:val="0"/>
              <w:keepLines w:val="0"/>
              <w:pageBreakBefore w:val="0"/>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189.42</w:t>
            </w:r>
            <w:r>
              <w:rPr>
                <w:rFonts w:hint="eastAsia" w:ascii="Times New Roman" w:hAnsi="Times New Roman" w:eastAsia="宋体" w:cs="Times New Roman"/>
                <w:b w:val="0"/>
                <w:bCs w:val="0"/>
                <w:color w:val="auto"/>
                <w:sz w:val="21"/>
                <w:szCs w:val="21"/>
                <w:lang w:val="en-US" w:eastAsia="zh-CN"/>
              </w:rPr>
              <w:t>t/a</w:t>
            </w:r>
          </w:p>
        </w:tc>
        <w:tc>
          <w:tcPr>
            <w:tcW w:w="1482" w:type="dxa"/>
            <w:tcBorders>
              <w:tl2br w:val="nil"/>
              <w:tr2bl w:val="nil"/>
            </w:tcBorders>
            <w:noWrap w:val="0"/>
            <w:vAlign w:val="center"/>
          </w:tcPr>
          <w:p w14:paraId="6B672D37">
            <w:pPr>
              <w:keepNext w:val="0"/>
              <w:keepLines w:val="0"/>
              <w:pageBreakBefore w:val="0"/>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lang w:val="en-US" w:eastAsia="zh-CN"/>
              </w:rPr>
              <w:t>414.24</w:t>
            </w:r>
            <w:r>
              <w:rPr>
                <w:rFonts w:hint="eastAsia" w:ascii="Times New Roman" w:hAnsi="Times New Roman" w:eastAsia="宋体" w:cs="Times New Roman"/>
                <w:b w:val="0"/>
                <w:bCs w:val="0"/>
                <w:color w:val="auto"/>
                <w:sz w:val="21"/>
                <w:szCs w:val="21"/>
                <w:lang w:val="en-US" w:eastAsia="zh-CN"/>
              </w:rPr>
              <w:t>t/a</w:t>
            </w:r>
          </w:p>
        </w:tc>
        <w:tc>
          <w:tcPr>
            <w:tcW w:w="1395" w:type="dxa"/>
            <w:tcBorders>
              <w:tl2br w:val="nil"/>
              <w:tr2bl w:val="nil"/>
            </w:tcBorders>
            <w:noWrap w:val="0"/>
            <w:vAlign w:val="center"/>
          </w:tcPr>
          <w:p w14:paraId="314F9F8B">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224.82</w:t>
            </w:r>
            <w:r>
              <w:rPr>
                <w:rFonts w:hint="eastAsia" w:ascii="Times New Roman" w:hAnsi="Times New Roman" w:eastAsia="宋体" w:cs="Times New Roman"/>
                <w:b w:val="0"/>
                <w:bCs w:val="0"/>
                <w:color w:val="auto"/>
                <w:sz w:val="21"/>
                <w:szCs w:val="21"/>
                <w:lang w:val="en-US" w:eastAsia="zh-CN"/>
              </w:rPr>
              <w:t>t/a</w:t>
            </w:r>
          </w:p>
        </w:tc>
      </w:tr>
      <w:tr w14:paraId="0B43B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restart"/>
            <w:tcBorders>
              <w:tl2br w:val="nil"/>
              <w:tr2bl w:val="nil"/>
            </w:tcBorders>
            <w:noWrap w:val="0"/>
            <w:vAlign w:val="center"/>
          </w:tcPr>
          <w:p w14:paraId="385C09D5">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default" w:ascii="宋体" w:hAnsi="宋体" w:eastAsia="宋体" w:cs="宋体"/>
                <w:snapToGrid w:val="0"/>
                <w:color w:val="auto"/>
                <w:kern w:val="21"/>
                <w:sz w:val="21"/>
                <w:szCs w:val="21"/>
                <w:highlight w:val="none"/>
                <w:lang w:val="en-US" w:eastAsia="zh-CN"/>
              </w:rPr>
            </w:pPr>
            <w:r>
              <w:rPr>
                <w:rFonts w:hint="eastAsia" w:hAnsi="宋体" w:eastAsia="宋体" w:cs="宋体"/>
                <w:snapToGrid w:val="0"/>
                <w:color w:val="auto"/>
                <w:kern w:val="21"/>
                <w:sz w:val="21"/>
                <w:szCs w:val="21"/>
                <w:highlight w:val="none"/>
                <w:lang w:val="en-US" w:eastAsia="zh-CN"/>
              </w:rPr>
              <w:t>危险废物</w:t>
            </w:r>
          </w:p>
        </w:tc>
        <w:tc>
          <w:tcPr>
            <w:tcW w:w="628" w:type="pct"/>
            <w:tcBorders>
              <w:tl2br w:val="nil"/>
              <w:tr2bl w:val="nil"/>
            </w:tcBorders>
            <w:noWrap w:val="0"/>
            <w:vAlign w:val="center"/>
          </w:tcPr>
          <w:p w14:paraId="7AF3BDA1">
            <w:pPr>
              <w:keepNext w:val="0"/>
              <w:keepLines w:val="0"/>
              <w:pageBreakBefore w:val="0"/>
              <w:widowControl w:val="0"/>
              <w:suppressLineNumbers w:val="0"/>
              <w:kinsoku/>
              <w:wordWrap/>
              <w:overflowPunct/>
              <w:topLinePunct w:val="0"/>
              <w:autoSpaceDN/>
              <w:bidi w:val="0"/>
              <w:adjustRightInd w:val="0"/>
              <w:snapToGrid w:val="0"/>
              <w:spacing w:beforeAutospacing="0" w:afterAutospacing="0" w:line="240" w:lineRule="auto"/>
              <w:ind w:left="0" w:leftChars="0" w:right="0" w:rightChars="0" w:firstLine="0" w:firstLineChars="0"/>
              <w:jc w:val="center"/>
              <w:textAlignment w:val="bottom"/>
              <w:rPr>
                <w:b w:val="0"/>
                <w:bCs w:val="0"/>
                <w:color w:val="auto"/>
                <w:sz w:val="21"/>
                <w:szCs w:val="21"/>
                <w:highlight w:val="none"/>
              </w:rPr>
            </w:pPr>
            <w:r>
              <w:rPr>
                <w:rFonts w:hint="default" w:ascii="Times New Roman" w:hAnsi="Times New Roman" w:eastAsia="宋体" w:cs="Times New Roman"/>
                <w:b w:val="0"/>
                <w:bCs w:val="0"/>
                <w:color w:val="auto"/>
                <w:spacing w:val="8"/>
                <w:sz w:val="21"/>
                <w:szCs w:val="21"/>
                <w:highlight w:val="none"/>
                <w:vertAlign w:val="baseline"/>
                <w:lang w:val="en-US" w:eastAsia="zh-CN"/>
              </w:rPr>
              <w:t>废矿物油</w:t>
            </w:r>
          </w:p>
        </w:tc>
        <w:tc>
          <w:tcPr>
            <w:tcW w:w="561" w:type="pct"/>
            <w:tcBorders>
              <w:tl2br w:val="nil"/>
              <w:tr2bl w:val="nil"/>
            </w:tcBorders>
            <w:noWrap w:val="0"/>
            <w:vAlign w:val="center"/>
          </w:tcPr>
          <w:p w14:paraId="4C1F0DB9">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240" w:lineRule="auto"/>
              <w:ind w:left="0" w:leftChars="0" w:right="0" w:rightChars="0"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kern w:val="0"/>
                <w:sz w:val="21"/>
                <w:szCs w:val="21"/>
                <w:highlight w:val="none"/>
                <w:lang w:val="en-US" w:eastAsia="zh-CN" w:bidi="ar"/>
              </w:rPr>
              <w:t>0.4</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77D9C889">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40960302">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32715FE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0.8</w:t>
            </w:r>
            <w:r>
              <w:rPr>
                <w:rFonts w:hint="eastAsia" w:ascii="Times New Roman" w:hAnsi="Times New Roman" w:eastAsia="宋体" w:cs="Times New Roman"/>
                <w:b w:val="0"/>
                <w:bCs w:val="0"/>
                <w:color w:val="auto"/>
                <w:sz w:val="21"/>
                <w:szCs w:val="21"/>
                <w:highlight w:val="none"/>
                <w:lang w:val="en-US" w:eastAsia="zh-CN"/>
              </w:rPr>
              <w:t>t/a</w:t>
            </w:r>
          </w:p>
        </w:tc>
        <w:tc>
          <w:tcPr>
            <w:tcW w:w="1617" w:type="dxa"/>
            <w:tcBorders>
              <w:tl2br w:val="nil"/>
              <w:tr2bl w:val="nil"/>
            </w:tcBorders>
            <w:noWrap w:val="0"/>
            <w:vAlign w:val="center"/>
          </w:tcPr>
          <w:p w14:paraId="2C63722E">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240" w:lineRule="auto"/>
              <w:ind w:left="0" w:leftChars="0" w:right="0" w:rightChars="0"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kern w:val="0"/>
                <w:sz w:val="21"/>
                <w:szCs w:val="21"/>
                <w:highlight w:val="none"/>
                <w:lang w:val="en-US" w:eastAsia="zh-CN" w:bidi="ar"/>
              </w:rPr>
              <w:t>0.4</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4C726454">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0.8</w:t>
            </w:r>
            <w:r>
              <w:rPr>
                <w:rFonts w:hint="eastAsia" w:ascii="Times New Roman" w:hAnsi="Times New Roman" w:eastAsia="宋体" w:cs="Times New Roman"/>
                <w:b w:val="0"/>
                <w:bCs w:val="0"/>
                <w:color w:val="auto"/>
                <w:sz w:val="21"/>
                <w:szCs w:val="21"/>
                <w:highlight w:val="none"/>
                <w:lang w:val="en-US" w:eastAsia="zh-CN"/>
              </w:rPr>
              <w:t>t/a</w:t>
            </w:r>
          </w:p>
        </w:tc>
        <w:tc>
          <w:tcPr>
            <w:tcW w:w="1395" w:type="dxa"/>
            <w:tcBorders>
              <w:tl2br w:val="nil"/>
              <w:tr2bl w:val="nil"/>
            </w:tcBorders>
            <w:noWrap w:val="0"/>
            <w:vAlign w:val="center"/>
          </w:tcPr>
          <w:p w14:paraId="0EA7B765">
            <w:pPr>
              <w:keepNext w:val="0"/>
              <w:keepLines w:val="0"/>
              <w:pageBreakBefore w:val="0"/>
              <w:widowControl w:val="0"/>
              <w:kinsoku/>
              <w:wordWrap/>
              <w:overflowPunct/>
              <w:topLinePunct w:val="0"/>
              <w:autoSpaceDE/>
              <w:autoSpaceDN/>
              <w:bidi w:val="0"/>
              <w:adjustRightInd w:val="0"/>
              <w:snapToGrid w:val="0"/>
              <w:spacing w:beforeLines="0" w:afterLines="0"/>
              <w:jc w:val="center"/>
              <w:rPr>
                <w:rFonts w:hint="eastAsia" w:ascii="宋体" w:hAnsi="宋体" w:eastAsia="宋体" w:cs="宋体"/>
                <w:b w:val="0"/>
                <w:bCs w:val="0"/>
                <w:snapToGrid w:val="0"/>
                <w:color w:val="auto"/>
                <w:kern w:val="21"/>
                <w:sz w:val="21"/>
                <w:szCs w:val="21"/>
                <w:highlight w:val="none"/>
              </w:rPr>
            </w:pPr>
            <w:r>
              <w:rPr>
                <w:rFonts w:hint="eastAsia" w:ascii="Times New Roman" w:hAnsi="Times New Roman" w:cs="Times New Roman"/>
                <w:b w:val="0"/>
                <w:bCs w:val="0"/>
                <w:color w:val="auto"/>
                <w:sz w:val="21"/>
                <w:szCs w:val="21"/>
                <w:lang w:val="en-US" w:eastAsia="zh-CN"/>
              </w:rPr>
              <w:t>+0.4</w:t>
            </w:r>
            <w:r>
              <w:rPr>
                <w:rFonts w:hint="eastAsia" w:ascii="Times New Roman" w:hAnsi="Times New Roman" w:eastAsia="宋体" w:cs="Times New Roman"/>
                <w:b w:val="0"/>
                <w:bCs w:val="0"/>
                <w:color w:val="auto"/>
                <w:sz w:val="21"/>
                <w:szCs w:val="21"/>
                <w:lang w:val="en-US" w:eastAsia="zh-CN"/>
              </w:rPr>
              <w:t>t/a</w:t>
            </w:r>
          </w:p>
        </w:tc>
      </w:tr>
      <w:tr w14:paraId="574FF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3" w:type="pct"/>
            <w:vMerge w:val="continue"/>
            <w:tcBorders>
              <w:tl2br w:val="nil"/>
              <w:tr2bl w:val="nil"/>
            </w:tcBorders>
            <w:noWrap w:val="0"/>
            <w:vAlign w:val="center"/>
          </w:tcPr>
          <w:p w14:paraId="1A85FF22">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hAnsi="宋体" w:eastAsia="宋体" w:cs="宋体"/>
                <w:snapToGrid w:val="0"/>
                <w:color w:val="auto"/>
                <w:kern w:val="21"/>
                <w:sz w:val="21"/>
                <w:szCs w:val="21"/>
                <w:highlight w:val="none"/>
                <w:lang w:val="en-US" w:eastAsia="zh-CN"/>
              </w:rPr>
            </w:pPr>
          </w:p>
        </w:tc>
        <w:tc>
          <w:tcPr>
            <w:tcW w:w="628" w:type="pct"/>
            <w:tcBorders>
              <w:tl2br w:val="nil"/>
              <w:tr2bl w:val="nil"/>
            </w:tcBorders>
            <w:noWrap w:val="0"/>
            <w:vAlign w:val="center"/>
          </w:tcPr>
          <w:p w14:paraId="24811CE3">
            <w:pPr>
              <w:keepNext w:val="0"/>
              <w:keepLines w:val="0"/>
              <w:pageBreakBefore w:val="0"/>
              <w:widowControl w:val="0"/>
              <w:suppressLineNumbers w:val="0"/>
              <w:kinsoku/>
              <w:wordWrap/>
              <w:overflowPunct/>
              <w:topLinePunct w:val="0"/>
              <w:autoSpaceDN/>
              <w:bidi w:val="0"/>
              <w:adjustRightInd w:val="0"/>
              <w:snapToGrid w:val="0"/>
              <w:spacing w:beforeAutospacing="0" w:afterAutospacing="0" w:line="240" w:lineRule="auto"/>
              <w:ind w:left="0" w:leftChars="0" w:right="0" w:rightChars="0" w:firstLine="0" w:firstLineChars="0"/>
              <w:jc w:val="center"/>
              <w:textAlignment w:val="bottom"/>
              <w:rPr>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废油桶</w:t>
            </w:r>
          </w:p>
        </w:tc>
        <w:tc>
          <w:tcPr>
            <w:tcW w:w="561" w:type="pct"/>
            <w:tcBorders>
              <w:tl2br w:val="nil"/>
              <w:tr2bl w:val="nil"/>
            </w:tcBorders>
            <w:noWrap w:val="0"/>
            <w:vAlign w:val="center"/>
          </w:tcPr>
          <w:p w14:paraId="664FC226">
            <w:pPr>
              <w:keepNext w:val="0"/>
              <w:keepLines w:val="0"/>
              <w:pageBreakBefore w:val="0"/>
              <w:widowControl/>
              <w:suppressLineNumbers w:val="0"/>
              <w:wordWrap/>
              <w:overflowPunct/>
              <w:topLinePunct w:val="0"/>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0.25</w:t>
            </w:r>
            <w:r>
              <w:rPr>
                <w:rFonts w:hint="eastAsia" w:ascii="Times New Roman" w:hAnsi="Times New Roman" w:eastAsia="宋体" w:cs="Times New Roman"/>
                <w:b w:val="0"/>
                <w:bCs w:val="0"/>
                <w:color w:val="auto"/>
                <w:sz w:val="21"/>
                <w:szCs w:val="21"/>
                <w:highlight w:val="none"/>
                <w:lang w:val="en-US" w:eastAsia="zh-CN"/>
              </w:rPr>
              <w:t>t/a</w:t>
            </w:r>
          </w:p>
        </w:tc>
        <w:tc>
          <w:tcPr>
            <w:tcW w:w="472" w:type="pct"/>
            <w:tcBorders>
              <w:tl2br w:val="nil"/>
              <w:tr2bl w:val="nil"/>
            </w:tcBorders>
            <w:noWrap w:val="0"/>
            <w:vAlign w:val="center"/>
          </w:tcPr>
          <w:p w14:paraId="08E84494">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1944C8EB">
            <w:pPr>
              <w:pStyle w:val="43"/>
              <w:keepNext w:val="0"/>
              <w:keepLines w:val="0"/>
              <w:pageBreakBefore w:val="0"/>
              <w:wordWrap/>
              <w:overflowPunct/>
              <w:topLinePunct w:val="0"/>
              <w:bidi w:val="0"/>
              <w:spacing w:before="0" w:beforeLines="0" w:after="0" w:afterLines="0" w:line="240" w:lineRule="auto"/>
              <w:ind w:left="0" w:leftChars="0" w:firstLine="0" w:firstLineChars="0"/>
              <w:jc w:val="center"/>
              <w:rPr>
                <w:rFonts w:hint="eastAsia" w:ascii="宋体" w:hAnsi="宋体" w:eastAsia="宋体" w:cs="宋体"/>
                <w:b w:val="0"/>
                <w:bCs w:val="0"/>
                <w:snapToGrid w:val="0"/>
                <w:color w:val="auto"/>
                <w:kern w:val="21"/>
                <w:sz w:val="21"/>
                <w:szCs w:val="21"/>
                <w:highlight w:val="none"/>
                <w:lang w:val="en-US" w:eastAsia="zh-CN"/>
              </w:rPr>
            </w:pPr>
            <w:r>
              <w:rPr>
                <w:rFonts w:hint="eastAsia" w:hAnsi="宋体" w:cs="宋体"/>
                <w:b w:val="0"/>
                <w:bCs w:val="0"/>
                <w:snapToGrid w:val="0"/>
                <w:color w:val="auto"/>
                <w:kern w:val="21"/>
                <w:sz w:val="21"/>
                <w:szCs w:val="21"/>
                <w:highlight w:val="none"/>
                <w:lang w:val="en-US" w:eastAsia="zh-CN"/>
              </w:rPr>
              <w:t>/</w:t>
            </w:r>
          </w:p>
        </w:tc>
        <w:tc>
          <w:tcPr>
            <w:tcW w:w="599" w:type="pct"/>
            <w:tcBorders>
              <w:tl2br w:val="nil"/>
              <w:tr2bl w:val="nil"/>
            </w:tcBorders>
            <w:noWrap w:val="0"/>
            <w:vAlign w:val="center"/>
          </w:tcPr>
          <w:p w14:paraId="41EFC8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0.5</w:t>
            </w:r>
            <w:r>
              <w:rPr>
                <w:rFonts w:hint="eastAsia" w:ascii="Times New Roman" w:hAnsi="Times New Roman" w:eastAsia="宋体" w:cs="Times New Roman"/>
                <w:b w:val="0"/>
                <w:bCs w:val="0"/>
                <w:color w:val="auto"/>
                <w:sz w:val="21"/>
                <w:szCs w:val="21"/>
                <w:highlight w:val="none"/>
                <w:lang w:val="en-US" w:eastAsia="zh-CN"/>
              </w:rPr>
              <w:t>t/a</w:t>
            </w:r>
          </w:p>
        </w:tc>
        <w:tc>
          <w:tcPr>
            <w:tcW w:w="1617" w:type="dxa"/>
            <w:tcBorders>
              <w:tl2br w:val="nil"/>
              <w:tr2bl w:val="nil"/>
            </w:tcBorders>
            <w:noWrap w:val="0"/>
            <w:vAlign w:val="center"/>
          </w:tcPr>
          <w:p w14:paraId="4DD9C932">
            <w:pPr>
              <w:keepNext w:val="0"/>
              <w:keepLines w:val="0"/>
              <w:pageBreakBefore w:val="0"/>
              <w:widowControl/>
              <w:suppressLineNumbers w:val="0"/>
              <w:wordWrap/>
              <w:overflowPunct/>
              <w:topLinePunct w:val="0"/>
              <w:bidi w:val="0"/>
              <w:spacing w:line="240" w:lineRule="auto"/>
              <w:ind w:firstLine="0" w:firstLineChars="0"/>
              <w:jc w:val="center"/>
              <w:textAlignment w:val="bottom"/>
              <w:rPr>
                <w:rFonts w:hint="eastAsia" w:ascii="宋体" w:hAnsi="宋体" w:eastAsia="宋体" w:cs="宋体"/>
                <w:b w:val="0"/>
                <w:bCs w:val="0"/>
                <w:snapToGrid w:val="0"/>
                <w:color w:val="auto"/>
                <w:kern w:val="21"/>
                <w:sz w:val="21"/>
                <w:szCs w:val="21"/>
                <w:highlight w:val="none"/>
              </w:rPr>
            </w:pPr>
            <w:r>
              <w:rPr>
                <w:rFonts w:hint="eastAsia" w:cs="Times New Roman"/>
                <w:b w:val="0"/>
                <w:bCs w:val="0"/>
                <w:color w:val="auto"/>
                <w:sz w:val="21"/>
                <w:szCs w:val="21"/>
                <w:highlight w:val="none"/>
                <w:lang w:val="en-US" w:eastAsia="zh-CN"/>
              </w:rPr>
              <w:t>0.25</w:t>
            </w:r>
            <w:r>
              <w:rPr>
                <w:rFonts w:hint="eastAsia" w:ascii="Times New Roman" w:hAnsi="Times New Roman" w:eastAsia="宋体" w:cs="Times New Roman"/>
                <w:b w:val="0"/>
                <w:bCs w:val="0"/>
                <w:color w:val="auto"/>
                <w:sz w:val="21"/>
                <w:szCs w:val="21"/>
                <w:highlight w:val="none"/>
                <w:lang w:val="en-US" w:eastAsia="zh-CN"/>
              </w:rPr>
              <w:t>t/a</w:t>
            </w:r>
          </w:p>
        </w:tc>
        <w:tc>
          <w:tcPr>
            <w:tcW w:w="1482" w:type="dxa"/>
            <w:tcBorders>
              <w:tl2br w:val="nil"/>
              <w:tr2bl w:val="nil"/>
            </w:tcBorders>
            <w:noWrap w:val="0"/>
            <w:vAlign w:val="center"/>
          </w:tcPr>
          <w:p w14:paraId="521101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0.5</w:t>
            </w:r>
            <w:r>
              <w:rPr>
                <w:rFonts w:hint="eastAsia" w:ascii="Times New Roman" w:hAnsi="Times New Roman" w:eastAsia="宋体" w:cs="Times New Roman"/>
                <w:b w:val="0"/>
                <w:bCs w:val="0"/>
                <w:color w:val="auto"/>
                <w:sz w:val="21"/>
                <w:szCs w:val="21"/>
                <w:highlight w:val="none"/>
                <w:lang w:val="en-US" w:eastAsia="zh-CN"/>
              </w:rPr>
              <w:t>t/a</w:t>
            </w:r>
          </w:p>
        </w:tc>
        <w:tc>
          <w:tcPr>
            <w:tcW w:w="1395" w:type="dxa"/>
            <w:tcBorders>
              <w:tl2br w:val="nil"/>
              <w:tr2bl w:val="nil"/>
            </w:tcBorders>
            <w:noWrap w:val="0"/>
            <w:vAlign w:val="center"/>
          </w:tcPr>
          <w:p w14:paraId="739B02DA">
            <w:pPr>
              <w:pStyle w:val="4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rPr>
                <w:rFonts w:hint="eastAsia" w:ascii="宋体" w:hAnsi="宋体" w:eastAsia="宋体" w:cs="宋体"/>
                <w:b w:val="0"/>
                <w:bCs w:val="0"/>
                <w:snapToGrid w:val="0"/>
                <w:color w:val="auto"/>
                <w:kern w:val="21"/>
                <w:sz w:val="21"/>
                <w:szCs w:val="21"/>
                <w:highlight w:val="none"/>
              </w:rPr>
            </w:pPr>
            <w:r>
              <w:rPr>
                <w:rFonts w:hint="eastAsia" w:ascii="Times New Roman" w:hAnsi="Times New Roman" w:cs="Times New Roman"/>
                <w:b w:val="0"/>
                <w:bCs w:val="0"/>
                <w:color w:val="auto"/>
                <w:sz w:val="21"/>
                <w:szCs w:val="21"/>
                <w:lang w:val="en-US" w:eastAsia="zh-CN"/>
              </w:rPr>
              <w:t>+0.25</w:t>
            </w:r>
            <w:r>
              <w:rPr>
                <w:rFonts w:hint="eastAsia" w:ascii="Times New Roman" w:hAnsi="Times New Roman" w:eastAsia="宋体" w:cs="Times New Roman"/>
                <w:b w:val="0"/>
                <w:bCs w:val="0"/>
                <w:color w:val="auto"/>
                <w:sz w:val="21"/>
                <w:szCs w:val="21"/>
                <w:lang w:val="en-US" w:eastAsia="zh-CN"/>
              </w:rPr>
              <w:t>t/a</w:t>
            </w:r>
          </w:p>
        </w:tc>
      </w:tr>
    </w:tbl>
    <w:p w14:paraId="7E25320A">
      <w:pPr>
        <w:pStyle w:val="43"/>
        <w:spacing w:before="192" w:beforeLines="80" w:after="24"/>
        <w:jc w:val="lef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7F6FEE60">
      <w:pPr>
        <w:pStyle w:val="29"/>
        <w:rPr>
          <w:rFonts w:hint="eastAsia"/>
          <w:lang w:eastAsia="zh-CN"/>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6A4EE03-7B27-43C0-B63B-88280C960FB9}"/>
  </w:font>
  <w:font w:name="黑体">
    <w:panose1 w:val="02010609060101010101"/>
    <w:charset w:val="86"/>
    <w:family w:val="auto"/>
    <w:pitch w:val="default"/>
    <w:sig w:usb0="800002BF" w:usb1="38CF7CFA" w:usb2="00000016" w:usb3="00000000" w:csb0="00040001" w:csb1="00000000"/>
    <w:embedRegular r:id="rId2" w:fontKey="{9528D9C4-7FC4-4D50-9A08-EE1C59E072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9283EBA4-FA20-46A4-9FC9-19ADDF91324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swiss"/>
    <w:pitch w:val="default"/>
    <w:sig w:usb0="F7FFAEFF" w:usb1="F9DFFFFF" w:usb2="0000007F" w:usb3="00000000" w:csb0="203F01FF" w:csb1="DFFF0000"/>
  </w:font>
  <w:font w:name="方正仿宋_GB2312">
    <w:panose1 w:val="02000000000000000000"/>
    <w:charset w:val="86"/>
    <w:family w:val="auto"/>
    <w:pitch w:val="default"/>
    <w:sig w:usb0="A00002BF" w:usb1="184F6CFA" w:usb2="00000012" w:usb3="00000000" w:csb0="00040001" w:csb1="00000000"/>
    <w:embedRegular r:id="rId4" w:fontKey="{2F2676E5-6F13-4BB7-881E-03EBA8187179}"/>
  </w:font>
  <w:font w:name="方正小标宋_GBK">
    <w:panose1 w:val="02000000000000000000"/>
    <w:charset w:val="86"/>
    <w:family w:val="script"/>
    <w:pitch w:val="default"/>
    <w:sig w:usb0="A00002BF" w:usb1="38CF7CFA" w:usb2="00082016" w:usb3="00000000" w:csb0="00040001" w:csb1="00000000"/>
    <w:embedRegular r:id="rId5" w:fontKey="{1422B154-14B8-4176-A70E-0CA21A3778B4}"/>
  </w:font>
  <w:font w:name="方正楷体_GB2312">
    <w:panose1 w:val="02000000000000000000"/>
    <w:charset w:val="86"/>
    <w:family w:val="auto"/>
    <w:pitch w:val="default"/>
    <w:sig w:usb0="A00002BF" w:usb1="184F6CFA" w:usb2="00000012" w:usb3="00000000" w:csb0="00040001" w:csb1="00000000"/>
    <w:embedRegular r:id="rId6" w:fontKey="{27224CBF-5DF8-4BC6-B428-0585F549DBBF}"/>
  </w:font>
  <w:font w:name="仿宋">
    <w:panose1 w:val="02010609060101010101"/>
    <w:charset w:val="86"/>
    <w:family w:val="modern"/>
    <w:pitch w:val="default"/>
    <w:sig w:usb0="800002BF" w:usb1="38CF7CFA" w:usb2="00000016" w:usb3="00000000" w:csb0="00040001" w:csb1="00000000"/>
    <w:embedRegular r:id="rId7" w:fontKey="{EF176AD6-5F7D-4CD8-918C-414429E5C670}"/>
  </w:font>
  <w:font w:name="Segoe UI">
    <w:panose1 w:val="020B0502040204020203"/>
    <w:charset w:val="00"/>
    <w:family w:val="auto"/>
    <w:pitch w:val="default"/>
    <w:sig w:usb0="E4002EFF" w:usb1="C000E47F" w:usb2="00000009" w:usb3="00000000" w:csb0="200001FF" w:csb1="00000000"/>
    <w:embedRegular r:id="rId8" w:fontKey="{49BA0FBC-5962-4398-8CA9-4CDC6DF8852F}"/>
  </w:font>
  <w:font w:name="Cambria Math">
    <w:panose1 w:val="02040503050406030204"/>
    <w:charset w:val="00"/>
    <w:family w:val="roman"/>
    <w:pitch w:val="default"/>
    <w:sig w:usb0="E00006FF" w:usb1="420024FF" w:usb2="02000000" w:usb3="00000000" w:csb0="2000019F" w:csb1="00000000"/>
    <w:embedRegular r:id="rId9" w:fontKey="{BF2100FD-840C-4B50-9954-996C0B7762F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C320E">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1012">
    <w:pPr>
      <w:pStyle w:val="17"/>
      <w:framePr w:wrap="around" w:vAnchor="text" w:hAnchor="margin" w:xAlign="center" w:y="1"/>
      <w:rPr>
        <w:rStyle w:val="27"/>
      </w:rPr>
    </w:pPr>
    <w:r>
      <w:fldChar w:fldCharType="begin"/>
    </w:r>
    <w:r>
      <w:rPr>
        <w:rStyle w:val="27"/>
      </w:rPr>
      <w:instrText xml:space="preserve">PAGE  </w:instrText>
    </w:r>
    <w:r>
      <w:fldChar w:fldCharType="end"/>
    </w:r>
  </w:p>
  <w:p w14:paraId="5A682891">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1F859">
    <w:pPr>
      <w:pStyle w:val="17"/>
      <w:jc w:val="cente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C4E99">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1861E">
                          <w:pPr>
                            <w:pStyle w:val="17"/>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031861E">
                    <w:pPr>
                      <w:pStyle w:val="17"/>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17DD8"/>
    <w:multiLevelType w:val="singleLevel"/>
    <w:tmpl w:val="84517DD8"/>
    <w:lvl w:ilvl="0" w:tentative="0">
      <w:start w:val="5"/>
      <w:numFmt w:val="decimal"/>
      <w:suff w:val="nothing"/>
      <w:lvlText w:val="（%1）"/>
      <w:lvlJc w:val="left"/>
    </w:lvl>
  </w:abstractNum>
  <w:abstractNum w:abstractNumId="1">
    <w:nsid w:val="D28C91BB"/>
    <w:multiLevelType w:val="singleLevel"/>
    <w:tmpl w:val="D28C91BB"/>
    <w:lvl w:ilvl="0" w:tentative="0">
      <w:start w:val="1"/>
      <w:numFmt w:val="bullet"/>
      <w:pStyle w:val="8"/>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A7F"/>
    <w:rsid w:val="00004251"/>
    <w:rsid w:val="000060B3"/>
    <w:rsid w:val="00007466"/>
    <w:rsid w:val="000112B6"/>
    <w:rsid w:val="00012C9D"/>
    <w:rsid w:val="000150C3"/>
    <w:rsid w:val="000156B3"/>
    <w:rsid w:val="00017099"/>
    <w:rsid w:val="00017D33"/>
    <w:rsid w:val="00020102"/>
    <w:rsid w:val="000202E1"/>
    <w:rsid w:val="00021049"/>
    <w:rsid w:val="0002486B"/>
    <w:rsid w:val="000262D5"/>
    <w:rsid w:val="00027CEC"/>
    <w:rsid w:val="00033311"/>
    <w:rsid w:val="00035FBB"/>
    <w:rsid w:val="000365C7"/>
    <w:rsid w:val="0003705B"/>
    <w:rsid w:val="000371D3"/>
    <w:rsid w:val="00042D78"/>
    <w:rsid w:val="00042D88"/>
    <w:rsid w:val="0004364B"/>
    <w:rsid w:val="00043B53"/>
    <w:rsid w:val="00043D3C"/>
    <w:rsid w:val="00050D04"/>
    <w:rsid w:val="00054294"/>
    <w:rsid w:val="00055715"/>
    <w:rsid w:val="00056285"/>
    <w:rsid w:val="00056929"/>
    <w:rsid w:val="00057135"/>
    <w:rsid w:val="00057BA6"/>
    <w:rsid w:val="00061B1F"/>
    <w:rsid w:val="0006300D"/>
    <w:rsid w:val="000631F6"/>
    <w:rsid w:val="00063F66"/>
    <w:rsid w:val="00064C2F"/>
    <w:rsid w:val="0006575A"/>
    <w:rsid w:val="000669CE"/>
    <w:rsid w:val="00066E73"/>
    <w:rsid w:val="00067FD0"/>
    <w:rsid w:val="0007029D"/>
    <w:rsid w:val="000704FA"/>
    <w:rsid w:val="0007081D"/>
    <w:rsid w:val="000714CE"/>
    <w:rsid w:val="00071EE9"/>
    <w:rsid w:val="00072237"/>
    <w:rsid w:val="000733C4"/>
    <w:rsid w:val="00073963"/>
    <w:rsid w:val="00073A6A"/>
    <w:rsid w:val="00073E96"/>
    <w:rsid w:val="00074783"/>
    <w:rsid w:val="000778AB"/>
    <w:rsid w:val="0008070B"/>
    <w:rsid w:val="00080D37"/>
    <w:rsid w:val="000810AC"/>
    <w:rsid w:val="0008186A"/>
    <w:rsid w:val="00081A02"/>
    <w:rsid w:val="0008220E"/>
    <w:rsid w:val="00082231"/>
    <w:rsid w:val="00086ADA"/>
    <w:rsid w:val="00087299"/>
    <w:rsid w:val="000911A0"/>
    <w:rsid w:val="00091AD8"/>
    <w:rsid w:val="00092BB7"/>
    <w:rsid w:val="00092D38"/>
    <w:rsid w:val="00092EC5"/>
    <w:rsid w:val="0009377B"/>
    <w:rsid w:val="00095960"/>
    <w:rsid w:val="000972F8"/>
    <w:rsid w:val="000A0629"/>
    <w:rsid w:val="000A1A39"/>
    <w:rsid w:val="000A20C9"/>
    <w:rsid w:val="000A4617"/>
    <w:rsid w:val="000A5BB2"/>
    <w:rsid w:val="000A676C"/>
    <w:rsid w:val="000B058F"/>
    <w:rsid w:val="000B3501"/>
    <w:rsid w:val="000B4467"/>
    <w:rsid w:val="000B4DB9"/>
    <w:rsid w:val="000B5F67"/>
    <w:rsid w:val="000B7913"/>
    <w:rsid w:val="000C09AC"/>
    <w:rsid w:val="000C0DF5"/>
    <w:rsid w:val="000C1AA9"/>
    <w:rsid w:val="000C332F"/>
    <w:rsid w:val="000C344B"/>
    <w:rsid w:val="000C35F9"/>
    <w:rsid w:val="000C46D4"/>
    <w:rsid w:val="000C4B00"/>
    <w:rsid w:val="000C5770"/>
    <w:rsid w:val="000C767F"/>
    <w:rsid w:val="000D02FE"/>
    <w:rsid w:val="000D03BD"/>
    <w:rsid w:val="000D14A5"/>
    <w:rsid w:val="000D26FF"/>
    <w:rsid w:val="000D2CC1"/>
    <w:rsid w:val="000D3059"/>
    <w:rsid w:val="000D4612"/>
    <w:rsid w:val="000D4F0C"/>
    <w:rsid w:val="000D5749"/>
    <w:rsid w:val="000D5A44"/>
    <w:rsid w:val="000D7281"/>
    <w:rsid w:val="000E39D5"/>
    <w:rsid w:val="000E3ED2"/>
    <w:rsid w:val="000E4C24"/>
    <w:rsid w:val="000E5813"/>
    <w:rsid w:val="000F248B"/>
    <w:rsid w:val="000F3A62"/>
    <w:rsid w:val="000F4083"/>
    <w:rsid w:val="000F5D70"/>
    <w:rsid w:val="000F67CB"/>
    <w:rsid w:val="000F6B07"/>
    <w:rsid w:val="000F6DF5"/>
    <w:rsid w:val="000F7DA6"/>
    <w:rsid w:val="0010052C"/>
    <w:rsid w:val="0010070F"/>
    <w:rsid w:val="00101BFD"/>
    <w:rsid w:val="00101D6F"/>
    <w:rsid w:val="00104DE4"/>
    <w:rsid w:val="0010551A"/>
    <w:rsid w:val="00106764"/>
    <w:rsid w:val="001108DA"/>
    <w:rsid w:val="001114D7"/>
    <w:rsid w:val="001128C5"/>
    <w:rsid w:val="00112B27"/>
    <w:rsid w:val="001146FE"/>
    <w:rsid w:val="00116A87"/>
    <w:rsid w:val="001177E7"/>
    <w:rsid w:val="00117FF7"/>
    <w:rsid w:val="00120318"/>
    <w:rsid w:val="0012078E"/>
    <w:rsid w:val="001212F5"/>
    <w:rsid w:val="00122AF7"/>
    <w:rsid w:val="00122E8D"/>
    <w:rsid w:val="001238A4"/>
    <w:rsid w:val="00125177"/>
    <w:rsid w:val="00125B4B"/>
    <w:rsid w:val="0012745C"/>
    <w:rsid w:val="00127D62"/>
    <w:rsid w:val="00131F42"/>
    <w:rsid w:val="001330C3"/>
    <w:rsid w:val="0013324D"/>
    <w:rsid w:val="00134F13"/>
    <w:rsid w:val="001357F1"/>
    <w:rsid w:val="00137B9F"/>
    <w:rsid w:val="0014089A"/>
    <w:rsid w:val="00140FA8"/>
    <w:rsid w:val="001424A8"/>
    <w:rsid w:val="0014272E"/>
    <w:rsid w:val="00142FEB"/>
    <w:rsid w:val="00143A2D"/>
    <w:rsid w:val="00145A41"/>
    <w:rsid w:val="00147B82"/>
    <w:rsid w:val="00151675"/>
    <w:rsid w:val="001568CE"/>
    <w:rsid w:val="00157435"/>
    <w:rsid w:val="00157457"/>
    <w:rsid w:val="001604D6"/>
    <w:rsid w:val="00161DF2"/>
    <w:rsid w:val="001623B4"/>
    <w:rsid w:val="0016329B"/>
    <w:rsid w:val="00164870"/>
    <w:rsid w:val="0016498B"/>
    <w:rsid w:val="0016535C"/>
    <w:rsid w:val="0016663C"/>
    <w:rsid w:val="00166FE0"/>
    <w:rsid w:val="001700FA"/>
    <w:rsid w:val="001717E2"/>
    <w:rsid w:val="00171A09"/>
    <w:rsid w:val="00174967"/>
    <w:rsid w:val="0017504D"/>
    <w:rsid w:val="0017671A"/>
    <w:rsid w:val="001769E2"/>
    <w:rsid w:val="00176D25"/>
    <w:rsid w:val="00177422"/>
    <w:rsid w:val="00180182"/>
    <w:rsid w:val="00180A68"/>
    <w:rsid w:val="00181D4C"/>
    <w:rsid w:val="00184590"/>
    <w:rsid w:val="00184B8E"/>
    <w:rsid w:val="001869FC"/>
    <w:rsid w:val="001870D1"/>
    <w:rsid w:val="0018740A"/>
    <w:rsid w:val="0018781E"/>
    <w:rsid w:val="00191F65"/>
    <w:rsid w:val="0019262D"/>
    <w:rsid w:val="00195692"/>
    <w:rsid w:val="001A0996"/>
    <w:rsid w:val="001A0B9B"/>
    <w:rsid w:val="001A1B35"/>
    <w:rsid w:val="001A2D05"/>
    <w:rsid w:val="001A4596"/>
    <w:rsid w:val="001A4649"/>
    <w:rsid w:val="001A48A2"/>
    <w:rsid w:val="001A6B0E"/>
    <w:rsid w:val="001A6F61"/>
    <w:rsid w:val="001B02BB"/>
    <w:rsid w:val="001B0464"/>
    <w:rsid w:val="001B10F5"/>
    <w:rsid w:val="001B2A40"/>
    <w:rsid w:val="001B2D10"/>
    <w:rsid w:val="001B2EA2"/>
    <w:rsid w:val="001B357A"/>
    <w:rsid w:val="001B434E"/>
    <w:rsid w:val="001B4821"/>
    <w:rsid w:val="001B72B8"/>
    <w:rsid w:val="001C13DF"/>
    <w:rsid w:val="001C29EF"/>
    <w:rsid w:val="001C3614"/>
    <w:rsid w:val="001C3A3A"/>
    <w:rsid w:val="001C48F5"/>
    <w:rsid w:val="001C5AF5"/>
    <w:rsid w:val="001C69B3"/>
    <w:rsid w:val="001D15F4"/>
    <w:rsid w:val="001D2AFF"/>
    <w:rsid w:val="001D5407"/>
    <w:rsid w:val="001D54B0"/>
    <w:rsid w:val="001D5595"/>
    <w:rsid w:val="001D722C"/>
    <w:rsid w:val="001D7310"/>
    <w:rsid w:val="001D7874"/>
    <w:rsid w:val="001D7F22"/>
    <w:rsid w:val="001E01ED"/>
    <w:rsid w:val="001E0AFB"/>
    <w:rsid w:val="001E2CDB"/>
    <w:rsid w:val="001E4924"/>
    <w:rsid w:val="001E6CB3"/>
    <w:rsid w:val="001F0490"/>
    <w:rsid w:val="001F0F17"/>
    <w:rsid w:val="001F1663"/>
    <w:rsid w:val="001F1CA4"/>
    <w:rsid w:val="001F3347"/>
    <w:rsid w:val="001F4544"/>
    <w:rsid w:val="001F69E4"/>
    <w:rsid w:val="001F7E3A"/>
    <w:rsid w:val="00200CCD"/>
    <w:rsid w:val="0020160B"/>
    <w:rsid w:val="002024CE"/>
    <w:rsid w:val="00206725"/>
    <w:rsid w:val="00207F13"/>
    <w:rsid w:val="00210B20"/>
    <w:rsid w:val="002125B4"/>
    <w:rsid w:val="002128B8"/>
    <w:rsid w:val="002132BB"/>
    <w:rsid w:val="002155B8"/>
    <w:rsid w:val="0021588C"/>
    <w:rsid w:val="00216BEA"/>
    <w:rsid w:val="00217030"/>
    <w:rsid w:val="00217508"/>
    <w:rsid w:val="00217776"/>
    <w:rsid w:val="002208FE"/>
    <w:rsid w:val="00221078"/>
    <w:rsid w:val="0022128B"/>
    <w:rsid w:val="00224839"/>
    <w:rsid w:val="002249B2"/>
    <w:rsid w:val="0022543C"/>
    <w:rsid w:val="00225C5F"/>
    <w:rsid w:val="002261C0"/>
    <w:rsid w:val="00226574"/>
    <w:rsid w:val="002277D0"/>
    <w:rsid w:val="002278EC"/>
    <w:rsid w:val="00230952"/>
    <w:rsid w:val="0023151A"/>
    <w:rsid w:val="0023280E"/>
    <w:rsid w:val="002328B8"/>
    <w:rsid w:val="00232BF8"/>
    <w:rsid w:val="00233678"/>
    <w:rsid w:val="0023397A"/>
    <w:rsid w:val="00235052"/>
    <w:rsid w:val="0023619B"/>
    <w:rsid w:val="00236AC5"/>
    <w:rsid w:val="002377D1"/>
    <w:rsid w:val="00237CEA"/>
    <w:rsid w:val="00240DC3"/>
    <w:rsid w:val="00241AF8"/>
    <w:rsid w:val="00241BC2"/>
    <w:rsid w:val="0024240D"/>
    <w:rsid w:val="00243104"/>
    <w:rsid w:val="00244C75"/>
    <w:rsid w:val="002451C5"/>
    <w:rsid w:val="00246060"/>
    <w:rsid w:val="00246AFC"/>
    <w:rsid w:val="002471FB"/>
    <w:rsid w:val="002506BC"/>
    <w:rsid w:val="00250AD6"/>
    <w:rsid w:val="00253043"/>
    <w:rsid w:val="002542B8"/>
    <w:rsid w:val="00254345"/>
    <w:rsid w:val="002559D0"/>
    <w:rsid w:val="00256913"/>
    <w:rsid w:val="00260024"/>
    <w:rsid w:val="002629AC"/>
    <w:rsid w:val="00264290"/>
    <w:rsid w:val="00264557"/>
    <w:rsid w:val="00265183"/>
    <w:rsid w:val="002656F3"/>
    <w:rsid w:val="00266288"/>
    <w:rsid w:val="00267CBC"/>
    <w:rsid w:val="00270AD7"/>
    <w:rsid w:val="002719D2"/>
    <w:rsid w:val="00271C43"/>
    <w:rsid w:val="00272432"/>
    <w:rsid w:val="002735E9"/>
    <w:rsid w:val="002737A2"/>
    <w:rsid w:val="00273930"/>
    <w:rsid w:val="00273F30"/>
    <w:rsid w:val="00274549"/>
    <w:rsid w:val="0027455D"/>
    <w:rsid w:val="00274863"/>
    <w:rsid w:val="00277F4F"/>
    <w:rsid w:val="00280376"/>
    <w:rsid w:val="002805AB"/>
    <w:rsid w:val="00281289"/>
    <w:rsid w:val="002816EA"/>
    <w:rsid w:val="00282B82"/>
    <w:rsid w:val="00283EFC"/>
    <w:rsid w:val="00284204"/>
    <w:rsid w:val="0028480A"/>
    <w:rsid w:val="002850F2"/>
    <w:rsid w:val="00286DB2"/>
    <w:rsid w:val="00291773"/>
    <w:rsid w:val="0029182C"/>
    <w:rsid w:val="0029191B"/>
    <w:rsid w:val="0029380D"/>
    <w:rsid w:val="00294606"/>
    <w:rsid w:val="00295F21"/>
    <w:rsid w:val="00296285"/>
    <w:rsid w:val="002968A2"/>
    <w:rsid w:val="002974EF"/>
    <w:rsid w:val="00297E74"/>
    <w:rsid w:val="00297E76"/>
    <w:rsid w:val="002A168C"/>
    <w:rsid w:val="002A1D8B"/>
    <w:rsid w:val="002A34E5"/>
    <w:rsid w:val="002A3D23"/>
    <w:rsid w:val="002A3DC7"/>
    <w:rsid w:val="002A4597"/>
    <w:rsid w:val="002A5620"/>
    <w:rsid w:val="002A6B0E"/>
    <w:rsid w:val="002A722D"/>
    <w:rsid w:val="002B0051"/>
    <w:rsid w:val="002B194C"/>
    <w:rsid w:val="002B1C2F"/>
    <w:rsid w:val="002B2E72"/>
    <w:rsid w:val="002B3236"/>
    <w:rsid w:val="002B3E76"/>
    <w:rsid w:val="002B3F8A"/>
    <w:rsid w:val="002B49E2"/>
    <w:rsid w:val="002B53B9"/>
    <w:rsid w:val="002B5DFD"/>
    <w:rsid w:val="002B6A29"/>
    <w:rsid w:val="002B6FAC"/>
    <w:rsid w:val="002B7B00"/>
    <w:rsid w:val="002B7C44"/>
    <w:rsid w:val="002C0BCD"/>
    <w:rsid w:val="002C2B17"/>
    <w:rsid w:val="002C3BCC"/>
    <w:rsid w:val="002C3D47"/>
    <w:rsid w:val="002C51F6"/>
    <w:rsid w:val="002C76E7"/>
    <w:rsid w:val="002C7A64"/>
    <w:rsid w:val="002D0A58"/>
    <w:rsid w:val="002D1068"/>
    <w:rsid w:val="002D1C50"/>
    <w:rsid w:val="002D27AF"/>
    <w:rsid w:val="002D33F7"/>
    <w:rsid w:val="002D3DD0"/>
    <w:rsid w:val="002D49E7"/>
    <w:rsid w:val="002D5383"/>
    <w:rsid w:val="002D5422"/>
    <w:rsid w:val="002D65CA"/>
    <w:rsid w:val="002D7473"/>
    <w:rsid w:val="002D7C18"/>
    <w:rsid w:val="002E10F5"/>
    <w:rsid w:val="002E1258"/>
    <w:rsid w:val="002E1F3A"/>
    <w:rsid w:val="002E298A"/>
    <w:rsid w:val="002E3E96"/>
    <w:rsid w:val="002E4B74"/>
    <w:rsid w:val="002E4C74"/>
    <w:rsid w:val="002E5FC8"/>
    <w:rsid w:val="002E69AC"/>
    <w:rsid w:val="002F0306"/>
    <w:rsid w:val="002F151F"/>
    <w:rsid w:val="002F2860"/>
    <w:rsid w:val="002F541E"/>
    <w:rsid w:val="002F72EA"/>
    <w:rsid w:val="00300CA3"/>
    <w:rsid w:val="00301978"/>
    <w:rsid w:val="00302B06"/>
    <w:rsid w:val="0030332C"/>
    <w:rsid w:val="003051C2"/>
    <w:rsid w:val="003055CF"/>
    <w:rsid w:val="003068E3"/>
    <w:rsid w:val="00306C66"/>
    <w:rsid w:val="00307142"/>
    <w:rsid w:val="00307697"/>
    <w:rsid w:val="00310690"/>
    <w:rsid w:val="003121DA"/>
    <w:rsid w:val="00312296"/>
    <w:rsid w:val="00313029"/>
    <w:rsid w:val="003132BD"/>
    <w:rsid w:val="00314F0E"/>
    <w:rsid w:val="003153BD"/>
    <w:rsid w:val="003172B8"/>
    <w:rsid w:val="003202CA"/>
    <w:rsid w:val="00321CB0"/>
    <w:rsid w:val="00321D8E"/>
    <w:rsid w:val="00323441"/>
    <w:rsid w:val="00323730"/>
    <w:rsid w:val="003237A9"/>
    <w:rsid w:val="00324ECB"/>
    <w:rsid w:val="00325928"/>
    <w:rsid w:val="00325A72"/>
    <w:rsid w:val="00326C19"/>
    <w:rsid w:val="003272AE"/>
    <w:rsid w:val="00327B2C"/>
    <w:rsid w:val="0033136F"/>
    <w:rsid w:val="0033190D"/>
    <w:rsid w:val="00332656"/>
    <w:rsid w:val="00332863"/>
    <w:rsid w:val="003328F2"/>
    <w:rsid w:val="00332DA2"/>
    <w:rsid w:val="00333DF3"/>
    <w:rsid w:val="00335AD0"/>
    <w:rsid w:val="0033684D"/>
    <w:rsid w:val="00336E03"/>
    <w:rsid w:val="00337B42"/>
    <w:rsid w:val="00340E20"/>
    <w:rsid w:val="00341B42"/>
    <w:rsid w:val="0034348F"/>
    <w:rsid w:val="003449D1"/>
    <w:rsid w:val="00344E80"/>
    <w:rsid w:val="00345AC3"/>
    <w:rsid w:val="00350164"/>
    <w:rsid w:val="003501A6"/>
    <w:rsid w:val="00350DF4"/>
    <w:rsid w:val="00350FA4"/>
    <w:rsid w:val="00352EA1"/>
    <w:rsid w:val="003547F6"/>
    <w:rsid w:val="00356653"/>
    <w:rsid w:val="00356EA9"/>
    <w:rsid w:val="0035743F"/>
    <w:rsid w:val="00357BE2"/>
    <w:rsid w:val="003600D2"/>
    <w:rsid w:val="00360F4C"/>
    <w:rsid w:val="0036170C"/>
    <w:rsid w:val="003619A2"/>
    <w:rsid w:val="003621B1"/>
    <w:rsid w:val="00362432"/>
    <w:rsid w:val="0036463A"/>
    <w:rsid w:val="00365573"/>
    <w:rsid w:val="00365CD7"/>
    <w:rsid w:val="00366E0F"/>
    <w:rsid w:val="003705A2"/>
    <w:rsid w:val="003723AB"/>
    <w:rsid w:val="003730CF"/>
    <w:rsid w:val="0037652F"/>
    <w:rsid w:val="00377005"/>
    <w:rsid w:val="00377010"/>
    <w:rsid w:val="0038056A"/>
    <w:rsid w:val="00380D74"/>
    <w:rsid w:val="003818AF"/>
    <w:rsid w:val="00381A72"/>
    <w:rsid w:val="00384676"/>
    <w:rsid w:val="0038558E"/>
    <w:rsid w:val="00385612"/>
    <w:rsid w:val="003906F1"/>
    <w:rsid w:val="00390857"/>
    <w:rsid w:val="00390B4A"/>
    <w:rsid w:val="00390D08"/>
    <w:rsid w:val="00391281"/>
    <w:rsid w:val="00391320"/>
    <w:rsid w:val="00394916"/>
    <w:rsid w:val="00394EB4"/>
    <w:rsid w:val="0039633C"/>
    <w:rsid w:val="0039657F"/>
    <w:rsid w:val="0039670D"/>
    <w:rsid w:val="00396C01"/>
    <w:rsid w:val="0039762C"/>
    <w:rsid w:val="0039773F"/>
    <w:rsid w:val="00397E80"/>
    <w:rsid w:val="003A221D"/>
    <w:rsid w:val="003A35DF"/>
    <w:rsid w:val="003A4BF3"/>
    <w:rsid w:val="003A54BB"/>
    <w:rsid w:val="003A6A13"/>
    <w:rsid w:val="003B0849"/>
    <w:rsid w:val="003B0B86"/>
    <w:rsid w:val="003B2157"/>
    <w:rsid w:val="003B2D56"/>
    <w:rsid w:val="003B420D"/>
    <w:rsid w:val="003B4B7D"/>
    <w:rsid w:val="003B506C"/>
    <w:rsid w:val="003B5507"/>
    <w:rsid w:val="003B59A2"/>
    <w:rsid w:val="003B7D71"/>
    <w:rsid w:val="003C1E37"/>
    <w:rsid w:val="003C2459"/>
    <w:rsid w:val="003C3535"/>
    <w:rsid w:val="003C56CD"/>
    <w:rsid w:val="003C6C16"/>
    <w:rsid w:val="003C7877"/>
    <w:rsid w:val="003D3239"/>
    <w:rsid w:val="003D3D8F"/>
    <w:rsid w:val="003D5117"/>
    <w:rsid w:val="003D5816"/>
    <w:rsid w:val="003D6955"/>
    <w:rsid w:val="003D794D"/>
    <w:rsid w:val="003D7D8A"/>
    <w:rsid w:val="003E039C"/>
    <w:rsid w:val="003E0601"/>
    <w:rsid w:val="003E06EF"/>
    <w:rsid w:val="003E1F3A"/>
    <w:rsid w:val="003E29C9"/>
    <w:rsid w:val="003E2D4D"/>
    <w:rsid w:val="003E3058"/>
    <w:rsid w:val="003E405B"/>
    <w:rsid w:val="003E45E1"/>
    <w:rsid w:val="003E4C4A"/>
    <w:rsid w:val="003E5453"/>
    <w:rsid w:val="003E5C0C"/>
    <w:rsid w:val="003E5E5D"/>
    <w:rsid w:val="003E6824"/>
    <w:rsid w:val="003E76A9"/>
    <w:rsid w:val="003F0809"/>
    <w:rsid w:val="003F1708"/>
    <w:rsid w:val="003F2429"/>
    <w:rsid w:val="003F2D83"/>
    <w:rsid w:val="003F3C65"/>
    <w:rsid w:val="003F437B"/>
    <w:rsid w:val="003F6A8C"/>
    <w:rsid w:val="003F6FA5"/>
    <w:rsid w:val="003F755C"/>
    <w:rsid w:val="00401030"/>
    <w:rsid w:val="00401F71"/>
    <w:rsid w:val="0040249F"/>
    <w:rsid w:val="00402805"/>
    <w:rsid w:val="00402BA5"/>
    <w:rsid w:val="004045DE"/>
    <w:rsid w:val="0040479E"/>
    <w:rsid w:val="00404F1E"/>
    <w:rsid w:val="00405B61"/>
    <w:rsid w:val="00406F01"/>
    <w:rsid w:val="004076FE"/>
    <w:rsid w:val="004077C5"/>
    <w:rsid w:val="004115C4"/>
    <w:rsid w:val="00413991"/>
    <w:rsid w:val="004158FB"/>
    <w:rsid w:val="00416BE2"/>
    <w:rsid w:val="00416D50"/>
    <w:rsid w:val="00416FD5"/>
    <w:rsid w:val="00417772"/>
    <w:rsid w:val="0042021B"/>
    <w:rsid w:val="00420E6A"/>
    <w:rsid w:val="004241E3"/>
    <w:rsid w:val="00424480"/>
    <w:rsid w:val="00425A9E"/>
    <w:rsid w:val="00426D6B"/>
    <w:rsid w:val="0043014F"/>
    <w:rsid w:val="00431697"/>
    <w:rsid w:val="00431E6C"/>
    <w:rsid w:val="00433CE7"/>
    <w:rsid w:val="004341D2"/>
    <w:rsid w:val="0043422D"/>
    <w:rsid w:val="00434BE8"/>
    <w:rsid w:val="00436815"/>
    <w:rsid w:val="0043740C"/>
    <w:rsid w:val="00440D21"/>
    <w:rsid w:val="00441DC7"/>
    <w:rsid w:val="00442398"/>
    <w:rsid w:val="00443AE0"/>
    <w:rsid w:val="00443DE0"/>
    <w:rsid w:val="00444053"/>
    <w:rsid w:val="00444096"/>
    <w:rsid w:val="0044539D"/>
    <w:rsid w:val="004473E0"/>
    <w:rsid w:val="0045188B"/>
    <w:rsid w:val="00452738"/>
    <w:rsid w:val="0045284A"/>
    <w:rsid w:val="00452D7C"/>
    <w:rsid w:val="004540E4"/>
    <w:rsid w:val="0045482F"/>
    <w:rsid w:val="00456091"/>
    <w:rsid w:val="0045684F"/>
    <w:rsid w:val="00460307"/>
    <w:rsid w:val="0046088C"/>
    <w:rsid w:val="00461E4C"/>
    <w:rsid w:val="00462A16"/>
    <w:rsid w:val="00463AD9"/>
    <w:rsid w:val="00463B34"/>
    <w:rsid w:val="00464C15"/>
    <w:rsid w:val="00465912"/>
    <w:rsid w:val="00466321"/>
    <w:rsid w:val="00466EA7"/>
    <w:rsid w:val="00467F2D"/>
    <w:rsid w:val="00470F42"/>
    <w:rsid w:val="0047328A"/>
    <w:rsid w:val="00474DF8"/>
    <w:rsid w:val="00475361"/>
    <w:rsid w:val="0047630A"/>
    <w:rsid w:val="00476F11"/>
    <w:rsid w:val="00480486"/>
    <w:rsid w:val="0048053E"/>
    <w:rsid w:val="004820E4"/>
    <w:rsid w:val="00483382"/>
    <w:rsid w:val="004845C1"/>
    <w:rsid w:val="00484B9B"/>
    <w:rsid w:val="004855F6"/>
    <w:rsid w:val="004865C7"/>
    <w:rsid w:val="0048661E"/>
    <w:rsid w:val="00486B9E"/>
    <w:rsid w:val="00486BEC"/>
    <w:rsid w:val="00486FDA"/>
    <w:rsid w:val="00491AA3"/>
    <w:rsid w:val="00492367"/>
    <w:rsid w:val="004929EB"/>
    <w:rsid w:val="00493B62"/>
    <w:rsid w:val="00494670"/>
    <w:rsid w:val="004971AB"/>
    <w:rsid w:val="0049768A"/>
    <w:rsid w:val="004A0BBD"/>
    <w:rsid w:val="004A16E0"/>
    <w:rsid w:val="004A1C4F"/>
    <w:rsid w:val="004A3823"/>
    <w:rsid w:val="004A4101"/>
    <w:rsid w:val="004A47FC"/>
    <w:rsid w:val="004A754B"/>
    <w:rsid w:val="004B21DE"/>
    <w:rsid w:val="004B2946"/>
    <w:rsid w:val="004B2A84"/>
    <w:rsid w:val="004B2FEE"/>
    <w:rsid w:val="004B3620"/>
    <w:rsid w:val="004B3C7C"/>
    <w:rsid w:val="004B3E99"/>
    <w:rsid w:val="004B6485"/>
    <w:rsid w:val="004B6A39"/>
    <w:rsid w:val="004B7D17"/>
    <w:rsid w:val="004C0D01"/>
    <w:rsid w:val="004C0D86"/>
    <w:rsid w:val="004C16A5"/>
    <w:rsid w:val="004C2253"/>
    <w:rsid w:val="004C2A53"/>
    <w:rsid w:val="004C2E0D"/>
    <w:rsid w:val="004C4823"/>
    <w:rsid w:val="004C495E"/>
    <w:rsid w:val="004C530B"/>
    <w:rsid w:val="004C57DE"/>
    <w:rsid w:val="004C75FC"/>
    <w:rsid w:val="004D0120"/>
    <w:rsid w:val="004D05CE"/>
    <w:rsid w:val="004D48E1"/>
    <w:rsid w:val="004D58F0"/>
    <w:rsid w:val="004D5B8D"/>
    <w:rsid w:val="004E3C4F"/>
    <w:rsid w:val="004E63AF"/>
    <w:rsid w:val="004E6946"/>
    <w:rsid w:val="004E72D1"/>
    <w:rsid w:val="004F1AD8"/>
    <w:rsid w:val="004F1B69"/>
    <w:rsid w:val="004F2527"/>
    <w:rsid w:val="004F26CC"/>
    <w:rsid w:val="004F3D3B"/>
    <w:rsid w:val="004F4EDC"/>
    <w:rsid w:val="004F679A"/>
    <w:rsid w:val="004F722A"/>
    <w:rsid w:val="004F77A8"/>
    <w:rsid w:val="005002FD"/>
    <w:rsid w:val="00500BC5"/>
    <w:rsid w:val="00502181"/>
    <w:rsid w:val="005027B2"/>
    <w:rsid w:val="00502908"/>
    <w:rsid w:val="005039CB"/>
    <w:rsid w:val="0050494B"/>
    <w:rsid w:val="00504D79"/>
    <w:rsid w:val="0050558F"/>
    <w:rsid w:val="00505A17"/>
    <w:rsid w:val="00506286"/>
    <w:rsid w:val="0050756D"/>
    <w:rsid w:val="0050771B"/>
    <w:rsid w:val="00510813"/>
    <w:rsid w:val="00511990"/>
    <w:rsid w:val="00511DE0"/>
    <w:rsid w:val="00513750"/>
    <w:rsid w:val="00514374"/>
    <w:rsid w:val="00514870"/>
    <w:rsid w:val="00514B9B"/>
    <w:rsid w:val="00514BFF"/>
    <w:rsid w:val="00515ABC"/>
    <w:rsid w:val="00515BB0"/>
    <w:rsid w:val="0051609F"/>
    <w:rsid w:val="005162EE"/>
    <w:rsid w:val="00517F02"/>
    <w:rsid w:val="00522A2A"/>
    <w:rsid w:val="00524303"/>
    <w:rsid w:val="005258A2"/>
    <w:rsid w:val="00525BA3"/>
    <w:rsid w:val="0052607B"/>
    <w:rsid w:val="00530641"/>
    <w:rsid w:val="0053158D"/>
    <w:rsid w:val="005320AC"/>
    <w:rsid w:val="005335C1"/>
    <w:rsid w:val="00533A78"/>
    <w:rsid w:val="005343A3"/>
    <w:rsid w:val="005365E0"/>
    <w:rsid w:val="0053780E"/>
    <w:rsid w:val="00537C0C"/>
    <w:rsid w:val="005401AE"/>
    <w:rsid w:val="005402AD"/>
    <w:rsid w:val="00540632"/>
    <w:rsid w:val="00541D28"/>
    <w:rsid w:val="0054229E"/>
    <w:rsid w:val="00542E07"/>
    <w:rsid w:val="005432C6"/>
    <w:rsid w:val="005434DE"/>
    <w:rsid w:val="0054473D"/>
    <w:rsid w:val="00544D09"/>
    <w:rsid w:val="00545424"/>
    <w:rsid w:val="0055280D"/>
    <w:rsid w:val="00553F47"/>
    <w:rsid w:val="00554A7B"/>
    <w:rsid w:val="0055572C"/>
    <w:rsid w:val="00556978"/>
    <w:rsid w:val="0056106A"/>
    <w:rsid w:val="0056122A"/>
    <w:rsid w:val="00562345"/>
    <w:rsid w:val="005632C4"/>
    <w:rsid w:val="00563F82"/>
    <w:rsid w:val="00564B87"/>
    <w:rsid w:val="00565205"/>
    <w:rsid w:val="00566CCF"/>
    <w:rsid w:val="00570955"/>
    <w:rsid w:val="00570FC3"/>
    <w:rsid w:val="005720AE"/>
    <w:rsid w:val="0057719E"/>
    <w:rsid w:val="00577599"/>
    <w:rsid w:val="00577B1C"/>
    <w:rsid w:val="00577BCD"/>
    <w:rsid w:val="00577C5C"/>
    <w:rsid w:val="00581423"/>
    <w:rsid w:val="00583494"/>
    <w:rsid w:val="00583523"/>
    <w:rsid w:val="00584544"/>
    <w:rsid w:val="00584C2A"/>
    <w:rsid w:val="00584E8C"/>
    <w:rsid w:val="00586A23"/>
    <w:rsid w:val="0059029A"/>
    <w:rsid w:val="005925A8"/>
    <w:rsid w:val="00593A09"/>
    <w:rsid w:val="00594AA3"/>
    <w:rsid w:val="00594D77"/>
    <w:rsid w:val="005955FD"/>
    <w:rsid w:val="0059575D"/>
    <w:rsid w:val="005969E4"/>
    <w:rsid w:val="005A06B7"/>
    <w:rsid w:val="005A1759"/>
    <w:rsid w:val="005A1B66"/>
    <w:rsid w:val="005A2EA9"/>
    <w:rsid w:val="005A4B01"/>
    <w:rsid w:val="005A595C"/>
    <w:rsid w:val="005A68A7"/>
    <w:rsid w:val="005A6CA1"/>
    <w:rsid w:val="005A6F63"/>
    <w:rsid w:val="005B19D5"/>
    <w:rsid w:val="005B257C"/>
    <w:rsid w:val="005B2F57"/>
    <w:rsid w:val="005B409B"/>
    <w:rsid w:val="005B49ED"/>
    <w:rsid w:val="005B55B2"/>
    <w:rsid w:val="005B7076"/>
    <w:rsid w:val="005B78CC"/>
    <w:rsid w:val="005B7AD2"/>
    <w:rsid w:val="005C021D"/>
    <w:rsid w:val="005C35FA"/>
    <w:rsid w:val="005C3774"/>
    <w:rsid w:val="005C384D"/>
    <w:rsid w:val="005C510B"/>
    <w:rsid w:val="005C5511"/>
    <w:rsid w:val="005C6A5C"/>
    <w:rsid w:val="005C7376"/>
    <w:rsid w:val="005C7C12"/>
    <w:rsid w:val="005D0BBE"/>
    <w:rsid w:val="005D2BA7"/>
    <w:rsid w:val="005D36AB"/>
    <w:rsid w:val="005D3CE6"/>
    <w:rsid w:val="005D4319"/>
    <w:rsid w:val="005D61B3"/>
    <w:rsid w:val="005D7BC7"/>
    <w:rsid w:val="005E0A68"/>
    <w:rsid w:val="005E1153"/>
    <w:rsid w:val="005E1A1A"/>
    <w:rsid w:val="005E1BB4"/>
    <w:rsid w:val="005E33EB"/>
    <w:rsid w:val="005E40D0"/>
    <w:rsid w:val="005E47FE"/>
    <w:rsid w:val="005E6FEF"/>
    <w:rsid w:val="005E764E"/>
    <w:rsid w:val="005E79EA"/>
    <w:rsid w:val="005E7C93"/>
    <w:rsid w:val="005F0813"/>
    <w:rsid w:val="005F0A3B"/>
    <w:rsid w:val="005F21AF"/>
    <w:rsid w:val="005F267A"/>
    <w:rsid w:val="005F31E6"/>
    <w:rsid w:val="005F5741"/>
    <w:rsid w:val="005F59CE"/>
    <w:rsid w:val="005F613E"/>
    <w:rsid w:val="005F6B4E"/>
    <w:rsid w:val="0060135F"/>
    <w:rsid w:val="00604E11"/>
    <w:rsid w:val="0060741B"/>
    <w:rsid w:val="00607470"/>
    <w:rsid w:val="00610402"/>
    <w:rsid w:val="00612450"/>
    <w:rsid w:val="006128E5"/>
    <w:rsid w:val="0061410A"/>
    <w:rsid w:val="00614ABB"/>
    <w:rsid w:val="00614D18"/>
    <w:rsid w:val="00617CC3"/>
    <w:rsid w:val="006200B0"/>
    <w:rsid w:val="006211AD"/>
    <w:rsid w:val="00621F6E"/>
    <w:rsid w:val="00622B66"/>
    <w:rsid w:val="00622ED7"/>
    <w:rsid w:val="00623B1A"/>
    <w:rsid w:val="00625045"/>
    <w:rsid w:val="006252E1"/>
    <w:rsid w:val="00625ABD"/>
    <w:rsid w:val="00626189"/>
    <w:rsid w:val="006262FE"/>
    <w:rsid w:val="00626CDB"/>
    <w:rsid w:val="00630ED3"/>
    <w:rsid w:val="00631F98"/>
    <w:rsid w:val="00633146"/>
    <w:rsid w:val="00633605"/>
    <w:rsid w:val="006342B0"/>
    <w:rsid w:val="00634D09"/>
    <w:rsid w:val="00634EF3"/>
    <w:rsid w:val="00635AE1"/>
    <w:rsid w:val="00635D93"/>
    <w:rsid w:val="00636CFC"/>
    <w:rsid w:val="006377A6"/>
    <w:rsid w:val="00637A31"/>
    <w:rsid w:val="00637A3D"/>
    <w:rsid w:val="00637B94"/>
    <w:rsid w:val="00637FD6"/>
    <w:rsid w:val="006411EF"/>
    <w:rsid w:val="006411FE"/>
    <w:rsid w:val="006455CE"/>
    <w:rsid w:val="00645679"/>
    <w:rsid w:val="006469EC"/>
    <w:rsid w:val="00646AD3"/>
    <w:rsid w:val="006502FC"/>
    <w:rsid w:val="00650B79"/>
    <w:rsid w:val="006510DD"/>
    <w:rsid w:val="006534FB"/>
    <w:rsid w:val="00653992"/>
    <w:rsid w:val="00656837"/>
    <w:rsid w:val="00657994"/>
    <w:rsid w:val="00657CB7"/>
    <w:rsid w:val="00660719"/>
    <w:rsid w:val="00661B16"/>
    <w:rsid w:val="00665246"/>
    <w:rsid w:val="00667AAB"/>
    <w:rsid w:val="00671236"/>
    <w:rsid w:val="00671D7A"/>
    <w:rsid w:val="0067291A"/>
    <w:rsid w:val="006748B8"/>
    <w:rsid w:val="00676457"/>
    <w:rsid w:val="006775C3"/>
    <w:rsid w:val="00680E3E"/>
    <w:rsid w:val="00681299"/>
    <w:rsid w:val="00681C20"/>
    <w:rsid w:val="0068370B"/>
    <w:rsid w:val="00683B36"/>
    <w:rsid w:val="00683F03"/>
    <w:rsid w:val="0068453C"/>
    <w:rsid w:val="00684670"/>
    <w:rsid w:val="00684AF3"/>
    <w:rsid w:val="00684B73"/>
    <w:rsid w:val="00686D39"/>
    <w:rsid w:val="00690C2F"/>
    <w:rsid w:val="0069123A"/>
    <w:rsid w:val="006923A6"/>
    <w:rsid w:val="0069290A"/>
    <w:rsid w:val="00692FC1"/>
    <w:rsid w:val="006938E5"/>
    <w:rsid w:val="00695B08"/>
    <w:rsid w:val="00696FAC"/>
    <w:rsid w:val="0069775A"/>
    <w:rsid w:val="00697813"/>
    <w:rsid w:val="00697ECF"/>
    <w:rsid w:val="006A0486"/>
    <w:rsid w:val="006A04AF"/>
    <w:rsid w:val="006A086C"/>
    <w:rsid w:val="006A0BC8"/>
    <w:rsid w:val="006A1CE2"/>
    <w:rsid w:val="006A2E09"/>
    <w:rsid w:val="006A3BF9"/>
    <w:rsid w:val="006A3EE8"/>
    <w:rsid w:val="006A40F2"/>
    <w:rsid w:val="006A49CD"/>
    <w:rsid w:val="006A4B71"/>
    <w:rsid w:val="006A5612"/>
    <w:rsid w:val="006A5B77"/>
    <w:rsid w:val="006A5E13"/>
    <w:rsid w:val="006A72BF"/>
    <w:rsid w:val="006A7832"/>
    <w:rsid w:val="006A7B91"/>
    <w:rsid w:val="006B03F2"/>
    <w:rsid w:val="006B0B49"/>
    <w:rsid w:val="006B0FEF"/>
    <w:rsid w:val="006B2E62"/>
    <w:rsid w:val="006B37DC"/>
    <w:rsid w:val="006B3B27"/>
    <w:rsid w:val="006B4297"/>
    <w:rsid w:val="006B4D54"/>
    <w:rsid w:val="006B4F68"/>
    <w:rsid w:val="006B7AF5"/>
    <w:rsid w:val="006C0592"/>
    <w:rsid w:val="006C272E"/>
    <w:rsid w:val="006C2CE2"/>
    <w:rsid w:val="006C2FA9"/>
    <w:rsid w:val="006C30D9"/>
    <w:rsid w:val="006C354E"/>
    <w:rsid w:val="006C5479"/>
    <w:rsid w:val="006C570A"/>
    <w:rsid w:val="006C5CA4"/>
    <w:rsid w:val="006C5D8E"/>
    <w:rsid w:val="006C6683"/>
    <w:rsid w:val="006C70B0"/>
    <w:rsid w:val="006C7566"/>
    <w:rsid w:val="006C7D5D"/>
    <w:rsid w:val="006D002D"/>
    <w:rsid w:val="006D0898"/>
    <w:rsid w:val="006D13B5"/>
    <w:rsid w:val="006D269B"/>
    <w:rsid w:val="006D26BE"/>
    <w:rsid w:val="006D2C48"/>
    <w:rsid w:val="006D3584"/>
    <w:rsid w:val="006D5AA1"/>
    <w:rsid w:val="006E12FF"/>
    <w:rsid w:val="006E1F1F"/>
    <w:rsid w:val="006E34EF"/>
    <w:rsid w:val="006E401E"/>
    <w:rsid w:val="006E465E"/>
    <w:rsid w:val="006E48EF"/>
    <w:rsid w:val="006E49E6"/>
    <w:rsid w:val="006E4BDF"/>
    <w:rsid w:val="006E5177"/>
    <w:rsid w:val="006E5462"/>
    <w:rsid w:val="006E607E"/>
    <w:rsid w:val="006E6A67"/>
    <w:rsid w:val="006E7C97"/>
    <w:rsid w:val="006F08CD"/>
    <w:rsid w:val="006F15F3"/>
    <w:rsid w:val="006F19F0"/>
    <w:rsid w:val="006F2212"/>
    <w:rsid w:val="006F3FEE"/>
    <w:rsid w:val="006F4104"/>
    <w:rsid w:val="006F42DB"/>
    <w:rsid w:val="006F47B3"/>
    <w:rsid w:val="006F52B1"/>
    <w:rsid w:val="006F537E"/>
    <w:rsid w:val="006F5CB3"/>
    <w:rsid w:val="006F71B2"/>
    <w:rsid w:val="007008D0"/>
    <w:rsid w:val="0070433A"/>
    <w:rsid w:val="007059D6"/>
    <w:rsid w:val="00706893"/>
    <w:rsid w:val="00706C5D"/>
    <w:rsid w:val="00707E75"/>
    <w:rsid w:val="007109FA"/>
    <w:rsid w:val="00711689"/>
    <w:rsid w:val="00712F19"/>
    <w:rsid w:val="00716FBD"/>
    <w:rsid w:val="00717B1B"/>
    <w:rsid w:val="00724EAF"/>
    <w:rsid w:val="007255AA"/>
    <w:rsid w:val="00725780"/>
    <w:rsid w:val="00726AF5"/>
    <w:rsid w:val="00727BBD"/>
    <w:rsid w:val="00730E41"/>
    <w:rsid w:val="00732053"/>
    <w:rsid w:val="007325F0"/>
    <w:rsid w:val="00732922"/>
    <w:rsid w:val="00734BC4"/>
    <w:rsid w:val="00736890"/>
    <w:rsid w:val="00737E69"/>
    <w:rsid w:val="0074068F"/>
    <w:rsid w:val="00741408"/>
    <w:rsid w:val="007429C9"/>
    <w:rsid w:val="00744F66"/>
    <w:rsid w:val="0074583D"/>
    <w:rsid w:val="00745E55"/>
    <w:rsid w:val="00747784"/>
    <w:rsid w:val="007502C4"/>
    <w:rsid w:val="00750456"/>
    <w:rsid w:val="007505E5"/>
    <w:rsid w:val="00751264"/>
    <w:rsid w:val="0075162E"/>
    <w:rsid w:val="00752A55"/>
    <w:rsid w:val="007538E9"/>
    <w:rsid w:val="00753D28"/>
    <w:rsid w:val="00754034"/>
    <w:rsid w:val="0075435E"/>
    <w:rsid w:val="007550BD"/>
    <w:rsid w:val="00755371"/>
    <w:rsid w:val="0075642B"/>
    <w:rsid w:val="00756556"/>
    <w:rsid w:val="00756809"/>
    <w:rsid w:val="0075730C"/>
    <w:rsid w:val="007601D2"/>
    <w:rsid w:val="007618C4"/>
    <w:rsid w:val="00761F8A"/>
    <w:rsid w:val="00764CB0"/>
    <w:rsid w:val="00766A22"/>
    <w:rsid w:val="00767980"/>
    <w:rsid w:val="0077094A"/>
    <w:rsid w:val="00770B19"/>
    <w:rsid w:val="007725C5"/>
    <w:rsid w:val="0077463F"/>
    <w:rsid w:val="00774AF5"/>
    <w:rsid w:val="00777F78"/>
    <w:rsid w:val="00780245"/>
    <w:rsid w:val="00781854"/>
    <w:rsid w:val="00781AFA"/>
    <w:rsid w:val="007836EA"/>
    <w:rsid w:val="00783E56"/>
    <w:rsid w:val="00784094"/>
    <w:rsid w:val="00784095"/>
    <w:rsid w:val="00784A96"/>
    <w:rsid w:val="00784CDA"/>
    <w:rsid w:val="00784ED4"/>
    <w:rsid w:val="007853DE"/>
    <w:rsid w:val="00785DFE"/>
    <w:rsid w:val="007906C4"/>
    <w:rsid w:val="00790C5B"/>
    <w:rsid w:val="00792AA0"/>
    <w:rsid w:val="00792BD0"/>
    <w:rsid w:val="00792F1A"/>
    <w:rsid w:val="00793318"/>
    <w:rsid w:val="007940EA"/>
    <w:rsid w:val="0079646B"/>
    <w:rsid w:val="007967E8"/>
    <w:rsid w:val="00796A39"/>
    <w:rsid w:val="00796E6A"/>
    <w:rsid w:val="007A1FFA"/>
    <w:rsid w:val="007A2170"/>
    <w:rsid w:val="007A22BF"/>
    <w:rsid w:val="007A3323"/>
    <w:rsid w:val="007A5951"/>
    <w:rsid w:val="007A5F7C"/>
    <w:rsid w:val="007A7EF0"/>
    <w:rsid w:val="007B126E"/>
    <w:rsid w:val="007B1B8F"/>
    <w:rsid w:val="007B3E82"/>
    <w:rsid w:val="007B47D6"/>
    <w:rsid w:val="007B720A"/>
    <w:rsid w:val="007B72B8"/>
    <w:rsid w:val="007B7A58"/>
    <w:rsid w:val="007C0F1F"/>
    <w:rsid w:val="007C21B5"/>
    <w:rsid w:val="007C229B"/>
    <w:rsid w:val="007C2DF9"/>
    <w:rsid w:val="007C31FD"/>
    <w:rsid w:val="007C51AC"/>
    <w:rsid w:val="007C539B"/>
    <w:rsid w:val="007C6D6F"/>
    <w:rsid w:val="007C773C"/>
    <w:rsid w:val="007D0085"/>
    <w:rsid w:val="007D05EE"/>
    <w:rsid w:val="007D2E88"/>
    <w:rsid w:val="007D4CCD"/>
    <w:rsid w:val="007D5116"/>
    <w:rsid w:val="007D545D"/>
    <w:rsid w:val="007D57A9"/>
    <w:rsid w:val="007D5EBF"/>
    <w:rsid w:val="007D6A15"/>
    <w:rsid w:val="007D7890"/>
    <w:rsid w:val="007E004E"/>
    <w:rsid w:val="007E2CEC"/>
    <w:rsid w:val="007E35B2"/>
    <w:rsid w:val="007E41A2"/>
    <w:rsid w:val="007E4BD2"/>
    <w:rsid w:val="007E5E54"/>
    <w:rsid w:val="007E60D3"/>
    <w:rsid w:val="007E60F9"/>
    <w:rsid w:val="007E6471"/>
    <w:rsid w:val="007E6D1C"/>
    <w:rsid w:val="007E74CC"/>
    <w:rsid w:val="007E7850"/>
    <w:rsid w:val="007F03E5"/>
    <w:rsid w:val="007F08B6"/>
    <w:rsid w:val="007F1878"/>
    <w:rsid w:val="007F418B"/>
    <w:rsid w:val="007F4CD5"/>
    <w:rsid w:val="007F5EB9"/>
    <w:rsid w:val="007F6503"/>
    <w:rsid w:val="00801393"/>
    <w:rsid w:val="008013CE"/>
    <w:rsid w:val="008028FC"/>
    <w:rsid w:val="00802F88"/>
    <w:rsid w:val="008037A2"/>
    <w:rsid w:val="008049CA"/>
    <w:rsid w:val="0080503A"/>
    <w:rsid w:val="008055B4"/>
    <w:rsid w:val="00807076"/>
    <w:rsid w:val="00807962"/>
    <w:rsid w:val="00807AED"/>
    <w:rsid w:val="00807DB3"/>
    <w:rsid w:val="00810038"/>
    <w:rsid w:val="00810A47"/>
    <w:rsid w:val="008120D7"/>
    <w:rsid w:val="00812426"/>
    <w:rsid w:val="0081293E"/>
    <w:rsid w:val="008136FE"/>
    <w:rsid w:val="00815465"/>
    <w:rsid w:val="00815FDC"/>
    <w:rsid w:val="00816317"/>
    <w:rsid w:val="00816955"/>
    <w:rsid w:val="00817E9A"/>
    <w:rsid w:val="00821384"/>
    <w:rsid w:val="00825A7A"/>
    <w:rsid w:val="0082727A"/>
    <w:rsid w:val="00827E97"/>
    <w:rsid w:val="008306BD"/>
    <w:rsid w:val="0083093D"/>
    <w:rsid w:val="0083160A"/>
    <w:rsid w:val="00831A80"/>
    <w:rsid w:val="00831D85"/>
    <w:rsid w:val="008325C1"/>
    <w:rsid w:val="00832C69"/>
    <w:rsid w:val="00832F7B"/>
    <w:rsid w:val="008332C5"/>
    <w:rsid w:val="00833743"/>
    <w:rsid w:val="00833C7B"/>
    <w:rsid w:val="008340A4"/>
    <w:rsid w:val="0083474F"/>
    <w:rsid w:val="008358A5"/>
    <w:rsid w:val="00837FB4"/>
    <w:rsid w:val="0084002A"/>
    <w:rsid w:val="0084143F"/>
    <w:rsid w:val="00841D71"/>
    <w:rsid w:val="008432A4"/>
    <w:rsid w:val="00843E68"/>
    <w:rsid w:val="008449CE"/>
    <w:rsid w:val="008453D2"/>
    <w:rsid w:val="00845B93"/>
    <w:rsid w:val="00846272"/>
    <w:rsid w:val="00847165"/>
    <w:rsid w:val="00847A8E"/>
    <w:rsid w:val="00847CE9"/>
    <w:rsid w:val="00850594"/>
    <w:rsid w:val="00851D86"/>
    <w:rsid w:val="00852391"/>
    <w:rsid w:val="00852627"/>
    <w:rsid w:val="00854CC1"/>
    <w:rsid w:val="00854EB9"/>
    <w:rsid w:val="00855162"/>
    <w:rsid w:val="00855A6D"/>
    <w:rsid w:val="00855A77"/>
    <w:rsid w:val="00855F46"/>
    <w:rsid w:val="00856976"/>
    <w:rsid w:val="0085721E"/>
    <w:rsid w:val="0086045A"/>
    <w:rsid w:val="008616EA"/>
    <w:rsid w:val="00864541"/>
    <w:rsid w:val="00865407"/>
    <w:rsid w:val="00867B43"/>
    <w:rsid w:val="00867B7D"/>
    <w:rsid w:val="00867D60"/>
    <w:rsid w:val="0087001D"/>
    <w:rsid w:val="0087135F"/>
    <w:rsid w:val="00872ADF"/>
    <w:rsid w:val="00872D94"/>
    <w:rsid w:val="00874839"/>
    <w:rsid w:val="00874AE7"/>
    <w:rsid w:val="00875DEA"/>
    <w:rsid w:val="00876E9D"/>
    <w:rsid w:val="00877632"/>
    <w:rsid w:val="0087775B"/>
    <w:rsid w:val="00880364"/>
    <w:rsid w:val="0088136E"/>
    <w:rsid w:val="00884D79"/>
    <w:rsid w:val="008851DC"/>
    <w:rsid w:val="0088532C"/>
    <w:rsid w:val="00886AA7"/>
    <w:rsid w:val="00886EF0"/>
    <w:rsid w:val="00887847"/>
    <w:rsid w:val="00891215"/>
    <w:rsid w:val="00891592"/>
    <w:rsid w:val="00891E9E"/>
    <w:rsid w:val="00891FE4"/>
    <w:rsid w:val="00892D07"/>
    <w:rsid w:val="008A2762"/>
    <w:rsid w:val="008A2F68"/>
    <w:rsid w:val="008A3516"/>
    <w:rsid w:val="008A6598"/>
    <w:rsid w:val="008A6758"/>
    <w:rsid w:val="008A7647"/>
    <w:rsid w:val="008A7E1E"/>
    <w:rsid w:val="008B02D8"/>
    <w:rsid w:val="008B0367"/>
    <w:rsid w:val="008B0BB0"/>
    <w:rsid w:val="008B1D9B"/>
    <w:rsid w:val="008B23BE"/>
    <w:rsid w:val="008B2856"/>
    <w:rsid w:val="008B4FA6"/>
    <w:rsid w:val="008B5282"/>
    <w:rsid w:val="008B71DA"/>
    <w:rsid w:val="008B7C17"/>
    <w:rsid w:val="008C0341"/>
    <w:rsid w:val="008C18AD"/>
    <w:rsid w:val="008C1EE7"/>
    <w:rsid w:val="008C2D01"/>
    <w:rsid w:val="008C3D5B"/>
    <w:rsid w:val="008C40E6"/>
    <w:rsid w:val="008C562E"/>
    <w:rsid w:val="008C6D83"/>
    <w:rsid w:val="008D0F7A"/>
    <w:rsid w:val="008D2A87"/>
    <w:rsid w:val="008D399C"/>
    <w:rsid w:val="008D5255"/>
    <w:rsid w:val="008D5B8B"/>
    <w:rsid w:val="008D68E4"/>
    <w:rsid w:val="008D7F4D"/>
    <w:rsid w:val="008E0506"/>
    <w:rsid w:val="008E0CFF"/>
    <w:rsid w:val="008E208F"/>
    <w:rsid w:val="008E4AF9"/>
    <w:rsid w:val="008E5D6B"/>
    <w:rsid w:val="008E76F0"/>
    <w:rsid w:val="008F15FE"/>
    <w:rsid w:val="008F1FB3"/>
    <w:rsid w:val="008F2D29"/>
    <w:rsid w:val="008F379E"/>
    <w:rsid w:val="008F3F76"/>
    <w:rsid w:val="008F40BA"/>
    <w:rsid w:val="008F4393"/>
    <w:rsid w:val="008F5187"/>
    <w:rsid w:val="008F57CE"/>
    <w:rsid w:val="008F5F38"/>
    <w:rsid w:val="008F5FD3"/>
    <w:rsid w:val="008F60D8"/>
    <w:rsid w:val="00900BEF"/>
    <w:rsid w:val="00900C23"/>
    <w:rsid w:val="00902727"/>
    <w:rsid w:val="0090312B"/>
    <w:rsid w:val="00904EE2"/>
    <w:rsid w:val="009055AA"/>
    <w:rsid w:val="00906F63"/>
    <w:rsid w:val="009110A5"/>
    <w:rsid w:val="00911399"/>
    <w:rsid w:val="009139A1"/>
    <w:rsid w:val="00913DAA"/>
    <w:rsid w:val="00915A91"/>
    <w:rsid w:val="0091642E"/>
    <w:rsid w:val="0091736D"/>
    <w:rsid w:val="00920567"/>
    <w:rsid w:val="00922CE5"/>
    <w:rsid w:val="00924147"/>
    <w:rsid w:val="00927648"/>
    <w:rsid w:val="0093037A"/>
    <w:rsid w:val="00931C81"/>
    <w:rsid w:val="009320F0"/>
    <w:rsid w:val="009332D3"/>
    <w:rsid w:val="00936AEA"/>
    <w:rsid w:val="00937126"/>
    <w:rsid w:val="00937AD2"/>
    <w:rsid w:val="00937D9B"/>
    <w:rsid w:val="00940283"/>
    <w:rsid w:val="00940A5A"/>
    <w:rsid w:val="00940E05"/>
    <w:rsid w:val="0094154D"/>
    <w:rsid w:val="00944045"/>
    <w:rsid w:val="00944759"/>
    <w:rsid w:val="0094517E"/>
    <w:rsid w:val="0094534C"/>
    <w:rsid w:val="009509C6"/>
    <w:rsid w:val="00951324"/>
    <w:rsid w:val="0095155F"/>
    <w:rsid w:val="009528F1"/>
    <w:rsid w:val="00953C65"/>
    <w:rsid w:val="00954429"/>
    <w:rsid w:val="009544FA"/>
    <w:rsid w:val="00954FF5"/>
    <w:rsid w:val="009563CE"/>
    <w:rsid w:val="0096034D"/>
    <w:rsid w:val="009603E4"/>
    <w:rsid w:val="00961B92"/>
    <w:rsid w:val="00961E11"/>
    <w:rsid w:val="0096273A"/>
    <w:rsid w:val="00962A22"/>
    <w:rsid w:val="00965C54"/>
    <w:rsid w:val="00967377"/>
    <w:rsid w:val="0097018B"/>
    <w:rsid w:val="00971719"/>
    <w:rsid w:val="00973B9C"/>
    <w:rsid w:val="00974B07"/>
    <w:rsid w:val="00975031"/>
    <w:rsid w:val="00975D33"/>
    <w:rsid w:val="00976328"/>
    <w:rsid w:val="0097680D"/>
    <w:rsid w:val="00980498"/>
    <w:rsid w:val="0098157A"/>
    <w:rsid w:val="00981FAC"/>
    <w:rsid w:val="00982144"/>
    <w:rsid w:val="00982438"/>
    <w:rsid w:val="00982BC2"/>
    <w:rsid w:val="0098404C"/>
    <w:rsid w:val="00984BA2"/>
    <w:rsid w:val="00985250"/>
    <w:rsid w:val="00985283"/>
    <w:rsid w:val="009853C5"/>
    <w:rsid w:val="009877F4"/>
    <w:rsid w:val="00987D5C"/>
    <w:rsid w:val="009908DB"/>
    <w:rsid w:val="00990CB3"/>
    <w:rsid w:val="00991452"/>
    <w:rsid w:val="0099167B"/>
    <w:rsid w:val="00991A94"/>
    <w:rsid w:val="00991F1B"/>
    <w:rsid w:val="00992009"/>
    <w:rsid w:val="009947F0"/>
    <w:rsid w:val="009951AE"/>
    <w:rsid w:val="00995992"/>
    <w:rsid w:val="00997035"/>
    <w:rsid w:val="00997E96"/>
    <w:rsid w:val="009A03E5"/>
    <w:rsid w:val="009A05E4"/>
    <w:rsid w:val="009A0867"/>
    <w:rsid w:val="009A0E2E"/>
    <w:rsid w:val="009A0F3B"/>
    <w:rsid w:val="009A1665"/>
    <w:rsid w:val="009A1789"/>
    <w:rsid w:val="009A1BB4"/>
    <w:rsid w:val="009A2628"/>
    <w:rsid w:val="009A294A"/>
    <w:rsid w:val="009A3200"/>
    <w:rsid w:val="009A5643"/>
    <w:rsid w:val="009A61BD"/>
    <w:rsid w:val="009A708D"/>
    <w:rsid w:val="009B06AC"/>
    <w:rsid w:val="009B0897"/>
    <w:rsid w:val="009B371C"/>
    <w:rsid w:val="009B61CC"/>
    <w:rsid w:val="009B6EBB"/>
    <w:rsid w:val="009B76A2"/>
    <w:rsid w:val="009B7826"/>
    <w:rsid w:val="009B7BD9"/>
    <w:rsid w:val="009B7C87"/>
    <w:rsid w:val="009B7FB1"/>
    <w:rsid w:val="009B7FE3"/>
    <w:rsid w:val="009C64E2"/>
    <w:rsid w:val="009C74CE"/>
    <w:rsid w:val="009C7D9C"/>
    <w:rsid w:val="009C7DD5"/>
    <w:rsid w:val="009D106F"/>
    <w:rsid w:val="009D23F4"/>
    <w:rsid w:val="009D2DC6"/>
    <w:rsid w:val="009D5C48"/>
    <w:rsid w:val="009D69F8"/>
    <w:rsid w:val="009D7F98"/>
    <w:rsid w:val="009E227D"/>
    <w:rsid w:val="009E3103"/>
    <w:rsid w:val="009E3EBD"/>
    <w:rsid w:val="009E44C7"/>
    <w:rsid w:val="009E46B8"/>
    <w:rsid w:val="009E5019"/>
    <w:rsid w:val="009F0507"/>
    <w:rsid w:val="009F0E3E"/>
    <w:rsid w:val="009F26F5"/>
    <w:rsid w:val="009F2834"/>
    <w:rsid w:val="009F4431"/>
    <w:rsid w:val="009F4E2A"/>
    <w:rsid w:val="009F585C"/>
    <w:rsid w:val="009F5BA7"/>
    <w:rsid w:val="009F648D"/>
    <w:rsid w:val="009F6B3A"/>
    <w:rsid w:val="00A02F34"/>
    <w:rsid w:val="00A04B5B"/>
    <w:rsid w:val="00A04F1B"/>
    <w:rsid w:val="00A0501B"/>
    <w:rsid w:val="00A05A19"/>
    <w:rsid w:val="00A07884"/>
    <w:rsid w:val="00A11E73"/>
    <w:rsid w:val="00A12049"/>
    <w:rsid w:val="00A1292E"/>
    <w:rsid w:val="00A13097"/>
    <w:rsid w:val="00A14947"/>
    <w:rsid w:val="00A16153"/>
    <w:rsid w:val="00A1639B"/>
    <w:rsid w:val="00A20B7E"/>
    <w:rsid w:val="00A21471"/>
    <w:rsid w:val="00A242EE"/>
    <w:rsid w:val="00A24A0D"/>
    <w:rsid w:val="00A2713D"/>
    <w:rsid w:val="00A303D2"/>
    <w:rsid w:val="00A3246B"/>
    <w:rsid w:val="00A32A83"/>
    <w:rsid w:val="00A3441C"/>
    <w:rsid w:val="00A34BB5"/>
    <w:rsid w:val="00A35750"/>
    <w:rsid w:val="00A35D4F"/>
    <w:rsid w:val="00A36082"/>
    <w:rsid w:val="00A366E3"/>
    <w:rsid w:val="00A368DB"/>
    <w:rsid w:val="00A378FA"/>
    <w:rsid w:val="00A41A59"/>
    <w:rsid w:val="00A423AA"/>
    <w:rsid w:val="00A42D43"/>
    <w:rsid w:val="00A4441A"/>
    <w:rsid w:val="00A4546D"/>
    <w:rsid w:val="00A45CE6"/>
    <w:rsid w:val="00A46CEF"/>
    <w:rsid w:val="00A47F59"/>
    <w:rsid w:val="00A507CF"/>
    <w:rsid w:val="00A50D90"/>
    <w:rsid w:val="00A5149C"/>
    <w:rsid w:val="00A51BB7"/>
    <w:rsid w:val="00A52988"/>
    <w:rsid w:val="00A52CB2"/>
    <w:rsid w:val="00A53EC6"/>
    <w:rsid w:val="00A54019"/>
    <w:rsid w:val="00A546D5"/>
    <w:rsid w:val="00A55C0F"/>
    <w:rsid w:val="00A561AE"/>
    <w:rsid w:val="00A56FB7"/>
    <w:rsid w:val="00A5736E"/>
    <w:rsid w:val="00A57472"/>
    <w:rsid w:val="00A6028B"/>
    <w:rsid w:val="00A60585"/>
    <w:rsid w:val="00A62CB1"/>
    <w:rsid w:val="00A645E3"/>
    <w:rsid w:val="00A65078"/>
    <w:rsid w:val="00A664D6"/>
    <w:rsid w:val="00A679ED"/>
    <w:rsid w:val="00A67A82"/>
    <w:rsid w:val="00A70D44"/>
    <w:rsid w:val="00A7111D"/>
    <w:rsid w:val="00A72ACB"/>
    <w:rsid w:val="00A739C1"/>
    <w:rsid w:val="00A749BE"/>
    <w:rsid w:val="00A75B14"/>
    <w:rsid w:val="00A76980"/>
    <w:rsid w:val="00A77BC3"/>
    <w:rsid w:val="00A8147B"/>
    <w:rsid w:val="00A814E5"/>
    <w:rsid w:val="00A81B3D"/>
    <w:rsid w:val="00A824C8"/>
    <w:rsid w:val="00A82A7C"/>
    <w:rsid w:val="00A830C2"/>
    <w:rsid w:val="00A85C2E"/>
    <w:rsid w:val="00A86F89"/>
    <w:rsid w:val="00A8713F"/>
    <w:rsid w:val="00A90945"/>
    <w:rsid w:val="00A90BA1"/>
    <w:rsid w:val="00A92DA8"/>
    <w:rsid w:val="00A9340F"/>
    <w:rsid w:val="00A9399C"/>
    <w:rsid w:val="00A94CD7"/>
    <w:rsid w:val="00A94EEB"/>
    <w:rsid w:val="00A966B6"/>
    <w:rsid w:val="00A96D8C"/>
    <w:rsid w:val="00A972FB"/>
    <w:rsid w:val="00A97A9A"/>
    <w:rsid w:val="00AA001B"/>
    <w:rsid w:val="00AA0671"/>
    <w:rsid w:val="00AA2012"/>
    <w:rsid w:val="00AA2531"/>
    <w:rsid w:val="00AA2A4C"/>
    <w:rsid w:val="00AA6619"/>
    <w:rsid w:val="00AA7469"/>
    <w:rsid w:val="00AB135C"/>
    <w:rsid w:val="00AB191F"/>
    <w:rsid w:val="00AB1E09"/>
    <w:rsid w:val="00AB268E"/>
    <w:rsid w:val="00AB408C"/>
    <w:rsid w:val="00AB5330"/>
    <w:rsid w:val="00AB7747"/>
    <w:rsid w:val="00AC09C9"/>
    <w:rsid w:val="00AC14CE"/>
    <w:rsid w:val="00AC14EE"/>
    <w:rsid w:val="00AC2925"/>
    <w:rsid w:val="00AC2A56"/>
    <w:rsid w:val="00AC3451"/>
    <w:rsid w:val="00AC6190"/>
    <w:rsid w:val="00AD055E"/>
    <w:rsid w:val="00AD0C7F"/>
    <w:rsid w:val="00AD0FAC"/>
    <w:rsid w:val="00AD283A"/>
    <w:rsid w:val="00AD2C36"/>
    <w:rsid w:val="00AD47A7"/>
    <w:rsid w:val="00AD7954"/>
    <w:rsid w:val="00AD7FE9"/>
    <w:rsid w:val="00AE14A5"/>
    <w:rsid w:val="00AE1E83"/>
    <w:rsid w:val="00AE23EB"/>
    <w:rsid w:val="00AE2E67"/>
    <w:rsid w:val="00AE3446"/>
    <w:rsid w:val="00AE3562"/>
    <w:rsid w:val="00AE495A"/>
    <w:rsid w:val="00AE513C"/>
    <w:rsid w:val="00AE536E"/>
    <w:rsid w:val="00AE7786"/>
    <w:rsid w:val="00AE780E"/>
    <w:rsid w:val="00AF0CBF"/>
    <w:rsid w:val="00AF16AF"/>
    <w:rsid w:val="00AF17DE"/>
    <w:rsid w:val="00AF180F"/>
    <w:rsid w:val="00AF257F"/>
    <w:rsid w:val="00AF33CF"/>
    <w:rsid w:val="00AF3E77"/>
    <w:rsid w:val="00AF4D50"/>
    <w:rsid w:val="00AF6179"/>
    <w:rsid w:val="00AF73E6"/>
    <w:rsid w:val="00AF79D5"/>
    <w:rsid w:val="00B02C89"/>
    <w:rsid w:val="00B0536F"/>
    <w:rsid w:val="00B05DB6"/>
    <w:rsid w:val="00B079D9"/>
    <w:rsid w:val="00B07A5B"/>
    <w:rsid w:val="00B114BA"/>
    <w:rsid w:val="00B11991"/>
    <w:rsid w:val="00B11C24"/>
    <w:rsid w:val="00B120C5"/>
    <w:rsid w:val="00B1288D"/>
    <w:rsid w:val="00B1295A"/>
    <w:rsid w:val="00B154DE"/>
    <w:rsid w:val="00B17544"/>
    <w:rsid w:val="00B17A99"/>
    <w:rsid w:val="00B20518"/>
    <w:rsid w:val="00B20A45"/>
    <w:rsid w:val="00B21662"/>
    <w:rsid w:val="00B22730"/>
    <w:rsid w:val="00B22B08"/>
    <w:rsid w:val="00B22C5C"/>
    <w:rsid w:val="00B22C63"/>
    <w:rsid w:val="00B232DB"/>
    <w:rsid w:val="00B23E57"/>
    <w:rsid w:val="00B24F30"/>
    <w:rsid w:val="00B253FD"/>
    <w:rsid w:val="00B2581C"/>
    <w:rsid w:val="00B259F6"/>
    <w:rsid w:val="00B31ABF"/>
    <w:rsid w:val="00B326F0"/>
    <w:rsid w:val="00B32BF3"/>
    <w:rsid w:val="00B33173"/>
    <w:rsid w:val="00B3393F"/>
    <w:rsid w:val="00B33BE3"/>
    <w:rsid w:val="00B33E0D"/>
    <w:rsid w:val="00B3455E"/>
    <w:rsid w:val="00B34CF8"/>
    <w:rsid w:val="00B35491"/>
    <w:rsid w:val="00B35665"/>
    <w:rsid w:val="00B35D38"/>
    <w:rsid w:val="00B371E3"/>
    <w:rsid w:val="00B4009D"/>
    <w:rsid w:val="00B40779"/>
    <w:rsid w:val="00B4139C"/>
    <w:rsid w:val="00B419B8"/>
    <w:rsid w:val="00B427B9"/>
    <w:rsid w:val="00B42BAA"/>
    <w:rsid w:val="00B44271"/>
    <w:rsid w:val="00B47A99"/>
    <w:rsid w:val="00B50279"/>
    <w:rsid w:val="00B51160"/>
    <w:rsid w:val="00B51FEE"/>
    <w:rsid w:val="00B53B5D"/>
    <w:rsid w:val="00B53E42"/>
    <w:rsid w:val="00B54B4C"/>
    <w:rsid w:val="00B575D6"/>
    <w:rsid w:val="00B6055E"/>
    <w:rsid w:val="00B61051"/>
    <w:rsid w:val="00B61D05"/>
    <w:rsid w:val="00B6317D"/>
    <w:rsid w:val="00B6376C"/>
    <w:rsid w:val="00B6472C"/>
    <w:rsid w:val="00B64BC2"/>
    <w:rsid w:val="00B650DD"/>
    <w:rsid w:val="00B6776C"/>
    <w:rsid w:val="00B711BE"/>
    <w:rsid w:val="00B7130C"/>
    <w:rsid w:val="00B71EBD"/>
    <w:rsid w:val="00B758E6"/>
    <w:rsid w:val="00B766EB"/>
    <w:rsid w:val="00B7706E"/>
    <w:rsid w:val="00B7723F"/>
    <w:rsid w:val="00B77862"/>
    <w:rsid w:val="00B80534"/>
    <w:rsid w:val="00B824A4"/>
    <w:rsid w:val="00B83DF5"/>
    <w:rsid w:val="00B8433C"/>
    <w:rsid w:val="00B84A8E"/>
    <w:rsid w:val="00B863BF"/>
    <w:rsid w:val="00B8668B"/>
    <w:rsid w:val="00B87491"/>
    <w:rsid w:val="00B9210B"/>
    <w:rsid w:val="00B92A2A"/>
    <w:rsid w:val="00B92C9D"/>
    <w:rsid w:val="00B937C7"/>
    <w:rsid w:val="00B93A50"/>
    <w:rsid w:val="00B94D0B"/>
    <w:rsid w:val="00B94D79"/>
    <w:rsid w:val="00B96F68"/>
    <w:rsid w:val="00B97563"/>
    <w:rsid w:val="00BA02D2"/>
    <w:rsid w:val="00BA29E9"/>
    <w:rsid w:val="00BA2DB3"/>
    <w:rsid w:val="00BA4156"/>
    <w:rsid w:val="00BA5F3D"/>
    <w:rsid w:val="00BA66D5"/>
    <w:rsid w:val="00BA6BD0"/>
    <w:rsid w:val="00BA7142"/>
    <w:rsid w:val="00BA716B"/>
    <w:rsid w:val="00BA7A82"/>
    <w:rsid w:val="00BB0775"/>
    <w:rsid w:val="00BB188F"/>
    <w:rsid w:val="00BB237C"/>
    <w:rsid w:val="00BB2DC0"/>
    <w:rsid w:val="00BB3449"/>
    <w:rsid w:val="00BB41A3"/>
    <w:rsid w:val="00BB4371"/>
    <w:rsid w:val="00BB572F"/>
    <w:rsid w:val="00BB77A8"/>
    <w:rsid w:val="00BB7E34"/>
    <w:rsid w:val="00BC32DC"/>
    <w:rsid w:val="00BC35B6"/>
    <w:rsid w:val="00BC4796"/>
    <w:rsid w:val="00BC5A63"/>
    <w:rsid w:val="00BC66E4"/>
    <w:rsid w:val="00BC7066"/>
    <w:rsid w:val="00BC7BA2"/>
    <w:rsid w:val="00BD1B51"/>
    <w:rsid w:val="00BD20DD"/>
    <w:rsid w:val="00BD3555"/>
    <w:rsid w:val="00BD4596"/>
    <w:rsid w:val="00BD4CFC"/>
    <w:rsid w:val="00BD51A9"/>
    <w:rsid w:val="00BD5F82"/>
    <w:rsid w:val="00BD667D"/>
    <w:rsid w:val="00BD7A35"/>
    <w:rsid w:val="00BE1405"/>
    <w:rsid w:val="00BE1A0F"/>
    <w:rsid w:val="00BE312D"/>
    <w:rsid w:val="00BE3C81"/>
    <w:rsid w:val="00BE519C"/>
    <w:rsid w:val="00BE542D"/>
    <w:rsid w:val="00BE6120"/>
    <w:rsid w:val="00BE6321"/>
    <w:rsid w:val="00BE6377"/>
    <w:rsid w:val="00BE67E1"/>
    <w:rsid w:val="00BE780C"/>
    <w:rsid w:val="00BF0649"/>
    <w:rsid w:val="00BF0947"/>
    <w:rsid w:val="00BF113B"/>
    <w:rsid w:val="00BF1C20"/>
    <w:rsid w:val="00BF2F3B"/>
    <w:rsid w:val="00BF489A"/>
    <w:rsid w:val="00BF72B0"/>
    <w:rsid w:val="00BF79EC"/>
    <w:rsid w:val="00BF7AAF"/>
    <w:rsid w:val="00BF7BA6"/>
    <w:rsid w:val="00C0110A"/>
    <w:rsid w:val="00C01A8C"/>
    <w:rsid w:val="00C01CCD"/>
    <w:rsid w:val="00C02055"/>
    <w:rsid w:val="00C0205C"/>
    <w:rsid w:val="00C02BDB"/>
    <w:rsid w:val="00C03552"/>
    <w:rsid w:val="00C035E8"/>
    <w:rsid w:val="00C0452D"/>
    <w:rsid w:val="00C0457D"/>
    <w:rsid w:val="00C06944"/>
    <w:rsid w:val="00C10578"/>
    <w:rsid w:val="00C119FD"/>
    <w:rsid w:val="00C11E42"/>
    <w:rsid w:val="00C135BC"/>
    <w:rsid w:val="00C14CCE"/>
    <w:rsid w:val="00C14DD6"/>
    <w:rsid w:val="00C15C95"/>
    <w:rsid w:val="00C16426"/>
    <w:rsid w:val="00C16771"/>
    <w:rsid w:val="00C16AA1"/>
    <w:rsid w:val="00C16D42"/>
    <w:rsid w:val="00C17449"/>
    <w:rsid w:val="00C20115"/>
    <w:rsid w:val="00C20B1C"/>
    <w:rsid w:val="00C24726"/>
    <w:rsid w:val="00C24D4C"/>
    <w:rsid w:val="00C2596A"/>
    <w:rsid w:val="00C27182"/>
    <w:rsid w:val="00C27537"/>
    <w:rsid w:val="00C275A9"/>
    <w:rsid w:val="00C31F61"/>
    <w:rsid w:val="00C32482"/>
    <w:rsid w:val="00C328FE"/>
    <w:rsid w:val="00C334CC"/>
    <w:rsid w:val="00C33507"/>
    <w:rsid w:val="00C3404C"/>
    <w:rsid w:val="00C34E22"/>
    <w:rsid w:val="00C37318"/>
    <w:rsid w:val="00C37C4B"/>
    <w:rsid w:val="00C4085F"/>
    <w:rsid w:val="00C40915"/>
    <w:rsid w:val="00C40EE3"/>
    <w:rsid w:val="00C4409D"/>
    <w:rsid w:val="00C44847"/>
    <w:rsid w:val="00C44E72"/>
    <w:rsid w:val="00C45A06"/>
    <w:rsid w:val="00C4624B"/>
    <w:rsid w:val="00C47547"/>
    <w:rsid w:val="00C47E5B"/>
    <w:rsid w:val="00C52041"/>
    <w:rsid w:val="00C532B6"/>
    <w:rsid w:val="00C56834"/>
    <w:rsid w:val="00C570C4"/>
    <w:rsid w:val="00C573A6"/>
    <w:rsid w:val="00C61A86"/>
    <w:rsid w:val="00C61E4B"/>
    <w:rsid w:val="00C63D6C"/>
    <w:rsid w:val="00C63DB7"/>
    <w:rsid w:val="00C64BFF"/>
    <w:rsid w:val="00C65DD9"/>
    <w:rsid w:val="00C70226"/>
    <w:rsid w:val="00C704E9"/>
    <w:rsid w:val="00C70B3C"/>
    <w:rsid w:val="00C72038"/>
    <w:rsid w:val="00C72237"/>
    <w:rsid w:val="00C74280"/>
    <w:rsid w:val="00C749BB"/>
    <w:rsid w:val="00C74AD1"/>
    <w:rsid w:val="00C7588C"/>
    <w:rsid w:val="00C763C9"/>
    <w:rsid w:val="00C76E9D"/>
    <w:rsid w:val="00C76F2C"/>
    <w:rsid w:val="00C77EDA"/>
    <w:rsid w:val="00C80057"/>
    <w:rsid w:val="00C80D5F"/>
    <w:rsid w:val="00C82232"/>
    <w:rsid w:val="00C82913"/>
    <w:rsid w:val="00C82DA7"/>
    <w:rsid w:val="00C83706"/>
    <w:rsid w:val="00C85120"/>
    <w:rsid w:val="00C85AAE"/>
    <w:rsid w:val="00C860D2"/>
    <w:rsid w:val="00C86B41"/>
    <w:rsid w:val="00C870EA"/>
    <w:rsid w:val="00C9111D"/>
    <w:rsid w:val="00C915A8"/>
    <w:rsid w:val="00C91873"/>
    <w:rsid w:val="00C92B70"/>
    <w:rsid w:val="00C947BF"/>
    <w:rsid w:val="00C9580B"/>
    <w:rsid w:val="00C972B1"/>
    <w:rsid w:val="00CA0629"/>
    <w:rsid w:val="00CA08E7"/>
    <w:rsid w:val="00CA0BD3"/>
    <w:rsid w:val="00CA0C10"/>
    <w:rsid w:val="00CA2B98"/>
    <w:rsid w:val="00CA2CCE"/>
    <w:rsid w:val="00CA3FC5"/>
    <w:rsid w:val="00CA43FD"/>
    <w:rsid w:val="00CA550D"/>
    <w:rsid w:val="00CA6958"/>
    <w:rsid w:val="00CA7EF8"/>
    <w:rsid w:val="00CB01DA"/>
    <w:rsid w:val="00CB0ADB"/>
    <w:rsid w:val="00CB2A72"/>
    <w:rsid w:val="00CB34A3"/>
    <w:rsid w:val="00CC0F9C"/>
    <w:rsid w:val="00CC1887"/>
    <w:rsid w:val="00CC2A2D"/>
    <w:rsid w:val="00CC444F"/>
    <w:rsid w:val="00CC470F"/>
    <w:rsid w:val="00CC489B"/>
    <w:rsid w:val="00CC56C2"/>
    <w:rsid w:val="00CC6F7D"/>
    <w:rsid w:val="00CC7305"/>
    <w:rsid w:val="00CD03BB"/>
    <w:rsid w:val="00CD0DE7"/>
    <w:rsid w:val="00CD178A"/>
    <w:rsid w:val="00CD1EEB"/>
    <w:rsid w:val="00CD219E"/>
    <w:rsid w:val="00CD2303"/>
    <w:rsid w:val="00CD292B"/>
    <w:rsid w:val="00CD2BCD"/>
    <w:rsid w:val="00CD3140"/>
    <w:rsid w:val="00CD3A4C"/>
    <w:rsid w:val="00CD45EB"/>
    <w:rsid w:val="00CD78A8"/>
    <w:rsid w:val="00CE010F"/>
    <w:rsid w:val="00CE10E9"/>
    <w:rsid w:val="00CE131D"/>
    <w:rsid w:val="00CE2910"/>
    <w:rsid w:val="00CE3900"/>
    <w:rsid w:val="00CE4DFD"/>
    <w:rsid w:val="00CE5393"/>
    <w:rsid w:val="00CE6F77"/>
    <w:rsid w:val="00CF05F8"/>
    <w:rsid w:val="00CF2E7E"/>
    <w:rsid w:val="00CF36BE"/>
    <w:rsid w:val="00CF4BBD"/>
    <w:rsid w:val="00CF5102"/>
    <w:rsid w:val="00CF6000"/>
    <w:rsid w:val="00CF7F2D"/>
    <w:rsid w:val="00D0029E"/>
    <w:rsid w:val="00D003F3"/>
    <w:rsid w:val="00D01802"/>
    <w:rsid w:val="00D01AD8"/>
    <w:rsid w:val="00D02DB7"/>
    <w:rsid w:val="00D03163"/>
    <w:rsid w:val="00D0364F"/>
    <w:rsid w:val="00D05476"/>
    <w:rsid w:val="00D06834"/>
    <w:rsid w:val="00D1692B"/>
    <w:rsid w:val="00D16CEC"/>
    <w:rsid w:val="00D17743"/>
    <w:rsid w:val="00D1778D"/>
    <w:rsid w:val="00D212D1"/>
    <w:rsid w:val="00D21796"/>
    <w:rsid w:val="00D24136"/>
    <w:rsid w:val="00D24ABF"/>
    <w:rsid w:val="00D3064A"/>
    <w:rsid w:val="00D308ED"/>
    <w:rsid w:val="00D31359"/>
    <w:rsid w:val="00D32266"/>
    <w:rsid w:val="00D32C63"/>
    <w:rsid w:val="00D3418B"/>
    <w:rsid w:val="00D34699"/>
    <w:rsid w:val="00D35D8A"/>
    <w:rsid w:val="00D36D86"/>
    <w:rsid w:val="00D37322"/>
    <w:rsid w:val="00D37F67"/>
    <w:rsid w:val="00D40E7C"/>
    <w:rsid w:val="00D428AA"/>
    <w:rsid w:val="00D4595E"/>
    <w:rsid w:val="00D45D34"/>
    <w:rsid w:val="00D50A34"/>
    <w:rsid w:val="00D52F49"/>
    <w:rsid w:val="00D53AB9"/>
    <w:rsid w:val="00D53EFA"/>
    <w:rsid w:val="00D5410C"/>
    <w:rsid w:val="00D54FFF"/>
    <w:rsid w:val="00D556C8"/>
    <w:rsid w:val="00D5788C"/>
    <w:rsid w:val="00D57B5A"/>
    <w:rsid w:val="00D57BD6"/>
    <w:rsid w:val="00D610FF"/>
    <w:rsid w:val="00D621E0"/>
    <w:rsid w:val="00D623F6"/>
    <w:rsid w:val="00D65564"/>
    <w:rsid w:val="00D65AFA"/>
    <w:rsid w:val="00D66EF5"/>
    <w:rsid w:val="00D738E5"/>
    <w:rsid w:val="00D7410E"/>
    <w:rsid w:val="00D74F37"/>
    <w:rsid w:val="00D757E2"/>
    <w:rsid w:val="00D806C3"/>
    <w:rsid w:val="00D85873"/>
    <w:rsid w:val="00D858C9"/>
    <w:rsid w:val="00D858DE"/>
    <w:rsid w:val="00D86744"/>
    <w:rsid w:val="00D87859"/>
    <w:rsid w:val="00D91F0A"/>
    <w:rsid w:val="00D91F75"/>
    <w:rsid w:val="00D940E0"/>
    <w:rsid w:val="00D94A7C"/>
    <w:rsid w:val="00D95876"/>
    <w:rsid w:val="00D95896"/>
    <w:rsid w:val="00D95A94"/>
    <w:rsid w:val="00D96396"/>
    <w:rsid w:val="00DA0A49"/>
    <w:rsid w:val="00DA0A4A"/>
    <w:rsid w:val="00DA5972"/>
    <w:rsid w:val="00DA771D"/>
    <w:rsid w:val="00DB0019"/>
    <w:rsid w:val="00DB0936"/>
    <w:rsid w:val="00DB20A7"/>
    <w:rsid w:val="00DB2983"/>
    <w:rsid w:val="00DB3CE2"/>
    <w:rsid w:val="00DB56A0"/>
    <w:rsid w:val="00DB5E99"/>
    <w:rsid w:val="00DB62F3"/>
    <w:rsid w:val="00DB6AD8"/>
    <w:rsid w:val="00DB6DB3"/>
    <w:rsid w:val="00DB7539"/>
    <w:rsid w:val="00DC1257"/>
    <w:rsid w:val="00DC23DD"/>
    <w:rsid w:val="00DC3534"/>
    <w:rsid w:val="00DC3DC0"/>
    <w:rsid w:val="00DC4556"/>
    <w:rsid w:val="00DC54A9"/>
    <w:rsid w:val="00DC5B2B"/>
    <w:rsid w:val="00DC5FC7"/>
    <w:rsid w:val="00DC7ACE"/>
    <w:rsid w:val="00DC7EBD"/>
    <w:rsid w:val="00DD2389"/>
    <w:rsid w:val="00DD2437"/>
    <w:rsid w:val="00DD270A"/>
    <w:rsid w:val="00DD318D"/>
    <w:rsid w:val="00DD58F8"/>
    <w:rsid w:val="00DD7590"/>
    <w:rsid w:val="00DD76AC"/>
    <w:rsid w:val="00DD79A6"/>
    <w:rsid w:val="00DD7EE8"/>
    <w:rsid w:val="00DE0D9C"/>
    <w:rsid w:val="00DE1E64"/>
    <w:rsid w:val="00DE20DF"/>
    <w:rsid w:val="00DE405A"/>
    <w:rsid w:val="00DE4BE4"/>
    <w:rsid w:val="00DE5D8C"/>
    <w:rsid w:val="00DE5DC7"/>
    <w:rsid w:val="00DE6169"/>
    <w:rsid w:val="00DE7F4C"/>
    <w:rsid w:val="00DF2D6F"/>
    <w:rsid w:val="00DF2E12"/>
    <w:rsid w:val="00DF514A"/>
    <w:rsid w:val="00DF51EB"/>
    <w:rsid w:val="00DF561A"/>
    <w:rsid w:val="00DF5ABB"/>
    <w:rsid w:val="00DF6690"/>
    <w:rsid w:val="00DF6804"/>
    <w:rsid w:val="00DF6F0D"/>
    <w:rsid w:val="00DF75CE"/>
    <w:rsid w:val="00E00595"/>
    <w:rsid w:val="00E01C08"/>
    <w:rsid w:val="00E033DE"/>
    <w:rsid w:val="00E0358D"/>
    <w:rsid w:val="00E04323"/>
    <w:rsid w:val="00E049D4"/>
    <w:rsid w:val="00E06D07"/>
    <w:rsid w:val="00E06F56"/>
    <w:rsid w:val="00E070A2"/>
    <w:rsid w:val="00E0772D"/>
    <w:rsid w:val="00E07B39"/>
    <w:rsid w:val="00E11574"/>
    <w:rsid w:val="00E11BCB"/>
    <w:rsid w:val="00E14A3E"/>
    <w:rsid w:val="00E201FA"/>
    <w:rsid w:val="00E22D6A"/>
    <w:rsid w:val="00E240A7"/>
    <w:rsid w:val="00E2656A"/>
    <w:rsid w:val="00E26E73"/>
    <w:rsid w:val="00E27065"/>
    <w:rsid w:val="00E30141"/>
    <w:rsid w:val="00E308E2"/>
    <w:rsid w:val="00E321F0"/>
    <w:rsid w:val="00E329F2"/>
    <w:rsid w:val="00E3445F"/>
    <w:rsid w:val="00E35C11"/>
    <w:rsid w:val="00E3602E"/>
    <w:rsid w:val="00E40CE3"/>
    <w:rsid w:val="00E412D0"/>
    <w:rsid w:val="00E42592"/>
    <w:rsid w:val="00E4313A"/>
    <w:rsid w:val="00E432D2"/>
    <w:rsid w:val="00E444C3"/>
    <w:rsid w:val="00E476AA"/>
    <w:rsid w:val="00E51D68"/>
    <w:rsid w:val="00E53542"/>
    <w:rsid w:val="00E536A1"/>
    <w:rsid w:val="00E54D68"/>
    <w:rsid w:val="00E54DB5"/>
    <w:rsid w:val="00E54E50"/>
    <w:rsid w:val="00E5594F"/>
    <w:rsid w:val="00E56322"/>
    <w:rsid w:val="00E60982"/>
    <w:rsid w:val="00E6104D"/>
    <w:rsid w:val="00E62C62"/>
    <w:rsid w:val="00E653E3"/>
    <w:rsid w:val="00E654C1"/>
    <w:rsid w:val="00E65D97"/>
    <w:rsid w:val="00E67423"/>
    <w:rsid w:val="00E71AC0"/>
    <w:rsid w:val="00E7254B"/>
    <w:rsid w:val="00E72A5A"/>
    <w:rsid w:val="00E73354"/>
    <w:rsid w:val="00E73CBC"/>
    <w:rsid w:val="00E74B66"/>
    <w:rsid w:val="00E7561F"/>
    <w:rsid w:val="00E76769"/>
    <w:rsid w:val="00E767E0"/>
    <w:rsid w:val="00E76836"/>
    <w:rsid w:val="00E80BC9"/>
    <w:rsid w:val="00E81570"/>
    <w:rsid w:val="00E82709"/>
    <w:rsid w:val="00E82847"/>
    <w:rsid w:val="00E83613"/>
    <w:rsid w:val="00E83D7D"/>
    <w:rsid w:val="00E8440E"/>
    <w:rsid w:val="00E8493F"/>
    <w:rsid w:val="00E84AFC"/>
    <w:rsid w:val="00E853F4"/>
    <w:rsid w:val="00E857B4"/>
    <w:rsid w:val="00E85E44"/>
    <w:rsid w:val="00E86171"/>
    <w:rsid w:val="00E877BB"/>
    <w:rsid w:val="00E90495"/>
    <w:rsid w:val="00E90CFF"/>
    <w:rsid w:val="00E9242D"/>
    <w:rsid w:val="00E9292A"/>
    <w:rsid w:val="00E92C28"/>
    <w:rsid w:val="00E93742"/>
    <w:rsid w:val="00E95870"/>
    <w:rsid w:val="00E96F71"/>
    <w:rsid w:val="00EA01A6"/>
    <w:rsid w:val="00EA04AF"/>
    <w:rsid w:val="00EA0F32"/>
    <w:rsid w:val="00EA13D1"/>
    <w:rsid w:val="00EA1C8B"/>
    <w:rsid w:val="00EA264A"/>
    <w:rsid w:val="00EA2E76"/>
    <w:rsid w:val="00EA31AA"/>
    <w:rsid w:val="00EA335A"/>
    <w:rsid w:val="00EA705A"/>
    <w:rsid w:val="00EB0BCF"/>
    <w:rsid w:val="00EB16DA"/>
    <w:rsid w:val="00EB3F3A"/>
    <w:rsid w:val="00EB4080"/>
    <w:rsid w:val="00EB4121"/>
    <w:rsid w:val="00EB5255"/>
    <w:rsid w:val="00EB5C47"/>
    <w:rsid w:val="00EB7763"/>
    <w:rsid w:val="00EB7862"/>
    <w:rsid w:val="00EC08F1"/>
    <w:rsid w:val="00EC12CE"/>
    <w:rsid w:val="00EC1BA9"/>
    <w:rsid w:val="00EC38E9"/>
    <w:rsid w:val="00EC44CE"/>
    <w:rsid w:val="00EC471D"/>
    <w:rsid w:val="00EC6DAF"/>
    <w:rsid w:val="00EC776F"/>
    <w:rsid w:val="00ED022D"/>
    <w:rsid w:val="00ED0639"/>
    <w:rsid w:val="00ED159F"/>
    <w:rsid w:val="00ED2B26"/>
    <w:rsid w:val="00ED2CC0"/>
    <w:rsid w:val="00ED39B1"/>
    <w:rsid w:val="00ED3AE7"/>
    <w:rsid w:val="00ED49B7"/>
    <w:rsid w:val="00ED5135"/>
    <w:rsid w:val="00ED594F"/>
    <w:rsid w:val="00EE013C"/>
    <w:rsid w:val="00EE0D5C"/>
    <w:rsid w:val="00EE3265"/>
    <w:rsid w:val="00EE3CF6"/>
    <w:rsid w:val="00EE4F16"/>
    <w:rsid w:val="00EE4F6C"/>
    <w:rsid w:val="00EE5813"/>
    <w:rsid w:val="00EE65D1"/>
    <w:rsid w:val="00EE687C"/>
    <w:rsid w:val="00EE6FC2"/>
    <w:rsid w:val="00EF1027"/>
    <w:rsid w:val="00EF11ED"/>
    <w:rsid w:val="00EF2D0B"/>
    <w:rsid w:val="00EF4209"/>
    <w:rsid w:val="00EF4755"/>
    <w:rsid w:val="00EF4BAB"/>
    <w:rsid w:val="00EF555E"/>
    <w:rsid w:val="00EF5FD2"/>
    <w:rsid w:val="00EF7135"/>
    <w:rsid w:val="00EF799F"/>
    <w:rsid w:val="00F000A6"/>
    <w:rsid w:val="00F0057C"/>
    <w:rsid w:val="00F008CE"/>
    <w:rsid w:val="00F009FA"/>
    <w:rsid w:val="00F00CA5"/>
    <w:rsid w:val="00F0261D"/>
    <w:rsid w:val="00F027DB"/>
    <w:rsid w:val="00F041C1"/>
    <w:rsid w:val="00F0599A"/>
    <w:rsid w:val="00F05BB5"/>
    <w:rsid w:val="00F0669C"/>
    <w:rsid w:val="00F06FEC"/>
    <w:rsid w:val="00F07CDF"/>
    <w:rsid w:val="00F10745"/>
    <w:rsid w:val="00F116F8"/>
    <w:rsid w:val="00F12C3A"/>
    <w:rsid w:val="00F14A7A"/>
    <w:rsid w:val="00F17521"/>
    <w:rsid w:val="00F21DD3"/>
    <w:rsid w:val="00F22985"/>
    <w:rsid w:val="00F242D6"/>
    <w:rsid w:val="00F25534"/>
    <w:rsid w:val="00F26FF6"/>
    <w:rsid w:val="00F30B8F"/>
    <w:rsid w:val="00F31306"/>
    <w:rsid w:val="00F31436"/>
    <w:rsid w:val="00F3237C"/>
    <w:rsid w:val="00F330C4"/>
    <w:rsid w:val="00F3383E"/>
    <w:rsid w:val="00F3504D"/>
    <w:rsid w:val="00F35E47"/>
    <w:rsid w:val="00F35E5E"/>
    <w:rsid w:val="00F3600E"/>
    <w:rsid w:val="00F363E3"/>
    <w:rsid w:val="00F36881"/>
    <w:rsid w:val="00F36D46"/>
    <w:rsid w:val="00F37124"/>
    <w:rsid w:val="00F40037"/>
    <w:rsid w:val="00F420A2"/>
    <w:rsid w:val="00F42487"/>
    <w:rsid w:val="00F431F8"/>
    <w:rsid w:val="00F44287"/>
    <w:rsid w:val="00F465A7"/>
    <w:rsid w:val="00F47FF5"/>
    <w:rsid w:val="00F50B7C"/>
    <w:rsid w:val="00F52C18"/>
    <w:rsid w:val="00F535DB"/>
    <w:rsid w:val="00F53B61"/>
    <w:rsid w:val="00F544EC"/>
    <w:rsid w:val="00F54CD1"/>
    <w:rsid w:val="00F550E6"/>
    <w:rsid w:val="00F5768C"/>
    <w:rsid w:val="00F60FAA"/>
    <w:rsid w:val="00F618FD"/>
    <w:rsid w:val="00F619DE"/>
    <w:rsid w:val="00F6297F"/>
    <w:rsid w:val="00F62EE8"/>
    <w:rsid w:val="00F63A02"/>
    <w:rsid w:val="00F646C0"/>
    <w:rsid w:val="00F64FE9"/>
    <w:rsid w:val="00F65010"/>
    <w:rsid w:val="00F67FB1"/>
    <w:rsid w:val="00F70073"/>
    <w:rsid w:val="00F70AC0"/>
    <w:rsid w:val="00F718CC"/>
    <w:rsid w:val="00F71FDD"/>
    <w:rsid w:val="00F73249"/>
    <w:rsid w:val="00F74345"/>
    <w:rsid w:val="00F75730"/>
    <w:rsid w:val="00F76117"/>
    <w:rsid w:val="00F7646D"/>
    <w:rsid w:val="00F7796D"/>
    <w:rsid w:val="00F80163"/>
    <w:rsid w:val="00F80A0A"/>
    <w:rsid w:val="00F815C2"/>
    <w:rsid w:val="00F8190E"/>
    <w:rsid w:val="00F8220B"/>
    <w:rsid w:val="00F82434"/>
    <w:rsid w:val="00F8280D"/>
    <w:rsid w:val="00F82B19"/>
    <w:rsid w:val="00F8301D"/>
    <w:rsid w:val="00F92024"/>
    <w:rsid w:val="00F9212D"/>
    <w:rsid w:val="00F9298B"/>
    <w:rsid w:val="00F93CD5"/>
    <w:rsid w:val="00F93D1E"/>
    <w:rsid w:val="00F94797"/>
    <w:rsid w:val="00F95082"/>
    <w:rsid w:val="00F9515E"/>
    <w:rsid w:val="00F9583F"/>
    <w:rsid w:val="00F965DA"/>
    <w:rsid w:val="00F96E20"/>
    <w:rsid w:val="00F9746B"/>
    <w:rsid w:val="00FA06C5"/>
    <w:rsid w:val="00FA10F5"/>
    <w:rsid w:val="00FA1A6A"/>
    <w:rsid w:val="00FA1C8A"/>
    <w:rsid w:val="00FA21E9"/>
    <w:rsid w:val="00FA406A"/>
    <w:rsid w:val="00FA46A6"/>
    <w:rsid w:val="00FA4987"/>
    <w:rsid w:val="00FA79B1"/>
    <w:rsid w:val="00FB40EF"/>
    <w:rsid w:val="00FB4B66"/>
    <w:rsid w:val="00FB503A"/>
    <w:rsid w:val="00FB516C"/>
    <w:rsid w:val="00FB5214"/>
    <w:rsid w:val="00FB5269"/>
    <w:rsid w:val="00FB60F6"/>
    <w:rsid w:val="00FB7B79"/>
    <w:rsid w:val="00FC0725"/>
    <w:rsid w:val="00FC1D16"/>
    <w:rsid w:val="00FC28DB"/>
    <w:rsid w:val="00FC2BA6"/>
    <w:rsid w:val="00FC4F1A"/>
    <w:rsid w:val="00FC7FE0"/>
    <w:rsid w:val="00FD0236"/>
    <w:rsid w:val="00FD0FE6"/>
    <w:rsid w:val="00FD18F4"/>
    <w:rsid w:val="00FD1ECD"/>
    <w:rsid w:val="00FD31C0"/>
    <w:rsid w:val="00FD512E"/>
    <w:rsid w:val="00FD5377"/>
    <w:rsid w:val="00FD54DB"/>
    <w:rsid w:val="00FD5A2A"/>
    <w:rsid w:val="00FD619F"/>
    <w:rsid w:val="00FD6687"/>
    <w:rsid w:val="00FD6A16"/>
    <w:rsid w:val="00FD6A70"/>
    <w:rsid w:val="00FE0148"/>
    <w:rsid w:val="00FE398F"/>
    <w:rsid w:val="00FE4D14"/>
    <w:rsid w:val="00FE4EE5"/>
    <w:rsid w:val="00FF13E0"/>
    <w:rsid w:val="00FF2898"/>
    <w:rsid w:val="00FF4C8A"/>
    <w:rsid w:val="00FF55C9"/>
    <w:rsid w:val="00FF69E2"/>
    <w:rsid w:val="00FF7CAD"/>
    <w:rsid w:val="01290F7E"/>
    <w:rsid w:val="015D1E09"/>
    <w:rsid w:val="02697903"/>
    <w:rsid w:val="02F96569"/>
    <w:rsid w:val="037A05EF"/>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D896A37"/>
    <w:rsid w:val="0E73034D"/>
    <w:rsid w:val="0F13775A"/>
    <w:rsid w:val="0F5F45FE"/>
    <w:rsid w:val="0F9A112B"/>
    <w:rsid w:val="106D2F64"/>
    <w:rsid w:val="10B63710"/>
    <w:rsid w:val="10F10820"/>
    <w:rsid w:val="111C2F7A"/>
    <w:rsid w:val="11665CA1"/>
    <w:rsid w:val="11991213"/>
    <w:rsid w:val="13951726"/>
    <w:rsid w:val="13C50E68"/>
    <w:rsid w:val="14396509"/>
    <w:rsid w:val="14DD2C3C"/>
    <w:rsid w:val="151735D0"/>
    <w:rsid w:val="16087E1D"/>
    <w:rsid w:val="16351E52"/>
    <w:rsid w:val="17701D14"/>
    <w:rsid w:val="17735226"/>
    <w:rsid w:val="18442A00"/>
    <w:rsid w:val="189F624C"/>
    <w:rsid w:val="195E521C"/>
    <w:rsid w:val="19EF2497"/>
    <w:rsid w:val="1A1C66C0"/>
    <w:rsid w:val="1A42393B"/>
    <w:rsid w:val="1AAD45DE"/>
    <w:rsid w:val="1AB7682F"/>
    <w:rsid w:val="1B046F80"/>
    <w:rsid w:val="1B3267B5"/>
    <w:rsid w:val="1B40161D"/>
    <w:rsid w:val="1B441859"/>
    <w:rsid w:val="1B6606B1"/>
    <w:rsid w:val="1C5E7925"/>
    <w:rsid w:val="1C8D06BC"/>
    <w:rsid w:val="1CFD070F"/>
    <w:rsid w:val="1D5F6196"/>
    <w:rsid w:val="1D6132A5"/>
    <w:rsid w:val="1D8E56D5"/>
    <w:rsid w:val="1E7A43DA"/>
    <w:rsid w:val="1FE7539E"/>
    <w:rsid w:val="20542ED4"/>
    <w:rsid w:val="20671BE0"/>
    <w:rsid w:val="20963CB8"/>
    <w:rsid w:val="20A81A1B"/>
    <w:rsid w:val="20B07FB6"/>
    <w:rsid w:val="20B646FB"/>
    <w:rsid w:val="2104663F"/>
    <w:rsid w:val="213B74B1"/>
    <w:rsid w:val="215A2310"/>
    <w:rsid w:val="216B2BCB"/>
    <w:rsid w:val="21DE318A"/>
    <w:rsid w:val="21EF5B80"/>
    <w:rsid w:val="21F87A59"/>
    <w:rsid w:val="2217745B"/>
    <w:rsid w:val="22576990"/>
    <w:rsid w:val="22F47480"/>
    <w:rsid w:val="23DE1C48"/>
    <w:rsid w:val="240210CD"/>
    <w:rsid w:val="24BF09F7"/>
    <w:rsid w:val="24C8516B"/>
    <w:rsid w:val="252D53FE"/>
    <w:rsid w:val="25EC2D81"/>
    <w:rsid w:val="27376E41"/>
    <w:rsid w:val="277057A2"/>
    <w:rsid w:val="29206EB8"/>
    <w:rsid w:val="29595666"/>
    <w:rsid w:val="29874881"/>
    <w:rsid w:val="29E325E0"/>
    <w:rsid w:val="2A452503"/>
    <w:rsid w:val="2BA936A8"/>
    <w:rsid w:val="2C315A5A"/>
    <w:rsid w:val="2C4B1C25"/>
    <w:rsid w:val="2CF40D41"/>
    <w:rsid w:val="2D9E56F5"/>
    <w:rsid w:val="2E667F96"/>
    <w:rsid w:val="2E8226AB"/>
    <w:rsid w:val="2FD065E6"/>
    <w:rsid w:val="2FD96870"/>
    <w:rsid w:val="30580BC9"/>
    <w:rsid w:val="311E2ED7"/>
    <w:rsid w:val="315619EE"/>
    <w:rsid w:val="315C449C"/>
    <w:rsid w:val="31752B1A"/>
    <w:rsid w:val="31B82709"/>
    <w:rsid w:val="31D05482"/>
    <w:rsid w:val="32400B34"/>
    <w:rsid w:val="329E6876"/>
    <w:rsid w:val="331B5311"/>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9B5393D"/>
    <w:rsid w:val="3A872856"/>
    <w:rsid w:val="3B3763D1"/>
    <w:rsid w:val="3B4C1785"/>
    <w:rsid w:val="3BBA232E"/>
    <w:rsid w:val="3C2F6E1E"/>
    <w:rsid w:val="3C4F64BA"/>
    <w:rsid w:val="3C607BB2"/>
    <w:rsid w:val="3CDA245A"/>
    <w:rsid w:val="3D1E06B7"/>
    <w:rsid w:val="3D3423BE"/>
    <w:rsid w:val="3EDA0523"/>
    <w:rsid w:val="3FF51B86"/>
    <w:rsid w:val="407A6407"/>
    <w:rsid w:val="408F1FDB"/>
    <w:rsid w:val="4200449D"/>
    <w:rsid w:val="423A3BCC"/>
    <w:rsid w:val="424E57D2"/>
    <w:rsid w:val="42B26C49"/>
    <w:rsid w:val="432B695B"/>
    <w:rsid w:val="433A6FE6"/>
    <w:rsid w:val="43480868"/>
    <w:rsid w:val="4350713C"/>
    <w:rsid w:val="436653E0"/>
    <w:rsid w:val="43C4431A"/>
    <w:rsid w:val="43DD12AF"/>
    <w:rsid w:val="44613C8E"/>
    <w:rsid w:val="44B951CC"/>
    <w:rsid w:val="44CD14E0"/>
    <w:rsid w:val="44EE4DF6"/>
    <w:rsid w:val="44F20B0B"/>
    <w:rsid w:val="452440D2"/>
    <w:rsid w:val="452E5F4C"/>
    <w:rsid w:val="45612018"/>
    <w:rsid w:val="458946E9"/>
    <w:rsid w:val="45A47C0E"/>
    <w:rsid w:val="46577FD6"/>
    <w:rsid w:val="46D955A7"/>
    <w:rsid w:val="47133957"/>
    <w:rsid w:val="47A07E0C"/>
    <w:rsid w:val="47B70069"/>
    <w:rsid w:val="47CE7A70"/>
    <w:rsid w:val="4870272E"/>
    <w:rsid w:val="49DC7715"/>
    <w:rsid w:val="4A023139"/>
    <w:rsid w:val="4A7B576F"/>
    <w:rsid w:val="4AF561A9"/>
    <w:rsid w:val="4B524331"/>
    <w:rsid w:val="4C2A303D"/>
    <w:rsid w:val="4C4A0649"/>
    <w:rsid w:val="4C7E5ECA"/>
    <w:rsid w:val="4C876AA5"/>
    <w:rsid w:val="4D0E00FB"/>
    <w:rsid w:val="4D176606"/>
    <w:rsid w:val="4D2C45CF"/>
    <w:rsid w:val="4DEC4FB0"/>
    <w:rsid w:val="4E075D8A"/>
    <w:rsid w:val="4EC00FAD"/>
    <w:rsid w:val="4F9843DC"/>
    <w:rsid w:val="4FC62A8C"/>
    <w:rsid w:val="4FE20F0D"/>
    <w:rsid w:val="4FE51552"/>
    <w:rsid w:val="50504C4B"/>
    <w:rsid w:val="509C6E7C"/>
    <w:rsid w:val="50C23D07"/>
    <w:rsid w:val="5162104E"/>
    <w:rsid w:val="5309699E"/>
    <w:rsid w:val="535350EA"/>
    <w:rsid w:val="53A039CC"/>
    <w:rsid w:val="53A1505A"/>
    <w:rsid w:val="54063E08"/>
    <w:rsid w:val="543437E8"/>
    <w:rsid w:val="54815C87"/>
    <w:rsid w:val="54F73313"/>
    <w:rsid w:val="54F80955"/>
    <w:rsid w:val="55367F73"/>
    <w:rsid w:val="555170A7"/>
    <w:rsid w:val="5587536D"/>
    <w:rsid w:val="55965DA1"/>
    <w:rsid w:val="559B174B"/>
    <w:rsid w:val="55CE0CF4"/>
    <w:rsid w:val="565543CB"/>
    <w:rsid w:val="56B22A9C"/>
    <w:rsid w:val="56C65BD3"/>
    <w:rsid w:val="57B72A76"/>
    <w:rsid w:val="57C3426C"/>
    <w:rsid w:val="57CE1F93"/>
    <w:rsid w:val="588743D1"/>
    <w:rsid w:val="5887701A"/>
    <w:rsid w:val="59C0439F"/>
    <w:rsid w:val="5ABE2233"/>
    <w:rsid w:val="5B1D730F"/>
    <w:rsid w:val="5B48032A"/>
    <w:rsid w:val="5BDF5D95"/>
    <w:rsid w:val="5BFE7528"/>
    <w:rsid w:val="5DBD6FCC"/>
    <w:rsid w:val="5E2467F1"/>
    <w:rsid w:val="5EB56C59"/>
    <w:rsid w:val="5F1A2B43"/>
    <w:rsid w:val="5FB837BB"/>
    <w:rsid w:val="60CC405A"/>
    <w:rsid w:val="61E215D8"/>
    <w:rsid w:val="621B3775"/>
    <w:rsid w:val="62364782"/>
    <w:rsid w:val="6394356A"/>
    <w:rsid w:val="63C61B2C"/>
    <w:rsid w:val="63D40BE9"/>
    <w:rsid w:val="64102431"/>
    <w:rsid w:val="64A5243A"/>
    <w:rsid w:val="64F531DE"/>
    <w:rsid w:val="65327F69"/>
    <w:rsid w:val="65373578"/>
    <w:rsid w:val="66134265"/>
    <w:rsid w:val="671F124A"/>
    <w:rsid w:val="677A33C6"/>
    <w:rsid w:val="681F6961"/>
    <w:rsid w:val="68610A2F"/>
    <w:rsid w:val="68805514"/>
    <w:rsid w:val="69316E2F"/>
    <w:rsid w:val="694E2071"/>
    <w:rsid w:val="69766163"/>
    <w:rsid w:val="697A3B33"/>
    <w:rsid w:val="69D44760"/>
    <w:rsid w:val="6A347102"/>
    <w:rsid w:val="6A520EC7"/>
    <w:rsid w:val="6AF87E20"/>
    <w:rsid w:val="6B322639"/>
    <w:rsid w:val="6C255848"/>
    <w:rsid w:val="6C636C38"/>
    <w:rsid w:val="6DB34098"/>
    <w:rsid w:val="6DB545B6"/>
    <w:rsid w:val="6DE02FB4"/>
    <w:rsid w:val="6E514CED"/>
    <w:rsid w:val="6EB563D5"/>
    <w:rsid w:val="6ED92677"/>
    <w:rsid w:val="6F225983"/>
    <w:rsid w:val="6FFC5590"/>
    <w:rsid w:val="706D1DD0"/>
    <w:rsid w:val="70856B87"/>
    <w:rsid w:val="70D527EE"/>
    <w:rsid w:val="715B5300"/>
    <w:rsid w:val="716E0821"/>
    <w:rsid w:val="71D27F8A"/>
    <w:rsid w:val="72553024"/>
    <w:rsid w:val="73122968"/>
    <w:rsid w:val="731F5D5E"/>
    <w:rsid w:val="73503571"/>
    <w:rsid w:val="73C51AD5"/>
    <w:rsid w:val="741E793C"/>
    <w:rsid w:val="745E3944"/>
    <w:rsid w:val="74FA4F6E"/>
    <w:rsid w:val="761938F1"/>
    <w:rsid w:val="7635099D"/>
    <w:rsid w:val="76384A1D"/>
    <w:rsid w:val="76A333E3"/>
    <w:rsid w:val="76F9442D"/>
    <w:rsid w:val="77762421"/>
    <w:rsid w:val="77B56B1F"/>
    <w:rsid w:val="77E752E5"/>
    <w:rsid w:val="780F09F4"/>
    <w:rsid w:val="78A90480"/>
    <w:rsid w:val="797846B3"/>
    <w:rsid w:val="7A364017"/>
    <w:rsid w:val="7A8265E1"/>
    <w:rsid w:val="7B686D42"/>
    <w:rsid w:val="7B841746"/>
    <w:rsid w:val="7C21446E"/>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name="heading 1" w:locked="1"/>
    <w:lsdException w:qFormat="1" w:unhideWhenUsed="0" w:uiPriority="9" w:semiHidden="0" w:name="heading 2" w:locked="1"/>
    <w:lsdException w:qFormat="1" w:unhideWhenUsed="0" w:uiPriority="0" w:name="heading 3" w:locked="1"/>
    <w:lsdException w:qFormat="1" w:unhideWhenUsed="0" w:uiPriority="0" w:name="heading 4" w:locked="1"/>
    <w:lsdException w:qFormat="1" w:unhideWhenUsed="0" w:uiPriority="0" w:name="heading 5" w:locked="1"/>
    <w:lsdException w:qFormat="1" w:unhideWhenUsed="0" w:uiPriority="0" w:name="heading 6" w:locked="1"/>
    <w:lsdException w:qFormat="1" w:unhideWhenUsed="0" w:uiPriority="0" w:name="heading 7" w:locked="1"/>
    <w:lsdException w:qFormat="1" w:unhideWhenUsed="0" w:uiPriority="0" w:name="heading 8" w:locked="1"/>
    <w:lsdException w:qFormat="1" w:unhideWhenUsed="0" w:uiPriority="0" w:name="heading 9" w:locked="1"/>
    <w:lsdException w:unhideWhenUsed="0" w:uiPriority="0" w:name="index 1" w:locked="1"/>
    <w:lsdException w:unhideWhenUsed="0" w:uiPriority="0" w:name="index 2" w:locked="1"/>
    <w:lsdException w:unhideWhenUsed="0" w:uiPriority="0" w:name="index 3" w:locked="1"/>
    <w:lsdException w:unhideWhenUsed="0" w:uiPriority="0" w:name="index 4" w:locked="1"/>
    <w:lsdException w:unhideWhenUsed="0" w:uiPriority="0" w:name="index 5" w:locked="1"/>
    <w:lsdException w:unhideWhenUsed="0" w:uiPriority="0" w:name="index 6" w:locked="1"/>
    <w:lsdException w:unhideWhenUsed="0" w:uiPriority="0" w:name="index 7" w:locked="1"/>
    <w:lsdException w:unhideWhenUsed="0" w:uiPriority="0" w:name="index 8" w:locked="1"/>
    <w:lsdException w:unhideWhenUsed="0" w:uiPriority="0" w:name="index 9" w:locked="1"/>
    <w:lsdException w:unhideWhenUsed="0" w:uiPriority="0" w:name="toc 1" w:locked="1"/>
    <w:lsdException w:unhideWhenUsed="0" w:uiPriority="0" w:name="toc 2" w:locked="1"/>
    <w:lsdException w:unhideWhenUsed="0" w:uiPriority="0" w:name="toc 3" w:locked="1"/>
    <w:lsdException w:unhideWhenUsed="0" w:uiPriority="0" w:name="toc 4" w:locked="1"/>
    <w:lsdException w:unhideWhenUsed="0" w:uiPriority="0" w:name="toc 5" w:locked="1"/>
    <w:lsdException w:unhideWhenUsed="0" w:uiPriority="0" w:name="toc 6" w:locked="1"/>
    <w:lsdException w:unhideWhenUsed="0" w:uiPriority="0" w:name="toc 7" w:locked="1"/>
    <w:lsdException w:unhideWhenUsed="0" w:uiPriority="0" w:name="toc 8" w:locked="1"/>
    <w:lsdException w:unhideWhenUsed="0" w:uiPriority="0" w:name="toc 9" w:locked="1"/>
    <w:lsdException w:qFormat="1" w:unhideWhenUsed="0" w:uiPriority="0" w:name="Normal Indent" w:locked="1"/>
    <w:lsdException w:unhideWhenUsed="0" w:uiPriority="0" w:name="footnote text" w:locked="1"/>
    <w:lsdException w:qFormat="1" w:unhideWhenUsed="0" w:uiPriority="0" w:name="annotation text"/>
    <w:lsdException w:qFormat="1" w:unhideWhenUsed="0" w:uiPriority="0" w:name="header"/>
    <w:lsdException w:qFormat="1" w:unhideWhenUsed="0" w:uiPriority="99" w:name="footer"/>
    <w:lsdException w:unhideWhenUsed="0" w:uiPriority="0" w:name="index heading" w:locked="1"/>
    <w:lsdException w:qFormat="1" w:unhideWhenUsed="0" w:uiPriority="0" w:name="caption" w:locked="1"/>
    <w:lsdException w:unhideWhenUsed="0" w:uiPriority="0" w:name="table of figures" w:locked="1"/>
    <w:lsdException w:unhideWhenUsed="0" w:uiPriority="0" w:name="envelope address" w:locked="1"/>
    <w:lsdException w:unhideWhenUsed="0" w:uiPriority="0" w:name="envelope return" w:locked="1"/>
    <w:lsdException w:unhideWhenUsed="0" w:uiPriority="0" w:name="footnote reference" w:locked="1"/>
    <w:lsdException w:qFormat="1" w:unhideWhenUsed="0" w:uiPriority="0" w:name="annotation reference"/>
    <w:lsdException w:unhideWhenUsed="0" w:uiPriority="0" w:name="line number" w:locked="1"/>
    <w:lsdException w:qFormat="1" w:unhideWhenUsed="0" w:uiPriority="0" w:name="page number" w:locked="1"/>
    <w:lsdException w:unhideWhenUsed="0" w:uiPriority="0" w:name="endnote reference" w:locked="1"/>
    <w:lsdException w:unhideWhenUsed="0" w:uiPriority="0" w:name="endnote text" w:locked="1"/>
    <w:lsdException w:unhideWhenUsed="0" w:uiPriority="0" w:name="table of authorities" w:locked="1"/>
    <w:lsdException w:unhideWhenUsed="0" w:uiPriority="0" w:name="macro" w:locked="1"/>
    <w:lsdException w:unhideWhenUsed="0" w:uiPriority="0" w:name="toa heading" w:locked="1"/>
    <w:lsdException w:unhideWhenUsed="0" w:uiPriority="0" w:name="List" w:locked="1"/>
    <w:lsdException w:unhideWhenUsed="0" w:uiPriority="0" w:name="List Bullet" w:locked="1"/>
    <w:lsdException w:unhideWhenUsed="0" w:uiPriority="0" w:name="List Number" w:locked="1"/>
    <w:lsdException w:unhideWhenUsed="0" w:uiPriority="0" w:name="List 2" w:locked="1"/>
    <w:lsdException w:unhideWhenUsed="0" w:uiPriority="0" w:name="List 3" w:locked="1"/>
    <w:lsdException w:unhideWhenUsed="0" w:uiPriority="0" w:name="List 4" w:locked="1"/>
    <w:lsdException w:unhideWhenUsed="0" w:uiPriority="0" w:name="List 5" w:locked="1"/>
    <w:lsdException w:unhideWhenUsed="0" w:uiPriority="0" w:name="List Bullet 2" w:locked="1"/>
    <w:lsdException w:unhideWhenUsed="0" w:uiPriority="0" w:name="List Bullet 3" w:locked="1"/>
    <w:lsdException w:unhideWhenUsed="0" w:uiPriority="0" w:name="List Bullet 4" w:locked="1"/>
    <w:lsdException w:qFormat="1" w:unhideWhenUsed="0" w:uiPriority="0" w:name="List Bullet 5" w:locked="1"/>
    <w:lsdException w:unhideWhenUsed="0" w:uiPriority="0" w:name="List Number 2" w:locked="1"/>
    <w:lsdException w:unhideWhenUsed="0" w:uiPriority="0" w:name="List Number 3" w:locked="1"/>
    <w:lsdException w:unhideWhenUsed="0" w:uiPriority="0" w:name="List Number 4" w:locked="1"/>
    <w:lsdException w:unhideWhenUsed="0" w:uiPriority="0" w:name="List Number 5" w:locked="1"/>
    <w:lsdException w:qFormat="1" w:unhideWhenUsed="0" w:uiPriority="0" w:name="Title" w:locked="1"/>
    <w:lsdException w:unhideWhenUsed="0" w:uiPriority="0" w:name="Closing" w:locked="1"/>
    <w:lsdException w:unhideWhenUsed="0" w:uiPriority="0" w:name="Signature" w:locked="1"/>
    <w:lsdException w:qFormat="1" w:uiPriority="1" w:name="Default Paragraph Font"/>
    <w:lsdException w:qFormat="1" w:unhideWhenUsed="0" w:uiPriority="0" w:semiHidden="0" w:name="Body Text"/>
    <w:lsdException w:qFormat="1" w:unhideWhenUsed="0" w:uiPriority="0" w:name="Body Text Indent"/>
    <w:lsdException w:unhideWhenUsed="0" w:uiPriority="0" w:name="List Continue" w:locked="1"/>
    <w:lsdException w:unhideWhenUsed="0" w:uiPriority="0" w:name="List Continue 2" w:locked="1"/>
    <w:lsdException w:unhideWhenUsed="0" w:uiPriority="0" w:name="List Continue 3" w:locked="1"/>
    <w:lsdException w:unhideWhenUsed="0" w:uiPriority="0" w:name="List Continue 4" w:locked="1"/>
    <w:lsdException w:unhideWhenUsed="0" w:uiPriority="0" w:name="List Continue 5" w:locked="1"/>
    <w:lsdException w:unhideWhenUsed="0" w:uiPriority="0" w:name="Message Header" w:locked="1"/>
    <w:lsdException w:qFormat="1" w:uiPriority="0" w:semiHidden="0" w:name="Subtitle" w:locked="1"/>
    <w:lsdException w:unhideWhenUsed="0" w:uiPriority="0" w:name="Salutation" w:locked="1"/>
    <w:lsdException w:qFormat="1" w:unhideWhenUsed="0" w:uiPriority="0" w:name="Date"/>
    <w:lsdException w:qFormat="1" w:unhideWhenUsed="0" w:uiPriority="0" w:semiHidden="0" w:name="Body Text First Indent" w:locked="1"/>
    <w:lsdException w:qFormat="1" w:uiPriority="0" w:semiHidden="0" w:name="Body Text First Indent 2" w:locked="1"/>
    <w:lsdException w:unhideWhenUsed="0" w:uiPriority="0" w:name="Note Heading" w:locked="1"/>
    <w:lsdException w:unhideWhenUsed="0" w:uiPriority="0" w:name="Body Text 2" w:locked="1"/>
    <w:lsdException w:unhideWhenUsed="0" w:uiPriority="0" w:name="Body Text 3" w:locked="1"/>
    <w:lsdException w:qFormat="1" w:unhideWhenUsed="0" w:uiPriority="99" w:name="Body Text Indent 2" w:locked="1"/>
    <w:lsdException w:unhideWhenUsed="0" w:uiPriority="0" w:name="Body Text Indent 3" w:locked="1"/>
    <w:lsdException w:qFormat="1" w:unhideWhenUsed="0" w:uiPriority="0" w:semiHidden="0" w:name="Block Text" w:locked="1"/>
    <w:lsdException w:unhideWhenUsed="0" w:uiPriority="0" w:name="Hyperlink" w:locked="1"/>
    <w:lsdException w:unhideWhenUsed="0" w:uiPriority="0" w:name="FollowedHyperlink" w:locked="1"/>
    <w:lsdException w:qFormat="1" w:unhideWhenUsed="0" w:uiPriority="0" w:semiHidden="0" w:name="Strong" w:locked="1"/>
    <w:lsdException w:qFormat="1" w:unhideWhenUsed="0" w:uiPriority="0" w:name="Emphasis" w:locked="1"/>
    <w:lsdException w:unhideWhenUsed="0" w:uiPriority="0" w:name="Document Map" w:locked="1"/>
    <w:lsdException w:qFormat="1" w:unhideWhenUsed="0" w:uiPriority="0" w:name="Plain Text" w:locked="1"/>
    <w:lsdException w:unhideWhenUsed="0" w:uiPriority="0" w:name="E-mail Signature" w:locked="1"/>
    <w:lsdException w:qFormat="1" w:unhideWhenUsed="0" w:uiPriority="0" w:name="Normal (Web)"/>
    <w:lsdException w:unhideWhenUsed="0" w:uiPriority="0" w:name="HTML Acronym" w:locked="1"/>
    <w:lsdException w:unhideWhenUsed="0" w:uiPriority="0" w:name="HTML Address" w:locked="1"/>
    <w:lsdException w:unhideWhenUsed="0" w:uiPriority="0" w:name="HTML Cite" w:locked="1"/>
    <w:lsdException w:unhideWhenUsed="0" w:uiPriority="0" w:name="HTML Code" w:locked="1"/>
    <w:lsdException w:unhideWhenUsed="0" w:uiPriority="0" w:name="HTML Definition" w:locked="1"/>
    <w:lsdException w:unhideWhenUsed="0" w:uiPriority="0" w:name="HTML Keyboard" w:locked="1"/>
    <w:lsdException w:unhideWhenUsed="0" w:uiPriority="0" w:name="HTML Preformatted" w:locked="1"/>
    <w:lsdException w:unhideWhenUsed="0" w:uiPriority="0" w:name="HTML Sample" w:locked="1"/>
    <w:lsdException w:unhideWhenUsed="0" w:uiPriority="0" w:name="HTML Typewriter" w:locked="1"/>
    <w:lsdException w:unhideWhenUsed="0"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semiHidden/>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keepNext/>
      <w:keepLines/>
      <w:adjustRightInd w:val="0"/>
      <w:snapToGrid w:val="0"/>
      <w:spacing w:beforeLines="50" w:after="120" w:line="360" w:lineRule="auto"/>
      <w:ind w:firstLine="510"/>
      <w:textAlignment w:val="baseline"/>
      <w:outlineLvl w:val="1"/>
    </w:pPr>
    <w:rPr>
      <w:rFonts w:ascii="黑体" w:hAnsi="Arial" w:eastAsia="黑体"/>
      <w:b/>
      <w:spacing w:val="4"/>
      <w:sz w:val="24"/>
    </w:rPr>
  </w:style>
  <w:style w:type="paragraph" w:styleId="4">
    <w:name w:val="heading 3"/>
    <w:basedOn w:val="1"/>
    <w:next w:val="1"/>
    <w:link w:val="87"/>
    <w:semiHidden/>
    <w:qFormat/>
    <w:locked/>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2"/>
    <w:semiHidden/>
    <w:qFormat/>
    <w:locked/>
    <w:uiPriority w:val="0"/>
    <w:pPr>
      <w:adjustRightInd w:val="0"/>
      <w:snapToGrid w:val="0"/>
      <w:spacing w:before="156" w:beforeLines="50" w:after="156" w:afterLines="50" w:line="360" w:lineRule="auto"/>
      <w:ind w:firstLine="560" w:firstLineChars="200"/>
    </w:pPr>
    <w:rPr>
      <w:sz w:val="28"/>
    </w:rPr>
  </w:style>
  <w:style w:type="paragraph" w:styleId="6">
    <w:name w:val="annotation text"/>
    <w:basedOn w:val="1"/>
    <w:link w:val="41"/>
    <w:semiHidden/>
    <w:qFormat/>
    <w:uiPriority w:val="0"/>
    <w:pPr>
      <w:jc w:val="left"/>
    </w:pPr>
    <w:rPr>
      <w:kern w:val="0"/>
      <w:sz w:val="24"/>
      <w:szCs w:val="20"/>
    </w:rPr>
  </w:style>
  <w:style w:type="paragraph" w:styleId="7">
    <w:name w:val="Body Text"/>
    <w:basedOn w:val="1"/>
    <w:next w:val="8"/>
    <w:link w:val="40"/>
    <w:qFormat/>
    <w:uiPriority w:val="0"/>
    <w:pPr>
      <w:widowControl/>
      <w:snapToGrid w:val="0"/>
      <w:spacing w:before="60" w:after="160" w:line="259" w:lineRule="auto"/>
      <w:ind w:right="113"/>
    </w:pPr>
    <w:rPr>
      <w:kern w:val="0"/>
      <w:sz w:val="18"/>
      <w:szCs w:val="20"/>
    </w:rPr>
  </w:style>
  <w:style w:type="paragraph" w:styleId="8">
    <w:name w:val="List Bullet 5"/>
    <w:basedOn w:val="1"/>
    <w:semiHidden/>
    <w:qFormat/>
    <w:locked/>
    <w:uiPriority w:val="0"/>
    <w:pPr>
      <w:numPr>
        <w:ilvl w:val="0"/>
        <w:numId w:val="1"/>
      </w:numPr>
    </w:pPr>
  </w:style>
  <w:style w:type="paragraph" w:styleId="9">
    <w:name w:val="Body Text Indent"/>
    <w:basedOn w:val="1"/>
    <w:next w:val="10"/>
    <w:link w:val="50"/>
    <w:semiHidden/>
    <w:qFormat/>
    <w:uiPriority w:val="0"/>
    <w:pPr>
      <w:spacing w:after="120"/>
      <w:ind w:left="420" w:leftChars="200"/>
    </w:pPr>
    <w:rPr>
      <w:kern w:val="0"/>
      <w:sz w:val="24"/>
      <w:szCs w:val="20"/>
    </w:rPr>
  </w:style>
  <w:style w:type="paragraph" w:customStyle="1" w:styleId="10">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11">
    <w:name w:val="Block Text"/>
    <w:basedOn w:val="1"/>
    <w:qFormat/>
    <w:locked/>
    <w:uiPriority w:val="0"/>
    <w:pPr>
      <w:snapToGrid w:val="0"/>
      <w:spacing w:line="420" w:lineRule="exact"/>
      <w:ind w:left="101" w:leftChars="48" w:right="149" w:rightChars="71" w:firstLine="426" w:firstLineChars="203"/>
    </w:pPr>
  </w:style>
  <w:style w:type="paragraph" w:styleId="12">
    <w:name w:val="Plain Text"/>
    <w:basedOn w:val="1"/>
    <w:next w:val="1"/>
    <w:link w:val="59"/>
    <w:semiHidden/>
    <w:qFormat/>
    <w:locked/>
    <w:uiPriority w:val="0"/>
    <w:rPr>
      <w:rFonts w:ascii="宋体" w:hAnsi="Courier New"/>
      <w:szCs w:val="20"/>
    </w:rPr>
  </w:style>
  <w:style w:type="paragraph" w:styleId="13">
    <w:name w:val="Date"/>
    <w:basedOn w:val="1"/>
    <w:next w:val="1"/>
    <w:link w:val="36"/>
    <w:semiHidden/>
    <w:qFormat/>
    <w:uiPriority w:val="0"/>
    <w:pPr>
      <w:ind w:left="100" w:leftChars="2500"/>
    </w:pPr>
    <w:rPr>
      <w:kern w:val="0"/>
      <w:sz w:val="24"/>
      <w:szCs w:val="20"/>
    </w:rPr>
  </w:style>
  <w:style w:type="paragraph" w:styleId="14">
    <w:name w:val="Body Text Indent 2"/>
    <w:basedOn w:val="1"/>
    <w:next w:val="15"/>
    <w:link w:val="84"/>
    <w:semiHidden/>
    <w:qFormat/>
    <w:locked/>
    <w:uiPriority w:val="99"/>
    <w:pPr>
      <w:spacing w:after="120" w:line="480" w:lineRule="auto"/>
      <w:ind w:left="420" w:leftChars="200"/>
    </w:pPr>
    <w:rPr>
      <w:lang w:val="zh-CN" w:eastAsia="zh-CN"/>
    </w:rPr>
  </w:style>
  <w:style w:type="paragraph" w:styleId="15">
    <w:name w:val="Body Text First Indent 2"/>
    <w:basedOn w:val="9"/>
    <w:next w:val="1"/>
    <w:unhideWhenUsed/>
    <w:qFormat/>
    <w:locked/>
    <w:uiPriority w:val="0"/>
    <w:pPr>
      <w:spacing w:after="120"/>
      <w:ind w:left="420" w:leftChars="200" w:firstLine="420" w:firstLineChars="200"/>
    </w:pPr>
  </w:style>
  <w:style w:type="paragraph" w:styleId="16">
    <w:name w:val="Balloon Text"/>
    <w:basedOn w:val="1"/>
    <w:link w:val="46"/>
    <w:semiHidden/>
    <w:qFormat/>
    <w:uiPriority w:val="0"/>
    <w:rPr>
      <w:kern w:val="0"/>
      <w:sz w:val="18"/>
      <w:szCs w:val="20"/>
    </w:rPr>
  </w:style>
  <w:style w:type="paragraph" w:styleId="17">
    <w:name w:val="footer"/>
    <w:basedOn w:val="1"/>
    <w:link w:val="35"/>
    <w:semiHidden/>
    <w:qFormat/>
    <w:uiPriority w:val="99"/>
    <w:pPr>
      <w:tabs>
        <w:tab w:val="center" w:pos="4153"/>
        <w:tab w:val="right" w:pos="8306"/>
      </w:tabs>
      <w:snapToGrid w:val="0"/>
      <w:jc w:val="left"/>
    </w:pPr>
    <w:rPr>
      <w:kern w:val="0"/>
      <w:sz w:val="18"/>
      <w:szCs w:val="20"/>
    </w:rPr>
  </w:style>
  <w:style w:type="paragraph" w:styleId="18">
    <w:name w:val="header"/>
    <w:basedOn w:val="1"/>
    <w:link w:val="48"/>
    <w:semiHidden/>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Subtitle"/>
    <w:basedOn w:val="1"/>
    <w:next w:val="1"/>
    <w:unhideWhenUsed/>
    <w:qFormat/>
    <w:locked/>
    <w:uiPriority w:val="0"/>
    <w:pPr>
      <w:spacing w:beforeLines="0" w:afterLines="0" w:line="360" w:lineRule="auto"/>
      <w:ind w:firstLine="200" w:firstLineChars="200"/>
    </w:pPr>
    <w:rPr>
      <w:rFonts w:hint="default"/>
      <w:b/>
      <w:kern w:val="28"/>
      <w:sz w:val="24"/>
      <w:szCs w:val="32"/>
    </w:rPr>
  </w:style>
  <w:style w:type="paragraph" w:styleId="20">
    <w:name w:val="Normal (Web)"/>
    <w:basedOn w:val="1"/>
    <w:link w:val="38"/>
    <w:semiHidden/>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6"/>
    <w:next w:val="6"/>
    <w:link w:val="47"/>
    <w:semiHidden/>
    <w:qFormat/>
    <w:uiPriority w:val="0"/>
    <w:rPr>
      <w:b/>
    </w:rPr>
  </w:style>
  <w:style w:type="paragraph" w:styleId="22">
    <w:name w:val="Body Text First Indent"/>
    <w:basedOn w:val="1"/>
    <w:qFormat/>
    <w:locked/>
    <w:uiPriority w:val="0"/>
    <w:pPr>
      <w:spacing w:after="120" w:line="240" w:lineRule="auto"/>
      <w:ind w:firstLine="420" w:firstLineChars="100"/>
      <w:outlineLvl w:val="9"/>
    </w:pPr>
    <w:rPr>
      <w:rFonts w:ascii="宋体" w:eastAsia="宋体"/>
      <w:spacing w:val="0"/>
      <w:szCs w:val="24"/>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semiHidden/>
    <w:qFormat/>
    <w:locked/>
    <w:uiPriority w:val="0"/>
  </w:style>
  <w:style w:type="character" w:styleId="28">
    <w:name w:val="annotation reference"/>
    <w:semiHidden/>
    <w:qFormat/>
    <w:uiPriority w:val="0"/>
    <w:rPr>
      <w:sz w:val="21"/>
    </w:rPr>
  </w:style>
  <w:style w:type="paragraph" w:customStyle="1" w:styleId="29">
    <w:name w:val="报告表正文"/>
    <w:basedOn w:val="1"/>
    <w:semiHidden/>
    <w:qFormat/>
    <w:uiPriority w:val="0"/>
    <w:pPr>
      <w:adjustRightInd w:val="0"/>
      <w:spacing w:line="312" w:lineRule="auto"/>
      <w:ind w:left="113" w:right="113" w:firstLine="482"/>
      <w:jc w:val="left"/>
      <w:textAlignment w:val="baseline"/>
    </w:pPr>
    <w:rPr>
      <w:kern w:val="0"/>
      <w:sz w:val="24"/>
      <w:szCs w:val="20"/>
    </w:rPr>
  </w:style>
  <w:style w:type="paragraph" w:customStyle="1" w:styleId="30">
    <w:name w:val="正文缩进2"/>
    <w:basedOn w:val="1"/>
    <w:qFormat/>
    <w:uiPriority w:val="0"/>
    <w:pPr>
      <w:spacing w:line="500" w:lineRule="exact"/>
    </w:pPr>
  </w:style>
  <w:style w:type="paragraph" w:customStyle="1" w:styleId="31">
    <w:name w:val="Default"/>
    <w:basedOn w:val="32"/>
    <w:semiHidden/>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表格文字"/>
    <w:basedOn w:val="5"/>
    <w:next w:val="1"/>
    <w:link w:val="57"/>
    <w:qFormat/>
    <w:uiPriority w:val="0"/>
    <w:pPr>
      <w:snapToGrid w:val="0"/>
      <w:spacing w:line="440" w:lineRule="exact"/>
      <w:jc w:val="center"/>
    </w:pPr>
    <w:rPr>
      <w:szCs w:val="21"/>
    </w:rPr>
  </w:style>
  <w:style w:type="paragraph" w:customStyle="1" w:styleId="34">
    <w:name w:val="表内容@"/>
    <w:basedOn w:val="1"/>
    <w:qFormat/>
    <w:uiPriority w:val="0"/>
    <w:pPr>
      <w:adjustRightInd w:val="0"/>
      <w:spacing w:line="0" w:lineRule="atLeast"/>
      <w:jc w:val="center"/>
    </w:pPr>
    <w:rPr>
      <w:rFonts w:ascii="宋体" w:hAnsi="宋体" w:cs="Arial"/>
      <w:szCs w:val="21"/>
    </w:rPr>
  </w:style>
  <w:style w:type="character" w:customStyle="1" w:styleId="35">
    <w:name w:val="页脚 字符1"/>
    <w:link w:val="17"/>
    <w:semiHidden/>
    <w:qFormat/>
    <w:locked/>
    <w:uiPriority w:val="99"/>
    <w:rPr>
      <w:sz w:val="18"/>
    </w:rPr>
  </w:style>
  <w:style w:type="character" w:customStyle="1" w:styleId="36">
    <w:name w:val="日期 字符1"/>
    <w:link w:val="13"/>
    <w:semiHidden/>
    <w:qFormat/>
    <w:locked/>
    <w:uiPriority w:val="0"/>
    <w:rPr>
      <w:sz w:val="24"/>
    </w:rPr>
  </w:style>
  <w:style w:type="character" w:customStyle="1" w:styleId="37">
    <w:name w:val="页脚 字符"/>
    <w:basedOn w:val="25"/>
    <w:semiHidden/>
    <w:qFormat/>
    <w:uiPriority w:val="99"/>
  </w:style>
  <w:style w:type="character" w:customStyle="1" w:styleId="38">
    <w:name w:val="普通(网站) 字符"/>
    <w:link w:val="20"/>
    <w:semiHidden/>
    <w:qFormat/>
    <w:locked/>
    <w:uiPriority w:val="0"/>
    <w:rPr>
      <w:rFonts w:ascii="宋体" w:hAnsi="宋体"/>
      <w:sz w:val="24"/>
    </w:rPr>
  </w:style>
  <w:style w:type="character" w:customStyle="1" w:styleId="39">
    <w:name w:val="正文文本 字符1"/>
    <w:semiHidden/>
    <w:qFormat/>
    <w:uiPriority w:val="0"/>
    <w:rPr>
      <w:rFonts w:ascii="Times New Roman" w:hAnsi="Times New Roman" w:eastAsia="宋体"/>
      <w:sz w:val="24"/>
    </w:rPr>
  </w:style>
  <w:style w:type="character" w:customStyle="1" w:styleId="40">
    <w:name w:val="正文文本 字符"/>
    <w:link w:val="7"/>
    <w:qFormat/>
    <w:locked/>
    <w:uiPriority w:val="0"/>
    <w:rPr>
      <w:sz w:val="18"/>
    </w:rPr>
  </w:style>
  <w:style w:type="character" w:customStyle="1" w:styleId="41">
    <w:name w:val="批注文字 字符"/>
    <w:link w:val="6"/>
    <w:semiHidden/>
    <w:qFormat/>
    <w:locked/>
    <w:uiPriority w:val="0"/>
    <w:rPr>
      <w:sz w:val="24"/>
    </w:rPr>
  </w:style>
  <w:style w:type="character" w:customStyle="1" w:styleId="42">
    <w:name w:val="表格 Char"/>
    <w:link w:val="43"/>
    <w:qFormat/>
    <w:locked/>
    <w:uiPriority w:val="0"/>
    <w:rPr>
      <w:rFonts w:ascii="宋体"/>
      <w:sz w:val="21"/>
    </w:rPr>
  </w:style>
  <w:style w:type="paragraph" w:customStyle="1" w:styleId="43">
    <w:name w:val="表格"/>
    <w:basedOn w:val="44"/>
    <w:next w:val="1"/>
    <w:link w:val="42"/>
    <w:qFormat/>
    <w:uiPriority w:val="0"/>
    <w:pPr>
      <w:adjustRightInd w:val="0"/>
      <w:snapToGrid w:val="0"/>
      <w:spacing w:beforeLines="10" w:afterLines="10" w:line="259" w:lineRule="auto"/>
      <w:jc w:val="center"/>
    </w:pPr>
    <w:rPr>
      <w:rFonts w:ascii="宋体"/>
      <w:kern w:val="0"/>
      <w:szCs w:val="20"/>
    </w:rPr>
  </w:style>
  <w:style w:type="paragraph" w:customStyle="1" w:styleId="44">
    <w:name w:val="表头"/>
    <w:basedOn w:val="5"/>
    <w:next w:val="1"/>
    <w:semiHidden/>
    <w:qFormat/>
    <w:locked/>
    <w:uiPriority w:val="0"/>
    <w:pPr>
      <w:spacing w:line="360" w:lineRule="auto"/>
      <w:jc w:val="center"/>
    </w:pPr>
    <w:rPr>
      <w:b/>
      <w:sz w:val="24"/>
      <w:szCs w:val="22"/>
    </w:rPr>
  </w:style>
  <w:style w:type="character" w:customStyle="1" w:styleId="45">
    <w:name w:val="日期 字符"/>
    <w:semiHidden/>
    <w:qFormat/>
    <w:uiPriority w:val="0"/>
    <w:rPr>
      <w:rFonts w:ascii="Times New Roman" w:hAnsi="Times New Roman" w:eastAsia="宋体"/>
      <w:sz w:val="24"/>
    </w:rPr>
  </w:style>
  <w:style w:type="character" w:customStyle="1" w:styleId="46">
    <w:name w:val="批注框文本 字符"/>
    <w:link w:val="16"/>
    <w:semiHidden/>
    <w:qFormat/>
    <w:locked/>
    <w:uiPriority w:val="0"/>
    <w:rPr>
      <w:sz w:val="18"/>
    </w:rPr>
  </w:style>
  <w:style w:type="character" w:customStyle="1" w:styleId="47">
    <w:name w:val="批注主题 字符"/>
    <w:link w:val="21"/>
    <w:semiHidden/>
    <w:qFormat/>
    <w:locked/>
    <w:uiPriority w:val="0"/>
    <w:rPr>
      <w:b/>
      <w:sz w:val="24"/>
    </w:rPr>
  </w:style>
  <w:style w:type="character" w:customStyle="1" w:styleId="48">
    <w:name w:val="页眉 字符"/>
    <w:link w:val="18"/>
    <w:semiHidden/>
    <w:qFormat/>
    <w:locked/>
    <w:uiPriority w:val="0"/>
    <w:rPr>
      <w:sz w:val="18"/>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正文文本缩进 字符"/>
    <w:link w:val="9"/>
    <w:semiHidden/>
    <w:qFormat/>
    <w:locked/>
    <w:uiPriority w:val="0"/>
    <w:rPr>
      <w:sz w:val="24"/>
    </w:rPr>
  </w:style>
  <w:style w:type="paragraph" w:customStyle="1" w:styleId="51">
    <w:name w:val="正文_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semiHidden/>
    <w:qFormat/>
    <w:uiPriority w:val="0"/>
    <w:pPr>
      <w:widowControl/>
      <w:spacing w:before="100" w:beforeAutospacing="1" w:after="100" w:afterAutospacing="1"/>
      <w:jc w:val="left"/>
    </w:pPr>
    <w:rPr>
      <w:rFonts w:ascii="宋体" w:hAnsi="宋体"/>
      <w:sz w:val="24"/>
      <w:szCs w:val="20"/>
    </w:rPr>
  </w:style>
  <w:style w:type="paragraph" w:customStyle="1" w:styleId="53">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b/>
      <w:bCs/>
      <w:kern w:val="0"/>
      <w:szCs w:val="21"/>
    </w:rPr>
  </w:style>
  <w:style w:type="paragraph" w:customStyle="1" w:styleId="54">
    <w:name w:val="li 表头文字"/>
    <w:link w:val="55"/>
    <w:qFormat/>
    <w:uiPriority w:val="0"/>
    <w:pPr>
      <w:spacing w:line="460" w:lineRule="exact"/>
      <w:jc w:val="center"/>
    </w:pPr>
    <w:rPr>
      <w:rFonts w:ascii="Times New Roman" w:hAnsi="Times New Roman" w:eastAsia="宋体" w:cs="Times New Roman"/>
      <w:b/>
      <w:spacing w:val="4"/>
      <w:kern w:val="2"/>
      <w:sz w:val="21"/>
      <w:szCs w:val="21"/>
      <w:lang w:val="en-US" w:eastAsia="zh-CN" w:bidi="ar-SA"/>
    </w:rPr>
  </w:style>
  <w:style w:type="character" w:customStyle="1" w:styleId="55">
    <w:name w:val="li 表头文字 Char"/>
    <w:link w:val="54"/>
    <w:qFormat/>
    <w:uiPriority w:val="0"/>
    <w:rPr>
      <w:b/>
      <w:spacing w:val="4"/>
      <w:kern w:val="2"/>
      <w:sz w:val="21"/>
      <w:szCs w:val="21"/>
    </w:rPr>
  </w:style>
  <w:style w:type="paragraph" w:customStyle="1" w:styleId="56">
    <w:name w:val="表格内容"/>
    <w:basedOn w:val="1"/>
    <w:qFormat/>
    <w:uiPriority w:val="0"/>
    <w:pPr>
      <w:jc w:val="left"/>
    </w:pPr>
    <w:rPr>
      <w:rFonts w:ascii="方正仿宋_GB2312" w:hAnsi="宋体" w:eastAsia="方正仿宋_GB2312"/>
      <w:color w:val="000000"/>
      <w:szCs w:val="28"/>
    </w:rPr>
  </w:style>
  <w:style w:type="character" w:customStyle="1" w:styleId="57">
    <w:name w:val="表格文字 Char"/>
    <w:link w:val="33"/>
    <w:semiHidden/>
    <w:qFormat/>
    <w:uiPriority w:val="0"/>
    <w:rPr>
      <w:kern w:val="2"/>
      <w:sz w:val="21"/>
      <w:szCs w:val="21"/>
    </w:rPr>
  </w:style>
  <w:style w:type="paragraph" w:customStyle="1" w:styleId="58">
    <w:name w:val="Char"/>
    <w:basedOn w:val="1"/>
    <w:semiHidden/>
    <w:qFormat/>
    <w:uiPriority w:val="0"/>
    <w:pPr>
      <w:spacing w:line="560" w:lineRule="exact"/>
      <w:ind w:firstLine="200" w:firstLineChars="200"/>
    </w:pPr>
    <w:rPr>
      <w:rFonts w:ascii="宋体" w:hAnsi="宋体" w:cs="宋体"/>
      <w:sz w:val="28"/>
      <w:szCs w:val="28"/>
    </w:rPr>
  </w:style>
  <w:style w:type="character" w:customStyle="1" w:styleId="59">
    <w:name w:val="纯文本 字符1"/>
    <w:link w:val="12"/>
    <w:semiHidden/>
    <w:qFormat/>
    <w:uiPriority w:val="0"/>
    <w:rPr>
      <w:rFonts w:ascii="宋体" w:hAnsi="Courier New"/>
      <w:kern w:val="2"/>
      <w:sz w:val="21"/>
    </w:rPr>
  </w:style>
  <w:style w:type="character" w:customStyle="1" w:styleId="60">
    <w:name w:val="纯文本 字符"/>
    <w:semiHidden/>
    <w:qFormat/>
    <w:uiPriority w:val="0"/>
    <w:rPr>
      <w:rFonts w:ascii="宋体" w:hAnsi="Courier New" w:cs="Courier New"/>
      <w:kern w:val="2"/>
      <w:sz w:val="21"/>
      <w:szCs w:val="21"/>
    </w:rPr>
  </w:style>
  <w:style w:type="paragraph" w:customStyle="1" w:styleId="61">
    <w:name w:val="正文1"/>
    <w:basedOn w:val="1"/>
    <w:link w:val="62"/>
    <w:qFormat/>
    <w:uiPriority w:val="0"/>
    <w:pPr>
      <w:spacing w:line="560" w:lineRule="exact"/>
      <w:ind w:firstLine="200" w:firstLineChars="200"/>
    </w:pPr>
    <w:rPr>
      <w:rFonts w:ascii="宋体" w:hAnsi="宋体" w:cs="宋体"/>
      <w:sz w:val="28"/>
      <w:szCs w:val="28"/>
    </w:rPr>
  </w:style>
  <w:style w:type="character" w:customStyle="1" w:styleId="62">
    <w:name w:val="正文1 Char"/>
    <w:link w:val="61"/>
    <w:qFormat/>
    <w:uiPriority w:val="0"/>
    <w:rPr>
      <w:rFonts w:ascii="宋体" w:hAnsi="宋体" w:cs="宋体"/>
      <w:kern w:val="2"/>
      <w:sz w:val="28"/>
      <w:szCs w:val="28"/>
    </w:rPr>
  </w:style>
  <w:style w:type="paragraph" w:customStyle="1" w:styleId="63">
    <w:name w:val="正文_4"/>
    <w:semiHidden/>
    <w:qFormat/>
    <w:uiPriority w:val="0"/>
    <w:pPr>
      <w:widowControl w:val="0"/>
      <w:jc w:val="both"/>
    </w:pPr>
    <w:rPr>
      <w:rFonts w:ascii="Calibri" w:hAnsi="Calibri" w:eastAsia="宋体" w:cs="Times New Roman"/>
      <w:kern w:val="2"/>
      <w:sz w:val="21"/>
      <w:lang w:val="en-US" w:eastAsia="zh-CN" w:bidi="ar-SA"/>
    </w:rPr>
  </w:style>
  <w:style w:type="paragraph" w:customStyle="1" w:styleId="64">
    <w:name w:val="山焦报告正文"/>
    <w:basedOn w:val="1"/>
    <w:qFormat/>
    <w:uiPriority w:val="0"/>
    <w:pPr>
      <w:adjustRightInd w:val="0"/>
      <w:snapToGrid w:val="0"/>
      <w:spacing w:before="78" w:beforeLines="25" w:line="440" w:lineRule="exact"/>
      <w:ind w:firstLine="200" w:firstLineChars="200"/>
    </w:pPr>
    <w:rPr>
      <w:color w:val="000000"/>
      <w:sz w:val="24"/>
    </w:rPr>
  </w:style>
  <w:style w:type="paragraph" w:customStyle="1" w:styleId="65">
    <w:name w:val="标准"/>
    <w:basedOn w:val="1"/>
    <w:semiHidden/>
    <w:qFormat/>
    <w:uiPriority w:val="0"/>
    <w:pPr>
      <w:adjustRightInd w:val="0"/>
      <w:spacing w:line="312" w:lineRule="atLeast"/>
      <w:jc w:val="center"/>
      <w:textAlignment w:val="baseline"/>
    </w:pPr>
    <w:rPr>
      <w:kern w:val="0"/>
      <w:szCs w:val="21"/>
    </w:rPr>
  </w:style>
  <w:style w:type="character" w:customStyle="1" w:styleId="66">
    <w:name w:val="正文修改 Char"/>
    <w:link w:val="67"/>
    <w:semiHidden/>
    <w:qFormat/>
    <w:uiPriority w:val="0"/>
    <w:rPr>
      <w:kern w:val="2"/>
      <w:sz w:val="24"/>
      <w:szCs w:val="24"/>
    </w:rPr>
  </w:style>
  <w:style w:type="paragraph" w:customStyle="1" w:styleId="67">
    <w:name w:val="正文修改"/>
    <w:next w:val="1"/>
    <w:link w:val="66"/>
    <w:semiHidden/>
    <w:qFormat/>
    <w:uiPriority w:val="0"/>
    <w:pPr>
      <w:adjustRightIn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8">
    <w:name w:val="列出段落"/>
    <w:basedOn w:val="1"/>
    <w:semiHidden/>
    <w:qFormat/>
    <w:uiPriority w:val="0"/>
    <w:pPr>
      <w:adjustRightInd w:val="0"/>
      <w:ind w:firstLine="420" w:firstLineChars="200"/>
      <w:textAlignment w:val="baseline"/>
    </w:pPr>
    <w:rPr>
      <w:szCs w:val="20"/>
    </w:rPr>
  </w:style>
  <w:style w:type="character" w:customStyle="1" w:styleId="69">
    <w:name w:val="正文1 Char Char"/>
    <w:semiHidden/>
    <w:qFormat/>
    <w:uiPriority w:val="0"/>
    <w:rPr>
      <w:rFonts w:ascii="宋体" w:hAnsi="宋体" w:eastAsia="宋体" w:cs="宋体"/>
      <w:kern w:val="2"/>
      <w:sz w:val="28"/>
      <w:szCs w:val="28"/>
      <w:lang w:val="en-US" w:eastAsia="zh-CN" w:bidi="ar-SA"/>
    </w:rPr>
  </w:style>
  <w:style w:type="character" w:customStyle="1" w:styleId="70">
    <w:name w:val="正文 Char"/>
    <w:link w:val="71"/>
    <w:semiHidden/>
    <w:qFormat/>
    <w:uiPriority w:val="0"/>
    <w:rPr>
      <w:rFonts w:ascii="宋体" w:hAnsi="宋体"/>
      <w:kern w:val="2"/>
      <w:sz w:val="24"/>
      <w:szCs w:val="24"/>
    </w:rPr>
  </w:style>
  <w:style w:type="paragraph" w:customStyle="1" w:styleId="71">
    <w:name w:val="正文3"/>
    <w:basedOn w:val="1"/>
    <w:next w:val="1"/>
    <w:link w:val="70"/>
    <w:semiHidden/>
    <w:qFormat/>
    <w:uiPriority w:val="0"/>
    <w:pPr>
      <w:spacing w:line="529" w:lineRule="exact"/>
      <w:ind w:firstLine="420"/>
    </w:pPr>
    <w:rPr>
      <w:rFonts w:ascii="宋体" w:hAnsi="宋体"/>
      <w:sz w:val="24"/>
    </w:rPr>
  </w:style>
  <w:style w:type="character" w:customStyle="1" w:styleId="72">
    <w:name w:val="正文缩进 字符"/>
    <w:link w:val="5"/>
    <w:semiHidden/>
    <w:qFormat/>
    <w:uiPriority w:val="0"/>
    <w:rPr>
      <w:kern w:val="2"/>
      <w:sz w:val="28"/>
      <w:szCs w:val="24"/>
    </w:rPr>
  </w:style>
  <w:style w:type="paragraph" w:customStyle="1" w:styleId="73">
    <w:name w:val="环评正文1"/>
    <w:basedOn w:val="1"/>
    <w:semiHidden/>
    <w:qFormat/>
    <w:uiPriority w:val="0"/>
    <w:pPr>
      <w:spacing w:line="440" w:lineRule="exact"/>
      <w:ind w:firstLine="560" w:firstLineChars="200"/>
    </w:pPr>
    <w:rPr>
      <w:rFonts w:ascii="方正仿宋_GB2312" w:hAnsi="宋体" w:eastAsia="方正仿宋_GB2312"/>
      <w:sz w:val="28"/>
    </w:rPr>
  </w:style>
  <w:style w:type="paragraph" w:customStyle="1" w:styleId="74">
    <w:name w:val="样式 p0 + Times New Roman 小四 两端对齐 段前: 自动 段后: 自动 行距: 1.5 倍行距"/>
    <w:basedOn w:val="1"/>
    <w:semiHidden/>
    <w:qFormat/>
    <w:uiPriority w:val="0"/>
    <w:pPr>
      <w:widowControl/>
      <w:spacing w:line="360" w:lineRule="auto"/>
      <w:ind w:firstLine="200" w:firstLineChars="200"/>
    </w:pPr>
    <w:rPr>
      <w:rFonts w:ascii="Calibri" w:hAnsi="Calibri" w:eastAsia="方正仿宋_GB2312" w:cs="宋体"/>
      <w:sz w:val="28"/>
      <w:szCs w:val="20"/>
    </w:rPr>
  </w:style>
  <w:style w:type="character" w:customStyle="1" w:styleId="75">
    <w:name w:val="标准正文 Char"/>
    <w:link w:val="76"/>
    <w:semiHidden/>
    <w:qFormat/>
    <w:uiPriority w:val="0"/>
    <w:rPr>
      <w:kern w:val="2"/>
      <w:sz w:val="24"/>
      <w:szCs w:val="22"/>
    </w:rPr>
  </w:style>
  <w:style w:type="paragraph" w:customStyle="1" w:styleId="76">
    <w:name w:val="标准正文"/>
    <w:basedOn w:val="1"/>
    <w:link w:val="75"/>
    <w:semiHidden/>
    <w:qFormat/>
    <w:uiPriority w:val="0"/>
    <w:pPr>
      <w:spacing w:line="360" w:lineRule="auto"/>
      <w:ind w:firstLine="200" w:firstLineChars="200"/>
      <w:jc w:val="left"/>
    </w:pPr>
    <w:rPr>
      <w:sz w:val="24"/>
      <w:szCs w:val="22"/>
    </w:rPr>
  </w:style>
  <w:style w:type="character" w:customStyle="1" w:styleId="77">
    <w:name w:val="5号表格 Char"/>
    <w:link w:val="78"/>
    <w:semiHidden/>
    <w:qFormat/>
    <w:uiPriority w:val="0"/>
    <w:rPr>
      <w:kern w:val="2"/>
      <w:sz w:val="21"/>
      <w:szCs w:val="21"/>
    </w:rPr>
  </w:style>
  <w:style w:type="paragraph" w:customStyle="1" w:styleId="78">
    <w:name w:val="五号表格"/>
    <w:basedOn w:val="1"/>
    <w:link w:val="77"/>
    <w:semiHidden/>
    <w:qFormat/>
    <w:uiPriority w:val="0"/>
    <w:pPr>
      <w:jc w:val="center"/>
    </w:pPr>
    <w:rPr>
      <w:szCs w:val="21"/>
    </w:rPr>
  </w:style>
  <w:style w:type="paragraph" w:customStyle="1" w:styleId="79">
    <w:name w:val="段落"/>
    <w:basedOn w:val="1"/>
    <w:semiHidden/>
    <w:qFormat/>
    <w:uiPriority w:val="0"/>
    <w:pPr>
      <w:spacing w:line="360" w:lineRule="auto"/>
      <w:ind w:firstLine="480" w:firstLineChars="200"/>
    </w:pPr>
    <w:rPr>
      <w:rFonts w:ascii="Calibri" w:hAnsi="Calibri" w:cs="宋体"/>
      <w:sz w:val="24"/>
      <w:szCs w:val="20"/>
    </w:rPr>
  </w:style>
  <w:style w:type="paragraph" w:customStyle="1" w:styleId="80">
    <w:name w:val="环评表中文字"/>
    <w:basedOn w:val="1"/>
    <w:next w:val="1"/>
    <w:semiHidden/>
    <w:qFormat/>
    <w:uiPriority w:val="0"/>
    <w:pPr>
      <w:widowControl/>
      <w:tabs>
        <w:tab w:val="left" w:pos="3052"/>
      </w:tabs>
      <w:spacing w:line="240" w:lineRule="exact"/>
      <w:ind w:firstLine="200" w:firstLineChars="200"/>
      <w:jc w:val="center"/>
    </w:pPr>
    <w:rPr>
      <w:rFonts w:ascii="方正仿宋_GB2312" w:hAnsi="宋体" w:eastAsia="方正仿宋_GB2312"/>
      <w:kern w:val="0"/>
      <w:sz w:val="24"/>
      <w:szCs w:val="21"/>
    </w:rPr>
  </w:style>
  <w:style w:type="character" w:customStyle="1" w:styleId="81">
    <w:name w:val="font51"/>
    <w:semiHidden/>
    <w:qFormat/>
    <w:uiPriority w:val="0"/>
    <w:rPr>
      <w:rFonts w:hint="default" w:ascii="Times New Roman" w:hAnsi="Times New Roman" w:cs="Times New Roman"/>
      <w:color w:val="000000"/>
      <w:sz w:val="22"/>
      <w:szCs w:val="22"/>
      <w:u w:val="none"/>
    </w:rPr>
  </w:style>
  <w:style w:type="character" w:customStyle="1" w:styleId="82">
    <w:name w:val="标准正文 Char Char"/>
    <w:semiHidden/>
    <w:qFormat/>
    <w:uiPriority w:val="0"/>
    <w:rPr>
      <w:kern w:val="2"/>
      <w:sz w:val="24"/>
      <w:szCs w:val="22"/>
    </w:rPr>
  </w:style>
  <w:style w:type="character" w:customStyle="1" w:styleId="83">
    <w:name w:val="正文文本缩进 2 字符"/>
    <w:semiHidden/>
    <w:qFormat/>
    <w:uiPriority w:val="0"/>
    <w:rPr>
      <w:kern w:val="2"/>
      <w:sz w:val="21"/>
      <w:szCs w:val="24"/>
    </w:rPr>
  </w:style>
  <w:style w:type="character" w:customStyle="1" w:styleId="84">
    <w:name w:val="正文文本缩进 2 字符1"/>
    <w:link w:val="14"/>
    <w:semiHidden/>
    <w:qFormat/>
    <w:uiPriority w:val="99"/>
    <w:rPr>
      <w:kern w:val="2"/>
      <w:sz w:val="21"/>
      <w:szCs w:val="24"/>
      <w:lang w:val="zh-CN" w:eastAsia="zh-CN"/>
    </w:rPr>
  </w:style>
  <w:style w:type="character" w:customStyle="1" w:styleId="85">
    <w:name w:val="0正文 Char Char"/>
    <w:link w:val="86"/>
    <w:semiHidden/>
    <w:qFormat/>
    <w:uiPriority w:val="0"/>
    <w:rPr>
      <w:kern w:val="2"/>
      <w:sz w:val="24"/>
      <w:szCs w:val="22"/>
    </w:rPr>
  </w:style>
  <w:style w:type="paragraph" w:customStyle="1" w:styleId="86">
    <w:name w:val="0正文"/>
    <w:basedOn w:val="1"/>
    <w:link w:val="85"/>
    <w:semiHidden/>
    <w:qFormat/>
    <w:uiPriority w:val="0"/>
    <w:pPr>
      <w:adjustRightInd w:val="0"/>
      <w:spacing w:line="480" w:lineRule="exact"/>
      <w:ind w:firstLine="200" w:firstLineChars="200"/>
      <w:contextualSpacing/>
    </w:pPr>
    <w:rPr>
      <w:sz w:val="24"/>
      <w:szCs w:val="22"/>
    </w:rPr>
  </w:style>
  <w:style w:type="character" w:customStyle="1" w:styleId="87">
    <w:name w:val="标题 3 字符"/>
    <w:link w:val="4"/>
    <w:semiHidden/>
    <w:qFormat/>
    <w:uiPriority w:val="0"/>
    <w:rPr>
      <w:b/>
      <w:bCs/>
      <w:kern w:val="2"/>
      <w:sz w:val="32"/>
      <w:szCs w:val="32"/>
    </w:rPr>
  </w:style>
  <w:style w:type="paragraph" w:customStyle="1" w:styleId="88">
    <w:name w:val="报告书正文"/>
    <w:basedOn w:val="1"/>
    <w:qFormat/>
    <w:uiPriority w:val="0"/>
    <w:pPr>
      <w:spacing w:line="360" w:lineRule="auto"/>
      <w:ind w:firstLine="480" w:firstLineChars="200"/>
    </w:pPr>
    <w:rPr>
      <w:sz w:val="24"/>
    </w:rPr>
  </w:style>
  <w:style w:type="character" w:customStyle="1" w:styleId="89">
    <w:name w:val="font01"/>
    <w:qFormat/>
    <w:uiPriority w:val="0"/>
    <w:rPr>
      <w:rFonts w:hint="eastAsia" w:ascii="宋体" w:hAnsi="宋体" w:eastAsia="宋体" w:cs="宋体"/>
      <w:color w:val="000000"/>
      <w:sz w:val="22"/>
      <w:szCs w:val="22"/>
      <w:u w:val="none"/>
    </w:rPr>
  </w:style>
  <w:style w:type="character" w:customStyle="1" w:styleId="90">
    <w:name w:val="表格文字 Char Char"/>
    <w:qFormat/>
    <w:uiPriority w:val="0"/>
    <w:rPr>
      <w:rFonts w:ascii="宋体" w:hAnsi="宋体" w:eastAsia="宋体"/>
      <w:bCs/>
      <w:kern w:val="2"/>
      <w:sz w:val="21"/>
      <w:lang w:val="en-US" w:eastAsia="zh-CN" w:bidi="ar-SA"/>
    </w:rPr>
  </w:style>
  <w:style w:type="paragraph" w:customStyle="1" w:styleId="91">
    <w:name w:val="19-图内文字"/>
    <w:basedOn w:val="1"/>
    <w:next w:val="1"/>
    <w:qFormat/>
    <w:uiPriority w:val="0"/>
    <w:pPr>
      <w:tabs>
        <w:tab w:val="left" w:pos="0"/>
      </w:tabs>
      <w:adjustRightInd w:val="0"/>
      <w:snapToGrid w:val="0"/>
      <w:jc w:val="center"/>
    </w:pPr>
    <w:rPr>
      <w:color w:val="000000"/>
      <w:szCs w:val="22"/>
    </w:rPr>
  </w:style>
  <w:style w:type="paragraph" w:customStyle="1" w:styleId="92">
    <w:name w:val="1"/>
    <w:basedOn w:val="1"/>
    <w:next w:val="12"/>
    <w:qFormat/>
    <w:uiPriority w:val="0"/>
    <w:pPr>
      <w:snapToGrid w:val="0"/>
      <w:spacing w:line="360" w:lineRule="exact"/>
    </w:pPr>
    <w:rPr>
      <w:rFonts w:ascii="宋体" w:hAnsi="Courier New"/>
      <w:kern w:val="24"/>
      <w:sz w:val="24"/>
    </w:rPr>
  </w:style>
  <w:style w:type="paragraph" w:customStyle="1" w:styleId="93">
    <w:name w:val=" Char"/>
    <w:basedOn w:val="1"/>
    <w:qFormat/>
    <w:uiPriority w:val="0"/>
    <w:rPr>
      <w:rFonts w:ascii="Times New Roman" w:hAnsi="Times New Roman" w:eastAsia="宋体" w:cs="Times New Roman"/>
    </w:rPr>
  </w:style>
  <w:style w:type="paragraph" w:customStyle="1" w:styleId="94">
    <w:name w:val="文字表格1"/>
    <w:qFormat/>
    <w:uiPriority w:val="0"/>
    <w:pPr>
      <w:widowControl w:val="0"/>
      <w:adjustRightInd w:val="0"/>
      <w:snapToGrid w:val="0"/>
      <w:spacing w:line="480" w:lineRule="exact"/>
      <w:jc w:val="center"/>
    </w:pPr>
    <w:rPr>
      <w:rFonts w:ascii="宋体" w:hAnsi="宋体" w:eastAsia="宋体" w:cs="Times New Roman"/>
      <w:spacing w:val="-4"/>
      <w:kern w:val="2"/>
      <w:sz w:val="21"/>
      <w:szCs w:val="24"/>
      <w:lang w:val="en-US" w:eastAsia="zh-CN" w:bidi="ar-SA"/>
    </w:rPr>
  </w:style>
  <w:style w:type="paragraph" w:customStyle="1" w:styleId="95">
    <w:name w:val="Table Text"/>
    <w:basedOn w:val="1"/>
    <w:semiHidden/>
    <w:qFormat/>
    <w:uiPriority w:val="0"/>
    <w:rPr>
      <w:rFonts w:ascii="宋体" w:hAnsi="宋体" w:eastAsia="宋体" w:cs="宋体"/>
      <w:sz w:val="21"/>
      <w:szCs w:val="21"/>
      <w:lang w:val="en-US" w:eastAsia="en-US" w:bidi="ar-SA"/>
    </w:rPr>
  </w:style>
  <w:style w:type="paragraph" w:customStyle="1" w:styleId="96">
    <w:name w:val="a正文"/>
    <w:basedOn w:val="1"/>
    <w:qFormat/>
    <w:uiPriority w:val="0"/>
    <w:pPr>
      <w:spacing w:line="520" w:lineRule="exact"/>
      <w:ind w:firstLine="200" w:firstLineChars="200"/>
    </w:pPr>
    <w:rPr>
      <w:sz w:val="24"/>
      <w:szCs w:val="28"/>
    </w:rPr>
  </w:style>
  <w:style w:type="paragraph" w:customStyle="1" w:styleId="97">
    <w:name w:val="应填表格"/>
    <w:basedOn w:val="1"/>
    <w:qFormat/>
    <w:uiPriority w:val="0"/>
    <w:pPr>
      <w:adjustRightInd w:val="0"/>
      <w:spacing w:before="40" w:after="40"/>
      <w:jc w:val="left"/>
      <w:textAlignment w:val="baseline"/>
    </w:pPr>
    <w:rPr>
      <w:kern w:val="0"/>
      <w:sz w:val="24"/>
      <w:szCs w:val="20"/>
    </w:rPr>
  </w:style>
  <w:style w:type="table" w:customStyle="1" w:styleId="98">
    <w:name w:val="Table Normal"/>
    <w:unhideWhenUsed/>
    <w:qFormat/>
    <w:uiPriority w:val="0"/>
    <w:tblPr>
      <w:tblCellMar>
        <w:top w:w="0" w:type="dxa"/>
        <w:left w:w="0" w:type="dxa"/>
        <w:bottom w:w="0" w:type="dxa"/>
        <w:right w:w="0" w:type="dxa"/>
      </w:tblCellMar>
    </w:tblPr>
  </w:style>
  <w:style w:type="paragraph" w:customStyle="1" w:styleId="99">
    <w:name w:val="正文01"/>
    <w:basedOn w:val="1"/>
    <w:qFormat/>
    <w:uiPriority w:val="0"/>
    <w:pPr>
      <w:widowControl w:val="0"/>
      <w:spacing w:before="60" w:line="460" w:lineRule="exact"/>
      <w:ind w:firstLine="200" w:firstLineChars="200"/>
      <w:jc w:val="both"/>
    </w:pPr>
    <w:rPr>
      <w:rFonts w:ascii="Arial" w:hAnsi="Arial"/>
    </w:rPr>
  </w:style>
  <w:style w:type="paragraph" w:customStyle="1" w:styleId="100">
    <w:name w:val="【正文】"/>
    <w:basedOn w:val="1"/>
    <w:qFormat/>
    <w:uiPriority w:val="0"/>
    <w:pPr>
      <w:spacing w:line="440" w:lineRule="exact"/>
      <w:ind w:firstLine="544" w:firstLineChars="200"/>
    </w:pPr>
    <w:rPr>
      <w:sz w:val="24"/>
      <w:szCs w:val="20"/>
    </w:rPr>
  </w:style>
  <w:style w:type="paragraph" w:customStyle="1" w:styleId="101">
    <w:name w:val="表格内"/>
    <w:basedOn w:val="102"/>
    <w:qFormat/>
    <w:uiPriority w:val="0"/>
    <w:pPr>
      <w:adjustRightInd w:val="0"/>
      <w:snapToGrid w:val="0"/>
      <w:spacing w:line="240" w:lineRule="auto"/>
      <w:ind w:firstLine="0" w:firstLineChars="0"/>
      <w:jc w:val="center"/>
    </w:pPr>
    <w:rPr>
      <w:sz w:val="21"/>
      <w:szCs w:val="24"/>
    </w:rPr>
  </w:style>
  <w:style w:type="paragraph" w:customStyle="1" w:styleId="102">
    <w:name w:val="表格里居中"/>
    <w:basedOn w:val="12"/>
    <w:unhideWhenUsed/>
    <w:qFormat/>
    <w:uiPriority w:val="99"/>
    <w:pPr>
      <w:spacing w:beforeLines="0" w:afterLines="0"/>
      <w:jc w:val="center"/>
    </w:pPr>
    <w:rPr>
      <w:rFonts w:hint="eastAsia" w:ascii="Times New Roman" w:hAnsi="Times New Roman" w:eastAsia="Times New Roman"/>
      <w:sz w:val="20"/>
      <w:szCs w:val="24"/>
    </w:rPr>
  </w:style>
  <w:style w:type="paragraph" w:customStyle="1" w:styleId="103">
    <w:name w:val="Char Char Char Char Char Char1 Char Char Char Char"/>
    <w:basedOn w:val="1"/>
    <w:next w:val="1"/>
    <w:qFormat/>
    <w:uiPriority w:val="0"/>
    <w:pPr>
      <w:spacing w:line="360" w:lineRule="auto"/>
      <w:ind w:firstLine="200"/>
    </w:pPr>
  </w:style>
  <w:style w:type="paragraph" w:customStyle="1" w:styleId="104">
    <w:name w:val="6表内文字 居中"/>
    <w:basedOn w:val="1"/>
    <w:qFormat/>
    <w:uiPriority w:val="0"/>
    <w:pPr>
      <w:adjustRightInd w:val="0"/>
      <w:spacing w:line="400" w:lineRule="exact"/>
      <w:jc w:val="center"/>
      <w:textAlignment w:val="baseline"/>
    </w:pPr>
    <w:rPr>
      <w:rFonts w:ascii="宋体"/>
      <w:snapToGrid w:val="0"/>
      <w:kern w:val="0"/>
    </w:rPr>
  </w:style>
  <w:style w:type="paragraph" w:customStyle="1" w:styleId="105">
    <w:name w:val="表格内文字"/>
    <w:basedOn w:val="1"/>
    <w:unhideWhenUsed/>
    <w:qFormat/>
    <w:uiPriority w:val="0"/>
    <w:pPr>
      <w:spacing w:beforeLines="0" w:afterLines="0"/>
      <w:jc w:val="center"/>
    </w:pPr>
    <w:rPr>
      <w:rFonts w:hint="default"/>
      <w:sz w:val="21"/>
      <w:szCs w:val="21"/>
    </w:rPr>
  </w:style>
  <w:style w:type="paragraph" w:customStyle="1" w:styleId="106">
    <w:name w:val="大表格内正文（正文样式）"/>
    <w:basedOn w:val="19"/>
    <w:unhideWhenUsed/>
    <w:qFormat/>
    <w:uiPriority w:val="0"/>
    <w:pPr>
      <w:spacing w:beforeLines="0" w:afterLines="0"/>
      <w:jc w:val="both"/>
    </w:pPr>
    <w:rPr>
      <w:rFonts w:hint="default"/>
      <w:b w:val="0"/>
      <w:sz w:val="24"/>
      <w:szCs w:val="32"/>
    </w:rPr>
  </w:style>
  <w:style w:type="paragraph" w:customStyle="1" w:styleId="107">
    <w:name w:val="b正文"/>
    <w:basedOn w:val="1"/>
    <w:qFormat/>
    <w:uiPriority w:val="0"/>
    <w:pPr>
      <w:spacing w:line="360" w:lineRule="auto"/>
      <w:ind w:firstLine="200" w:firstLineChars="200"/>
      <w:textAlignment w:val="baseline"/>
    </w:pPr>
    <w:rPr>
      <w:sz w:val="24"/>
    </w:rPr>
  </w:style>
  <w:style w:type="character" w:customStyle="1" w:styleId="108">
    <w:name w:val="UserStyle_5 Char"/>
    <w:basedOn w:val="25"/>
    <w:link w:val="109"/>
    <w:qFormat/>
    <w:uiPriority w:val="0"/>
    <w:rPr>
      <w:rFonts w:ascii="Times New Roman" w:hAnsi="Times New Roman"/>
      <w:kern w:val="2"/>
      <w:sz w:val="21"/>
      <w:szCs w:val="24"/>
      <w:lang w:val="en-US" w:eastAsia="zh-CN" w:bidi="ar-SA"/>
    </w:rPr>
  </w:style>
  <w:style w:type="paragraph" w:customStyle="1" w:styleId="109">
    <w:name w:val="UserStyle_5"/>
    <w:basedOn w:val="1"/>
    <w:link w:val="108"/>
    <w:qFormat/>
    <w:uiPriority w:val="0"/>
    <w:pPr>
      <w:ind w:firstLine="200" w:firstLineChars="200"/>
      <w:jc w:val="both"/>
      <w:textAlignment w:val="baseline"/>
    </w:pPr>
    <w:rPr>
      <w:rFonts w:ascii="Times New Roman" w:hAnsi="Times New Roman"/>
      <w:kern w:val="2"/>
      <w:sz w:val="21"/>
      <w:szCs w:val="24"/>
      <w:lang w:val="en-US" w:eastAsia="zh-CN" w:bidi="ar-SA"/>
    </w:rPr>
  </w:style>
  <w:style w:type="character" w:customStyle="1" w:styleId="110">
    <w:name w:val="font31"/>
    <w:basedOn w:val="25"/>
    <w:qFormat/>
    <w:uiPriority w:val="0"/>
    <w:rPr>
      <w:rFonts w:ascii="宋体" w:hAnsi="宋体" w:eastAsia="宋体" w:cs="宋体"/>
      <w:color w:val="000000"/>
      <w:sz w:val="28"/>
      <w:szCs w:val="28"/>
      <w:u w:val="none"/>
    </w:rPr>
  </w:style>
  <w:style w:type="character" w:customStyle="1" w:styleId="111">
    <w:name w:val="font41"/>
    <w:basedOn w:val="25"/>
    <w:qFormat/>
    <w:uiPriority w:val="0"/>
    <w:rPr>
      <w:rFonts w:hint="default" w:ascii="Calibri" w:hAnsi="Calibri" w:cs="Calibri"/>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E70BB-9389-4264-8259-0F9F71DA4C7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103</Pages>
  <Words>58684</Words>
  <Characters>69023</Characters>
  <Lines>208</Lines>
  <Paragraphs>58</Paragraphs>
  <TotalTime>3</TotalTime>
  <ScaleCrop>false</ScaleCrop>
  <LinksUpToDate>false</LinksUpToDate>
  <CharactersWithSpaces>69336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2025-04-28T03:34:00Z</dcterms:created>
  <dc:creator>lhj</dc:creator>
  <cp:lastModifiedBy>W。</cp:lastModifiedBy>
  <cp:lastPrinted>2020-12-29T02:43:00Z</cp:lastPrinted>
  <dcterms:modified xsi:type="dcterms:W3CDTF">2026-03-11T02:01:35Z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eyJoZGlkIjoiZDRkNTUzYzRkMGIzNzUyMjkyZmQ3YmNkMDViOWUzYzQiLCJ1c2VySWQiOiI0NDY4MTY1NzIifQ==</vt:lpwstr>
  </property>
  <property fmtid="{D5CDD505-2E9C-101B-9397-08002B2CF9AE}" pid="4" name="ICV">
    <vt:lpwstr>990A4D8604E546C0A0CF56DE62CC2E86_12</vt:lpwstr>
  </property>
</Properties>
</file>