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FF0000"/>
          <w:highlight w:val="none"/>
        </w:rPr>
      </w:pPr>
    </w:p>
    <w:p>
      <w:pPr>
        <w:rPr>
          <w:color w:val="FF0000"/>
          <w:highlight w:val="none"/>
        </w:rPr>
      </w:pPr>
    </w:p>
    <w:p>
      <w:pPr>
        <w:rPr>
          <w:color w:val="FF0000"/>
          <w:highlight w:val="none"/>
        </w:rPr>
      </w:pPr>
    </w:p>
    <w:p>
      <w:pPr>
        <w:rPr>
          <w:color w:val="FF0000"/>
          <w:highlight w:val="none"/>
        </w:rPr>
      </w:pPr>
    </w:p>
    <w:p>
      <w:pPr>
        <w:rPr>
          <w:color w:val="FF0000"/>
          <w:highlight w:val="none"/>
        </w:rPr>
      </w:pPr>
    </w:p>
    <w:p>
      <w:pPr>
        <w:rPr>
          <w:color w:val="FF0000"/>
          <w:highlight w:val="none"/>
        </w:rPr>
      </w:pPr>
    </w:p>
    <w:p>
      <w:pPr>
        <w:adjustRightInd w:val="0"/>
        <w:snapToGrid w:val="0"/>
        <w:jc w:val="center"/>
        <w:outlineLvl w:val="0"/>
        <w:rPr>
          <w:rFonts w:hint="eastAsia" w:ascii="方正小标宋_GBK" w:hAnsi="方正小标宋_GBK" w:eastAsia="方正小标宋_GBK" w:cs="方正小标宋_GBK"/>
          <w:b w:val="0"/>
          <w:bCs/>
          <w:color w:val="auto"/>
          <w:sz w:val="72"/>
          <w:szCs w:val="72"/>
          <w:highlight w:val="none"/>
        </w:rPr>
      </w:pPr>
      <w:bookmarkStart w:id="0" w:name="_Toc9798"/>
      <w:r>
        <w:rPr>
          <w:rFonts w:hint="eastAsia" w:ascii="方正小标宋_GBK" w:hAnsi="方正小标宋_GBK" w:eastAsia="方正小标宋_GBK" w:cs="方正小标宋_GBK"/>
          <w:b w:val="0"/>
          <w:bCs/>
          <w:color w:val="auto"/>
          <w:sz w:val="72"/>
          <w:szCs w:val="72"/>
          <w:highlight w:val="none"/>
        </w:rPr>
        <w:t>建设项目环境影响报告表</w:t>
      </w:r>
      <w:bookmarkEnd w:id="0"/>
    </w:p>
    <w:p>
      <w:pPr>
        <w:adjustRightInd w:val="0"/>
        <w:snapToGrid w:val="0"/>
        <w:spacing w:before="156" w:beforeLines="50"/>
        <w:jc w:val="center"/>
        <w:rPr>
          <w:rFonts w:ascii="楷体_GB2312" w:hAnsi="楷体_GB2312"/>
          <w:b w:val="0"/>
          <w:bCs/>
          <w:color w:val="000000" w:themeColor="text1"/>
          <w:sz w:val="48"/>
          <w:szCs w:val="48"/>
          <w:highlight w:val="none"/>
          <w14:textFill>
            <w14:solidFill>
              <w14:schemeClr w14:val="tx1"/>
            </w14:solidFill>
          </w14:textFill>
        </w:rPr>
      </w:pPr>
      <w:r>
        <w:rPr>
          <w:rFonts w:ascii="楷体_GB2312" w:hAnsi="楷体_GB2312"/>
          <w:b w:val="0"/>
          <w:bCs/>
          <w:color w:val="auto"/>
          <w:sz w:val="48"/>
          <w:szCs w:val="48"/>
          <w:highlight w:val="none"/>
        </w:rPr>
        <w:t>（</w:t>
      </w:r>
      <w:r>
        <w:rPr>
          <w:rFonts w:hint="eastAsia" w:ascii="方正楷体_GB2312" w:hAnsi="方正楷体_GB2312" w:eastAsia="方正楷体_GB2312" w:cs="方正楷体_GB2312"/>
          <w:b w:val="0"/>
          <w:bCs/>
          <w:color w:val="000000" w:themeColor="text1"/>
          <w:sz w:val="48"/>
          <w:szCs w:val="48"/>
          <w:highlight w:val="none"/>
          <w14:textFill>
            <w14:solidFill>
              <w14:schemeClr w14:val="tx1"/>
            </w14:solidFill>
          </w14:textFill>
        </w:rPr>
        <w:t>污染影响类</w:t>
      </w:r>
      <w:r>
        <w:rPr>
          <w:rFonts w:ascii="楷体_GB2312" w:hAnsi="楷体_GB2312"/>
          <w:b w:val="0"/>
          <w:bCs/>
          <w:color w:val="000000" w:themeColor="text1"/>
          <w:sz w:val="48"/>
          <w:szCs w:val="48"/>
          <w:highlight w:val="none"/>
          <w14:textFill>
            <w14:solidFill>
              <w14:schemeClr w14:val="tx1"/>
            </w14:solidFill>
          </w14:textFill>
        </w:rPr>
        <w:t>）</w:t>
      </w:r>
    </w:p>
    <w:p>
      <w:pPr>
        <w:adjustRightInd w:val="0"/>
        <w:snapToGrid w:val="0"/>
        <w:spacing w:before="156" w:beforeLines="50"/>
        <w:jc w:val="center"/>
        <w:rPr>
          <w:rFonts w:hint="eastAsia" w:ascii="楷体_GB2312" w:hAnsi="楷体_GB2312" w:eastAsia="宋体"/>
          <w:bCs/>
          <w:color w:val="000000" w:themeColor="text1"/>
          <w:sz w:val="44"/>
          <w:szCs w:val="44"/>
          <w:highlight w:val="none"/>
          <w:lang w:eastAsia="zh-CN"/>
          <w14:textFill>
            <w14:solidFill>
              <w14:schemeClr w14:val="tx1"/>
            </w14:solidFill>
          </w14:textFill>
        </w:rPr>
      </w:pPr>
      <w:r>
        <w:rPr>
          <w:rFonts w:hint="eastAsia" w:ascii="楷体_GB2312" w:hAnsi="楷体_GB2312"/>
          <w:bCs/>
          <w:color w:val="000000" w:themeColor="text1"/>
          <w:sz w:val="44"/>
          <w:szCs w:val="44"/>
          <w:highlight w:val="none"/>
          <w:lang w:eastAsia="zh-CN"/>
          <w14:textFill>
            <w14:solidFill>
              <w14:schemeClr w14:val="tx1"/>
            </w14:solidFill>
          </w14:textFill>
        </w:rPr>
        <w:t>（</w:t>
      </w:r>
      <w:r>
        <w:rPr>
          <w:rFonts w:hint="eastAsia" w:ascii="楷体_GB2312" w:hAnsi="楷体_GB2312"/>
          <w:bCs/>
          <w:color w:val="000000" w:themeColor="text1"/>
          <w:sz w:val="44"/>
          <w:szCs w:val="44"/>
          <w:highlight w:val="none"/>
          <w:lang w:val="en-US" w:eastAsia="zh-CN"/>
          <w14:textFill>
            <w14:solidFill>
              <w14:schemeClr w14:val="tx1"/>
            </w14:solidFill>
          </w14:textFill>
        </w:rPr>
        <w:t>公示本</w:t>
      </w:r>
      <w:r>
        <w:rPr>
          <w:rFonts w:hint="eastAsia" w:ascii="楷体_GB2312" w:hAnsi="楷体_GB2312"/>
          <w:bCs/>
          <w:color w:val="000000" w:themeColor="text1"/>
          <w:sz w:val="44"/>
          <w:szCs w:val="44"/>
          <w:highlight w:val="none"/>
          <w:lang w:eastAsia="zh-CN"/>
          <w14:textFill>
            <w14:solidFill>
              <w14:schemeClr w14:val="tx1"/>
            </w14:solidFill>
          </w14:textFill>
        </w:rPr>
        <w:t>）</w:t>
      </w:r>
    </w:p>
    <w:p>
      <w:pPr>
        <w:adjustRightInd w:val="0"/>
        <w:snapToGrid w:val="0"/>
        <w:spacing w:before="156" w:beforeLines="50"/>
        <w:jc w:val="center"/>
        <w:rPr>
          <w:rFonts w:ascii="楷体_GB2312" w:hAnsi="楷体_GB2312"/>
          <w:bCs/>
          <w:color w:val="FF0000"/>
          <w:sz w:val="48"/>
          <w:szCs w:val="48"/>
          <w:highlight w:val="none"/>
        </w:rPr>
      </w:pPr>
    </w:p>
    <w:p>
      <w:pPr>
        <w:adjustRightInd w:val="0"/>
        <w:snapToGrid w:val="0"/>
        <w:spacing w:before="156" w:beforeLines="50"/>
        <w:jc w:val="center"/>
        <w:rPr>
          <w:rFonts w:ascii="楷体_GB2312" w:hAnsi="楷体_GB2312"/>
          <w:bCs/>
          <w:color w:val="FF0000"/>
          <w:sz w:val="48"/>
          <w:szCs w:val="48"/>
          <w:highlight w:val="none"/>
        </w:rPr>
      </w:pPr>
    </w:p>
    <w:p>
      <w:pPr>
        <w:adjustRightInd w:val="0"/>
        <w:snapToGrid w:val="0"/>
        <w:spacing w:before="156" w:beforeLines="50"/>
        <w:jc w:val="center"/>
        <w:rPr>
          <w:rFonts w:ascii="楷体_GB2312" w:hAnsi="楷体_GB2312"/>
          <w:bCs/>
          <w:color w:val="FF0000"/>
          <w:sz w:val="48"/>
          <w:szCs w:val="48"/>
          <w:highlight w:val="none"/>
        </w:rPr>
      </w:pPr>
    </w:p>
    <w:p>
      <w:pPr>
        <w:adjustRightInd w:val="0"/>
        <w:snapToGrid w:val="0"/>
        <w:spacing w:before="156" w:beforeLines="50"/>
        <w:ind w:firstLine="643" w:firstLineChars="200"/>
        <w:jc w:val="both"/>
        <w:rPr>
          <w:rFonts w:hint="eastAsia" w:ascii="楷体_GB2312" w:hAnsi="楷体_GB2312"/>
          <w:b/>
          <w:color w:val="FF0000"/>
          <w:sz w:val="32"/>
          <w:szCs w:val="32"/>
          <w:highlight w:val="none"/>
        </w:rPr>
      </w:pPr>
    </w:p>
    <w:p>
      <w:pPr>
        <w:adjustRightInd w:val="0"/>
        <w:snapToGrid w:val="0"/>
        <w:spacing w:before="156" w:beforeLines="50"/>
        <w:ind w:firstLine="643" w:firstLineChars="200"/>
        <w:jc w:val="both"/>
        <w:rPr>
          <w:rFonts w:hint="eastAsia" w:ascii="楷体_GB2312" w:hAnsi="楷体_GB2312"/>
          <w:b/>
          <w:color w:val="FF0000"/>
          <w:sz w:val="32"/>
          <w:szCs w:val="32"/>
          <w:highlight w:val="none"/>
        </w:rPr>
      </w:pPr>
    </w:p>
    <w:p>
      <w:pPr>
        <w:adjustRightInd w:val="0"/>
        <w:snapToGrid w:val="0"/>
        <w:spacing w:before="156" w:beforeLines="50"/>
        <w:ind w:firstLine="720" w:firstLineChars="200"/>
        <w:jc w:val="left"/>
        <w:rPr>
          <w:rFonts w:hint="default" w:ascii="仿宋" w:hAnsi="仿宋" w:eastAsia="仿宋" w:cs="仿宋"/>
          <w:b w:val="0"/>
          <w:bCs/>
          <w:color w:val="auto"/>
          <w:sz w:val="36"/>
          <w:szCs w:val="36"/>
          <w:highlight w:val="none"/>
          <w:u w:val="single"/>
          <w:lang w:val="en-US" w:eastAsia="zh-CN"/>
        </w:rPr>
      </w:pPr>
      <w:r>
        <w:rPr>
          <w:rFonts w:hint="eastAsia" w:ascii="仿宋" w:hAnsi="仿宋" w:eastAsia="仿宋" w:cs="仿宋"/>
          <w:b w:val="0"/>
          <w:bCs/>
          <w:color w:val="auto"/>
          <w:sz w:val="36"/>
          <w:szCs w:val="36"/>
          <w:highlight w:val="none"/>
        </w:rPr>
        <w:t>项目名称：</w:t>
      </w:r>
      <w:r>
        <w:rPr>
          <w:rFonts w:hint="eastAsia" w:ascii="仿宋" w:hAnsi="仿宋" w:eastAsia="仿宋" w:cs="仿宋"/>
          <w:b w:val="0"/>
          <w:bCs/>
          <w:color w:val="auto"/>
          <w:sz w:val="36"/>
          <w:szCs w:val="36"/>
          <w:highlight w:val="none"/>
          <w:u w:val="single"/>
          <w:lang w:val="en-US" w:eastAsia="zh-CN"/>
        </w:rPr>
        <w:t xml:space="preserve">   煤矸石转化生物基材料生产项目  </w:t>
      </w:r>
    </w:p>
    <w:p>
      <w:pPr>
        <w:adjustRightInd w:val="0"/>
        <w:snapToGrid w:val="0"/>
        <w:spacing w:before="156" w:beforeLines="50"/>
        <w:ind w:firstLine="720" w:firstLineChars="200"/>
        <w:rPr>
          <w:rFonts w:hint="eastAsia" w:ascii="仿宋" w:hAnsi="仿宋" w:eastAsia="仿宋" w:cs="仿宋"/>
          <w:b w:val="0"/>
          <w:bCs/>
          <w:color w:val="auto"/>
          <w:sz w:val="36"/>
          <w:szCs w:val="36"/>
          <w:highlight w:val="none"/>
          <w:u w:val="single"/>
          <w:lang w:val="en-US" w:eastAsia="zh-CN"/>
        </w:rPr>
      </w:pPr>
      <w:r>
        <w:rPr>
          <w:rFonts w:hint="eastAsia" w:ascii="仿宋" w:hAnsi="仿宋" w:eastAsia="仿宋" w:cs="仿宋"/>
          <w:b w:val="0"/>
          <w:bCs/>
          <w:color w:val="auto"/>
          <w:sz w:val="36"/>
          <w:szCs w:val="36"/>
          <w:highlight w:val="none"/>
        </w:rPr>
        <w:t>建设单位（盖章）：</w:t>
      </w:r>
      <w:r>
        <w:rPr>
          <w:rFonts w:hint="eastAsia" w:ascii="仿宋" w:hAnsi="仿宋" w:eastAsia="仿宋" w:cs="仿宋"/>
          <w:b w:val="0"/>
          <w:bCs/>
          <w:color w:val="auto"/>
          <w:sz w:val="36"/>
          <w:szCs w:val="36"/>
          <w:highlight w:val="none"/>
          <w:u w:val="single"/>
          <w:lang w:val="en-US" w:eastAsia="zh-CN"/>
        </w:rPr>
        <w:t xml:space="preserve">山西润土生物科技有限公司 </w:t>
      </w:r>
    </w:p>
    <w:p>
      <w:pPr>
        <w:adjustRightInd w:val="0"/>
        <w:snapToGrid w:val="0"/>
        <w:spacing w:before="156" w:beforeLines="50"/>
        <w:ind w:firstLine="720" w:firstLineChars="200"/>
        <w:rPr>
          <w:rFonts w:hint="eastAsia" w:ascii="仿宋" w:hAnsi="仿宋" w:eastAsia="仿宋" w:cs="仿宋"/>
          <w:b w:val="0"/>
          <w:bCs/>
          <w:color w:val="auto"/>
          <w:sz w:val="36"/>
          <w:szCs w:val="36"/>
          <w:highlight w:val="none"/>
        </w:rPr>
      </w:pPr>
      <w:r>
        <w:rPr>
          <w:rFonts w:hint="eastAsia" w:ascii="仿宋" w:hAnsi="仿宋" w:eastAsia="仿宋" w:cs="仿宋"/>
          <w:b w:val="0"/>
          <w:bCs/>
          <w:color w:val="auto"/>
          <w:sz w:val="36"/>
          <w:szCs w:val="36"/>
          <w:highlight w:val="none"/>
        </w:rPr>
        <w:t>编制日期：</w:t>
      </w:r>
      <w:r>
        <w:rPr>
          <w:rFonts w:hint="eastAsia" w:ascii="仿宋" w:hAnsi="仿宋" w:eastAsia="仿宋" w:cs="仿宋"/>
          <w:b w:val="0"/>
          <w:bCs/>
          <w:color w:val="auto"/>
          <w:sz w:val="36"/>
          <w:szCs w:val="36"/>
          <w:highlight w:val="none"/>
          <w:u w:val="single"/>
        </w:rPr>
        <w:t xml:space="preserve">    </w:t>
      </w:r>
      <w:r>
        <w:rPr>
          <w:rFonts w:hint="eastAsia" w:ascii="仿宋" w:hAnsi="仿宋" w:eastAsia="仿宋" w:cs="仿宋"/>
          <w:b w:val="0"/>
          <w:bCs/>
          <w:color w:val="auto"/>
          <w:sz w:val="36"/>
          <w:szCs w:val="36"/>
          <w:highlight w:val="none"/>
          <w:u w:val="single"/>
          <w:lang w:val="en-US" w:eastAsia="zh-CN"/>
        </w:rPr>
        <w:t xml:space="preserve">     </w:t>
      </w:r>
      <w:r>
        <w:rPr>
          <w:rFonts w:hint="default" w:ascii="Times New Roman" w:hAnsi="Times New Roman" w:eastAsia="仿宋" w:cs="Times New Roman"/>
          <w:b w:val="0"/>
          <w:bCs/>
          <w:color w:val="auto"/>
          <w:sz w:val="36"/>
          <w:szCs w:val="36"/>
          <w:highlight w:val="none"/>
          <w:u w:val="single"/>
          <w:lang w:val="en-US" w:eastAsia="zh-CN"/>
        </w:rPr>
        <w:t xml:space="preserve">  202</w:t>
      </w:r>
      <w:r>
        <w:rPr>
          <w:rFonts w:hint="eastAsia" w:eastAsia="仿宋" w:cs="Times New Roman"/>
          <w:b w:val="0"/>
          <w:bCs/>
          <w:color w:val="auto"/>
          <w:sz w:val="36"/>
          <w:szCs w:val="36"/>
          <w:highlight w:val="none"/>
          <w:u w:val="single"/>
          <w:lang w:val="en-US" w:eastAsia="zh-CN"/>
        </w:rPr>
        <w:t>6</w:t>
      </w:r>
      <w:r>
        <w:rPr>
          <w:rFonts w:hint="default" w:ascii="Times New Roman" w:hAnsi="Times New Roman" w:eastAsia="仿宋" w:cs="Times New Roman"/>
          <w:b w:val="0"/>
          <w:bCs/>
          <w:color w:val="auto"/>
          <w:sz w:val="36"/>
          <w:szCs w:val="36"/>
          <w:highlight w:val="none"/>
          <w:u w:val="single"/>
        </w:rPr>
        <w:t>年</w:t>
      </w:r>
      <w:r>
        <w:rPr>
          <w:rFonts w:hint="eastAsia" w:eastAsia="仿宋" w:cs="Times New Roman"/>
          <w:b w:val="0"/>
          <w:bCs/>
          <w:color w:val="auto"/>
          <w:sz w:val="36"/>
          <w:szCs w:val="36"/>
          <w:highlight w:val="none"/>
          <w:u w:val="single"/>
          <w:lang w:val="en-US" w:eastAsia="zh-CN"/>
        </w:rPr>
        <w:t>2</w:t>
      </w:r>
      <w:r>
        <w:rPr>
          <w:rFonts w:hint="default" w:ascii="Times New Roman" w:hAnsi="Times New Roman" w:eastAsia="仿宋" w:cs="Times New Roman"/>
          <w:b w:val="0"/>
          <w:bCs/>
          <w:color w:val="auto"/>
          <w:sz w:val="36"/>
          <w:szCs w:val="36"/>
          <w:highlight w:val="none"/>
          <w:u w:val="single"/>
        </w:rPr>
        <w:t xml:space="preserve">月   </w:t>
      </w:r>
      <w:r>
        <w:rPr>
          <w:rFonts w:hint="default" w:ascii="Times New Roman" w:hAnsi="Times New Roman" w:eastAsia="仿宋" w:cs="Times New Roman"/>
          <w:b w:val="0"/>
          <w:bCs/>
          <w:color w:val="auto"/>
          <w:sz w:val="36"/>
          <w:szCs w:val="36"/>
          <w:highlight w:val="none"/>
          <w:u w:val="single"/>
          <w:lang w:val="en-US" w:eastAsia="zh-CN"/>
        </w:rPr>
        <w:t xml:space="preserve">      </w:t>
      </w:r>
      <w:r>
        <w:rPr>
          <w:rFonts w:hint="eastAsia" w:ascii="Times New Roman" w:hAnsi="Times New Roman" w:eastAsia="仿宋" w:cs="Times New Roman"/>
          <w:b w:val="0"/>
          <w:bCs/>
          <w:color w:val="auto"/>
          <w:sz w:val="36"/>
          <w:szCs w:val="36"/>
          <w:highlight w:val="none"/>
          <w:u w:val="single"/>
          <w:lang w:val="en-US" w:eastAsia="zh-CN"/>
        </w:rPr>
        <w:t xml:space="preserve"> </w:t>
      </w:r>
    </w:p>
    <w:p>
      <w:pPr>
        <w:jc w:val="center"/>
        <w:rPr>
          <w:rFonts w:ascii="楷体_GB2312" w:hAnsi="楷体_GB2312"/>
          <w:color w:val="FF0000"/>
          <w:sz w:val="32"/>
          <w:szCs w:val="32"/>
          <w:highlight w:val="none"/>
        </w:rPr>
      </w:pPr>
    </w:p>
    <w:p>
      <w:pPr>
        <w:jc w:val="center"/>
        <w:rPr>
          <w:rFonts w:ascii="楷体_GB2312" w:hAnsi="楷体_GB2312"/>
          <w:color w:val="FF0000"/>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before="156" w:beforeLines="50"/>
        <w:ind w:firstLine="0" w:firstLineChars="0"/>
        <w:jc w:val="center"/>
        <w:textAlignment w:val="auto"/>
        <w:rPr>
          <w:rFonts w:hint="eastAsia" w:ascii="仿宋" w:hAnsi="仿宋" w:eastAsia="仿宋" w:cs="仿宋"/>
          <w:b/>
          <w:bCs w:val="0"/>
          <w:color w:val="auto"/>
          <w:sz w:val="36"/>
          <w:szCs w:val="36"/>
          <w:highlight w:val="none"/>
        </w:rPr>
      </w:pPr>
      <w:bookmarkStart w:id="1" w:name="_Toc9814"/>
      <w:r>
        <w:rPr>
          <w:rFonts w:hint="eastAsia" w:ascii="仿宋" w:hAnsi="仿宋" w:eastAsia="仿宋" w:cs="仿宋"/>
          <w:b/>
          <w:bCs w:val="0"/>
          <w:color w:val="auto"/>
          <w:sz w:val="36"/>
          <w:szCs w:val="36"/>
          <w:highlight w:val="none"/>
        </w:rPr>
        <w:t>中华人民共和国生态环境部制</w:t>
      </w:r>
      <w:bookmarkEnd w:id="1"/>
    </w:p>
    <w:p>
      <w:pPr>
        <w:adjustRightInd w:val="0"/>
        <w:snapToGrid w:val="0"/>
        <w:spacing w:before="156" w:beforeLines="50"/>
        <w:ind w:firstLine="723" w:firstLineChars="200"/>
        <w:jc w:val="center"/>
        <w:rPr>
          <w:rFonts w:hint="eastAsia" w:ascii="仿宋" w:hAnsi="仿宋" w:eastAsia="仿宋" w:cs="仿宋"/>
          <w:b/>
          <w:bCs w:val="0"/>
          <w:color w:val="auto"/>
          <w:sz w:val="36"/>
          <w:szCs w:val="36"/>
          <w:highlight w:val="none"/>
        </w:rPr>
        <w:sectPr>
          <w:footerReference r:id="rId3" w:type="default"/>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p>
      <w:pPr>
        <w:rPr>
          <w:color w:val="FF0000"/>
          <w:highlight w:val="none"/>
        </w:rPr>
      </w:pPr>
      <w:bookmarkStart w:id="23" w:name="_GoBack"/>
      <w:bookmarkEnd w:id="23"/>
    </w:p>
    <w:p>
      <w:pPr>
        <w:pStyle w:val="20"/>
        <w:spacing w:before="0" w:beforeAutospacing="0" w:after="0" w:afterAutospacing="0"/>
        <w:jc w:val="center"/>
        <w:outlineLvl w:val="0"/>
        <w:rPr>
          <w:rFonts w:ascii="黑体" w:hAnsi="黑体" w:eastAsia="黑体"/>
          <w:color w:val="FF0000"/>
          <w:sz w:val="30"/>
          <w:szCs w:val="30"/>
          <w:highlight w:val="none"/>
        </w:rPr>
      </w:pPr>
      <w:bookmarkStart w:id="2" w:name="_Toc23425"/>
      <w:r>
        <w:rPr>
          <w:rFonts w:hint="eastAsia" w:ascii="黑体" w:hAnsi="黑体" w:eastAsia="黑体"/>
          <w:color w:val="auto"/>
          <w:sz w:val="30"/>
          <w:szCs w:val="30"/>
          <w:highlight w:val="none"/>
        </w:rPr>
        <w:t>一、建设项目基本情况</w:t>
      </w:r>
      <w:bookmarkEnd w:id="2"/>
    </w:p>
    <w:tbl>
      <w:tblPr>
        <w:tblStyle w:val="28"/>
        <w:tblW w:w="52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2"/>
        <w:gridCol w:w="1175"/>
        <w:gridCol w:w="2747"/>
        <w:gridCol w:w="1715"/>
        <w:gridCol w:w="28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建设项目名称</w:t>
            </w:r>
          </w:p>
        </w:tc>
        <w:tc>
          <w:tcPr>
            <w:tcW w:w="3982" w:type="pct"/>
            <w:gridSpan w:val="3"/>
            <w:tcBorders>
              <w:tl2br w:val="nil"/>
              <w:tr2bl w:val="nil"/>
            </w:tcBorders>
            <w:vAlign w:val="center"/>
          </w:tcPr>
          <w:p>
            <w:pPr>
              <w:adjustRightInd w:val="0"/>
              <w:snapToGrid w:val="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煤矸石转化生物基材料生产项目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项目代码</w:t>
            </w:r>
          </w:p>
        </w:tc>
        <w:tc>
          <w:tcPr>
            <w:tcW w:w="3982" w:type="pct"/>
            <w:gridSpan w:val="3"/>
            <w:tcBorders>
              <w:tl2br w:val="nil"/>
              <w:tr2bl w:val="nil"/>
            </w:tcBorders>
            <w:vAlign w:val="center"/>
          </w:tcPr>
          <w:p>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2507-140455-89-01-397311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建设单位联系人</w:t>
            </w:r>
          </w:p>
        </w:tc>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石梦</w:t>
            </w:r>
          </w:p>
        </w:tc>
        <w:tc>
          <w:tcPr>
            <w:tcW w:w="9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szCs w:val="24"/>
                <w:highlight w:val="none"/>
              </w:rPr>
            </w:pPr>
            <w:r>
              <w:rPr>
                <w:b/>
                <w:bCs/>
                <w:color w:val="auto"/>
                <w:sz w:val="24"/>
                <w:szCs w:val="24"/>
                <w:highlight w:val="none"/>
              </w:rPr>
              <w:t>联系方式</w:t>
            </w:r>
          </w:p>
        </w:tc>
        <w:tc>
          <w:tcPr>
            <w:tcW w:w="15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4"/>
                <w:szCs w:val="24"/>
                <w:highlight w:val="none"/>
                <w:lang w:val="en-US"/>
              </w:rPr>
            </w:pPr>
            <w:r>
              <w:rPr>
                <w:rFonts w:hint="eastAsia"/>
                <w:color w:val="auto"/>
                <w:sz w:val="24"/>
                <w:szCs w:val="24"/>
                <w:highlight w:val="none"/>
                <w:lang w:val="en-US" w:eastAsia="zh-CN"/>
              </w:rPr>
              <w:t>15534527099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建设地点</w:t>
            </w:r>
          </w:p>
        </w:tc>
        <w:tc>
          <w:tcPr>
            <w:tcW w:w="3982" w:type="pct"/>
            <w:gridSpan w:val="3"/>
            <w:tcBorders>
              <w:tl2br w:val="nil"/>
              <w:tr2bl w:val="nil"/>
            </w:tcBorders>
            <w:vAlign w:val="center"/>
          </w:tcPr>
          <w:p>
            <w:pPr>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u w:val="none"/>
              </w:rPr>
              <w:t>山西省长治市屯留区余吾镇南街村</w:t>
            </w:r>
            <w:r>
              <w:rPr>
                <w:rFonts w:hint="eastAsia"/>
                <w:color w:val="auto"/>
                <w:sz w:val="24"/>
                <w:szCs w:val="24"/>
                <w:highlight w:val="none"/>
                <w:u w:val="none"/>
                <w:lang w:val="en-US" w:eastAsia="zh-CN"/>
              </w:rPr>
              <w:t>东侧225m处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地理坐标</w:t>
            </w:r>
          </w:p>
        </w:tc>
        <w:tc>
          <w:tcPr>
            <w:tcW w:w="3982" w:type="pct"/>
            <w:gridSpan w:val="3"/>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auto"/>
                <w:sz w:val="24"/>
                <w:szCs w:val="24"/>
                <w:highlight w:val="none"/>
              </w:rPr>
            </w:pPr>
            <w:r>
              <w:rPr>
                <w:color w:val="auto"/>
                <w:sz w:val="24"/>
                <w:szCs w:val="24"/>
                <w:highlight w:val="none"/>
              </w:rPr>
              <w:t>（</w:t>
            </w:r>
            <w:r>
              <w:rPr>
                <w:rFonts w:hint="eastAsia"/>
                <w:color w:val="auto"/>
                <w:sz w:val="24"/>
                <w:szCs w:val="24"/>
                <w:highlight w:val="none"/>
                <w:u w:val="single"/>
                <w:lang w:val="en-US" w:eastAsia="zh-CN"/>
              </w:rPr>
              <w:t>112</w:t>
            </w:r>
            <w:r>
              <w:rPr>
                <w:color w:val="auto"/>
                <w:sz w:val="24"/>
                <w:szCs w:val="24"/>
                <w:highlight w:val="none"/>
              </w:rPr>
              <w:t>度</w:t>
            </w:r>
            <w:r>
              <w:rPr>
                <w:rFonts w:hint="eastAsia"/>
                <w:color w:val="auto"/>
                <w:sz w:val="24"/>
                <w:szCs w:val="24"/>
                <w:highlight w:val="none"/>
                <w:u w:val="single"/>
                <w:lang w:val="en-US" w:eastAsia="zh-CN"/>
              </w:rPr>
              <w:t>50</w:t>
            </w:r>
            <w:r>
              <w:rPr>
                <w:color w:val="auto"/>
                <w:sz w:val="24"/>
                <w:szCs w:val="24"/>
                <w:highlight w:val="none"/>
              </w:rPr>
              <w:t>分</w:t>
            </w:r>
            <w:r>
              <w:rPr>
                <w:rFonts w:hint="eastAsia"/>
                <w:color w:val="auto"/>
                <w:sz w:val="24"/>
                <w:szCs w:val="24"/>
                <w:highlight w:val="none"/>
                <w:u w:val="single"/>
                <w:lang w:val="en-US" w:eastAsia="zh-CN"/>
              </w:rPr>
              <w:t>24.132</w:t>
            </w:r>
            <w:r>
              <w:rPr>
                <w:color w:val="auto"/>
                <w:sz w:val="24"/>
                <w:szCs w:val="24"/>
                <w:highlight w:val="none"/>
              </w:rPr>
              <w:t>秒，</w:t>
            </w:r>
            <w:r>
              <w:rPr>
                <w:rFonts w:hint="eastAsia"/>
                <w:color w:val="auto"/>
                <w:sz w:val="24"/>
                <w:szCs w:val="24"/>
                <w:highlight w:val="none"/>
                <w:u w:val="single"/>
                <w:lang w:val="en-US" w:eastAsia="zh-CN"/>
              </w:rPr>
              <w:t>36</w:t>
            </w:r>
            <w:r>
              <w:rPr>
                <w:color w:val="auto"/>
                <w:sz w:val="24"/>
                <w:szCs w:val="24"/>
                <w:highlight w:val="none"/>
              </w:rPr>
              <w:t>度</w:t>
            </w:r>
            <w:r>
              <w:rPr>
                <w:rFonts w:hint="eastAsia"/>
                <w:color w:val="auto"/>
                <w:sz w:val="24"/>
                <w:szCs w:val="24"/>
                <w:highlight w:val="none"/>
                <w:u w:val="single"/>
                <w:lang w:val="en-US" w:eastAsia="zh-CN"/>
              </w:rPr>
              <w:t>22</w:t>
            </w:r>
            <w:r>
              <w:rPr>
                <w:color w:val="auto"/>
                <w:sz w:val="24"/>
                <w:szCs w:val="24"/>
                <w:highlight w:val="none"/>
              </w:rPr>
              <w:t>分</w:t>
            </w:r>
            <w:r>
              <w:rPr>
                <w:rFonts w:hint="eastAsia"/>
                <w:color w:val="auto"/>
                <w:sz w:val="24"/>
                <w:szCs w:val="24"/>
                <w:highlight w:val="none"/>
                <w:u w:val="single"/>
                <w:lang w:val="en-US" w:eastAsia="zh-CN"/>
              </w:rPr>
              <w:t>12.892</w:t>
            </w:r>
            <w:r>
              <w:rPr>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国民经济</w:t>
            </w:r>
          </w:p>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行业类别</w:t>
            </w:r>
          </w:p>
        </w:tc>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C2625 有机肥料及微生物肥料制造</w:t>
            </w:r>
          </w:p>
        </w:tc>
        <w:tc>
          <w:tcPr>
            <w:tcW w:w="9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4"/>
                <w:szCs w:val="24"/>
                <w:highlight w:val="none"/>
              </w:rPr>
            </w:pPr>
            <w:bookmarkStart w:id="3" w:name="_Hlk49843745"/>
            <w:r>
              <w:rPr>
                <w:b/>
                <w:bCs/>
                <w:color w:val="auto"/>
                <w:sz w:val="24"/>
                <w:szCs w:val="24"/>
                <w:highlight w:val="none"/>
              </w:rPr>
              <w:t>建设项目</w:t>
            </w: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4"/>
                <w:szCs w:val="24"/>
                <w:highlight w:val="none"/>
              </w:rPr>
            </w:pPr>
            <w:r>
              <w:rPr>
                <w:b/>
                <w:bCs/>
                <w:color w:val="auto"/>
                <w:sz w:val="24"/>
                <w:szCs w:val="24"/>
                <w:highlight w:val="none"/>
              </w:rPr>
              <w:t>行业类别</w:t>
            </w:r>
            <w:bookmarkEnd w:id="3"/>
          </w:p>
        </w:tc>
        <w:tc>
          <w:tcPr>
            <w:tcW w:w="15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二十三、化学原料和化学制品制造业 26-45 肥料制造262-其他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建设性质</w:t>
            </w:r>
          </w:p>
        </w:tc>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52"/>
            </w:r>
            <w:r>
              <w:rPr>
                <w:rFonts w:hint="eastAsia" w:ascii="宋体" w:hAnsi="宋体" w:cs="宋体"/>
                <w:color w:val="auto"/>
                <w:sz w:val="24"/>
                <w:szCs w:val="24"/>
                <w:highlight w:val="none"/>
              </w:rPr>
              <w:t>新建（迁建）</w:t>
            </w:r>
          </w:p>
          <w:p>
            <w:pPr>
              <w:keepNext w:val="0"/>
              <w:keepLines w:val="0"/>
              <w:pageBreakBefore w:val="0"/>
              <w:widowControl w:val="0"/>
              <w:kinsoku/>
              <w:wordWrap/>
              <w:overflowPunct/>
              <w:topLinePunct w:val="0"/>
              <w:autoSpaceDE/>
              <w:autoSpaceDN/>
              <w:bidi w:val="0"/>
              <w:adjustRightInd w:val="0"/>
              <w:snapToGrid w:val="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rPr>
              <w:t>改建</w:t>
            </w:r>
          </w:p>
          <w:p>
            <w:pPr>
              <w:keepNext w:val="0"/>
              <w:keepLines w:val="0"/>
              <w:pageBreakBefore w:val="0"/>
              <w:widowControl w:val="0"/>
              <w:kinsoku/>
              <w:wordWrap/>
              <w:overflowPunct/>
              <w:topLinePunct w:val="0"/>
              <w:autoSpaceDE/>
              <w:autoSpaceDN/>
              <w:bidi w:val="0"/>
              <w:adjustRightInd w:val="0"/>
              <w:snapToGrid w:val="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rPr>
              <w:t>扩建</w:t>
            </w:r>
          </w:p>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rPr>
              <w:t>技术改造</w:t>
            </w:r>
          </w:p>
        </w:tc>
        <w:tc>
          <w:tcPr>
            <w:tcW w:w="9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4"/>
                <w:szCs w:val="24"/>
                <w:highlight w:val="none"/>
              </w:rPr>
            </w:pPr>
            <w:r>
              <w:rPr>
                <w:b/>
                <w:bCs/>
                <w:color w:val="auto"/>
                <w:sz w:val="24"/>
                <w:szCs w:val="24"/>
                <w:highlight w:val="none"/>
              </w:rPr>
              <w:t>建设项目</w:t>
            </w: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4"/>
                <w:szCs w:val="24"/>
                <w:highlight w:val="none"/>
              </w:rPr>
            </w:pPr>
            <w:r>
              <w:rPr>
                <w:b/>
                <w:bCs/>
                <w:color w:val="auto"/>
                <w:sz w:val="24"/>
                <w:szCs w:val="24"/>
                <w:highlight w:val="none"/>
              </w:rPr>
              <w:t>申报情形</w:t>
            </w:r>
          </w:p>
        </w:tc>
        <w:tc>
          <w:tcPr>
            <w:tcW w:w="15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52"/>
            </w:r>
            <w:r>
              <w:rPr>
                <w:rFonts w:hint="eastAsia" w:ascii="宋体" w:hAnsi="宋体" w:cs="宋体"/>
                <w:color w:val="auto"/>
                <w:sz w:val="24"/>
                <w:szCs w:val="24"/>
                <w:highlight w:val="none"/>
              </w:rPr>
              <w:t>首次申报项目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rPr>
              <w:t>不予批准后再次申报项目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rPr>
              <w:t>超五年重新审核项目</w:t>
            </w:r>
          </w:p>
          <w:p>
            <w:pPr>
              <w:keepNext w:val="0"/>
              <w:keepLines w:val="0"/>
              <w:pageBreakBefore w:val="0"/>
              <w:widowControl w:val="0"/>
              <w:kinsoku/>
              <w:wordWrap/>
              <w:overflowPunct/>
              <w:topLinePunct w:val="0"/>
              <w:autoSpaceDE/>
              <w:autoSpaceDN/>
              <w:bidi w:val="0"/>
              <w:adjustRightInd w:val="0"/>
              <w:snapToGrid w:val="0"/>
              <w:jc w:val="left"/>
              <w:textAlignment w:val="auto"/>
              <w:rPr>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项目审批（核准/备案）部门（选填）</w:t>
            </w:r>
          </w:p>
        </w:tc>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sz w:val="24"/>
                <w:szCs w:val="24"/>
                <w:highlight w:val="none"/>
                <w:lang w:val="en-US"/>
              </w:rPr>
            </w:pPr>
            <w:r>
              <w:rPr>
                <w:rFonts w:hint="eastAsia"/>
                <w:color w:val="auto"/>
                <w:sz w:val="24"/>
                <w:szCs w:val="24"/>
                <w:highlight w:val="none"/>
                <w:lang w:val="en-US" w:eastAsia="zh-CN"/>
              </w:rPr>
              <w:t>屯留经济技术开发区管理委员会</w:t>
            </w:r>
          </w:p>
        </w:tc>
        <w:tc>
          <w:tcPr>
            <w:tcW w:w="9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4"/>
                <w:szCs w:val="24"/>
                <w:highlight w:val="none"/>
              </w:rPr>
            </w:pPr>
            <w:r>
              <w:rPr>
                <w:b/>
                <w:bCs/>
                <w:color w:val="auto"/>
                <w:sz w:val="24"/>
                <w:szCs w:val="24"/>
                <w:highlight w:val="none"/>
              </w:rPr>
              <w:t>项目审批（核准/备案）文号（选填）</w:t>
            </w:r>
          </w:p>
        </w:tc>
        <w:tc>
          <w:tcPr>
            <w:tcW w:w="15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szCs w:val="24"/>
                <w:highlight w:val="none"/>
              </w:rPr>
            </w:pPr>
            <w:r>
              <w:rPr>
                <w:rFonts w:hint="eastAsia"/>
                <w:color w:val="auto"/>
                <w:sz w:val="24"/>
                <w:szCs w:val="24"/>
                <w:highlight w:val="none"/>
                <w:lang w:val="en-US" w:eastAsia="zh-CN"/>
              </w:rPr>
              <w:t>2507-140455-89-01-397311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总投资（万元）</w:t>
            </w:r>
          </w:p>
        </w:tc>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12000</w:t>
            </w:r>
          </w:p>
        </w:tc>
        <w:tc>
          <w:tcPr>
            <w:tcW w:w="929" w:type="pct"/>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4"/>
                <w:szCs w:val="24"/>
                <w:highlight w:val="none"/>
              </w:rPr>
            </w:pPr>
            <w:r>
              <w:rPr>
                <w:b/>
                <w:bCs/>
                <w:color w:val="auto"/>
                <w:sz w:val="24"/>
                <w:szCs w:val="24"/>
                <w:highlight w:val="none"/>
              </w:rPr>
              <w:t>环保投资（万元）</w:t>
            </w:r>
          </w:p>
        </w:tc>
        <w:tc>
          <w:tcPr>
            <w:tcW w:w="15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4"/>
                <w:szCs w:val="24"/>
                <w:highlight w:val="none"/>
                <w:lang w:val="en-US" w:eastAsia="zh-CN"/>
              </w:rPr>
            </w:pPr>
            <w:r>
              <w:rPr>
                <w:rFonts w:hint="default" w:eastAsia="宋体"/>
                <w:color w:val="auto"/>
                <w:sz w:val="24"/>
                <w:szCs w:val="24"/>
                <w:highlight w:val="none"/>
                <w:lang w:val="en-US" w:eastAsia="zh-CN"/>
              </w:rPr>
              <w:t>211.5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环保投资占比（%）</w:t>
            </w:r>
          </w:p>
        </w:tc>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1.76</w:t>
            </w:r>
          </w:p>
        </w:tc>
        <w:tc>
          <w:tcPr>
            <w:tcW w:w="929" w:type="pct"/>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4"/>
                <w:szCs w:val="24"/>
                <w:highlight w:val="none"/>
              </w:rPr>
            </w:pPr>
            <w:r>
              <w:rPr>
                <w:b/>
                <w:bCs/>
                <w:color w:val="auto"/>
                <w:sz w:val="24"/>
                <w:szCs w:val="24"/>
                <w:highlight w:val="none"/>
              </w:rPr>
              <w:t>施工工期</w:t>
            </w:r>
          </w:p>
        </w:tc>
        <w:tc>
          <w:tcPr>
            <w:tcW w:w="15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 w:val="24"/>
                <w:szCs w:val="24"/>
                <w:highlight w:val="none"/>
              </w:rPr>
            </w:pPr>
            <w:r>
              <w:rPr>
                <w:rFonts w:hint="eastAsia"/>
                <w:color w:val="auto"/>
                <w:sz w:val="24"/>
                <w:szCs w:val="24"/>
                <w:highlight w:val="none"/>
                <w:lang w:val="en-US" w:eastAsia="zh-CN"/>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17" w:type="pct"/>
            <w:gridSpan w:val="2"/>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sz w:val="24"/>
                <w:szCs w:val="24"/>
                <w:highlight w:val="none"/>
              </w:rPr>
            </w:pPr>
            <w:r>
              <w:rPr>
                <w:b/>
                <w:bCs/>
                <w:color w:val="auto"/>
                <w:sz w:val="24"/>
                <w:szCs w:val="24"/>
                <w:highlight w:val="none"/>
              </w:rPr>
              <w:t>是否开工建设</w:t>
            </w:r>
          </w:p>
        </w:tc>
        <w:tc>
          <w:tcPr>
            <w:tcW w:w="1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ascii="宋体" w:hAnsi="宋体" w:cs="宋体"/>
                <w:color w:val="auto"/>
                <w:sz w:val="24"/>
                <w:szCs w:val="24"/>
                <w:highlight w:val="none"/>
              </w:rPr>
            </w:pPr>
            <w:r>
              <w:rPr>
                <w:rFonts w:hint="eastAsia" w:ascii="宋体" w:hAnsi="宋体" w:cs="宋体"/>
                <w:color w:val="auto"/>
                <w:sz w:val="24"/>
                <w:szCs w:val="24"/>
                <w:highlight w:val="none"/>
              </w:rPr>
              <w:sym w:font="Wingdings 2" w:char="0052"/>
            </w:r>
            <w:r>
              <w:rPr>
                <w:rFonts w:hint="eastAsia" w:ascii="宋体" w:hAnsi="宋体" w:cs="宋体"/>
                <w:color w:val="auto"/>
                <w:sz w:val="24"/>
                <w:szCs w:val="24"/>
                <w:highlight w:val="none"/>
              </w:rPr>
              <w:t>否</w:t>
            </w:r>
          </w:p>
          <w:p>
            <w:pPr>
              <w:keepNext w:val="0"/>
              <w:keepLines w:val="0"/>
              <w:pageBreakBefore w:val="0"/>
              <w:widowControl w:val="0"/>
              <w:kinsoku/>
              <w:wordWrap/>
              <w:overflowPunct/>
              <w:topLinePunct w:val="0"/>
              <w:autoSpaceDE/>
              <w:autoSpaceDN/>
              <w:bidi w:val="0"/>
              <w:adjustRightInd w:val="0"/>
              <w:snapToGrid w:val="0"/>
              <w:textAlignment w:val="auto"/>
              <w:rPr>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rPr>
              <w:t>是：</w:t>
            </w:r>
          </w:p>
        </w:tc>
        <w:tc>
          <w:tcPr>
            <w:tcW w:w="929" w:type="pct"/>
            <w:tcBorders>
              <w:tl2br w:val="nil"/>
              <w:tr2bl w:val="nil"/>
            </w:tcBorders>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pacing w:val="-6"/>
                <w:sz w:val="24"/>
                <w:szCs w:val="24"/>
                <w:highlight w:val="none"/>
              </w:rPr>
            </w:pPr>
            <w:r>
              <w:rPr>
                <w:b/>
                <w:bCs/>
                <w:color w:val="auto"/>
                <w:spacing w:val="-6"/>
                <w:sz w:val="24"/>
                <w:szCs w:val="24"/>
                <w:highlight w:val="none"/>
              </w:rPr>
              <w:t>用地（用海）</w:t>
            </w:r>
          </w:p>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 w:val="24"/>
                <w:szCs w:val="24"/>
                <w:highlight w:val="none"/>
              </w:rPr>
            </w:pPr>
            <w:r>
              <w:rPr>
                <w:b/>
                <w:bCs/>
                <w:color w:val="auto"/>
                <w:spacing w:val="-6"/>
                <w:sz w:val="24"/>
                <w:szCs w:val="24"/>
                <w:highlight w:val="none"/>
              </w:rPr>
              <w:t>面积（m</w:t>
            </w:r>
            <w:r>
              <w:rPr>
                <w:b/>
                <w:bCs/>
                <w:color w:val="auto"/>
                <w:spacing w:val="-6"/>
                <w:sz w:val="24"/>
                <w:szCs w:val="24"/>
                <w:highlight w:val="none"/>
                <w:vertAlign w:val="superscript"/>
              </w:rPr>
              <w:t>2</w:t>
            </w:r>
            <w:r>
              <w:rPr>
                <w:b/>
                <w:bCs/>
                <w:color w:val="auto"/>
                <w:spacing w:val="-6"/>
                <w:sz w:val="24"/>
                <w:szCs w:val="24"/>
                <w:highlight w:val="none"/>
              </w:rPr>
              <w:t>）</w:t>
            </w:r>
          </w:p>
        </w:tc>
        <w:tc>
          <w:tcPr>
            <w:tcW w:w="15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23267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7"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color w:val="auto"/>
                <w:kern w:val="0"/>
                <w:sz w:val="24"/>
                <w:szCs w:val="24"/>
                <w:highlight w:val="none"/>
              </w:rPr>
            </w:pPr>
            <w:r>
              <w:rPr>
                <w:b/>
                <w:bCs/>
                <w:color w:val="auto"/>
                <w:kern w:val="0"/>
                <w:sz w:val="24"/>
                <w:szCs w:val="24"/>
                <w:highlight w:val="none"/>
              </w:rPr>
              <w:t>专项评价</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color w:val="auto"/>
                <w:kern w:val="0"/>
                <w:sz w:val="24"/>
                <w:szCs w:val="24"/>
                <w:highlight w:val="none"/>
              </w:rPr>
            </w:pPr>
            <w:r>
              <w:rPr>
                <w:b/>
                <w:bCs/>
                <w:color w:val="auto"/>
                <w:kern w:val="0"/>
                <w:sz w:val="24"/>
                <w:szCs w:val="24"/>
                <w:highlight w:val="none"/>
              </w:rPr>
              <w:t>设置情况</w:t>
            </w:r>
          </w:p>
        </w:tc>
        <w:tc>
          <w:tcPr>
            <w:tcW w:w="3982" w:type="pct"/>
            <w:gridSpan w:val="3"/>
            <w:tcBorders>
              <w:tl2br w:val="nil"/>
              <w:tr2bl w:val="nil"/>
            </w:tcBorders>
            <w:vAlign w:val="center"/>
          </w:tcPr>
          <w:p>
            <w:pPr>
              <w:autoSpaceDE w:val="0"/>
              <w:autoSpaceDN w:val="0"/>
              <w:adjustRightInd w:val="0"/>
              <w:snapToGrid w:val="0"/>
              <w:spacing w:line="480" w:lineRule="exact"/>
              <w:jc w:val="center"/>
              <w:rPr>
                <w:rFonts w:hint="eastAsia" w:eastAsia="宋体"/>
                <w:color w:val="auto"/>
                <w:kern w:val="0"/>
                <w:sz w:val="24"/>
                <w:szCs w:val="24"/>
                <w:highlight w:val="none"/>
                <w:lang w:eastAsia="zh-CN"/>
              </w:rPr>
            </w:pPr>
            <w:r>
              <w:rPr>
                <w:rFonts w:hint="eastAsia"/>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17"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color w:val="auto"/>
                <w:kern w:val="0"/>
                <w:sz w:val="24"/>
                <w:szCs w:val="24"/>
                <w:highlight w:val="none"/>
              </w:rPr>
            </w:pPr>
            <w:r>
              <w:rPr>
                <w:b/>
                <w:bCs/>
                <w:color w:val="auto"/>
                <w:sz w:val="24"/>
                <w:szCs w:val="24"/>
                <w:highlight w:val="none"/>
              </w:rPr>
              <w:t>规划情况</w:t>
            </w:r>
          </w:p>
        </w:tc>
        <w:tc>
          <w:tcPr>
            <w:tcW w:w="3982"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eastAsia" w:eastAsia="宋体"/>
                <w:color w:val="auto"/>
                <w:kern w:val="0"/>
                <w:sz w:val="24"/>
                <w:szCs w:val="24"/>
                <w:highlight w:val="none"/>
                <w:lang w:eastAsia="zh-CN"/>
              </w:rPr>
            </w:pPr>
            <w:r>
              <w:rPr>
                <w:rFonts w:hint="eastAsia" w:eastAsia="宋体"/>
                <w:color w:val="auto"/>
                <w:kern w:val="0"/>
                <w:sz w:val="24"/>
                <w:szCs w:val="24"/>
                <w:highlight w:val="none"/>
                <w:lang w:eastAsia="zh-CN"/>
              </w:rPr>
              <w:t>规划文件名称：《屯留县经济技术开发区总体规划（2019-2035年）》</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eastAsia" w:eastAsia="宋体"/>
                <w:color w:val="auto"/>
                <w:kern w:val="0"/>
                <w:sz w:val="24"/>
                <w:szCs w:val="24"/>
                <w:highlight w:val="none"/>
                <w:lang w:eastAsia="zh-CN"/>
              </w:rPr>
            </w:pPr>
            <w:r>
              <w:rPr>
                <w:rFonts w:hint="eastAsia" w:eastAsia="宋体"/>
                <w:color w:val="auto"/>
                <w:kern w:val="0"/>
                <w:sz w:val="24"/>
                <w:szCs w:val="24"/>
                <w:highlight w:val="none"/>
                <w:lang w:eastAsia="zh-CN"/>
              </w:rPr>
              <w:t>审批文件名称：《山西省人民政府关于同意设立屯留经济技术开发区的批复》晋政函（2017）134号</w:t>
            </w:r>
          </w:p>
          <w:p>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textAlignment w:val="auto"/>
              <w:rPr>
                <w:rFonts w:hint="eastAsia" w:eastAsia="宋体"/>
                <w:color w:val="auto"/>
                <w:kern w:val="0"/>
                <w:sz w:val="24"/>
                <w:szCs w:val="24"/>
                <w:highlight w:val="none"/>
                <w:lang w:eastAsia="zh-CN"/>
              </w:rPr>
            </w:pPr>
            <w:r>
              <w:rPr>
                <w:rFonts w:hint="eastAsia" w:eastAsia="宋体"/>
                <w:color w:val="auto"/>
                <w:kern w:val="0"/>
                <w:sz w:val="24"/>
                <w:szCs w:val="24"/>
                <w:highlight w:val="none"/>
                <w:lang w:eastAsia="zh-CN"/>
              </w:rPr>
              <w:t>审批机关：山西省人民政府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7" w:type="pct"/>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b/>
                <w:bCs/>
                <w:color w:val="auto"/>
                <w:kern w:val="0"/>
                <w:sz w:val="24"/>
                <w:szCs w:val="24"/>
                <w:highlight w:val="none"/>
              </w:rPr>
            </w:pPr>
            <w:r>
              <w:rPr>
                <w:b/>
                <w:bCs/>
                <w:color w:val="auto"/>
                <w:sz w:val="24"/>
                <w:szCs w:val="24"/>
                <w:highlight w:val="none"/>
              </w:rPr>
              <w:t>规划环境影响评价情况</w:t>
            </w:r>
          </w:p>
        </w:tc>
        <w:tc>
          <w:tcPr>
            <w:tcW w:w="3982"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hAnsi="宋体"/>
                <w:color w:val="auto"/>
                <w:sz w:val="24"/>
                <w:szCs w:val="24"/>
                <w:highlight w:val="none"/>
              </w:rPr>
            </w:pPr>
            <w:r>
              <w:rPr>
                <w:rFonts w:hint="eastAsia" w:hAnsi="宋体"/>
                <w:color w:val="auto"/>
                <w:sz w:val="24"/>
                <w:szCs w:val="24"/>
                <w:highlight w:val="none"/>
              </w:rPr>
              <w:t>规划环境影响评价文件名称：《屯留县经济技术开发区总体规划（2019-2035年）环境影响报告书》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hAnsi="宋体"/>
                <w:color w:val="auto"/>
                <w:sz w:val="24"/>
                <w:szCs w:val="24"/>
                <w:highlight w:val="none"/>
              </w:rPr>
            </w:pPr>
            <w:r>
              <w:rPr>
                <w:rFonts w:hint="eastAsia" w:hAnsi="宋体"/>
                <w:color w:val="auto"/>
                <w:sz w:val="24"/>
                <w:szCs w:val="24"/>
                <w:highlight w:val="none"/>
              </w:rPr>
              <w:t>审查机关：山西省生态环境厅</w:t>
            </w:r>
          </w:p>
          <w:p>
            <w:pPr>
              <w:keepNext w:val="0"/>
              <w:keepLines w:val="0"/>
              <w:pageBreakBefore w:val="0"/>
              <w:widowControl w:val="0"/>
              <w:kinsoku/>
              <w:wordWrap/>
              <w:overflowPunct/>
              <w:topLinePunct w:val="0"/>
              <w:autoSpaceDE w:val="0"/>
              <w:autoSpaceDN w:val="0"/>
              <w:bidi w:val="0"/>
              <w:adjustRightInd w:val="0"/>
              <w:snapToGrid w:val="0"/>
              <w:spacing w:line="360" w:lineRule="exact"/>
              <w:ind w:firstLine="480" w:firstLineChars="200"/>
              <w:textAlignment w:val="auto"/>
              <w:rPr>
                <w:rFonts w:hint="eastAsia" w:hAnsi="宋体"/>
                <w:color w:val="auto"/>
                <w:sz w:val="24"/>
                <w:szCs w:val="24"/>
                <w:highlight w:val="none"/>
                <w:lang w:eastAsia="zh-CN"/>
              </w:rPr>
            </w:pPr>
            <w:r>
              <w:rPr>
                <w:rFonts w:hint="eastAsia" w:hAnsi="宋体"/>
                <w:color w:val="auto"/>
                <w:sz w:val="24"/>
                <w:szCs w:val="24"/>
                <w:highlight w:val="none"/>
              </w:rPr>
              <w:t>审查文件名称：关于《屯留经济技术开发区总体规划环境影响报告书》的审查意见（晋环函〔2022〕641号）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38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bCs/>
                <w:color w:val="auto"/>
                <w:kern w:val="0"/>
                <w:sz w:val="24"/>
                <w:szCs w:val="24"/>
                <w:highlight w:val="none"/>
              </w:rPr>
            </w:pPr>
            <w:r>
              <w:rPr>
                <w:b w:val="0"/>
                <w:bCs w:val="0"/>
                <w:color w:val="auto"/>
                <w:kern w:val="0"/>
                <w:sz w:val="24"/>
                <w:szCs w:val="24"/>
                <w:highlight w:val="none"/>
              </w:rPr>
              <w:t>规划及规划环境影响评价符合性分析</w:t>
            </w:r>
          </w:p>
        </w:tc>
        <w:tc>
          <w:tcPr>
            <w:tcW w:w="4619" w:type="pct"/>
            <w:gridSpan w:val="4"/>
            <w:tcBorders>
              <w:tl2br w:val="nil"/>
              <w:tr2bl w:val="nil"/>
            </w:tcBorders>
            <w:vAlign w:val="center"/>
          </w:tcPr>
          <w:p>
            <w:pPr>
              <w:pStyle w:val="25"/>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baseline"/>
              <w:rPr>
                <w:rFonts w:ascii="Times New Roman" w:hAnsi="Times New Roman" w:eastAsia="宋体"/>
                <w:b/>
                <w:color w:val="auto"/>
                <w:kern w:val="2"/>
                <w:sz w:val="24"/>
                <w:szCs w:val="24"/>
                <w:highlight w:val="none"/>
              </w:rPr>
            </w:pPr>
            <w:r>
              <w:rPr>
                <w:rFonts w:hint="eastAsia" w:ascii="Times New Roman" w:hAnsi="Times New Roman" w:eastAsia="宋体"/>
                <w:b/>
                <w:color w:val="auto"/>
                <w:kern w:val="2"/>
                <w:sz w:val="24"/>
                <w:szCs w:val="24"/>
                <w:highlight w:val="none"/>
              </w:rPr>
              <w:t>一、《屯留县经济技术开发区总体规划（2019-2035年）》规划符合性分析</w:t>
            </w:r>
          </w:p>
          <w:p>
            <w:pPr>
              <w:spacing w:line="480" w:lineRule="exact"/>
              <w:ind w:firstLine="480" w:firstLineChars="200"/>
              <w:rPr>
                <w:bCs/>
                <w:color w:val="auto"/>
                <w:sz w:val="24"/>
                <w:szCs w:val="24"/>
                <w:highlight w:val="none"/>
              </w:rPr>
            </w:pPr>
            <w:r>
              <w:rPr>
                <w:bCs/>
                <w:color w:val="auto"/>
                <w:sz w:val="24"/>
                <w:szCs w:val="24"/>
                <w:highlight w:val="none"/>
              </w:rPr>
              <w:t>1</w:t>
            </w:r>
            <w:r>
              <w:rPr>
                <w:rFonts w:hint="eastAsia"/>
                <w:bCs/>
                <w:color w:val="auto"/>
                <w:sz w:val="24"/>
                <w:szCs w:val="24"/>
                <w:highlight w:val="none"/>
                <w:lang w:val="en-US" w:eastAsia="zh-CN"/>
              </w:rPr>
              <w:t>.</w:t>
            </w:r>
            <w:r>
              <w:rPr>
                <w:bCs/>
                <w:color w:val="auto"/>
                <w:sz w:val="24"/>
                <w:szCs w:val="24"/>
                <w:highlight w:val="none"/>
              </w:rPr>
              <w:t>规划概述</w:t>
            </w:r>
          </w:p>
          <w:p>
            <w:pPr>
              <w:spacing w:line="480" w:lineRule="exact"/>
              <w:ind w:firstLine="480" w:firstLineChars="200"/>
              <w:rPr>
                <w:color w:val="auto"/>
                <w:sz w:val="24"/>
                <w:szCs w:val="24"/>
                <w:highlight w:val="none"/>
              </w:rPr>
            </w:pPr>
            <w:r>
              <w:rPr>
                <w:color w:val="auto"/>
                <w:sz w:val="24"/>
                <w:szCs w:val="24"/>
                <w:highlight w:val="none"/>
              </w:rPr>
              <w:t>2017年10月19日，山西省人民政府以晋政函〔2017〕134号文批复同意设立屯留经济技术开发区，纳入省级开发区管理序列。</w:t>
            </w:r>
          </w:p>
          <w:p>
            <w:pPr>
              <w:spacing w:line="480" w:lineRule="exact"/>
              <w:ind w:firstLine="480" w:firstLineChars="200"/>
              <w:rPr>
                <w:color w:val="auto"/>
                <w:sz w:val="24"/>
                <w:szCs w:val="24"/>
                <w:highlight w:val="none"/>
              </w:rPr>
            </w:pPr>
            <w:r>
              <w:rPr>
                <w:color w:val="auto"/>
                <w:sz w:val="24"/>
                <w:szCs w:val="24"/>
                <w:highlight w:val="none"/>
              </w:rPr>
              <w:t>2</w:t>
            </w:r>
            <w:r>
              <w:rPr>
                <w:rFonts w:hint="eastAsia"/>
                <w:color w:val="auto"/>
                <w:sz w:val="24"/>
                <w:szCs w:val="24"/>
                <w:highlight w:val="none"/>
                <w:lang w:val="en-US" w:eastAsia="zh-CN"/>
              </w:rPr>
              <w:t>.</w:t>
            </w:r>
            <w:r>
              <w:rPr>
                <w:color w:val="auto"/>
                <w:sz w:val="24"/>
                <w:szCs w:val="24"/>
                <w:highlight w:val="none"/>
              </w:rPr>
              <w:t>规划期限</w:t>
            </w:r>
          </w:p>
          <w:p>
            <w:pPr>
              <w:spacing w:line="480" w:lineRule="exact"/>
              <w:ind w:firstLine="480" w:firstLineChars="200"/>
              <w:rPr>
                <w:color w:val="auto"/>
                <w:sz w:val="24"/>
                <w:szCs w:val="24"/>
                <w:highlight w:val="none"/>
              </w:rPr>
            </w:pPr>
            <w:r>
              <w:rPr>
                <w:color w:val="auto"/>
                <w:sz w:val="24"/>
                <w:szCs w:val="24"/>
                <w:highlight w:val="none"/>
              </w:rPr>
              <w:t>规划期限为2019-2035年。其中，近期为2019-2025年；远期为2026-2035年；远景为2035年以后。</w:t>
            </w:r>
          </w:p>
          <w:p>
            <w:pPr>
              <w:spacing w:line="480" w:lineRule="exact"/>
              <w:ind w:firstLine="480" w:firstLineChars="200"/>
              <w:rPr>
                <w:color w:val="auto"/>
                <w:sz w:val="24"/>
                <w:szCs w:val="24"/>
                <w:highlight w:val="none"/>
              </w:rPr>
            </w:pPr>
            <w:r>
              <w:rPr>
                <w:color w:val="auto"/>
                <w:sz w:val="24"/>
                <w:szCs w:val="24"/>
                <w:highlight w:val="none"/>
              </w:rPr>
              <w:t>3</w:t>
            </w:r>
            <w:r>
              <w:rPr>
                <w:rFonts w:hint="eastAsia"/>
                <w:color w:val="auto"/>
                <w:sz w:val="24"/>
                <w:szCs w:val="24"/>
                <w:highlight w:val="none"/>
                <w:lang w:val="en-US" w:eastAsia="zh-CN"/>
              </w:rPr>
              <w:t>.</w:t>
            </w:r>
            <w:r>
              <w:rPr>
                <w:color w:val="auto"/>
                <w:sz w:val="24"/>
                <w:szCs w:val="24"/>
                <w:highlight w:val="none"/>
              </w:rPr>
              <w:t>规划定位</w:t>
            </w:r>
          </w:p>
          <w:p>
            <w:pPr>
              <w:spacing w:line="480" w:lineRule="exact"/>
              <w:ind w:firstLine="480" w:firstLineChars="200"/>
              <w:rPr>
                <w:color w:val="auto"/>
                <w:sz w:val="24"/>
                <w:szCs w:val="24"/>
                <w:highlight w:val="none"/>
              </w:rPr>
            </w:pPr>
            <w:r>
              <w:rPr>
                <w:color w:val="auto"/>
                <w:sz w:val="24"/>
                <w:szCs w:val="24"/>
                <w:highlight w:val="none"/>
              </w:rPr>
              <w:t>屯留经济技术开发区的定位为：长治市省级开发区标杆、产城融合示范区、产业转型升级引领区。</w:t>
            </w:r>
          </w:p>
          <w:p>
            <w:pPr>
              <w:spacing w:line="480" w:lineRule="exact"/>
              <w:ind w:firstLine="480" w:firstLineChars="200"/>
              <w:rPr>
                <w:color w:val="auto"/>
                <w:sz w:val="24"/>
                <w:szCs w:val="24"/>
                <w:highlight w:val="none"/>
              </w:rPr>
            </w:pPr>
            <w:r>
              <w:rPr>
                <w:color w:val="auto"/>
                <w:sz w:val="24"/>
                <w:szCs w:val="24"/>
                <w:highlight w:val="none"/>
              </w:rPr>
              <w:t>长治市省级开发区标杆：屯留开发区要实现经济规模跃上新台阶，产业结构进一步优化，产业集群建设取得新突破，园区功能有效提升，创新创业能力显著增强，成为长治市省级开发区标杆。</w:t>
            </w:r>
          </w:p>
          <w:p>
            <w:pPr>
              <w:spacing w:line="480" w:lineRule="exact"/>
              <w:ind w:firstLine="480" w:firstLineChars="200"/>
              <w:rPr>
                <w:color w:val="auto"/>
                <w:sz w:val="24"/>
                <w:szCs w:val="24"/>
                <w:highlight w:val="none"/>
              </w:rPr>
            </w:pPr>
            <w:r>
              <w:rPr>
                <w:color w:val="auto"/>
                <w:sz w:val="24"/>
                <w:szCs w:val="24"/>
                <w:highlight w:val="none"/>
              </w:rPr>
              <w:t>产城融合示范区：围绕余吾镇、渔泽镇与屯留县城，作为开发区主要的配套生活区，开发区要与相关城镇共同发展，实现新型工业化和新型城镇化的良性互动。开发区的产业解决就业问题，提高当地就业率，实现城乡居民增产增收，县城、镇区发展现代服务业，完善服务于城乡居民的基本公共服务体系，为开发区的工人、企业管理者、技术人员、城市居民、农村安置人员提供多元化居住功能和酒店、购物、餐饮、办公、商业服务等城市次中心公共服务设施，创建和谐的城乡发展环境。</w:t>
            </w:r>
          </w:p>
          <w:p>
            <w:pPr>
              <w:spacing w:line="480" w:lineRule="exact"/>
              <w:ind w:firstLine="480" w:firstLineChars="200"/>
              <w:rPr>
                <w:color w:val="auto"/>
                <w:sz w:val="24"/>
                <w:szCs w:val="24"/>
                <w:highlight w:val="none"/>
              </w:rPr>
            </w:pPr>
            <w:r>
              <w:rPr>
                <w:color w:val="auto"/>
                <w:sz w:val="24"/>
                <w:szCs w:val="24"/>
                <w:highlight w:val="none"/>
              </w:rPr>
              <w:t>产业转型升级引领区：开发区主要以新型煤炭产业、新型装备制造产业、生物产业和现代物流业为主导产业，形成联动集群、循环低碳、科技创新的现代产业体系。</w:t>
            </w:r>
          </w:p>
          <w:p>
            <w:pPr>
              <w:spacing w:line="480" w:lineRule="exact"/>
              <w:ind w:firstLine="480" w:firstLineChars="200"/>
              <w:rPr>
                <w:color w:val="auto"/>
                <w:sz w:val="24"/>
                <w:szCs w:val="24"/>
                <w:highlight w:val="none"/>
              </w:rPr>
            </w:pPr>
            <w:r>
              <w:rPr>
                <w:color w:val="auto"/>
                <w:sz w:val="24"/>
                <w:szCs w:val="24"/>
                <w:highlight w:val="none"/>
              </w:rPr>
              <w:t>4</w:t>
            </w:r>
            <w:r>
              <w:rPr>
                <w:rFonts w:hint="eastAsia"/>
                <w:color w:val="auto"/>
                <w:sz w:val="24"/>
                <w:szCs w:val="24"/>
                <w:highlight w:val="none"/>
                <w:lang w:val="en-US" w:eastAsia="zh-CN"/>
              </w:rPr>
              <w:t>.</w:t>
            </w:r>
            <w:r>
              <w:rPr>
                <w:color w:val="auto"/>
                <w:sz w:val="24"/>
                <w:szCs w:val="24"/>
                <w:highlight w:val="none"/>
              </w:rPr>
              <w:t>规划层次和范围</w:t>
            </w:r>
          </w:p>
          <w:p>
            <w:pPr>
              <w:spacing w:line="480" w:lineRule="exact"/>
              <w:ind w:firstLine="480" w:firstLineChars="200"/>
              <w:rPr>
                <w:color w:val="auto"/>
                <w:sz w:val="24"/>
                <w:szCs w:val="24"/>
                <w:highlight w:val="none"/>
              </w:rPr>
            </w:pPr>
            <w:r>
              <w:rPr>
                <w:color w:val="auto"/>
                <w:sz w:val="24"/>
                <w:szCs w:val="24"/>
                <w:highlight w:val="none"/>
              </w:rPr>
              <w:t>本次规划按照</w:t>
            </w:r>
            <w:r>
              <w:rPr>
                <w:rFonts w:hint="eastAsia"/>
                <w:color w:val="auto"/>
                <w:sz w:val="24"/>
                <w:szCs w:val="24"/>
                <w:highlight w:val="none"/>
                <w:lang w:eastAsia="zh-CN"/>
              </w:rPr>
              <w:t>“</w:t>
            </w:r>
            <w:r>
              <w:rPr>
                <w:color w:val="auto"/>
                <w:sz w:val="24"/>
                <w:szCs w:val="24"/>
                <w:highlight w:val="none"/>
              </w:rPr>
              <w:t>一区两园</w:t>
            </w:r>
            <w:r>
              <w:rPr>
                <w:rFonts w:hint="eastAsia"/>
                <w:color w:val="auto"/>
                <w:sz w:val="24"/>
                <w:szCs w:val="24"/>
                <w:highlight w:val="none"/>
                <w:lang w:eastAsia="zh-CN"/>
              </w:rPr>
              <w:t>”</w:t>
            </w:r>
            <w:r>
              <w:rPr>
                <w:color w:val="auto"/>
                <w:sz w:val="24"/>
                <w:szCs w:val="24"/>
                <w:highlight w:val="none"/>
              </w:rPr>
              <w:t>的模式进行规划，两园分别是余吾工业园与渔泽工业园。总规划面积26.90平方公里。</w:t>
            </w:r>
          </w:p>
          <w:p>
            <w:pPr>
              <w:spacing w:line="480" w:lineRule="exact"/>
              <w:ind w:firstLine="480" w:firstLineChars="200"/>
              <w:rPr>
                <w:color w:val="auto"/>
                <w:sz w:val="24"/>
                <w:szCs w:val="24"/>
                <w:highlight w:val="none"/>
              </w:rPr>
            </w:pPr>
            <w:r>
              <w:rPr>
                <w:color w:val="auto"/>
                <w:sz w:val="24"/>
                <w:szCs w:val="24"/>
                <w:highlight w:val="none"/>
              </w:rPr>
              <w:t>（1）余吾工业园</w:t>
            </w:r>
          </w:p>
          <w:p>
            <w:pPr>
              <w:spacing w:line="480" w:lineRule="exact"/>
              <w:ind w:firstLine="480" w:firstLineChars="200"/>
              <w:rPr>
                <w:color w:val="auto"/>
                <w:sz w:val="24"/>
                <w:szCs w:val="24"/>
                <w:highlight w:val="none"/>
              </w:rPr>
            </w:pPr>
            <w:r>
              <w:rPr>
                <w:color w:val="auto"/>
                <w:sz w:val="24"/>
                <w:szCs w:val="24"/>
                <w:highlight w:val="none"/>
              </w:rPr>
              <w:t>余吾工业园位于屯留区余吾镇境内，规划面积为5.33平方公里，四至范围：东至余吾镇后庄村村庄东界，南至692县道（不含），西至695县道（不含）、北至余吾镇天桥环保墙体材料厂北侧。</w:t>
            </w:r>
          </w:p>
          <w:p>
            <w:pPr>
              <w:spacing w:line="480" w:lineRule="exact"/>
              <w:ind w:firstLine="480" w:firstLineChars="200"/>
              <w:rPr>
                <w:color w:val="auto"/>
                <w:sz w:val="24"/>
                <w:szCs w:val="24"/>
                <w:highlight w:val="none"/>
              </w:rPr>
            </w:pPr>
            <w:r>
              <w:rPr>
                <w:color w:val="auto"/>
                <w:sz w:val="24"/>
                <w:szCs w:val="24"/>
                <w:highlight w:val="none"/>
              </w:rPr>
              <w:t>（2）渔泽工业园</w:t>
            </w:r>
          </w:p>
          <w:p>
            <w:pPr>
              <w:spacing w:line="480" w:lineRule="exact"/>
              <w:ind w:firstLine="480" w:firstLineChars="200"/>
              <w:rPr>
                <w:color w:val="auto"/>
                <w:sz w:val="24"/>
                <w:szCs w:val="24"/>
                <w:highlight w:val="none"/>
              </w:rPr>
            </w:pPr>
            <w:r>
              <w:rPr>
                <w:color w:val="auto"/>
                <w:sz w:val="24"/>
                <w:szCs w:val="24"/>
                <w:highlight w:val="none"/>
              </w:rPr>
              <w:t>渔泽工业园位于屯留区渔泽镇境内，规划面积为21.57平方千米，四至范围：东至渔泽镇与长治市郊区交界线，南至309国道南28米，西至二广高速G55（不含），北至旧309国道（不含）。</w:t>
            </w:r>
          </w:p>
          <w:p>
            <w:pPr>
              <w:spacing w:line="480" w:lineRule="exact"/>
              <w:ind w:firstLine="480" w:firstLineChars="200"/>
              <w:rPr>
                <w:color w:val="auto"/>
                <w:sz w:val="24"/>
                <w:szCs w:val="24"/>
                <w:highlight w:val="none"/>
              </w:rPr>
            </w:pPr>
            <w:r>
              <w:rPr>
                <w:color w:val="auto"/>
                <w:sz w:val="24"/>
                <w:szCs w:val="24"/>
                <w:highlight w:val="none"/>
              </w:rPr>
              <w:t>5</w:t>
            </w:r>
            <w:r>
              <w:rPr>
                <w:rFonts w:hint="eastAsia"/>
                <w:color w:val="auto"/>
                <w:sz w:val="24"/>
                <w:szCs w:val="24"/>
                <w:highlight w:val="none"/>
                <w:lang w:val="en-US" w:eastAsia="zh-CN"/>
              </w:rPr>
              <w:t>.</w:t>
            </w:r>
            <w:r>
              <w:rPr>
                <w:color w:val="auto"/>
                <w:sz w:val="24"/>
                <w:szCs w:val="24"/>
                <w:highlight w:val="none"/>
              </w:rPr>
              <w:t>产业发展与布局规划</w:t>
            </w:r>
          </w:p>
          <w:p>
            <w:pPr>
              <w:spacing w:line="480" w:lineRule="exact"/>
              <w:ind w:firstLine="480" w:firstLineChars="200"/>
              <w:rPr>
                <w:color w:val="auto"/>
                <w:sz w:val="24"/>
                <w:szCs w:val="24"/>
                <w:highlight w:val="none"/>
              </w:rPr>
            </w:pPr>
            <w:r>
              <w:rPr>
                <w:color w:val="auto"/>
                <w:sz w:val="24"/>
                <w:szCs w:val="24"/>
                <w:highlight w:val="none"/>
              </w:rPr>
              <w:t>产业发展定位：长治市省级开发区标杆、产城融合示范区、产业转型升级引领区。以新型煤炭产业、新型装备制造产业、生物产业和现代物流业为主导产业，形成联动集群、循环低碳、科技创新的现代产业体系。</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6</w:t>
            </w:r>
            <w:r>
              <w:rPr>
                <w:rFonts w:hint="eastAsia"/>
                <w:color w:val="auto"/>
                <w:sz w:val="24"/>
                <w:szCs w:val="24"/>
                <w:highlight w:val="none"/>
                <w:lang w:val="en-US" w:eastAsia="zh-CN"/>
              </w:rPr>
              <w:t>.</w:t>
            </w:r>
            <w:r>
              <w:rPr>
                <w:color w:val="auto"/>
                <w:sz w:val="24"/>
                <w:szCs w:val="24"/>
                <w:highlight w:val="none"/>
              </w:rPr>
              <w:t>产业空间布局</w:t>
            </w:r>
          </w:p>
          <w:p>
            <w:pPr>
              <w:spacing w:line="480" w:lineRule="exact"/>
              <w:ind w:firstLine="480" w:firstLineChars="200"/>
              <w:rPr>
                <w:color w:val="auto"/>
                <w:sz w:val="24"/>
                <w:szCs w:val="24"/>
                <w:highlight w:val="none"/>
              </w:rPr>
            </w:pPr>
            <w:r>
              <w:rPr>
                <w:rFonts w:hint="eastAsia"/>
                <w:color w:val="auto"/>
                <w:sz w:val="24"/>
                <w:szCs w:val="24"/>
                <w:highlight w:val="none"/>
              </w:rPr>
              <w:t>屯留经济技术开发区产业发展应形成城乡互动、产城融合的空间布局结构，构建“一区两园”的产业发展空间体系。</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其中，</w:t>
            </w:r>
            <w:r>
              <w:rPr>
                <w:rFonts w:hint="eastAsia"/>
                <w:color w:val="auto"/>
                <w:sz w:val="24"/>
                <w:szCs w:val="24"/>
                <w:highlight w:val="none"/>
                <w:lang w:eastAsia="zh-CN"/>
              </w:rPr>
              <w:t>“</w:t>
            </w:r>
            <w:r>
              <w:rPr>
                <w:rFonts w:hint="eastAsia"/>
                <w:color w:val="auto"/>
                <w:sz w:val="24"/>
                <w:szCs w:val="24"/>
                <w:highlight w:val="none"/>
              </w:rPr>
              <w:t>一区</w:t>
            </w:r>
            <w:r>
              <w:rPr>
                <w:rFonts w:hint="eastAsia"/>
                <w:color w:val="auto"/>
                <w:sz w:val="24"/>
                <w:szCs w:val="24"/>
                <w:highlight w:val="none"/>
                <w:lang w:eastAsia="zh-CN"/>
              </w:rPr>
              <w:t>”</w:t>
            </w:r>
            <w:r>
              <w:rPr>
                <w:rFonts w:hint="eastAsia"/>
                <w:color w:val="auto"/>
                <w:sz w:val="24"/>
                <w:szCs w:val="24"/>
                <w:highlight w:val="none"/>
              </w:rPr>
              <w:t>指屯留经济技术开发区。主导产业为煤基科技创新、装备制造、生物产业和现代物流。</w:t>
            </w:r>
          </w:p>
          <w:p>
            <w:pPr>
              <w:spacing w:line="480" w:lineRule="exact"/>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rPr>
              <w:t>两园</w:t>
            </w:r>
            <w:r>
              <w:rPr>
                <w:rFonts w:hint="eastAsia"/>
                <w:color w:val="auto"/>
                <w:sz w:val="24"/>
                <w:szCs w:val="24"/>
                <w:highlight w:val="none"/>
                <w:lang w:eastAsia="zh-CN"/>
              </w:rPr>
              <w:t>”</w:t>
            </w:r>
            <w:r>
              <w:rPr>
                <w:rFonts w:hint="eastAsia"/>
                <w:color w:val="auto"/>
                <w:sz w:val="24"/>
                <w:szCs w:val="24"/>
                <w:highlight w:val="none"/>
              </w:rPr>
              <w:t>包括余吾产业园、渔泽产业园。余吾产业园主要发展煤基科技创新产业，包括以煤气化、煤油化为龙头的新型煤化工为核心，并配套建筑材料、煤矿和热电的综合新型煤化工基地；渔泽产业园主要发展节能环保装备制造、生物产业、现代物流，包括除尘及脱硫脱硝设备制造研发、生物农业、生物医药、生物能源等产业和煤炭物流、农产物流、商贸物流等。</w:t>
            </w:r>
          </w:p>
          <w:p>
            <w:pPr>
              <w:spacing w:line="480" w:lineRule="exact"/>
              <w:ind w:firstLine="480" w:firstLineChars="200"/>
              <w:rPr>
                <w:color w:val="auto"/>
                <w:sz w:val="24"/>
                <w:szCs w:val="24"/>
                <w:highlight w:val="none"/>
              </w:rPr>
            </w:pPr>
            <w:r>
              <w:rPr>
                <w:rFonts w:hint="eastAsia"/>
                <w:color w:val="auto"/>
                <w:sz w:val="24"/>
                <w:szCs w:val="24"/>
                <w:highlight w:val="none"/>
              </w:rPr>
              <w:t>本项目</w:t>
            </w:r>
            <w:r>
              <w:rPr>
                <w:rFonts w:hint="eastAsia"/>
                <w:color w:val="auto"/>
                <w:sz w:val="24"/>
                <w:szCs w:val="24"/>
                <w:highlight w:val="none"/>
                <w:lang w:val="en-US" w:eastAsia="zh-CN"/>
              </w:rPr>
              <w:t>建设地点为</w:t>
            </w:r>
            <w:r>
              <w:rPr>
                <w:rFonts w:hint="eastAsia"/>
                <w:color w:val="auto"/>
                <w:sz w:val="24"/>
                <w:szCs w:val="24"/>
                <w:highlight w:val="none"/>
                <w:u w:val="none"/>
              </w:rPr>
              <w:t>长治市屯留区余吾镇南街村</w:t>
            </w:r>
            <w:r>
              <w:rPr>
                <w:rFonts w:hint="eastAsia"/>
                <w:color w:val="auto"/>
                <w:sz w:val="24"/>
                <w:szCs w:val="24"/>
                <w:highlight w:val="none"/>
                <w:u w:val="none"/>
                <w:lang w:val="en-US" w:eastAsia="zh-CN"/>
              </w:rPr>
              <w:t>东侧225m处，位于</w:t>
            </w:r>
            <w:r>
              <w:rPr>
                <w:rFonts w:hint="eastAsia"/>
                <w:color w:val="auto"/>
                <w:sz w:val="24"/>
                <w:szCs w:val="24"/>
                <w:highlight w:val="none"/>
              </w:rPr>
              <w:t>屯留县经济技术开发区</w:t>
            </w:r>
            <w:r>
              <w:rPr>
                <w:rFonts w:hint="eastAsia"/>
                <w:color w:val="auto"/>
                <w:sz w:val="24"/>
                <w:szCs w:val="24"/>
                <w:highlight w:val="none"/>
                <w:lang w:val="en-US" w:eastAsia="zh-CN"/>
              </w:rPr>
              <w:t>的</w:t>
            </w:r>
            <w:r>
              <w:rPr>
                <w:color w:val="auto"/>
                <w:sz w:val="24"/>
                <w:szCs w:val="24"/>
                <w:highlight w:val="none"/>
              </w:rPr>
              <w:t>余吾</w:t>
            </w:r>
            <w:r>
              <w:rPr>
                <w:rFonts w:hint="eastAsia"/>
                <w:color w:val="auto"/>
                <w:sz w:val="24"/>
                <w:szCs w:val="24"/>
                <w:highlight w:val="none"/>
              </w:rPr>
              <w:t>工业园，项目占地为</w:t>
            </w:r>
            <w:r>
              <w:rPr>
                <w:rFonts w:hint="eastAsia"/>
                <w:color w:val="auto"/>
                <w:sz w:val="24"/>
                <w:szCs w:val="24"/>
                <w:highlight w:val="none"/>
                <w:lang w:val="en-US" w:eastAsia="zh-CN"/>
              </w:rPr>
              <w:t>三类</w:t>
            </w:r>
            <w:r>
              <w:rPr>
                <w:rFonts w:hint="eastAsia"/>
                <w:color w:val="auto"/>
                <w:sz w:val="24"/>
                <w:szCs w:val="24"/>
                <w:highlight w:val="none"/>
              </w:rPr>
              <w:t>工业用地，项目为利用煤矸石</w:t>
            </w:r>
            <w:r>
              <w:rPr>
                <w:rFonts w:hint="eastAsia"/>
                <w:color w:val="auto"/>
                <w:sz w:val="24"/>
                <w:szCs w:val="24"/>
                <w:highlight w:val="none"/>
                <w:lang w:val="en-US" w:eastAsia="zh-CN"/>
              </w:rPr>
              <w:t>生产生物有机肥系列产品</w:t>
            </w:r>
            <w:r>
              <w:rPr>
                <w:rFonts w:hint="eastAsia"/>
                <w:color w:val="auto"/>
                <w:sz w:val="24"/>
                <w:szCs w:val="24"/>
                <w:highlight w:val="none"/>
              </w:rPr>
              <w:t>，属于环保、循环产业，不违背园区的产业发展和布局规划。</w:t>
            </w:r>
            <w:r>
              <w:rPr>
                <w:rFonts w:hint="eastAsia"/>
                <w:color w:val="auto"/>
                <w:sz w:val="24"/>
                <w:szCs w:val="24"/>
                <w:highlight w:val="none"/>
                <w:lang w:val="en-US" w:eastAsia="zh-CN"/>
              </w:rPr>
              <w:t>本项目</w:t>
            </w:r>
            <w:r>
              <w:rPr>
                <w:rFonts w:hint="eastAsia"/>
                <w:color w:val="auto"/>
                <w:sz w:val="24"/>
                <w:szCs w:val="24"/>
                <w:highlight w:val="none"/>
              </w:rPr>
              <w:t>与屯留</w:t>
            </w:r>
            <w:r>
              <w:rPr>
                <w:rFonts w:hint="eastAsia"/>
                <w:color w:val="auto"/>
                <w:sz w:val="24"/>
                <w:szCs w:val="24"/>
                <w:highlight w:val="none"/>
                <w:lang w:val="en-US" w:eastAsia="zh-CN"/>
              </w:rPr>
              <w:t>区经济技术开发区</w:t>
            </w:r>
            <w:r>
              <w:rPr>
                <w:rFonts w:hint="eastAsia"/>
                <w:color w:val="auto"/>
                <w:sz w:val="24"/>
                <w:szCs w:val="24"/>
                <w:highlight w:val="none"/>
              </w:rPr>
              <w:t>相对位置</w:t>
            </w:r>
            <w:r>
              <w:rPr>
                <w:rFonts w:hint="eastAsia"/>
                <w:b w:val="0"/>
                <w:bCs w:val="0"/>
                <w:color w:val="auto"/>
                <w:sz w:val="24"/>
                <w:szCs w:val="24"/>
                <w:highlight w:val="none"/>
              </w:rPr>
              <w:t>关系图</w:t>
            </w:r>
            <w:r>
              <w:rPr>
                <w:rFonts w:hint="eastAsia"/>
                <w:b w:val="0"/>
                <w:bCs w:val="0"/>
                <w:color w:val="auto"/>
                <w:sz w:val="24"/>
                <w:szCs w:val="24"/>
                <w:highlight w:val="none"/>
                <w:lang w:val="en-US" w:eastAsia="zh-CN"/>
              </w:rPr>
              <w:t>见</w:t>
            </w:r>
            <w:r>
              <w:rPr>
                <w:rFonts w:hint="default"/>
                <w:b w:val="0"/>
                <w:bCs w:val="0"/>
                <w:color w:val="auto"/>
                <w:sz w:val="24"/>
                <w:szCs w:val="24"/>
                <w:highlight w:val="none"/>
                <w:lang w:val="en-US" w:eastAsia="zh-CN"/>
              </w:rPr>
              <w:t>附图</w:t>
            </w:r>
            <w:r>
              <w:rPr>
                <w:rFonts w:hint="eastAsia"/>
                <w:b w:val="0"/>
                <w:bCs w:val="0"/>
                <w:color w:val="auto"/>
                <w:sz w:val="24"/>
                <w:szCs w:val="24"/>
                <w:highlight w:val="none"/>
                <w:lang w:val="en-US" w:eastAsia="zh-CN"/>
              </w:rPr>
              <w:t>10，</w:t>
            </w:r>
            <w:r>
              <w:rPr>
                <w:rFonts w:hint="eastAsia" w:hAnsi="宋体"/>
                <w:b w:val="0"/>
                <w:bCs w:val="0"/>
                <w:color w:val="auto"/>
                <w:sz w:val="24"/>
                <w:szCs w:val="24"/>
                <w:highlight w:val="none"/>
              </w:rPr>
              <w:t>屯留</w:t>
            </w:r>
            <w:r>
              <w:rPr>
                <w:rFonts w:hint="eastAsia" w:hAnsi="宋体"/>
                <w:b w:val="0"/>
                <w:bCs w:val="0"/>
                <w:color w:val="auto"/>
                <w:sz w:val="24"/>
                <w:szCs w:val="24"/>
                <w:highlight w:val="none"/>
                <w:lang w:val="en-US" w:eastAsia="zh-CN"/>
              </w:rPr>
              <w:t>区经济技术开发区用地规划</w:t>
            </w:r>
            <w:r>
              <w:rPr>
                <w:rFonts w:hint="eastAsia" w:hAnsi="宋体"/>
                <w:b w:val="0"/>
                <w:bCs w:val="0"/>
                <w:color w:val="auto"/>
                <w:sz w:val="24"/>
                <w:szCs w:val="24"/>
                <w:highlight w:val="none"/>
              </w:rPr>
              <w:t>图</w:t>
            </w:r>
            <w:r>
              <w:rPr>
                <w:rFonts w:hint="eastAsia" w:hAnsi="宋体"/>
                <w:b w:val="0"/>
                <w:bCs w:val="0"/>
                <w:color w:val="auto"/>
                <w:sz w:val="24"/>
                <w:szCs w:val="24"/>
                <w:highlight w:val="none"/>
                <w:lang w:val="en-US" w:eastAsia="zh-CN"/>
              </w:rPr>
              <w:t>见附图11</w:t>
            </w:r>
            <w:r>
              <w:rPr>
                <w:rFonts w:hint="eastAsia"/>
                <w:b w:val="0"/>
                <w:bCs w:val="0"/>
                <w:color w:val="auto"/>
                <w:sz w:val="24"/>
                <w:szCs w:val="24"/>
                <w:highlight w:val="none"/>
              </w:rPr>
              <w:t>。</w:t>
            </w:r>
          </w:p>
          <w:p>
            <w:pPr>
              <w:spacing w:line="480" w:lineRule="exact"/>
              <w:ind w:firstLine="480" w:firstLineChars="200"/>
              <w:rPr>
                <w:color w:val="auto"/>
                <w:sz w:val="24"/>
                <w:szCs w:val="24"/>
                <w:highlight w:val="none"/>
              </w:rPr>
            </w:pPr>
            <w:r>
              <w:rPr>
                <w:rFonts w:hint="eastAsia"/>
                <w:color w:val="auto"/>
                <w:sz w:val="24"/>
                <w:szCs w:val="24"/>
                <w:highlight w:val="none"/>
              </w:rPr>
              <w:t>7</w:t>
            </w:r>
            <w:r>
              <w:rPr>
                <w:rFonts w:hint="eastAsia"/>
                <w:color w:val="auto"/>
                <w:sz w:val="24"/>
                <w:szCs w:val="24"/>
                <w:highlight w:val="none"/>
                <w:lang w:val="en-US" w:eastAsia="zh-CN"/>
              </w:rPr>
              <w:t>.</w:t>
            </w:r>
            <w:r>
              <w:rPr>
                <w:color w:val="auto"/>
                <w:sz w:val="24"/>
                <w:szCs w:val="24"/>
                <w:highlight w:val="none"/>
              </w:rPr>
              <w:t>公共设施建设情况</w:t>
            </w:r>
          </w:p>
          <w:p>
            <w:pPr>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rPr>
              <w:t>1</w:t>
            </w:r>
            <w:r>
              <w:rPr>
                <w:color w:val="auto"/>
                <w:sz w:val="24"/>
                <w:szCs w:val="24"/>
                <w:highlight w:val="none"/>
              </w:rPr>
              <w:t>）供水工程</w:t>
            </w:r>
          </w:p>
          <w:p>
            <w:pPr>
              <w:spacing w:line="480" w:lineRule="exact"/>
              <w:ind w:firstLine="480" w:firstLineChars="200"/>
              <w:rPr>
                <w:color w:val="auto"/>
                <w:sz w:val="24"/>
                <w:szCs w:val="24"/>
                <w:highlight w:val="none"/>
              </w:rPr>
            </w:pPr>
            <w:r>
              <w:rPr>
                <w:rFonts w:hint="eastAsia"/>
                <w:color w:val="auto"/>
                <w:sz w:val="24"/>
                <w:szCs w:val="24"/>
                <w:highlight w:val="none"/>
              </w:rPr>
              <w:t>水源分为屯绛水库和辛安泉两个水源地。辛安泉主要用于开发区生活用水，屯绛水库主要用于工业用水。规划在路村乡南部村庄新建一座给水厂，主要负责开发区的综合生活用水和工业用水需求，规划新建给水厂远期规模达到2.0万吨/天。</w:t>
            </w:r>
          </w:p>
          <w:p>
            <w:pPr>
              <w:spacing w:line="480" w:lineRule="exact"/>
              <w:ind w:firstLine="480" w:firstLineChars="200"/>
              <w:rPr>
                <w:rFonts w:hint="eastAsia"/>
                <w:color w:val="auto"/>
                <w:sz w:val="24"/>
                <w:szCs w:val="24"/>
                <w:highlight w:val="none"/>
              </w:rPr>
            </w:pPr>
            <w:r>
              <w:rPr>
                <w:color w:val="auto"/>
                <w:sz w:val="24"/>
                <w:szCs w:val="24"/>
                <w:highlight w:val="none"/>
              </w:rPr>
              <w:t>（</w:t>
            </w:r>
            <w:r>
              <w:rPr>
                <w:rFonts w:hint="eastAsia"/>
                <w:color w:val="auto"/>
                <w:sz w:val="24"/>
                <w:szCs w:val="24"/>
                <w:highlight w:val="none"/>
              </w:rPr>
              <w:t>2</w:t>
            </w:r>
            <w:r>
              <w:rPr>
                <w:color w:val="auto"/>
                <w:sz w:val="24"/>
                <w:szCs w:val="24"/>
                <w:highlight w:val="none"/>
              </w:rPr>
              <w:t>）</w:t>
            </w:r>
            <w:r>
              <w:rPr>
                <w:rFonts w:hint="eastAsia"/>
                <w:color w:val="auto"/>
                <w:sz w:val="24"/>
                <w:szCs w:val="24"/>
                <w:highlight w:val="none"/>
              </w:rPr>
              <w:t>供热工程</w:t>
            </w:r>
          </w:p>
          <w:p>
            <w:pPr>
              <w:spacing w:line="480" w:lineRule="exact"/>
              <w:ind w:firstLine="480" w:firstLineChars="200"/>
              <w:rPr>
                <w:color w:val="auto"/>
                <w:sz w:val="24"/>
                <w:szCs w:val="24"/>
                <w:highlight w:val="none"/>
              </w:rPr>
            </w:pPr>
            <w:r>
              <w:rPr>
                <w:rFonts w:hint="eastAsia"/>
                <w:color w:val="auto"/>
                <w:sz w:val="24"/>
                <w:szCs w:val="24"/>
                <w:highlight w:val="none"/>
              </w:rPr>
              <w:t>国电长治热电厂、漳山电厂为主要热源。换热站的数量达到180座，园区管网采用环状管网与枝状管网相结合的平面布置形式，热网管道选择双管制。管道铺设尽量避免沿交通性干道铺设，主干网布置选取热负荷较集中的区域。</w:t>
            </w:r>
          </w:p>
          <w:p>
            <w:pPr>
              <w:spacing w:line="480" w:lineRule="exact"/>
              <w:ind w:firstLine="480" w:firstLineChars="200"/>
              <w:rPr>
                <w:color w:val="auto"/>
                <w:sz w:val="24"/>
                <w:szCs w:val="24"/>
                <w:highlight w:val="none"/>
              </w:rPr>
            </w:pPr>
            <w:r>
              <w:rPr>
                <w:color w:val="auto"/>
                <w:sz w:val="24"/>
                <w:szCs w:val="24"/>
                <w:highlight w:val="none"/>
              </w:rPr>
              <w:t>（3）排水工程</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规划至2030年，开发区污水集中处理率达到95%以上，污水处理厂出水达到一级A标准。</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规划新建污水处理厂远期处理规模达到30万吨/天，处理整个规划区的生活污水以及工业区的工业生产污水，经处理后的水质符合相关标准后排至地表河流中。</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本项目运营后</w:t>
            </w:r>
            <w:r>
              <w:rPr>
                <w:rFonts w:hint="eastAsia"/>
                <w:color w:val="auto"/>
                <w:sz w:val="24"/>
                <w:szCs w:val="24"/>
                <w:highlight w:val="none"/>
                <w:lang w:val="en-US" w:eastAsia="zh-CN"/>
              </w:rPr>
              <w:t>供</w:t>
            </w:r>
            <w:r>
              <w:rPr>
                <w:rFonts w:hint="eastAsia"/>
                <w:color w:val="auto"/>
                <w:sz w:val="24"/>
                <w:szCs w:val="24"/>
                <w:highlight w:val="none"/>
              </w:rPr>
              <w:t>水由</w:t>
            </w:r>
            <w:r>
              <w:rPr>
                <w:rFonts w:hint="eastAsia"/>
                <w:color w:val="auto"/>
                <w:sz w:val="24"/>
                <w:szCs w:val="24"/>
                <w:highlight w:val="none"/>
                <w:lang w:val="en-US" w:eastAsia="zh-CN"/>
              </w:rPr>
              <w:t>园区管网</w:t>
            </w:r>
            <w:r>
              <w:rPr>
                <w:rFonts w:hint="eastAsia"/>
                <w:color w:val="auto"/>
                <w:sz w:val="24"/>
                <w:szCs w:val="24"/>
                <w:highlight w:val="none"/>
              </w:rPr>
              <w:t>提供；本项目</w:t>
            </w:r>
            <w:r>
              <w:rPr>
                <w:rFonts w:hint="eastAsia"/>
                <w:color w:val="auto"/>
                <w:sz w:val="24"/>
                <w:szCs w:val="24"/>
                <w:highlight w:val="none"/>
                <w:lang w:val="en-US" w:eastAsia="zh-CN"/>
              </w:rPr>
              <w:t>生产废水主要为洗车废水、生活污水、地坪清洗废水，沉淀池沉淀处理后循环使用不外排；生活污水经化粪池处理后排入园区生活污水管网，最终进入园区污水处理站处理；地坪清洗废水回用于搅拌用水。</w:t>
            </w:r>
            <w:r>
              <w:rPr>
                <w:rFonts w:hint="eastAsia"/>
                <w:color w:val="auto"/>
                <w:sz w:val="24"/>
                <w:szCs w:val="24"/>
                <w:highlight w:val="none"/>
              </w:rPr>
              <w:t>生产区冬季不采暖，生活区采暖使用电采暖，暂不利用园区公辅设施。</w:t>
            </w:r>
          </w:p>
          <w:p>
            <w:pPr>
              <w:pStyle w:val="25"/>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jc w:val="both"/>
              <w:textAlignment w:val="baseline"/>
              <w:rPr>
                <w:rFonts w:ascii="Times New Roman" w:hAnsi="Times New Roman" w:eastAsia="宋体"/>
                <w:b/>
                <w:color w:val="auto"/>
                <w:kern w:val="2"/>
                <w:sz w:val="24"/>
                <w:szCs w:val="24"/>
                <w:highlight w:val="none"/>
              </w:rPr>
            </w:pPr>
            <w:r>
              <w:rPr>
                <w:rFonts w:ascii="Times New Roman" w:hAnsi="Times New Roman" w:eastAsia="宋体"/>
                <w:b/>
                <w:color w:val="auto"/>
                <w:kern w:val="2"/>
                <w:sz w:val="24"/>
                <w:szCs w:val="24"/>
                <w:highlight w:val="none"/>
              </w:rPr>
              <w:t>二</w:t>
            </w:r>
            <w:r>
              <w:rPr>
                <w:rFonts w:hint="eastAsia" w:ascii="Times New Roman" w:hAnsi="Times New Roman" w:eastAsia="宋体"/>
                <w:b/>
                <w:color w:val="auto"/>
                <w:kern w:val="2"/>
                <w:sz w:val="24"/>
                <w:szCs w:val="24"/>
                <w:highlight w:val="none"/>
              </w:rPr>
              <w:t>、</w:t>
            </w:r>
            <w:r>
              <w:rPr>
                <w:rFonts w:hint="eastAsia" w:hAnsi="Times New Roman"/>
                <w:b/>
                <w:color w:val="auto"/>
                <w:kern w:val="2"/>
                <w:sz w:val="24"/>
                <w:szCs w:val="24"/>
                <w:highlight w:val="none"/>
                <w:lang w:val="en-US" w:eastAsia="zh-CN"/>
              </w:rPr>
              <w:t>与</w:t>
            </w:r>
            <w:r>
              <w:rPr>
                <w:rFonts w:hint="eastAsia" w:ascii="Times New Roman" w:hAnsi="Times New Roman" w:eastAsia="宋体"/>
                <w:b/>
                <w:color w:val="auto"/>
                <w:kern w:val="2"/>
                <w:sz w:val="24"/>
                <w:szCs w:val="24"/>
                <w:highlight w:val="none"/>
              </w:rPr>
              <w:t>《屯留县经济技术开发区总体规划（2019-2035年）环境影响报告书》的符合性分析</w:t>
            </w:r>
          </w:p>
          <w:p>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与《屯留县经济技术开发区总体规划（2019-2035年）环境影响报告书》结论的符合性</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b/>
                <w:color w:val="auto"/>
                <w:sz w:val="24"/>
                <w:szCs w:val="24"/>
                <w:highlight w:val="none"/>
              </w:rPr>
            </w:pPr>
            <w:r>
              <w:rPr>
                <w:b/>
                <w:color w:val="auto"/>
                <w:sz w:val="21"/>
                <w:szCs w:val="21"/>
                <w:highlight w:val="none"/>
              </w:rPr>
              <w:t>表</w:t>
            </w:r>
            <w:r>
              <w:rPr>
                <w:rFonts w:hint="eastAsia"/>
                <w:b/>
                <w:color w:val="auto"/>
                <w:sz w:val="21"/>
                <w:szCs w:val="21"/>
                <w:highlight w:val="none"/>
              </w:rPr>
              <w:t>1</w:t>
            </w:r>
            <w:r>
              <w:rPr>
                <w:b/>
                <w:color w:val="auto"/>
                <w:sz w:val="21"/>
                <w:szCs w:val="21"/>
                <w:highlight w:val="none"/>
              </w:rPr>
              <w:t>-1  与规划环境影响评价结论的符合性</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660"/>
              <w:gridCol w:w="2097"/>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jc w:val="center"/>
                    <w:rPr>
                      <w:b/>
                      <w:color w:val="auto"/>
                      <w:sz w:val="21"/>
                      <w:szCs w:val="21"/>
                      <w:highlight w:val="none"/>
                    </w:rPr>
                  </w:pPr>
                  <w:r>
                    <w:rPr>
                      <w:rFonts w:hint="eastAsia"/>
                      <w:b/>
                      <w:color w:val="auto"/>
                      <w:sz w:val="21"/>
                      <w:szCs w:val="21"/>
                      <w:highlight w:val="none"/>
                    </w:rPr>
                    <w:t>序号</w:t>
                  </w:r>
                </w:p>
              </w:tc>
              <w:tc>
                <w:tcPr>
                  <w:tcW w:w="2802" w:type="pct"/>
                  <w:noWrap w:val="0"/>
                  <w:vAlign w:val="center"/>
                </w:tcPr>
                <w:p>
                  <w:pPr>
                    <w:jc w:val="center"/>
                    <w:rPr>
                      <w:b/>
                      <w:color w:val="auto"/>
                      <w:sz w:val="21"/>
                      <w:szCs w:val="21"/>
                      <w:highlight w:val="none"/>
                    </w:rPr>
                  </w:pPr>
                  <w:r>
                    <w:rPr>
                      <w:b/>
                      <w:color w:val="auto"/>
                      <w:sz w:val="21"/>
                      <w:szCs w:val="21"/>
                      <w:highlight w:val="none"/>
                    </w:rPr>
                    <w:t>规划环境影响评价结论</w:t>
                  </w:r>
                </w:p>
              </w:tc>
              <w:tc>
                <w:tcPr>
                  <w:tcW w:w="1263" w:type="pct"/>
                  <w:noWrap w:val="0"/>
                  <w:vAlign w:val="center"/>
                </w:tcPr>
                <w:p>
                  <w:pPr>
                    <w:jc w:val="center"/>
                    <w:rPr>
                      <w:rFonts w:hint="default" w:eastAsia="宋体"/>
                      <w:b/>
                      <w:color w:val="auto"/>
                      <w:sz w:val="21"/>
                      <w:szCs w:val="21"/>
                      <w:highlight w:val="none"/>
                      <w:lang w:val="en-US" w:eastAsia="zh-CN"/>
                    </w:rPr>
                  </w:pPr>
                  <w:r>
                    <w:rPr>
                      <w:b/>
                      <w:color w:val="auto"/>
                      <w:sz w:val="21"/>
                      <w:szCs w:val="21"/>
                      <w:highlight w:val="none"/>
                    </w:rPr>
                    <w:t>项目</w:t>
                  </w:r>
                  <w:r>
                    <w:rPr>
                      <w:rFonts w:hint="eastAsia"/>
                      <w:b/>
                      <w:color w:val="auto"/>
                      <w:sz w:val="21"/>
                      <w:szCs w:val="21"/>
                      <w:highlight w:val="none"/>
                      <w:lang w:val="en-US" w:eastAsia="zh-CN"/>
                    </w:rPr>
                    <w:t>情况</w:t>
                  </w:r>
                </w:p>
              </w:tc>
              <w:tc>
                <w:tcPr>
                  <w:tcW w:w="536" w:type="pct"/>
                  <w:noWrap w:val="0"/>
                  <w:vAlign w:val="center"/>
                </w:tcPr>
                <w:p>
                  <w:pPr>
                    <w:jc w:val="center"/>
                    <w:rPr>
                      <w:b/>
                      <w:color w:val="auto"/>
                      <w:sz w:val="21"/>
                      <w:szCs w:val="21"/>
                      <w:highlight w:val="none"/>
                    </w:rPr>
                  </w:pPr>
                  <w:r>
                    <w:rPr>
                      <w:b/>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jc w:val="center"/>
                    <w:rPr>
                      <w:color w:val="auto"/>
                      <w:sz w:val="21"/>
                      <w:szCs w:val="21"/>
                      <w:highlight w:val="none"/>
                    </w:rPr>
                  </w:pPr>
                  <w:r>
                    <w:rPr>
                      <w:rFonts w:hint="eastAsia"/>
                      <w:color w:val="auto"/>
                      <w:sz w:val="21"/>
                      <w:szCs w:val="21"/>
                      <w:highlight w:val="none"/>
                    </w:rPr>
                    <w:t>1</w:t>
                  </w:r>
                </w:p>
              </w:tc>
              <w:tc>
                <w:tcPr>
                  <w:tcW w:w="2802" w:type="pct"/>
                  <w:noWrap w:val="0"/>
                  <w:vAlign w:val="center"/>
                </w:tcPr>
                <w:p>
                  <w:pPr>
                    <w:pStyle w:val="125"/>
                    <w:spacing w:line="240" w:lineRule="auto"/>
                    <w:ind w:firstLine="0" w:firstLineChars="0"/>
                    <w:jc w:val="both"/>
                    <w:rPr>
                      <w:rFonts w:hint="eastAsia" w:eastAsia="宋体"/>
                      <w:color w:val="auto"/>
                      <w:sz w:val="21"/>
                      <w:szCs w:val="21"/>
                      <w:highlight w:val="none"/>
                      <w:lang w:eastAsia="zh-CN"/>
                    </w:rPr>
                  </w:pPr>
                  <w:r>
                    <w:rPr>
                      <w:rFonts w:hint="eastAsia"/>
                      <w:color w:val="auto"/>
                      <w:sz w:val="21"/>
                      <w:szCs w:val="21"/>
                      <w:highlight w:val="none"/>
                    </w:rPr>
                    <w:t>坚决遏制“两高”项目盲目发展。立足开发区产业定位，以环境承载力为前提，加强环境准入管理，坚决遏制“两高”项目盲目上马，对于不符合国家产业规划、产业政策、“三线一单”、产能置换和污染物排放区域削减等要求的项目，严控项目准入。对于规划项目中属于拟建的“两高”的项目，应论证项目建设的必要性、可行性，符合要求的，以工信部门产能置换和确认文件为依据，环境质量底线为硬约束，严格控制“两高”项目发展规模</w:t>
                  </w:r>
                  <w:r>
                    <w:rPr>
                      <w:rFonts w:hint="eastAsia"/>
                      <w:color w:val="auto"/>
                      <w:sz w:val="21"/>
                      <w:szCs w:val="21"/>
                      <w:highlight w:val="none"/>
                      <w:lang w:eastAsia="zh-CN"/>
                    </w:rPr>
                    <w:t>。</w:t>
                  </w:r>
                </w:p>
              </w:tc>
              <w:tc>
                <w:tcPr>
                  <w:tcW w:w="1263"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本项目以煤矸石为原料，加工后再利用</w:t>
                  </w:r>
                  <w:r>
                    <w:rPr>
                      <w:rFonts w:hint="eastAsia"/>
                      <w:color w:val="auto"/>
                      <w:sz w:val="21"/>
                      <w:szCs w:val="21"/>
                      <w:highlight w:val="none"/>
                      <w:lang w:val="en-US" w:eastAsia="zh-CN"/>
                    </w:rPr>
                    <w:t>制造有机肥料系列产品。</w:t>
                  </w:r>
                  <w:r>
                    <w:rPr>
                      <w:rFonts w:hint="eastAsia"/>
                      <w:color w:val="auto"/>
                      <w:sz w:val="21"/>
                      <w:szCs w:val="21"/>
                      <w:highlight w:val="none"/>
                    </w:rPr>
                    <w:t>不属于两高项目，符合国家产业规划、产业政策、“三线一单”，不涉及产能置换和污染物排放区域削减等要求</w:t>
                  </w:r>
                  <w:r>
                    <w:rPr>
                      <w:rFonts w:hint="eastAsia"/>
                      <w:color w:val="auto"/>
                      <w:sz w:val="21"/>
                      <w:szCs w:val="21"/>
                      <w:highlight w:val="none"/>
                      <w:lang w:eastAsia="zh-CN"/>
                    </w:rPr>
                    <w:t>。</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jc w:val="center"/>
                    <w:rPr>
                      <w:color w:val="auto"/>
                      <w:sz w:val="21"/>
                      <w:szCs w:val="21"/>
                      <w:highlight w:val="none"/>
                    </w:rPr>
                  </w:pPr>
                  <w:r>
                    <w:rPr>
                      <w:rFonts w:hint="eastAsia"/>
                      <w:color w:val="auto"/>
                      <w:sz w:val="21"/>
                      <w:szCs w:val="21"/>
                      <w:highlight w:val="none"/>
                    </w:rPr>
                    <w:t>2</w:t>
                  </w:r>
                </w:p>
              </w:tc>
              <w:tc>
                <w:tcPr>
                  <w:tcW w:w="2802" w:type="pct"/>
                  <w:noWrap w:val="0"/>
                  <w:vAlign w:val="center"/>
                </w:tcPr>
                <w:p>
                  <w:pPr>
                    <w:pStyle w:val="125"/>
                    <w:spacing w:line="240" w:lineRule="auto"/>
                    <w:ind w:firstLine="0" w:firstLineChars="0"/>
                    <w:jc w:val="both"/>
                    <w:rPr>
                      <w:rFonts w:hint="eastAsia" w:eastAsia="宋体"/>
                      <w:color w:val="auto"/>
                      <w:sz w:val="21"/>
                      <w:szCs w:val="21"/>
                      <w:highlight w:val="none"/>
                      <w:lang w:eastAsia="zh-CN"/>
                    </w:rPr>
                  </w:pPr>
                  <w:r>
                    <w:rPr>
                      <w:rFonts w:hint="eastAsia"/>
                      <w:color w:val="auto"/>
                      <w:sz w:val="21"/>
                      <w:szCs w:val="21"/>
                      <w:highlight w:val="none"/>
                    </w:rPr>
                    <w:t>优化调整产业发展规划。规划设置的粉煤灰-氧化铝-电解铝-铝型材产业链，屯留开发区不具备该产业的基础，建议调整该产业规划。规划的利用现有煤化工“三废”资源综合利用、延长产业链的循环经济项目应严格控制规模，严禁新增上游煤化工产能</w:t>
                  </w:r>
                  <w:r>
                    <w:rPr>
                      <w:rFonts w:hint="eastAsia"/>
                      <w:color w:val="auto"/>
                      <w:sz w:val="21"/>
                      <w:szCs w:val="21"/>
                      <w:highlight w:val="none"/>
                      <w:lang w:eastAsia="zh-CN"/>
                    </w:rPr>
                    <w:t>。</w:t>
                  </w:r>
                </w:p>
              </w:tc>
              <w:tc>
                <w:tcPr>
                  <w:tcW w:w="1263"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本项目对当地处理煤矸石的固体废物具有一定的推动作用，不会新增煤化工产能</w:t>
                  </w:r>
                  <w:r>
                    <w:rPr>
                      <w:rFonts w:hint="eastAsia"/>
                      <w:color w:val="auto"/>
                      <w:sz w:val="21"/>
                      <w:szCs w:val="21"/>
                      <w:highlight w:val="none"/>
                      <w:lang w:eastAsia="zh-CN"/>
                    </w:rPr>
                    <w:t>。</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7" w:type="pct"/>
                  <w:noWrap w:val="0"/>
                  <w:vAlign w:val="center"/>
                </w:tcPr>
                <w:p>
                  <w:pPr>
                    <w:jc w:val="center"/>
                    <w:rPr>
                      <w:color w:val="auto"/>
                      <w:sz w:val="21"/>
                      <w:szCs w:val="21"/>
                      <w:highlight w:val="none"/>
                    </w:rPr>
                  </w:pPr>
                  <w:r>
                    <w:rPr>
                      <w:rFonts w:hint="eastAsia"/>
                      <w:color w:val="auto"/>
                      <w:sz w:val="21"/>
                      <w:szCs w:val="21"/>
                      <w:highlight w:val="none"/>
                    </w:rPr>
                    <w:t>3</w:t>
                  </w:r>
                </w:p>
              </w:tc>
              <w:tc>
                <w:tcPr>
                  <w:tcW w:w="2802" w:type="pct"/>
                  <w:noWrap w:val="0"/>
                  <w:vAlign w:val="center"/>
                </w:tcPr>
                <w:p>
                  <w:pPr>
                    <w:pStyle w:val="125"/>
                    <w:spacing w:line="240" w:lineRule="auto"/>
                    <w:ind w:firstLine="0" w:firstLineChars="0"/>
                    <w:jc w:val="both"/>
                    <w:rPr>
                      <w:rFonts w:hint="eastAsia" w:eastAsia="宋体"/>
                      <w:color w:val="auto"/>
                      <w:sz w:val="21"/>
                      <w:szCs w:val="21"/>
                      <w:highlight w:val="none"/>
                      <w:lang w:eastAsia="zh-CN"/>
                    </w:rPr>
                  </w:pPr>
                  <w:r>
                    <w:rPr>
                      <w:rFonts w:hint="eastAsia"/>
                      <w:color w:val="auto"/>
                      <w:sz w:val="21"/>
                      <w:szCs w:val="21"/>
                      <w:highlight w:val="none"/>
                    </w:rPr>
                    <w:t>优化规划项目选址。对于位于城镇开发边界之外的规划项目，应重新规划选址，确保该区域主体功能区定位不变</w:t>
                  </w:r>
                  <w:r>
                    <w:rPr>
                      <w:rFonts w:hint="eastAsia"/>
                      <w:color w:val="auto"/>
                      <w:sz w:val="21"/>
                      <w:szCs w:val="21"/>
                      <w:highlight w:val="none"/>
                      <w:lang w:eastAsia="zh-CN"/>
                    </w:rPr>
                    <w:t>。</w:t>
                  </w:r>
                </w:p>
              </w:tc>
              <w:tc>
                <w:tcPr>
                  <w:tcW w:w="1263"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本项目占地</w:t>
                  </w:r>
                  <w:r>
                    <w:rPr>
                      <w:rFonts w:hint="eastAsia"/>
                      <w:color w:val="auto"/>
                      <w:sz w:val="21"/>
                      <w:szCs w:val="21"/>
                      <w:highlight w:val="none"/>
                      <w:lang w:val="en-US" w:eastAsia="zh-CN"/>
                    </w:rPr>
                    <w:t>为</w:t>
                  </w:r>
                  <w:r>
                    <w:rPr>
                      <w:rFonts w:hint="eastAsia"/>
                      <w:color w:val="auto"/>
                      <w:sz w:val="21"/>
                      <w:szCs w:val="21"/>
                      <w:highlight w:val="none"/>
                    </w:rPr>
                    <w:t>工业用地，位于城镇开发边界内</w:t>
                  </w:r>
                  <w:r>
                    <w:rPr>
                      <w:rFonts w:hint="eastAsia"/>
                      <w:color w:val="auto"/>
                      <w:sz w:val="21"/>
                      <w:szCs w:val="21"/>
                      <w:highlight w:val="none"/>
                      <w:lang w:eastAsia="zh-CN"/>
                    </w:rPr>
                    <w:t>。</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bl>
          <w:p>
            <w:pPr>
              <w:spacing w:line="440" w:lineRule="exact"/>
              <w:ind w:firstLine="480" w:firstLineChars="200"/>
              <w:rPr>
                <w:color w:val="auto"/>
                <w:sz w:val="24"/>
                <w:szCs w:val="24"/>
                <w:highlight w:val="none"/>
              </w:rPr>
            </w:pPr>
            <w:r>
              <w:rPr>
                <w:rFonts w:hint="eastAsia"/>
                <w:color w:val="auto"/>
                <w:sz w:val="24"/>
                <w:szCs w:val="24"/>
                <w:highlight w:val="none"/>
                <w:lang w:val="en-US" w:eastAsia="zh-CN"/>
              </w:rPr>
              <w:t>2.</w:t>
            </w:r>
            <w:r>
              <w:rPr>
                <w:color w:val="auto"/>
                <w:sz w:val="24"/>
                <w:szCs w:val="24"/>
                <w:highlight w:val="none"/>
              </w:rPr>
              <w:t>与</w:t>
            </w:r>
            <w:r>
              <w:rPr>
                <w:rFonts w:hint="default" w:ascii="Times New Roman" w:hAnsi="Times New Roman" w:cs="Times New Roman"/>
                <w:color w:val="auto"/>
                <w:sz w:val="24"/>
                <w:szCs w:val="24"/>
                <w:highlight w:val="none"/>
              </w:rPr>
              <w:t>《屯留县经济技术开发区总体规划（2019-2035年）环境影响报告书》</w:t>
            </w:r>
            <w:r>
              <w:rPr>
                <w:rFonts w:hint="eastAsia"/>
                <w:color w:val="auto"/>
                <w:sz w:val="24"/>
                <w:szCs w:val="24"/>
                <w:highlight w:val="none"/>
              </w:rPr>
              <w:t>审查意见的符合性</w:t>
            </w:r>
          </w:p>
          <w:p>
            <w:pPr>
              <w:spacing w:line="480" w:lineRule="exact"/>
              <w:jc w:val="center"/>
              <w:rPr>
                <w:b/>
                <w:color w:val="auto"/>
                <w:sz w:val="24"/>
                <w:szCs w:val="24"/>
                <w:highlight w:val="none"/>
              </w:rPr>
            </w:pPr>
            <w:r>
              <w:rPr>
                <w:rFonts w:hint="eastAsia"/>
                <w:b/>
                <w:color w:val="auto"/>
                <w:sz w:val="21"/>
                <w:szCs w:val="21"/>
                <w:highlight w:val="none"/>
              </w:rPr>
              <w:t>表1</w:t>
            </w:r>
            <w:r>
              <w:rPr>
                <w:b/>
                <w:color w:val="auto"/>
                <w:sz w:val="21"/>
                <w:szCs w:val="21"/>
                <w:highlight w:val="none"/>
              </w:rPr>
              <w:t>-</w:t>
            </w:r>
            <w:r>
              <w:rPr>
                <w:rFonts w:hint="eastAsia"/>
                <w:b/>
                <w:color w:val="auto"/>
                <w:sz w:val="21"/>
                <w:szCs w:val="21"/>
                <w:highlight w:val="none"/>
              </w:rPr>
              <w:t xml:space="preserve">2 </w:t>
            </w:r>
            <w:r>
              <w:rPr>
                <w:rFonts w:hint="eastAsia"/>
                <w:b/>
                <w:color w:val="auto"/>
                <w:sz w:val="21"/>
                <w:szCs w:val="21"/>
                <w:highlight w:val="none"/>
                <w:lang w:val="en-US" w:eastAsia="zh-CN"/>
              </w:rPr>
              <w:t xml:space="preserve"> </w:t>
            </w:r>
            <w:r>
              <w:rPr>
                <w:rFonts w:hint="eastAsia"/>
                <w:b/>
                <w:color w:val="auto"/>
                <w:sz w:val="21"/>
                <w:szCs w:val="21"/>
                <w:highlight w:val="none"/>
              </w:rPr>
              <w:t>与规划环境影响审查意见的符合性</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4655"/>
              <w:gridCol w:w="2115"/>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b/>
                      <w:color w:val="auto"/>
                      <w:sz w:val="21"/>
                      <w:szCs w:val="21"/>
                      <w:highlight w:val="none"/>
                    </w:rPr>
                  </w:pPr>
                  <w:r>
                    <w:rPr>
                      <w:rFonts w:hint="eastAsia"/>
                      <w:b/>
                      <w:color w:val="auto"/>
                      <w:sz w:val="21"/>
                      <w:szCs w:val="21"/>
                      <w:highlight w:val="none"/>
                    </w:rPr>
                    <w:t>序号</w:t>
                  </w:r>
                </w:p>
              </w:tc>
              <w:tc>
                <w:tcPr>
                  <w:tcW w:w="2799" w:type="pct"/>
                  <w:noWrap w:val="0"/>
                  <w:vAlign w:val="center"/>
                </w:tcPr>
                <w:p>
                  <w:pPr>
                    <w:jc w:val="center"/>
                    <w:rPr>
                      <w:b/>
                      <w:color w:val="auto"/>
                      <w:sz w:val="21"/>
                      <w:szCs w:val="21"/>
                      <w:highlight w:val="none"/>
                    </w:rPr>
                  </w:pPr>
                  <w:r>
                    <w:rPr>
                      <w:b/>
                      <w:color w:val="auto"/>
                      <w:sz w:val="21"/>
                      <w:szCs w:val="21"/>
                      <w:highlight w:val="none"/>
                    </w:rPr>
                    <w:t>规划环境影响</w:t>
                  </w:r>
                  <w:r>
                    <w:rPr>
                      <w:rFonts w:hint="eastAsia"/>
                      <w:b/>
                      <w:color w:val="auto"/>
                      <w:sz w:val="21"/>
                      <w:szCs w:val="21"/>
                      <w:highlight w:val="none"/>
                    </w:rPr>
                    <w:t>审查意见</w:t>
                  </w:r>
                </w:p>
              </w:tc>
              <w:tc>
                <w:tcPr>
                  <w:tcW w:w="1273" w:type="pct"/>
                  <w:noWrap w:val="0"/>
                  <w:vAlign w:val="center"/>
                </w:tcPr>
                <w:p>
                  <w:pPr>
                    <w:jc w:val="center"/>
                    <w:rPr>
                      <w:rFonts w:hint="default" w:eastAsia="宋体"/>
                      <w:b/>
                      <w:color w:val="auto"/>
                      <w:sz w:val="21"/>
                      <w:szCs w:val="21"/>
                      <w:highlight w:val="none"/>
                      <w:lang w:val="en-US" w:eastAsia="zh-CN"/>
                    </w:rPr>
                  </w:pPr>
                  <w:r>
                    <w:rPr>
                      <w:b/>
                      <w:color w:val="auto"/>
                      <w:sz w:val="21"/>
                      <w:szCs w:val="21"/>
                      <w:highlight w:val="none"/>
                    </w:rPr>
                    <w:t>项目</w:t>
                  </w:r>
                  <w:r>
                    <w:rPr>
                      <w:rFonts w:hint="eastAsia"/>
                      <w:b/>
                      <w:color w:val="auto"/>
                      <w:sz w:val="21"/>
                      <w:szCs w:val="21"/>
                      <w:highlight w:val="none"/>
                      <w:lang w:val="en-US" w:eastAsia="zh-CN"/>
                    </w:rPr>
                    <w:t>情况</w:t>
                  </w:r>
                </w:p>
              </w:tc>
              <w:tc>
                <w:tcPr>
                  <w:tcW w:w="536" w:type="pct"/>
                  <w:noWrap w:val="0"/>
                  <w:vAlign w:val="center"/>
                </w:tcPr>
                <w:p>
                  <w:pPr>
                    <w:jc w:val="center"/>
                    <w:rPr>
                      <w:b/>
                      <w:color w:val="auto"/>
                      <w:sz w:val="21"/>
                      <w:szCs w:val="21"/>
                      <w:highlight w:val="none"/>
                    </w:rPr>
                  </w:pPr>
                  <w:r>
                    <w:rPr>
                      <w:b/>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1</w:t>
                  </w:r>
                </w:p>
              </w:tc>
              <w:tc>
                <w:tcPr>
                  <w:tcW w:w="2799" w:type="pct"/>
                  <w:noWrap w:val="0"/>
                  <w:vAlign w:val="center"/>
                </w:tcPr>
                <w:p>
                  <w:pPr>
                    <w:jc w:val="both"/>
                    <w:rPr>
                      <w:color w:val="auto"/>
                      <w:sz w:val="21"/>
                      <w:szCs w:val="21"/>
                      <w:highlight w:val="none"/>
                    </w:rPr>
                  </w:pPr>
                  <w:r>
                    <w:rPr>
                      <w:rFonts w:hint="eastAsia"/>
                      <w:color w:val="auto"/>
                      <w:sz w:val="21"/>
                      <w:szCs w:val="21"/>
                      <w:highlight w:val="none"/>
                    </w:rPr>
                    <w:t>坚持生态优先，促进绿色低碳发展。贯彻国家和我省黄河流域生态保护和高质量发展战略和2030年前碳达峰行动方案有关要求，立足开发区产业定位，坚决遏制“两高”项目盲目发展，以区域环境质量改善为目标，进一步优化调整规划产业规模、布局和开发建设时序。规划项目要以环境可承载为前提，符合国家产业政策、生态环境分区管控和污染物排放区域削减等要求，推动开发区产业链向下游延伸，产品向高端转型，园区向低碳绿色升级</w:t>
                  </w:r>
                </w:p>
              </w:tc>
              <w:tc>
                <w:tcPr>
                  <w:tcW w:w="1273" w:type="pct"/>
                  <w:noWrap w:val="0"/>
                  <w:vAlign w:val="center"/>
                </w:tcPr>
                <w:p>
                  <w:pPr>
                    <w:jc w:val="both"/>
                    <w:rPr>
                      <w:rFonts w:hint="eastAsia" w:eastAsia="宋体"/>
                      <w:color w:val="auto"/>
                      <w:sz w:val="21"/>
                      <w:szCs w:val="21"/>
                      <w:highlight w:val="none"/>
                      <w:lang w:eastAsia="zh-CN"/>
                    </w:rPr>
                  </w:pPr>
                  <w:r>
                    <w:rPr>
                      <w:color w:val="auto"/>
                      <w:kern w:val="0"/>
                      <w:sz w:val="21"/>
                      <w:szCs w:val="21"/>
                      <w:highlight w:val="none"/>
                    </w:rPr>
                    <w:t>本项目</w:t>
                  </w:r>
                  <w:r>
                    <w:rPr>
                      <w:rFonts w:hint="eastAsia"/>
                      <w:color w:val="auto"/>
                      <w:sz w:val="21"/>
                      <w:szCs w:val="21"/>
                      <w:highlight w:val="none"/>
                    </w:rPr>
                    <w:t>以煤矸石为原料，加工后再利用，变废为宝</w:t>
                  </w:r>
                  <w:r>
                    <w:rPr>
                      <w:color w:val="auto"/>
                      <w:sz w:val="21"/>
                      <w:szCs w:val="21"/>
                      <w:highlight w:val="none"/>
                    </w:rPr>
                    <w:t>，项目</w:t>
                  </w:r>
                  <w:r>
                    <w:rPr>
                      <w:rFonts w:hint="eastAsia"/>
                      <w:color w:val="auto"/>
                      <w:sz w:val="21"/>
                      <w:szCs w:val="21"/>
                      <w:highlight w:val="none"/>
                    </w:rPr>
                    <w:t>符合国家产业政策、生态环境分区管控要求，不属于“两高”项目</w:t>
                  </w:r>
                  <w:r>
                    <w:rPr>
                      <w:rFonts w:hint="eastAsia"/>
                      <w:color w:val="auto"/>
                      <w:sz w:val="21"/>
                      <w:szCs w:val="21"/>
                      <w:highlight w:val="none"/>
                      <w:lang w:eastAsia="zh-CN"/>
                    </w:rPr>
                    <w:t>。</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2</w:t>
                  </w:r>
                </w:p>
              </w:tc>
              <w:tc>
                <w:tcPr>
                  <w:tcW w:w="2799"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强化规划约束，优化空间布局。进一步做好与国土空间规划衔接，严守城镇开发边界。严格落实《山西省主体功能区规划》和“三线一单”生态环境分区管控要求，规划范围内位于国家级限制开发农产品主产区的部分区域，应发展与主体功能区定位相符的产业，不得用于工业开发，确保主体功能区定位不变。距离县城、村庄较近的区域，应优化空间布局，不得布局高污染、高风险项目，有效保障生态、生活空间</w:t>
                  </w:r>
                  <w:r>
                    <w:rPr>
                      <w:rFonts w:hint="eastAsia"/>
                      <w:color w:val="auto"/>
                      <w:sz w:val="21"/>
                      <w:szCs w:val="21"/>
                      <w:highlight w:val="none"/>
                      <w:lang w:eastAsia="zh-CN"/>
                    </w:rPr>
                    <w:t>。</w:t>
                  </w:r>
                </w:p>
              </w:tc>
              <w:tc>
                <w:tcPr>
                  <w:tcW w:w="1273" w:type="pct"/>
                  <w:noWrap w:val="0"/>
                  <w:vAlign w:val="center"/>
                </w:tcPr>
                <w:p>
                  <w:pPr>
                    <w:jc w:val="both"/>
                    <w:rPr>
                      <w:rFonts w:hint="default" w:eastAsia="宋体"/>
                      <w:color w:val="auto"/>
                      <w:sz w:val="21"/>
                      <w:szCs w:val="21"/>
                      <w:highlight w:val="none"/>
                      <w:lang w:val="en-US" w:eastAsia="zh-CN"/>
                    </w:rPr>
                  </w:pPr>
                  <w:r>
                    <w:rPr>
                      <w:rFonts w:hint="eastAsia"/>
                      <w:color w:val="auto"/>
                      <w:sz w:val="21"/>
                      <w:szCs w:val="21"/>
                      <w:highlight w:val="none"/>
                    </w:rPr>
                    <w:t>本项目占地</w:t>
                  </w:r>
                  <w:r>
                    <w:rPr>
                      <w:rFonts w:hint="eastAsia"/>
                      <w:color w:val="auto"/>
                      <w:sz w:val="21"/>
                      <w:szCs w:val="21"/>
                      <w:highlight w:val="none"/>
                      <w:lang w:val="en-US" w:eastAsia="zh-CN"/>
                    </w:rPr>
                    <w:t>为</w:t>
                  </w:r>
                  <w:r>
                    <w:rPr>
                      <w:rFonts w:hint="eastAsia"/>
                      <w:color w:val="auto"/>
                      <w:sz w:val="21"/>
                      <w:szCs w:val="21"/>
                      <w:highlight w:val="none"/>
                    </w:rPr>
                    <w:t>工业用地，位于城镇开发边界内</w:t>
                  </w:r>
                  <w:r>
                    <w:rPr>
                      <w:rFonts w:hint="eastAsia"/>
                      <w:color w:val="auto"/>
                      <w:sz w:val="21"/>
                      <w:szCs w:val="21"/>
                      <w:highlight w:val="none"/>
                      <w:lang w:eastAsia="zh-CN"/>
                    </w:rPr>
                    <w:t>，</w:t>
                  </w:r>
                  <w:r>
                    <w:rPr>
                      <w:rFonts w:hint="eastAsia"/>
                      <w:color w:val="auto"/>
                      <w:sz w:val="21"/>
                      <w:szCs w:val="21"/>
                      <w:highlight w:val="none"/>
                      <w:lang w:val="en-US" w:eastAsia="zh-CN"/>
                    </w:rPr>
                    <w:t>本项目不属于高污染高风险项目。</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3</w:t>
                  </w:r>
                </w:p>
              </w:tc>
              <w:tc>
                <w:tcPr>
                  <w:tcW w:w="2799"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对标先进水平，持续改善环境质量。新建、扩建项目应采用先进适用的工艺技术和装备，单位产品物耗、能耗、水耗等达到清洁生产先进水平，完成现有焦化企业的超低排放和干熄焦改造。加快实施规划的公铁智慧产业项目，提高大宗货物铁路运输比例，减少无组织排放。落实区域削减方案，着重强化焦化、煤化工、装备制造业和生物医药等行业挥发性有机物全过程管控，推进低（无）挥发性有机物原辅料替代，配备高效收集处理装置，确保区域环境质量持续改善</w:t>
                  </w:r>
                  <w:r>
                    <w:rPr>
                      <w:rFonts w:hint="eastAsia"/>
                      <w:color w:val="auto"/>
                      <w:sz w:val="21"/>
                      <w:szCs w:val="21"/>
                      <w:highlight w:val="none"/>
                      <w:lang w:eastAsia="zh-CN"/>
                    </w:rPr>
                    <w:t>。</w:t>
                  </w:r>
                </w:p>
              </w:tc>
              <w:tc>
                <w:tcPr>
                  <w:tcW w:w="1273" w:type="pct"/>
                  <w:noWrap w:val="0"/>
                  <w:vAlign w:val="center"/>
                </w:tcPr>
                <w:p>
                  <w:pPr>
                    <w:jc w:val="both"/>
                    <w:rPr>
                      <w:rFonts w:hint="default" w:eastAsia="宋体"/>
                      <w:color w:val="auto"/>
                      <w:sz w:val="21"/>
                      <w:szCs w:val="21"/>
                      <w:highlight w:val="none"/>
                      <w:lang w:val="en-US" w:eastAsia="zh-CN"/>
                    </w:rPr>
                  </w:pPr>
                  <w:r>
                    <w:rPr>
                      <w:rFonts w:hint="eastAsia"/>
                      <w:color w:val="auto"/>
                      <w:sz w:val="21"/>
                      <w:szCs w:val="21"/>
                      <w:highlight w:val="none"/>
                    </w:rPr>
                    <w:t>本项目以煤矸石为原料，加工后再利用</w:t>
                  </w:r>
                  <w:r>
                    <w:rPr>
                      <w:rFonts w:hint="eastAsia"/>
                      <w:color w:val="auto"/>
                      <w:sz w:val="21"/>
                      <w:szCs w:val="21"/>
                      <w:highlight w:val="none"/>
                      <w:lang w:val="en-US" w:eastAsia="zh-CN"/>
                    </w:rPr>
                    <w:t>制造有机肥料系列产品，原料运输采用篷布苫盖或厢式车运输，车辆限速等措施，项目废气主要为颗粒物，在</w:t>
                  </w:r>
                  <w:r>
                    <w:rPr>
                      <w:rFonts w:hint="eastAsia"/>
                      <w:color w:val="auto"/>
                      <w:sz w:val="21"/>
                      <w:szCs w:val="21"/>
                      <w:highlight w:val="none"/>
                    </w:rPr>
                    <w:t>采取了严格的治理措施</w:t>
                  </w:r>
                  <w:r>
                    <w:rPr>
                      <w:rFonts w:hint="eastAsia"/>
                      <w:color w:val="auto"/>
                      <w:sz w:val="21"/>
                      <w:szCs w:val="21"/>
                      <w:highlight w:val="none"/>
                      <w:lang w:val="en-US" w:eastAsia="zh-CN"/>
                    </w:rPr>
                    <w:t>后可达标排放。</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4</w:t>
                  </w:r>
                </w:p>
              </w:tc>
              <w:tc>
                <w:tcPr>
                  <w:tcW w:w="2799"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加强水资源保护，提升水环境质量。坚守资源利用上线，全面落实“以水定产”的要求，优化用水结构、转变用水方式、提高用水效率。加快开发区污水集中处理设施及配套污水收集、中水回用管网建设，余吾园区污水收集至渔泽园区处理，逐步将园中村、园边村生活污水纳入收集范围，焦化、化工生产工艺废水应达到零排放，涉及难生物降解废水，应增加化学氧化、物理吸附等污水处理工艺。进一步提高中水回用率，生产用水优先使用再生水资源，减少外排水量，确需外排废水应达标排放，满足区域水环境功能要求</w:t>
                  </w:r>
                  <w:r>
                    <w:rPr>
                      <w:rFonts w:hint="eastAsia"/>
                      <w:color w:val="auto"/>
                      <w:sz w:val="21"/>
                      <w:szCs w:val="21"/>
                      <w:highlight w:val="none"/>
                      <w:lang w:eastAsia="zh-CN"/>
                    </w:rPr>
                    <w:t>。</w:t>
                  </w:r>
                </w:p>
              </w:tc>
              <w:tc>
                <w:tcPr>
                  <w:tcW w:w="1273" w:type="pct"/>
                  <w:noWrap w:val="0"/>
                  <w:vAlign w:val="center"/>
                </w:tcPr>
                <w:p>
                  <w:pPr>
                    <w:jc w:val="both"/>
                    <w:rPr>
                      <w:color w:val="auto"/>
                      <w:sz w:val="21"/>
                      <w:szCs w:val="21"/>
                      <w:highlight w:val="none"/>
                    </w:rPr>
                  </w:pPr>
                  <w:r>
                    <w:rPr>
                      <w:rFonts w:hint="eastAsia"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生产废水主要为洗车废水，沉淀池沉淀处理后循环使用不外排；生活污水经化粪池处理后排入园区生活污水管网，最终进入园区污水处理站处理。</w:t>
                  </w:r>
                </w:p>
              </w:tc>
              <w:tc>
                <w:tcPr>
                  <w:tcW w:w="536" w:type="pct"/>
                  <w:noWrap w:val="0"/>
                  <w:vAlign w:val="center"/>
                </w:tcPr>
                <w:p>
                  <w:pPr>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5</w:t>
                  </w:r>
                </w:p>
              </w:tc>
              <w:tc>
                <w:tcPr>
                  <w:tcW w:w="2799"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推动节能减排，促进减污降碳。立足产业定位，优化产业结构，通过引入绿色节能工艺、产品和技术，提高资源再生利用水平。优化能源结构，实施周边居民集中供热工程，推动减污降碳协同增效。推进开发区内绿地生态系统建设等生态碳汇工程，增加绿化面积，强化生态固碳能力，提升生态碳汇增量</w:t>
                  </w:r>
                  <w:r>
                    <w:rPr>
                      <w:rFonts w:hint="eastAsia"/>
                      <w:color w:val="auto"/>
                      <w:sz w:val="21"/>
                      <w:szCs w:val="21"/>
                      <w:highlight w:val="none"/>
                      <w:lang w:eastAsia="zh-CN"/>
                    </w:rPr>
                    <w:t>。</w:t>
                  </w:r>
                </w:p>
              </w:tc>
              <w:tc>
                <w:tcPr>
                  <w:tcW w:w="1273"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本项目以煤矸石为原料，加工后再利用</w:t>
                  </w:r>
                  <w:r>
                    <w:rPr>
                      <w:rFonts w:hint="eastAsia"/>
                      <w:color w:val="auto"/>
                      <w:sz w:val="21"/>
                      <w:szCs w:val="21"/>
                      <w:highlight w:val="none"/>
                      <w:lang w:val="en-US" w:eastAsia="zh-CN"/>
                    </w:rPr>
                    <w:t>制造有机肥料系列产品，</w:t>
                  </w:r>
                  <w:r>
                    <w:rPr>
                      <w:color w:val="auto"/>
                      <w:sz w:val="21"/>
                      <w:szCs w:val="21"/>
                      <w:highlight w:val="none"/>
                    </w:rPr>
                    <w:t>以提高资源再生利用率为目的，充分发挥煤矸石的剩余价值</w:t>
                  </w:r>
                  <w:r>
                    <w:rPr>
                      <w:rFonts w:hint="eastAsia"/>
                      <w:color w:val="auto"/>
                      <w:sz w:val="21"/>
                      <w:szCs w:val="21"/>
                      <w:highlight w:val="none"/>
                      <w:lang w:eastAsia="zh-CN"/>
                    </w:rPr>
                    <w:t>。</w:t>
                  </w:r>
                </w:p>
              </w:tc>
              <w:tc>
                <w:tcPr>
                  <w:tcW w:w="536" w:type="pct"/>
                  <w:noWrap w:val="0"/>
                  <w:vAlign w:val="center"/>
                </w:tcPr>
                <w:p>
                  <w:pPr>
                    <w:jc w:val="center"/>
                    <w:rPr>
                      <w:color w:val="auto"/>
                      <w:sz w:val="21"/>
                      <w:szCs w:val="21"/>
                      <w:highlight w:val="none"/>
                    </w:rPr>
                  </w:pPr>
                  <w:r>
                    <w:rPr>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6</w:t>
                  </w:r>
                </w:p>
              </w:tc>
              <w:tc>
                <w:tcPr>
                  <w:tcW w:w="2799"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加强声环境管理，安全处置固体废物。严格执行声环境功能区环境准入，合理布局工业企业与居住生活区。工业企业应采取低噪声设备、绿化降噪和优化物料交通运输线路等措施，减缓噪声影响，确保满足声环境功能区要求。按照“减量化、资源化、无害化”的原则，实行固体废物分类收集和综合利用，完善生活垃圾分类收集和处理系统</w:t>
                  </w:r>
                  <w:r>
                    <w:rPr>
                      <w:rFonts w:hint="eastAsia"/>
                      <w:color w:val="auto"/>
                      <w:sz w:val="21"/>
                      <w:szCs w:val="21"/>
                      <w:highlight w:val="none"/>
                      <w:lang w:eastAsia="zh-CN"/>
                    </w:rPr>
                    <w:t>。</w:t>
                  </w:r>
                </w:p>
              </w:tc>
              <w:tc>
                <w:tcPr>
                  <w:tcW w:w="1273"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本项目对产噪设备及固体废物均采取了有效的治理措施</w:t>
                  </w:r>
                  <w:r>
                    <w:rPr>
                      <w:rFonts w:hint="eastAsia"/>
                      <w:color w:val="auto"/>
                      <w:sz w:val="21"/>
                      <w:szCs w:val="21"/>
                      <w:highlight w:val="none"/>
                      <w:lang w:eastAsia="zh-CN"/>
                    </w:rPr>
                    <w:t>。</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7</w:t>
                  </w:r>
                </w:p>
              </w:tc>
              <w:tc>
                <w:tcPr>
                  <w:tcW w:w="2799"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加强生态保护，严控土壤污染。按照“控源头、防新增、重监管、保安全”的思路，深入打好净土保卫战，强化地下水污染协同防治。纳入土壤污染重点监管单位名录的企业严格落实自行监测、隐患排查等土壤污染防治责任。关停淘汰企业的遗留场地，应落实拆除活动污染防治措施，依法开展土壤污染状况调查、风险评估和治理修复等工作</w:t>
                  </w:r>
                  <w:r>
                    <w:rPr>
                      <w:rFonts w:hint="eastAsia"/>
                      <w:color w:val="auto"/>
                      <w:sz w:val="21"/>
                      <w:szCs w:val="21"/>
                      <w:highlight w:val="none"/>
                      <w:lang w:eastAsia="zh-CN"/>
                    </w:rPr>
                    <w:t>。</w:t>
                  </w:r>
                </w:p>
              </w:tc>
              <w:tc>
                <w:tcPr>
                  <w:tcW w:w="1273"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本项目不属于土壤污染重点监管企业</w:t>
                  </w:r>
                  <w:r>
                    <w:rPr>
                      <w:rFonts w:hint="eastAsia"/>
                      <w:color w:val="auto"/>
                      <w:sz w:val="21"/>
                      <w:szCs w:val="21"/>
                      <w:highlight w:val="none"/>
                      <w:lang w:eastAsia="zh-CN"/>
                    </w:rPr>
                    <w:t>。</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8</w:t>
                  </w:r>
                </w:p>
              </w:tc>
              <w:tc>
                <w:tcPr>
                  <w:tcW w:w="2799"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严格风险源管理，防范环境风险。完善企业、园区、受纳水体三级河流水环境风险管控体系，强化化工装置区、污水处理厂等区域防渗措施，设置足够的事故废水收集系统，确保事故状态下不会对周边环境造成影响。加强有毒有害化学品的管理，做好开发区内涉及重大危险源的生产装置、储存区视频监控联网。完善开发区危险废物收集、转运、贮存和处置利用体系，防范次生环境风险</w:t>
                  </w:r>
                  <w:r>
                    <w:rPr>
                      <w:rFonts w:hint="eastAsia"/>
                      <w:color w:val="auto"/>
                      <w:sz w:val="21"/>
                      <w:szCs w:val="21"/>
                      <w:highlight w:val="none"/>
                      <w:lang w:eastAsia="zh-CN"/>
                    </w:rPr>
                    <w:t>。</w:t>
                  </w:r>
                </w:p>
              </w:tc>
              <w:tc>
                <w:tcPr>
                  <w:tcW w:w="1273"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本项目不涉及有毒有害化学品及重大风险源</w:t>
                  </w:r>
                  <w:r>
                    <w:rPr>
                      <w:rFonts w:hint="eastAsia"/>
                      <w:color w:val="auto"/>
                      <w:sz w:val="21"/>
                      <w:szCs w:val="21"/>
                      <w:highlight w:val="none"/>
                      <w:lang w:eastAsia="zh-CN"/>
                    </w:rPr>
                    <w:t>。</w:t>
                  </w:r>
                </w:p>
              </w:tc>
              <w:tc>
                <w:tcPr>
                  <w:tcW w:w="536" w:type="pct"/>
                  <w:noWrap w:val="0"/>
                  <w:vAlign w:val="center"/>
                </w:tcPr>
                <w:p>
                  <w:pPr>
                    <w:jc w:val="center"/>
                    <w:rPr>
                      <w:color w:val="auto"/>
                      <w:sz w:val="21"/>
                      <w:szCs w:val="21"/>
                      <w:highlight w:val="none"/>
                    </w:rPr>
                  </w:pPr>
                  <w:r>
                    <w:rPr>
                      <w:rFonts w:hint="eastAsia"/>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0" w:type="pct"/>
                  <w:noWrap w:val="0"/>
                  <w:vAlign w:val="center"/>
                </w:tcPr>
                <w:p>
                  <w:pPr>
                    <w:jc w:val="center"/>
                    <w:rPr>
                      <w:color w:val="auto"/>
                      <w:sz w:val="21"/>
                      <w:szCs w:val="21"/>
                      <w:highlight w:val="none"/>
                    </w:rPr>
                  </w:pPr>
                  <w:r>
                    <w:rPr>
                      <w:rFonts w:hint="eastAsia"/>
                      <w:color w:val="auto"/>
                      <w:sz w:val="21"/>
                      <w:szCs w:val="21"/>
                      <w:highlight w:val="none"/>
                    </w:rPr>
                    <w:t>9</w:t>
                  </w:r>
                </w:p>
              </w:tc>
              <w:tc>
                <w:tcPr>
                  <w:tcW w:w="2799" w:type="pct"/>
                  <w:noWrap w:val="0"/>
                  <w:vAlign w:val="center"/>
                </w:tcPr>
                <w:p>
                  <w:pPr>
                    <w:jc w:val="both"/>
                    <w:rPr>
                      <w:rFonts w:hint="eastAsia" w:eastAsia="宋体"/>
                      <w:color w:val="auto"/>
                      <w:sz w:val="21"/>
                      <w:szCs w:val="21"/>
                      <w:highlight w:val="none"/>
                      <w:lang w:eastAsia="zh-CN"/>
                    </w:rPr>
                  </w:pPr>
                  <w:r>
                    <w:rPr>
                      <w:rFonts w:hint="eastAsia"/>
                      <w:color w:val="auto"/>
                      <w:sz w:val="21"/>
                      <w:szCs w:val="21"/>
                      <w:highlight w:val="none"/>
                    </w:rPr>
                    <w:t>健全规划环评实施机制，落实跟踪评价制度。开发区规划实施过程应重视规划环评成果的运用，切实落实规划环评提出的优化调整意见建议和减缓不良生态环境影响的各项措施。对规划实施可能导致的不良环境影响进行长期跟踪监测，建立预警机制。在规划实施过程中，适时开展规划环境影响跟踪评价，规划修编时应重新编制环境影响报告书</w:t>
                  </w:r>
                  <w:r>
                    <w:rPr>
                      <w:rFonts w:hint="eastAsia"/>
                      <w:color w:val="auto"/>
                      <w:sz w:val="21"/>
                      <w:szCs w:val="21"/>
                      <w:highlight w:val="none"/>
                      <w:lang w:eastAsia="zh-CN"/>
                    </w:rPr>
                    <w:t>。</w:t>
                  </w:r>
                </w:p>
              </w:tc>
              <w:tc>
                <w:tcPr>
                  <w:tcW w:w="1273" w:type="pct"/>
                  <w:noWrap w:val="0"/>
                  <w:vAlign w:val="center"/>
                </w:tcPr>
                <w:p>
                  <w:pPr>
                    <w:jc w:val="center"/>
                    <w:rPr>
                      <w:color w:val="auto"/>
                      <w:sz w:val="21"/>
                      <w:szCs w:val="21"/>
                      <w:highlight w:val="none"/>
                    </w:rPr>
                  </w:pPr>
                  <w:r>
                    <w:rPr>
                      <w:rFonts w:hint="eastAsia"/>
                      <w:color w:val="auto"/>
                      <w:sz w:val="21"/>
                      <w:szCs w:val="21"/>
                      <w:highlight w:val="none"/>
                    </w:rPr>
                    <w:t>/</w:t>
                  </w:r>
                </w:p>
              </w:tc>
              <w:tc>
                <w:tcPr>
                  <w:tcW w:w="536" w:type="pct"/>
                  <w:noWrap w:val="0"/>
                  <w:vAlign w:val="center"/>
                </w:tcPr>
                <w:p>
                  <w:pPr>
                    <w:jc w:val="center"/>
                    <w:rPr>
                      <w:color w:val="auto"/>
                      <w:sz w:val="21"/>
                      <w:szCs w:val="21"/>
                      <w:highlight w:val="none"/>
                    </w:rPr>
                  </w:pPr>
                  <w:r>
                    <w:rPr>
                      <w:rFonts w:hint="eastAsia"/>
                      <w:color w:val="auto"/>
                      <w:sz w:val="21"/>
                      <w:szCs w:val="21"/>
                      <w:highlight w:val="none"/>
                    </w:rPr>
                    <w:t>/</w:t>
                  </w:r>
                </w:p>
              </w:tc>
            </w:tr>
          </w:tbl>
          <w:p>
            <w:pPr>
              <w:pStyle w:val="118"/>
              <w:ind w:firstLine="480"/>
              <w:rPr>
                <w:rFonts w:hint="eastAsia" w:eastAsia="宋体"/>
                <w:color w:val="auto"/>
                <w:kern w:val="0"/>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80" w:type="pct"/>
            <w:tcBorders>
              <w:tl2br w:val="nil"/>
              <w:tr2bl w:val="nil"/>
            </w:tcBorders>
            <w:vAlign w:val="center"/>
          </w:tcPr>
          <w:p>
            <w:pPr>
              <w:autoSpaceDE w:val="0"/>
              <w:autoSpaceDN w:val="0"/>
              <w:adjustRightInd w:val="0"/>
              <w:snapToGrid w:val="0"/>
              <w:jc w:val="center"/>
              <w:rPr>
                <w:color w:val="auto"/>
                <w:kern w:val="0"/>
                <w:sz w:val="24"/>
                <w:szCs w:val="24"/>
                <w:highlight w:val="none"/>
              </w:rPr>
            </w:pPr>
            <w:r>
              <w:rPr>
                <w:b w:val="0"/>
                <w:bCs w:val="0"/>
                <w:color w:val="auto"/>
                <w:kern w:val="0"/>
                <w:sz w:val="24"/>
                <w:szCs w:val="24"/>
                <w:highlight w:val="none"/>
              </w:rPr>
              <w:t>其他符合性分析</w:t>
            </w:r>
          </w:p>
        </w:tc>
        <w:tc>
          <w:tcPr>
            <w:tcW w:w="4619" w:type="pct"/>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cs="Times New Roman"/>
                <w:b/>
                <w:bCs w:val="0"/>
                <w:color w:val="auto"/>
                <w:spacing w:val="0"/>
                <w:sz w:val="24"/>
                <w:szCs w:val="24"/>
                <w:highlight w:val="none"/>
                <w:lang w:val="en-US" w:eastAsia="zh-CN"/>
              </w:rPr>
            </w:pPr>
            <w:r>
              <w:rPr>
                <w:rFonts w:ascii="Times New Roman" w:hAnsi="Times New Roman" w:eastAsia="宋体"/>
                <w:b/>
                <w:color w:val="auto"/>
                <w:kern w:val="2"/>
                <w:sz w:val="24"/>
                <w:szCs w:val="24"/>
                <w:highlight w:val="none"/>
              </w:rPr>
              <w:t>一、</w:t>
            </w:r>
            <w:r>
              <w:rPr>
                <w:rFonts w:hint="eastAsia" w:cs="Times New Roman"/>
                <w:b/>
                <w:bCs w:val="0"/>
                <w:color w:val="auto"/>
                <w:spacing w:val="0"/>
                <w:sz w:val="24"/>
                <w:szCs w:val="24"/>
                <w:highlight w:val="none"/>
                <w:lang w:val="en-US" w:eastAsia="zh-CN"/>
              </w:rPr>
              <w:t>产业政策符合性分析</w:t>
            </w:r>
          </w:p>
          <w:p>
            <w:pPr>
              <w:pStyle w:val="25"/>
              <w:snapToGrid w:val="0"/>
              <w:spacing w:line="480" w:lineRule="exact"/>
              <w:ind w:firstLine="480" w:firstLineChars="200"/>
              <w:jc w:val="both"/>
              <w:rPr>
                <w:rFonts w:ascii="Times New Roman" w:hAnsi="Times New Roman" w:eastAsia="宋体"/>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本项目于2025年7月9日在</w:t>
            </w:r>
            <w:r>
              <w:rPr>
                <w:rFonts w:hint="default" w:ascii="Times New Roman" w:hAnsi="Times New Roman" w:cs="Times New Roman"/>
                <w:color w:val="auto"/>
                <w:sz w:val="24"/>
                <w:szCs w:val="24"/>
                <w:highlight w:val="none"/>
                <w:lang w:val="en-US" w:eastAsia="zh-CN"/>
              </w:rPr>
              <w:t>屯留经济技术开发区管理委员会备案，项目代码：2507-140455-89-01-397311，备案文件见附件2。</w:t>
            </w:r>
            <w:r>
              <w:rPr>
                <w:rFonts w:hint="eastAsia" w:ascii="Times New Roman" w:hAnsi="Times New Roman" w:cs="Times New Roman"/>
                <w:color w:val="auto"/>
                <w:sz w:val="24"/>
                <w:szCs w:val="24"/>
                <w:highlight w:val="none"/>
                <w:lang w:val="en-US" w:eastAsia="zh-CN"/>
              </w:rPr>
              <w:t>本项目属于C2625 有机肥料及微生物肥料制造</w:t>
            </w:r>
            <w:r>
              <w:rPr>
                <w:rFonts w:hint="eastAsia" w:ascii="Times New Roman" w:hAnsi="Times New Roman" w:eastAsia="宋体"/>
                <w:color w:val="auto"/>
                <w:sz w:val="24"/>
                <w:szCs w:val="24"/>
                <w:highlight w:val="none"/>
                <w:lang w:val="en-US" w:eastAsia="zh-CN"/>
              </w:rPr>
              <w:t>，</w:t>
            </w:r>
            <w:r>
              <w:rPr>
                <w:rFonts w:hint="eastAsia" w:ascii="Times New Roman" w:hAnsi="Times New Roman" w:eastAsia="宋体"/>
                <w:color w:val="auto"/>
                <w:sz w:val="24"/>
                <w:szCs w:val="24"/>
                <w:highlight w:val="none"/>
              </w:rPr>
              <w:t>根据《产业结构调整指导目录（20</w:t>
            </w:r>
            <w:r>
              <w:rPr>
                <w:rFonts w:ascii="Times New Roman" w:hAnsi="Times New Roman" w:eastAsia="宋体"/>
                <w:color w:val="auto"/>
                <w:sz w:val="24"/>
                <w:szCs w:val="24"/>
                <w:highlight w:val="none"/>
              </w:rPr>
              <w:t>24</w:t>
            </w:r>
            <w:r>
              <w:rPr>
                <w:rFonts w:hint="eastAsia" w:ascii="Times New Roman" w:hAnsi="Times New Roman" w:eastAsia="宋体"/>
                <w:color w:val="auto"/>
                <w:sz w:val="24"/>
                <w:szCs w:val="24"/>
                <w:highlight w:val="none"/>
              </w:rPr>
              <w:t>年本）》，</w:t>
            </w:r>
            <w:r>
              <w:rPr>
                <w:rFonts w:hint="eastAsia" w:ascii="Times New Roman" w:hAnsi="Times New Roman" w:eastAsia="宋体"/>
                <w:color w:val="auto"/>
                <w:sz w:val="24"/>
                <w:szCs w:val="24"/>
                <w:highlight w:val="none"/>
                <w:lang w:val="en-US" w:eastAsia="zh-CN"/>
              </w:rPr>
              <w:t>本项目属于鼓励类</w:t>
            </w:r>
            <w:r>
              <w:rPr>
                <w:rFonts w:hint="eastAsia" w:ascii="Times New Roman" w:hAnsi="Times New Roman" w:eastAsia="宋体"/>
                <w:color w:val="auto"/>
                <w:sz w:val="24"/>
                <w:szCs w:val="24"/>
                <w:highlight w:val="none"/>
              </w:rPr>
              <w:t>项目</w:t>
            </w:r>
            <w:r>
              <w:rPr>
                <w:rFonts w:hint="eastAsia" w:ascii="Times New Roman" w:hAnsi="Times New Roman" w:eastAsia="宋体"/>
                <w:color w:val="auto"/>
                <w:sz w:val="24"/>
                <w:szCs w:val="24"/>
                <w:highlight w:val="none"/>
                <w:lang w:val="en-US" w:eastAsia="zh-CN"/>
              </w:rPr>
              <w:t>中“一、农林牧渔业-13．绿色农业-农产品及其产地环境监测技术开发和应用，有机废弃物无害化、价值化处理及有机肥料产业化技术开发与应用”</w:t>
            </w:r>
            <w:r>
              <w:rPr>
                <w:rFonts w:hint="eastAsia" w:ascii="Times New Roman" w:hAnsi="Times New Roman" w:eastAsia="宋体"/>
                <w:color w:val="auto"/>
                <w:sz w:val="24"/>
                <w:szCs w:val="24"/>
                <w:highlight w:val="none"/>
                <w:lang w:eastAsia="zh-CN"/>
              </w:rPr>
              <w:t>，</w:t>
            </w:r>
            <w:r>
              <w:rPr>
                <w:rFonts w:hint="eastAsia" w:ascii="Times New Roman" w:hAnsi="Times New Roman" w:eastAsia="宋体"/>
                <w:color w:val="auto"/>
                <w:sz w:val="24"/>
                <w:szCs w:val="24"/>
                <w:highlight w:val="none"/>
              </w:rPr>
              <w:t>符合国家产业政策。项目运营期在采取完善的污染治理措施后，对区域的环境影响较小。</w:t>
            </w:r>
          </w:p>
          <w:p>
            <w:pPr>
              <w:pStyle w:val="25"/>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baseline"/>
              <w:rPr>
                <w:rFonts w:ascii="Times New Roman" w:hAnsi="Times New Roman" w:eastAsia="宋体"/>
                <w:b/>
                <w:color w:val="auto"/>
                <w:kern w:val="2"/>
                <w:sz w:val="24"/>
                <w:szCs w:val="24"/>
                <w:highlight w:val="none"/>
              </w:rPr>
            </w:pPr>
            <w:r>
              <w:rPr>
                <w:rFonts w:hint="eastAsia" w:ascii="Times New Roman" w:hAnsi="Times New Roman"/>
                <w:b/>
                <w:color w:val="auto"/>
                <w:kern w:val="2"/>
                <w:sz w:val="24"/>
                <w:szCs w:val="24"/>
                <w:highlight w:val="none"/>
                <w:lang w:val="en-US" w:eastAsia="zh-CN"/>
              </w:rPr>
              <w:t>二、</w:t>
            </w:r>
            <w:r>
              <w:rPr>
                <w:rFonts w:hint="eastAsia" w:ascii="Times New Roman" w:hAnsi="Times New Roman"/>
                <w:b/>
                <w:color w:val="auto"/>
                <w:kern w:val="2"/>
                <w:sz w:val="24"/>
                <w:szCs w:val="24"/>
                <w:highlight w:val="none"/>
                <w:lang w:eastAsia="zh-CN"/>
              </w:rPr>
              <w:t>“</w:t>
            </w:r>
            <w:r>
              <w:rPr>
                <w:rFonts w:ascii="Times New Roman" w:hAnsi="Times New Roman" w:eastAsia="宋体"/>
                <w:b/>
                <w:color w:val="auto"/>
                <w:kern w:val="2"/>
                <w:sz w:val="24"/>
                <w:szCs w:val="24"/>
                <w:highlight w:val="none"/>
              </w:rPr>
              <w:t>三线一单</w:t>
            </w:r>
            <w:r>
              <w:rPr>
                <w:rFonts w:hint="eastAsia" w:ascii="Times New Roman" w:hAnsi="Times New Roman"/>
                <w:b/>
                <w:color w:val="auto"/>
                <w:kern w:val="2"/>
                <w:sz w:val="24"/>
                <w:szCs w:val="24"/>
                <w:highlight w:val="none"/>
                <w:lang w:eastAsia="zh-CN"/>
              </w:rPr>
              <w:t>”</w:t>
            </w:r>
            <w:r>
              <w:rPr>
                <w:rFonts w:ascii="Times New Roman" w:hAnsi="Times New Roman" w:eastAsia="宋体"/>
                <w:b/>
                <w:color w:val="auto"/>
                <w:kern w:val="2"/>
                <w:sz w:val="24"/>
                <w:szCs w:val="24"/>
                <w:highlight w:val="none"/>
              </w:rPr>
              <w:t>的控制要求符合性分析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lang w:val="zh-CN" w:eastAsia="zh-CN"/>
              </w:rPr>
            </w:pPr>
            <w:r>
              <w:rPr>
                <w:rFonts w:hint="default" w:ascii="Times New Roman" w:hAnsi="Times New Roman" w:eastAsia="宋体" w:cs="Times New Roman"/>
                <w:color w:val="auto"/>
                <w:kern w:val="0"/>
                <w:sz w:val="24"/>
                <w:szCs w:val="24"/>
                <w:highlight w:val="none"/>
                <w:lang w:val="zh-CN" w:eastAsia="zh-CN"/>
              </w:rPr>
              <w:t>根据</w:t>
            </w:r>
            <w:r>
              <w:rPr>
                <w:rFonts w:hint="default" w:ascii="Times New Roman" w:hAnsi="Times New Roman" w:eastAsia="宋体" w:cs="Times New Roman"/>
                <w:color w:val="auto"/>
                <w:kern w:val="0"/>
                <w:sz w:val="24"/>
                <w:szCs w:val="24"/>
                <w:highlight w:val="none"/>
                <w:lang w:val="en-US" w:eastAsia="zh-CN"/>
              </w:rPr>
              <w:t>生态环境</w:t>
            </w:r>
            <w:r>
              <w:rPr>
                <w:rFonts w:hint="default" w:ascii="Times New Roman" w:hAnsi="Times New Roman" w:eastAsia="宋体" w:cs="Times New Roman"/>
                <w:color w:val="auto"/>
                <w:kern w:val="0"/>
                <w:sz w:val="24"/>
                <w:szCs w:val="24"/>
                <w:highlight w:val="none"/>
                <w:lang w:val="zh-CN" w:eastAsia="zh-CN"/>
              </w:rPr>
              <w:t>部颁布的《关于以改善环境质量为核心加强环境影响评价管理的通知》</w:t>
            </w:r>
            <w:r>
              <w:rPr>
                <w:rFonts w:hint="default" w:ascii="Times New Roman" w:hAnsi="Times New Roman" w:cs="Times New Roman"/>
                <w:bCs/>
                <w:color w:val="auto"/>
                <w:sz w:val="24"/>
                <w:szCs w:val="24"/>
                <w:highlight w:val="none"/>
              </w:rPr>
              <w:t>（环环评[2016]150号）</w:t>
            </w:r>
            <w:r>
              <w:rPr>
                <w:rFonts w:hint="default" w:ascii="Times New Roman" w:hAnsi="Times New Roman" w:eastAsia="宋体" w:cs="Times New Roman"/>
                <w:color w:val="auto"/>
                <w:kern w:val="0"/>
                <w:sz w:val="24"/>
                <w:szCs w:val="24"/>
                <w:highlight w:val="none"/>
                <w:lang w:val="zh-CN" w:eastAsia="zh-CN"/>
              </w:rPr>
              <w:t>，三线一单中的三线是指</w:t>
            </w:r>
            <w:r>
              <w:rPr>
                <w:rFonts w:hint="eastAsia" w:ascii="Times New Roman" w:hAnsi="Times New Roman" w:eastAsia="宋体" w:cs="Times New Roman"/>
                <w:color w:val="auto"/>
                <w:kern w:val="0"/>
                <w:sz w:val="24"/>
                <w:szCs w:val="24"/>
                <w:highlight w:val="none"/>
                <w:lang w:val="zh-CN" w:eastAsia="zh-CN"/>
              </w:rPr>
              <w:t>“</w:t>
            </w:r>
            <w:r>
              <w:rPr>
                <w:rFonts w:hint="default" w:ascii="Times New Roman" w:hAnsi="Times New Roman" w:eastAsia="宋体" w:cs="Times New Roman"/>
                <w:color w:val="auto"/>
                <w:kern w:val="0"/>
                <w:sz w:val="24"/>
                <w:szCs w:val="24"/>
                <w:highlight w:val="none"/>
                <w:lang w:val="zh-CN" w:eastAsia="zh-CN"/>
              </w:rPr>
              <w:t>生态保护红线、环境质量底线、资源利用上线</w:t>
            </w:r>
            <w:r>
              <w:rPr>
                <w:rFonts w:hint="eastAsia" w:ascii="Times New Roman" w:hAnsi="Times New Roman" w:eastAsia="宋体" w:cs="Times New Roman"/>
                <w:color w:val="auto"/>
                <w:kern w:val="0"/>
                <w:sz w:val="24"/>
                <w:szCs w:val="24"/>
                <w:highlight w:val="none"/>
                <w:lang w:val="zh-CN" w:eastAsia="zh-CN"/>
              </w:rPr>
              <w:t>”</w:t>
            </w:r>
            <w:r>
              <w:rPr>
                <w:rFonts w:hint="default" w:ascii="Times New Roman" w:hAnsi="Times New Roman" w:eastAsia="宋体" w:cs="Times New Roman"/>
                <w:color w:val="auto"/>
                <w:kern w:val="0"/>
                <w:sz w:val="24"/>
                <w:szCs w:val="24"/>
                <w:highlight w:val="none"/>
                <w:lang w:val="zh-CN" w:eastAsia="zh-CN"/>
              </w:rPr>
              <w:t>，</w:t>
            </w:r>
            <w:r>
              <w:rPr>
                <w:rFonts w:hint="eastAsia" w:ascii="Times New Roman" w:hAnsi="Times New Roman" w:eastAsia="宋体" w:cs="Times New Roman"/>
                <w:color w:val="auto"/>
                <w:kern w:val="0"/>
                <w:sz w:val="24"/>
                <w:szCs w:val="24"/>
                <w:highlight w:val="none"/>
                <w:lang w:val="zh-CN" w:eastAsia="zh-CN"/>
              </w:rPr>
              <w:t>“</w:t>
            </w:r>
            <w:r>
              <w:rPr>
                <w:rFonts w:hint="eastAsia" w:ascii="Times New Roman" w:hAnsi="Times New Roman" w:eastAsia="宋体" w:cs="Times New Roman"/>
                <w:color w:val="auto"/>
                <w:kern w:val="0"/>
                <w:sz w:val="24"/>
                <w:szCs w:val="24"/>
                <w:highlight w:val="none"/>
                <w:lang w:val="en-US" w:eastAsia="zh-CN"/>
              </w:rPr>
              <w:t>一单</w:t>
            </w:r>
            <w:r>
              <w:rPr>
                <w:rFonts w:hint="eastAsia" w:ascii="Times New Roman" w:hAnsi="Times New Roman" w:eastAsia="宋体" w:cs="Times New Roman"/>
                <w:color w:val="auto"/>
                <w:kern w:val="0"/>
                <w:sz w:val="24"/>
                <w:szCs w:val="24"/>
                <w:highlight w:val="none"/>
                <w:lang w:val="zh-CN" w:eastAsia="zh-CN"/>
              </w:rPr>
              <w:t>”</w:t>
            </w:r>
            <w:r>
              <w:rPr>
                <w:rFonts w:hint="default" w:ascii="Times New Roman" w:hAnsi="Times New Roman" w:eastAsia="宋体" w:cs="Times New Roman"/>
                <w:color w:val="auto"/>
                <w:kern w:val="0"/>
                <w:sz w:val="24"/>
                <w:szCs w:val="24"/>
                <w:highlight w:val="none"/>
                <w:lang w:val="zh-CN" w:eastAsia="zh-CN"/>
              </w:rPr>
              <w:t>就是环境准入负面清单。本项目与</w:t>
            </w:r>
            <w:r>
              <w:rPr>
                <w:rFonts w:hint="eastAsia" w:ascii="Times New Roman" w:hAnsi="Times New Roman" w:eastAsia="宋体" w:cs="Times New Roman"/>
                <w:color w:val="auto"/>
                <w:kern w:val="0"/>
                <w:sz w:val="24"/>
                <w:szCs w:val="24"/>
                <w:highlight w:val="none"/>
                <w:lang w:val="zh-CN" w:eastAsia="zh-CN"/>
              </w:rPr>
              <w:t>“</w:t>
            </w:r>
            <w:r>
              <w:rPr>
                <w:rFonts w:hint="default" w:ascii="Times New Roman" w:hAnsi="Times New Roman" w:eastAsia="宋体" w:cs="Times New Roman"/>
                <w:color w:val="auto"/>
                <w:kern w:val="0"/>
                <w:sz w:val="24"/>
                <w:szCs w:val="24"/>
                <w:highlight w:val="none"/>
                <w:lang w:val="zh-CN" w:eastAsia="zh-CN"/>
              </w:rPr>
              <w:t>三线一单</w:t>
            </w:r>
            <w:r>
              <w:rPr>
                <w:rFonts w:hint="eastAsia" w:ascii="Times New Roman" w:hAnsi="Times New Roman" w:eastAsia="宋体" w:cs="Times New Roman"/>
                <w:color w:val="auto"/>
                <w:kern w:val="0"/>
                <w:sz w:val="24"/>
                <w:szCs w:val="24"/>
                <w:highlight w:val="none"/>
                <w:lang w:val="zh-CN" w:eastAsia="zh-CN"/>
              </w:rPr>
              <w:t>”</w:t>
            </w:r>
            <w:r>
              <w:rPr>
                <w:rFonts w:hint="default" w:ascii="Times New Roman" w:hAnsi="Times New Roman" w:eastAsia="宋体" w:cs="Times New Roman"/>
                <w:color w:val="auto"/>
                <w:kern w:val="0"/>
                <w:sz w:val="24"/>
                <w:szCs w:val="24"/>
                <w:highlight w:val="none"/>
                <w:lang w:val="zh-CN" w:eastAsia="zh-CN"/>
              </w:rPr>
              <w:t>的符合性分析如下：</w:t>
            </w:r>
          </w:p>
          <w:p>
            <w:pPr>
              <w:adjustRightInd w:val="0"/>
              <w:snapToGrid w:val="0"/>
              <w:spacing w:line="480" w:lineRule="exact"/>
              <w:ind w:firstLine="482" w:firstLineChars="200"/>
              <w:rPr>
                <w:rFonts w:hint="eastAsia"/>
                <w:b/>
                <w:bCs w:val="0"/>
                <w:color w:val="auto"/>
                <w:sz w:val="24"/>
                <w:szCs w:val="24"/>
                <w:highlight w:val="none"/>
              </w:rPr>
            </w:pPr>
            <w:r>
              <w:rPr>
                <w:rFonts w:hint="eastAsia"/>
                <w:b/>
                <w:bCs w:val="0"/>
                <w:color w:val="auto"/>
                <w:sz w:val="24"/>
                <w:szCs w:val="24"/>
                <w:highlight w:val="none"/>
              </w:rPr>
              <w:t>1</w:t>
            </w:r>
            <w:r>
              <w:rPr>
                <w:rFonts w:hint="eastAsia"/>
                <w:b/>
                <w:bCs w:val="0"/>
                <w:color w:val="auto"/>
                <w:sz w:val="24"/>
                <w:szCs w:val="24"/>
                <w:highlight w:val="none"/>
                <w:lang w:eastAsia="zh-CN"/>
              </w:rPr>
              <w:t>.</w:t>
            </w:r>
            <w:r>
              <w:rPr>
                <w:rFonts w:hint="eastAsia"/>
                <w:b/>
                <w:bCs w:val="0"/>
                <w:color w:val="auto"/>
                <w:sz w:val="24"/>
                <w:szCs w:val="24"/>
                <w:highlight w:val="none"/>
              </w:rPr>
              <w:t>生态保护红线符合性分析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◆《山西省人民政府关于实施“三线一单”生态环境分区管控的意见》（晋政发[2020]26号）符合性分析</w:t>
            </w:r>
          </w:p>
          <w:p>
            <w:pPr>
              <w:adjustRightInd w:val="0"/>
              <w:snapToGrid w:val="0"/>
              <w:spacing w:line="480" w:lineRule="exact"/>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根据《山西省人民政府关于实施</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生态环境分区管控的意见》</w:t>
            </w:r>
            <w:r>
              <w:rPr>
                <w:rFonts w:hint="default" w:ascii="Times New Roman" w:hAnsi="Times New Roman" w:eastAsia="宋体" w:cs="Times New Roman"/>
                <w:color w:val="auto"/>
                <w:sz w:val="24"/>
                <w:szCs w:val="24"/>
                <w:highlight w:val="none"/>
                <w:lang w:val="en-US" w:eastAsia="zh-CN"/>
              </w:rPr>
              <w:t>（晋政发[20</w:t>
            </w:r>
            <w:r>
              <w:rPr>
                <w:rFonts w:hint="default" w:ascii="Times New Roman" w:hAnsi="Times New Roman" w:eastAsia="宋体" w:cs="Times New Roman"/>
                <w:b w:val="0"/>
                <w:bCs w:val="0"/>
                <w:color w:val="auto"/>
                <w:sz w:val="24"/>
                <w:szCs w:val="24"/>
                <w:highlight w:val="none"/>
                <w:lang w:val="en-US" w:eastAsia="zh-CN"/>
              </w:rPr>
              <w:t>20]26号）</w:t>
            </w:r>
            <w:r>
              <w:rPr>
                <w:rFonts w:hint="default" w:ascii="Times New Roman" w:hAnsi="Times New Roman" w:eastAsia="宋体" w:cs="Times New Roman"/>
                <w:b w:val="0"/>
                <w:bCs w:val="0"/>
                <w:color w:val="auto"/>
                <w:sz w:val="24"/>
                <w:szCs w:val="24"/>
                <w:highlight w:val="none"/>
              </w:rPr>
              <w:t>内容</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本项目所在区域属</w:t>
            </w:r>
            <w:r>
              <w:rPr>
                <w:rFonts w:hint="default" w:ascii="Times New Roman" w:hAnsi="Times New Roman" w:eastAsia="宋体" w:cs="Times New Roman"/>
                <w:b w:val="0"/>
                <w:bCs w:val="0"/>
                <w:color w:val="auto"/>
                <w:sz w:val="24"/>
                <w:szCs w:val="24"/>
                <w:highlight w:val="none"/>
                <w:lang w:eastAsia="zh-CN"/>
              </w:rPr>
              <w:t>“重点管控单元”</w:t>
            </w:r>
            <w:r>
              <w:rPr>
                <w:rFonts w:hint="default" w:ascii="Times New Roman" w:hAnsi="Times New Roman" w:eastAsia="宋体" w:cs="Times New Roman"/>
                <w:b w:val="0"/>
                <w:bCs w:val="0"/>
                <w:color w:val="auto"/>
                <w:sz w:val="24"/>
                <w:szCs w:val="24"/>
                <w:highlight w:val="none"/>
              </w:rPr>
              <w:t>。</w:t>
            </w:r>
          </w:p>
          <w:p>
            <w:pPr>
              <w:pStyle w:val="25"/>
              <w:snapToGrid w:val="0"/>
              <w:spacing w:line="480" w:lineRule="exact"/>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重点管控单元：主要包括城市建成区、省级以上经济技术开发区和产业园区、大气环境布局敏感区和弱扩散区，以及开发强度高、污染物排放量大、环境问题相对集中的区域等。主要分布在</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一主三副六市域中心</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等城镇化以及工业化区域。</w:t>
            </w:r>
          </w:p>
          <w:p>
            <w:pPr>
              <w:adjustRightInd w:val="0"/>
              <w:snapToGrid w:val="0"/>
              <w:spacing w:line="48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属于</w:t>
            </w:r>
            <w:r>
              <w:rPr>
                <w:rFonts w:hint="eastAsia" w:ascii="Times New Roman" w:hAnsi="Times New Roman" w:cs="Times New Roman"/>
                <w:color w:val="auto"/>
                <w:sz w:val="24"/>
                <w:szCs w:val="24"/>
                <w:highlight w:val="none"/>
              </w:rPr>
              <w:t>以煤矸石为原料，加工后再利用</w:t>
            </w:r>
            <w:r>
              <w:rPr>
                <w:rFonts w:hint="eastAsia" w:ascii="Times New Roman" w:hAnsi="Times New Roman" w:cs="Times New Roman"/>
                <w:color w:val="auto"/>
                <w:sz w:val="24"/>
                <w:szCs w:val="24"/>
                <w:highlight w:val="none"/>
                <w:lang w:val="en-US" w:eastAsia="zh-CN"/>
              </w:rPr>
              <w:t>制造有机肥料系列产品，</w:t>
            </w:r>
            <w:r>
              <w:rPr>
                <w:rFonts w:hint="default" w:ascii="Times New Roman" w:hAnsi="Times New Roman" w:cs="Times New Roman"/>
                <w:color w:val="auto"/>
                <w:sz w:val="24"/>
                <w:szCs w:val="24"/>
                <w:highlight w:val="none"/>
                <w:lang w:val="en-US" w:eastAsia="zh-CN"/>
              </w:rPr>
              <w:t>不属于钢铁、焦化、铸造、水泥、平板玻璃及两高行业项目；本项目针对各项污染物均采取了严格的污染治理措施，并建立严格的环境风险防控体系，经治理后大气污染物达标排放；厂界噪声达到相关标准；固体废物得到合理处置。另外，本项目通过选购效率较高、能耗较低的生产设备、杜绝大功率设备频繁启动等措施，减少电力、能源消耗，减少碳排放</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cs="Times New Roman"/>
                <w:color w:val="auto"/>
                <w:sz w:val="24"/>
                <w:szCs w:val="24"/>
                <w:highlight w:val="none"/>
                <w:lang w:val="en-US" w:eastAsia="zh-CN"/>
              </w:rPr>
              <w:t>因此，本项目的建设不违背晋政发</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2020</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26号文中的有关要求。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◆与《长治市人民政府关于印发长治市</w:t>
            </w:r>
            <w:r>
              <w:rPr>
                <w:rFonts w:hint="eastAsia" w:ascii="Times New Roman" w:hAnsi="Times New Roman"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rPr>
              <w:t>三线一单</w:t>
            </w:r>
            <w:r>
              <w:rPr>
                <w:rFonts w:hint="eastAsia" w:ascii="Times New Roman" w:hAnsi="Times New Roman" w:eastAsia="宋体" w:cs="Times New Roman"/>
                <w:b/>
                <w:bCs/>
                <w:color w:val="auto"/>
                <w:kern w:val="0"/>
                <w:sz w:val="24"/>
                <w:szCs w:val="24"/>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rPr>
              <w:t>生态环境分区管控实施方案的通知》（长政发[2021]21号）符合性分析</w:t>
            </w:r>
          </w:p>
          <w:p>
            <w:pPr>
              <w:adjustRightInd w:val="0"/>
              <w:snapToGrid w:val="0"/>
              <w:spacing w:line="480" w:lineRule="exact"/>
              <w:ind w:firstLine="480" w:firstLineChars="200"/>
              <w:rPr>
                <w:rFonts w:hint="default" w:ascii="Times New Roman" w:hAnsi="Times New Roman" w:cs="Times New Roman"/>
                <w:bCs/>
                <w:color w:val="auto"/>
                <w:sz w:val="24"/>
                <w:szCs w:val="24"/>
                <w:highlight w:val="none"/>
                <w:lang w:val="en-US"/>
              </w:rPr>
            </w:pPr>
            <w:r>
              <w:rPr>
                <w:rFonts w:hint="eastAsia" w:ascii="Times New Roman" w:hAnsi="Times New Roman" w:cs="Times New Roman"/>
                <w:color w:val="auto"/>
                <w:sz w:val="24"/>
                <w:szCs w:val="24"/>
                <w:highlight w:val="none"/>
                <w:lang w:val="en-US" w:eastAsia="zh-CN"/>
              </w:rPr>
              <w:t>根据《长治市人民政府关于印发长治市“三线一单”生态环境分区管控实施方案的通知》、《山西省生态环境分区管控成果动态更新工作方案》（晋环函〔2023〕149号）、“长治市2023年度生态环境分区管控动态更新成果公告”，山西省生态环境分区管控信息平台“三线一单”综合查询结果，本项目位于1个“重点管控单元”，管控单元编码：ZH14040520002。符合性分析见表1-3、表1-4、表1-5。</w:t>
            </w:r>
          </w:p>
          <w:p>
            <w:pPr>
              <w:spacing w:line="480" w:lineRule="exact"/>
              <w:jc w:val="center"/>
              <w:rPr>
                <w:rFonts w:hint="default"/>
                <w:b/>
                <w:color w:val="auto"/>
                <w:sz w:val="21"/>
                <w:szCs w:val="21"/>
                <w:highlight w:val="none"/>
                <w:lang w:val="en-US" w:eastAsia="zh-CN"/>
              </w:rPr>
            </w:pPr>
            <w:r>
              <w:rPr>
                <w:rFonts w:hint="default"/>
                <w:b/>
                <w:color w:val="auto"/>
                <w:sz w:val="21"/>
                <w:szCs w:val="21"/>
                <w:highlight w:val="none"/>
                <w:lang w:val="en-US" w:eastAsia="zh-CN"/>
              </w:rPr>
              <w:t>表1-</w:t>
            </w:r>
            <w:r>
              <w:rPr>
                <w:rFonts w:hint="eastAsia"/>
                <w:b/>
                <w:color w:val="auto"/>
                <w:sz w:val="21"/>
                <w:szCs w:val="21"/>
                <w:highlight w:val="none"/>
                <w:lang w:val="en-US" w:eastAsia="zh-CN"/>
              </w:rPr>
              <w:t>3</w:t>
            </w:r>
            <w:r>
              <w:rPr>
                <w:rFonts w:hint="default"/>
                <w:b/>
                <w:color w:val="auto"/>
                <w:sz w:val="21"/>
                <w:szCs w:val="21"/>
                <w:highlight w:val="none"/>
                <w:lang w:val="en-US" w:eastAsia="zh-CN"/>
              </w:rPr>
              <w:t xml:space="preserve">  长治市生态环境准入总体要求</w:t>
            </w:r>
          </w:p>
          <w:tbl>
            <w:tblPr>
              <w:tblStyle w:val="28"/>
              <w:tblW w:w="848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44"/>
              <w:gridCol w:w="371"/>
              <w:gridCol w:w="4"/>
              <w:gridCol w:w="4083"/>
              <w:gridCol w:w="7"/>
              <w:gridCol w:w="2694"/>
              <w:gridCol w:w="6"/>
              <w:gridCol w:w="875"/>
              <w:gridCol w:w="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1" w:type="pct"/>
                <w:trHeight w:val="340" w:hRule="atLeast"/>
              </w:trPr>
              <w:tc>
                <w:tcPr>
                  <w:tcW w:w="422" w:type="pct"/>
                  <w:gridSpan w:val="2"/>
                  <w:noWrap w:val="0"/>
                  <w:vAlign w:val="center"/>
                </w:tcPr>
                <w:p>
                  <w:pPr>
                    <w:pStyle w:val="25"/>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2410" w:type="pct"/>
                  <w:gridSpan w:val="2"/>
                  <w:noWrap w:val="0"/>
                  <w:vAlign w:val="center"/>
                </w:tcPr>
                <w:p>
                  <w:pPr>
                    <w:pStyle w:val="25"/>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管控要求</w:t>
                  </w:r>
                </w:p>
              </w:tc>
              <w:tc>
                <w:tcPr>
                  <w:tcW w:w="1593" w:type="pct"/>
                  <w:gridSpan w:val="2"/>
                  <w:noWrap w:val="0"/>
                  <w:vAlign w:val="center"/>
                </w:tcPr>
                <w:p>
                  <w:pPr>
                    <w:pStyle w:val="25"/>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项目情况</w:t>
                  </w:r>
                </w:p>
              </w:tc>
              <w:tc>
                <w:tcPr>
                  <w:tcW w:w="520" w:type="pct"/>
                  <w:gridSpan w:val="2"/>
                  <w:noWrap w:val="0"/>
                  <w:vAlign w:val="center"/>
                </w:tcPr>
                <w:p>
                  <w:pPr>
                    <w:pStyle w:val="25"/>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1" w:type="pct"/>
                <w:trHeight w:val="340" w:hRule="atLeast"/>
              </w:trPr>
              <w:tc>
                <w:tcPr>
                  <w:tcW w:w="422"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空间布局约束</w:t>
                  </w:r>
                </w:p>
              </w:tc>
              <w:tc>
                <w:tcPr>
                  <w:tcW w:w="2410" w:type="pct"/>
                  <w:gridSpan w:val="2"/>
                  <w:noWrap w:val="0"/>
                  <w:vAlign w:val="center"/>
                </w:tcPr>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bidi="ar-SA"/>
                    </w:rPr>
                    <w:t>1.</w:t>
                  </w:r>
                  <w:r>
                    <w:rPr>
                      <w:rFonts w:hint="default" w:ascii="Times New Roman" w:hAnsi="Times New Roman" w:eastAsia="宋体" w:cs="Times New Roman"/>
                      <w:bCs/>
                      <w:color w:val="auto"/>
                      <w:sz w:val="21"/>
                      <w:szCs w:val="21"/>
                      <w:highlight w:val="none"/>
                    </w:rPr>
                    <w:t>新建、改建、扩建</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两高</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项目须符合生态环境保护法律法规和相关法定规划，满足重点污染物排放总量控制、碳排放达峰目标、生态环境准入清单、相关规划环评和相应行业建设项目环境准入条件、环评文件审批原则要求。2.新建</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两高</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项目应按照《关于加强重点行业建设项目区域削减措施监督管理的通知》</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环环评</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2021</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45号</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要求，依据区域环境质量改善目标，制定配套区域污染物削减方案，采取有效的污染物区域削减措施，腾出足够的环境容量。</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3.新建、扩建</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两高</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项目应采用先进适用的工艺技术和装备，单位产品物耗、能耗、水耗等达到清洁生产先进水平，依法制定并严格落实防治土壤与地下水污染的措施。</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4.对纳入生态保护红线的区域，原则上按照禁止开发区域进行管理，严格禁止开发性、生产性建设活动，在符合现行法律法规前提下，除国家重大战略项目外，仅允许对生态功能不造成破坏的有限人为活动。</w:t>
                  </w:r>
                </w:p>
                <w:p>
                  <w:pPr>
                    <w:pStyle w:val="25"/>
                    <w:numPr>
                      <w:ilvl w:val="0"/>
                      <w:numId w:val="0"/>
                    </w:numPr>
                    <w:snapToGrid w:val="0"/>
                    <w:jc w:val="both"/>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5.在禁养区内禁止新建规模化畜禽养殖项目</w:t>
                  </w:r>
                  <w:r>
                    <w:rPr>
                      <w:rFonts w:hint="eastAsia" w:ascii="Times New Roman" w:hAnsi="Times New Roman" w:eastAsia="宋体" w:cs="Times New Roman"/>
                      <w:bCs/>
                      <w:color w:val="auto"/>
                      <w:sz w:val="21"/>
                      <w:szCs w:val="21"/>
                      <w:highlight w:val="none"/>
                      <w:lang w:eastAsia="zh-CN"/>
                    </w:rPr>
                    <w:t>。</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7.禁止在居民区和学校、医院、疗养院、养老院、幼儿园等单位周边新建、改建、扩建可能造成土壤污染的建设项目。</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8.禁止新增钢铁、焦化、铸造、水泥、平板玻璃等产能；确有必要新建的，应当严格执行产能置换，符合区域、行业规划环评规定。</w:t>
                  </w:r>
                </w:p>
              </w:tc>
              <w:tc>
                <w:tcPr>
                  <w:tcW w:w="159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w:t>
                  </w:r>
                  <w:r>
                    <w:rPr>
                      <w:rFonts w:hint="default" w:ascii="Times New Roman" w:hAnsi="Times New Roman" w:eastAsia="宋体" w:cs="Times New Roman"/>
                      <w:bCs/>
                      <w:color w:val="auto"/>
                      <w:sz w:val="21"/>
                      <w:szCs w:val="21"/>
                      <w:highlight w:val="none"/>
                      <w:lang w:val="en-US" w:eastAsia="zh-CN"/>
                    </w:rPr>
                    <w:t>为属于以煤矸石为原料，加工后再利用制造有机肥料系列产品</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不属于</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两高</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项目</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不属于新增钢铁、焦化、铸造、水泥、平板玻璃项目，不属于规模化畜禽养殖项目</w:t>
                  </w:r>
                  <w:r>
                    <w:rPr>
                      <w:rFonts w:hint="eastAsia" w:cs="Times New Roman"/>
                      <w:color w:val="auto"/>
                      <w:sz w:val="21"/>
                      <w:szCs w:val="21"/>
                      <w:highlight w:val="none"/>
                      <w:lang w:val="en-US" w:eastAsia="zh-CN"/>
                    </w:rPr>
                    <w:t>。项目</w:t>
                  </w:r>
                  <w:r>
                    <w:rPr>
                      <w:color w:val="auto"/>
                      <w:kern w:val="0"/>
                      <w:sz w:val="21"/>
                      <w:szCs w:val="21"/>
                      <w:highlight w:val="none"/>
                    </w:rPr>
                    <w:t>选址不涉及</w:t>
                  </w:r>
                  <w:r>
                    <w:rPr>
                      <w:rFonts w:hint="default"/>
                      <w:color w:val="auto"/>
                      <w:kern w:val="0"/>
                      <w:sz w:val="21"/>
                      <w:szCs w:val="21"/>
                      <w:highlight w:val="none"/>
                      <w:lang w:val="en-US" w:eastAsia="zh-CN"/>
                    </w:rPr>
                    <w:t>生态保护红线</w:t>
                  </w:r>
                  <w:r>
                    <w:rPr>
                      <w:rFonts w:hint="eastAsia"/>
                      <w:color w:val="auto"/>
                      <w:kern w:val="0"/>
                      <w:sz w:val="21"/>
                      <w:szCs w:val="21"/>
                      <w:highlight w:val="none"/>
                      <w:lang w:val="en-US" w:eastAsia="zh-CN"/>
                    </w:rPr>
                    <w:t>区域。</w:t>
                  </w:r>
                </w:p>
              </w:tc>
              <w:tc>
                <w:tcPr>
                  <w:tcW w:w="520"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1" w:type="pct"/>
                <w:trHeight w:val="340" w:hRule="atLeast"/>
              </w:trPr>
              <w:tc>
                <w:tcPr>
                  <w:tcW w:w="422"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污染物排放管控</w:t>
                  </w:r>
                </w:p>
              </w:tc>
              <w:tc>
                <w:tcPr>
                  <w:tcW w:w="2410" w:type="pct"/>
                  <w:gridSpan w:val="2"/>
                  <w:noWrap w:val="0"/>
                  <w:vAlign w:val="center"/>
                </w:tcPr>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bidi="ar-SA"/>
                    </w:rPr>
                    <w:t>1.</w:t>
                  </w:r>
                  <w:r>
                    <w:rPr>
                      <w:rFonts w:hint="default" w:ascii="Times New Roman" w:hAnsi="Times New Roman" w:eastAsia="宋体" w:cs="Times New Roman"/>
                      <w:bCs/>
                      <w:color w:val="auto"/>
                      <w:sz w:val="21"/>
                      <w:szCs w:val="21"/>
                      <w:highlight w:val="none"/>
                    </w:rPr>
                    <w:t>污染物排放总量严格落实</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十四五</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相关目标指标。</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bidi="ar-SA"/>
                    </w:rPr>
                    <w:t>2.</w:t>
                  </w:r>
                  <w:r>
                    <w:rPr>
                      <w:rFonts w:hint="default" w:ascii="Times New Roman" w:hAnsi="Times New Roman" w:eastAsia="宋体" w:cs="Times New Roman"/>
                      <w:bCs/>
                      <w:color w:val="auto"/>
                      <w:sz w:val="21"/>
                      <w:szCs w:val="21"/>
                      <w:highlight w:val="none"/>
                    </w:rPr>
                    <w:t>工业企业废水及生活污水</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含浓盐水等清净下水</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处理设施出水水质达到《污水综合排放标准》(DB14/1928 -2019)要求，其它指标达行业特别排放限值，将废污水排入城镇排水设施的所有工业、医疗机构执行排水许可证要求。</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3.火电、炼钢行业执行超低排放标准。</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4.焦化、水泥行业按要求完成超低排放改造，污染物排放执行超低排放标准。</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5.加强建筑施工扬尘动态监管，严格落实</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六个百分之百</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防治措施。</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6.贮存煤炭、煤矸石、煤渣、煤灰、水泥、石灰、石膏、砂土等易产生扬尘的物料应当密闭，并采取有效抑尘措施。</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7.运输煤炭、垃圾、渣土、砂石、土方、灰浆等散装、流体物料的车辆应当采取密闭或者其他措施防止物料遗撒造成扬尘污染，并按照规定路线行驶。</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8.从事有色金属矿采选、有色金属冶炼、铅蓄电池制造、皮革及其制品制造、化学原料以及化学制品制造、电镀等的单位，应当执行重金属污染物排放总量控制制度。</w:t>
                  </w:r>
                </w:p>
              </w:tc>
              <w:tc>
                <w:tcPr>
                  <w:tcW w:w="159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bCs/>
                      <w:color w:val="auto"/>
                      <w:sz w:val="21"/>
                      <w:szCs w:val="21"/>
                      <w:highlight w:val="none"/>
                    </w:rPr>
                    <w:t>本项目</w:t>
                  </w:r>
                  <w:r>
                    <w:rPr>
                      <w:bCs/>
                      <w:color w:val="auto"/>
                      <w:sz w:val="21"/>
                      <w:szCs w:val="21"/>
                      <w:highlight w:val="none"/>
                    </w:rPr>
                    <w:t>污染物排放总量严格</w:t>
                  </w:r>
                  <w:r>
                    <w:rPr>
                      <w:rFonts w:hint="eastAsia"/>
                      <w:bCs/>
                      <w:color w:val="auto"/>
                      <w:sz w:val="21"/>
                      <w:szCs w:val="21"/>
                      <w:highlight w:val="none"/>
                    </w:rPr>
                    <w:t>执行</w:t>
                  </w:r>
                  <w:r>
                    <w:rPr>
                      <w:bCs/>
                      <w:color w:val="auto"/>
                      <w:sz w:val="21"/>
                      <w:szCs w:val="21"/>
                      <w:highlight w:val="none"/>
                    </w:rPr>
                    <w:t>“十四五”相关目标指标</w:t>
                  </w:r>
                  <w:r>
                    <w:rPr>
                      <w:rFonts w:hint="eastAsia"/>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生产废水主要为洗车废水</w:t>
                  </w:r>
                  <w:r>
                    <w:rPr>
                      <w:rFonts w:hint="eastAsia" w:cs="Times New Roman"/>
                      <w:color w:val="auto"/>
                      <w:sz w:val="21"/>
                      <w:szCs w:val="21"/>
                      <w:highlight w:val="none"/>
                      <w:lang w:val="en-US" w:eastAsia="zh-CN"/>
                    </w:rPr>
                    <w:t>、地坪清洗废水</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洗车废水</w:t>
                  </w:r>
                  <w:r>
                    <w:rPr>
                      <w:rFonts w:hint="eastAsia" w:ascii="Times New Roman" w:hAnsi="Times New Roman" w:eastAsia="宋体" w:cs="Times New Roman"/>
                      <w:color w:val="auto"/>
                      <w:sz w:val="21"/>
                      <w:szCs w:val="21"/>
                      <w:highlight w:val="none"/>
                      <w:lang w:val="en-US" w:eastAsia="zh-CN"/>
                    </w:rPr>
                    <w:t>沉淀池沉淀处理后循环使用不外排；</w:t>
                  </w:r>
                  <w:r>
                    <w:rPr>
                      <w:rFonts w:hint="eastAsia" w:cs="Times New Roman"/>
                      <w:color w:val="auto"/>
                      <w:sz w:val="21"/>
                      <w:szCs w:val="21"/>
                      <w:highlight w:val="none"/>
                      <w:lang w:val="en-US" w:eastAsia="zh-CN"/>
                    </w:rPr>
                    <w:t>地坪清洗废水回用于搅拌工序；</w:t>
                  </w:r>
                  <w:r>
                    <w:rPr>
                      <w:rFonts w:hint="eastAsia" w:ascii="Times New Roman" w:hAnsi="Times New Roman" w:eastAsia="宋体" w:cs="Times New Roman"/>
                      <w:color w:val="auto"/>
                      <w:sz w:val="21"/>
                      <w:szCs w:val="21"/>
                      <w:highlight w:val="none"/>
                      <w:lang w:val="en-US" w:eastAsia="zh-CN"/>
                    </w:rPr>
                    <w:t>生活污水经化粪池处理后排入园区生活污水管网，最终进入园区污水处理站处理。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3.本项目不属于火电、炼钢行业</w:t>
                  </w:r>
                  <w:r>
                    <w:rPr>
                      <w:rFonts w:hint="eastAsia"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4.本项目不属于焦化、水泥行业</w:t>
                  </w:r>
                  <w:r>
                    <w:rPr>
                      <w:rFonts w:hint="eastAsia"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施工期严格落实</w:t>
                  </w:r>
                  <w:r>
                    <w:rPr>
                      <w:rFonts w:hint="eastAsia" w:cs="Times New Roman"/>
                      <w:color w:val="auto"/>
                      <w:sz w:val="21"/>
                      <w:szCs w:val="21"/>
                      <w:highlight w:val="none"/>
                      <w:lang w:val="en-US" w:eastAsia="zh-CN"/>
                    </w:rPr>
                    <w:t>“六</w:t>
                  </w:r>
                  <w:r>
                    <w:rPr>
                      <w:rFonts w:hint="eastAsia" w:ascii="Times New Roman" w:hAnsi="Times New Roman" w:eastAsia="宋体"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lang w:val="en-US" w:eastAsia="zh-CN"/>
                    </w:rPr>
                    <w:t>百分百</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防治措施，控制施工扬尘的影响范围</w:t>
                  </w:r>
                  <w:r>
                    <w:rPr>
                      <w:rFonts w:hint="eastAsia"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6.本项目</w:t>
                  </w:r>
                  <w:r>
                    <w:rPr>
                      <w:rFonts w:hint="eastAsia" w:cs="Times New Roman"/>
                      <w:color w:val="auto"/>
                      <w:sz w:val="21"/>
                      <w:szCs w:val="21"/>
                      <w:highlight w:val="none"/>
                      <w:lang w:val="en-US" w:eastAsia="zh-CN"/>
                    </w:rPr>
                    <w:t>原料（煤矸石）</w:t>
                  </w:r>
                  <w:r>
                    <w:rPr>
                      <w:rFonts w:hint="eastAsia" w:ascii="Times New Roman" w:hAnsi="Times New Roman" w:eastAsia="宋体" w:cs="Times New Roman"/>
                      <w:color w:val="auto"/>
                      <w:sz w:val="21"/>
                      <w:szCs w:val="21"/>
                      <w:highlight w:val="none"/>
                      <w:lang w:val="en-US" w:eastAsia="zh-CN"/>
                    </w:rPr>
                    <w:t>储存于全封闭</w:t>
                  </w:r>
                  <w:r>
                    <w:rPr>
                      <w:rFonts w:hint="eastAsia" w:cs="Times New Roman"/>
                      <w:color w:val="auto"/>
                      <w:sz w:val="21"/>
                      <w:szCs w:val="21"/>
                      <w:highlight w:val="none"/>
                      <w:lang w:val="en-US" w:eastAsia="zh-CN"/>
                    </w:rPr>
                    <w:t>原料库中，库顶设置喷雾抑尘装置。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7.本环评要求</w:t>
                  </w:r>
                  <w:r>
                    <w:rPr>
                      <w:rFonts w:hint="default" w:ascii="Times New Roman" w:hAnsi="Times New Roman" w:eastAsia="宋体" w:cs="Times New Roman"/>
                      <w:color w:val="auto"/>
                      <w:sz w:val="21"/>
                      <w:szCs w:val="21"/>
                      <w:highlight w:val="none"/>
                      <w:lang w:val="en-US" w:eastAsia="zh-CN"/>
                    </w:rPr>
                    <w:t>运输车辆采取密闭、</w:t>
                  </w:r>
                  <w:r>
                    <w:rPr>
                      <w:rFonts w:hint="eastAsia"/>
                      <w:color w:val="auto"/>
                      <w:sz w:val="21"/>
                      <w:szCs w:val="21"/>
                      <w:highlight w:val="none"/>
                      <w:lang w:val="en-US" w:eastAsia="zh-CN"/>
                    </w:rPr>
                    <w:t>苫盖</w:t>
                  </w:r>
                  <w:r>
                    <w:rPr>
                      <w:rFonts w:hint="default" w:ascii="Times New Roman" w:hAnsi="Times New Roman" w:eastAsia="宋体" w:cs="Times New Roman"/>
                      <w:color w:val="auto"/>
                      <w:sz w:val="21"/>
                      <w:szCs w:val="21"/>
                      <w:highlight w:val="none"/>
                      <w:lang w:val="en-US" w:eastAsia="zh-CN"/>
                    </w:rPr>
                    <w:t>等措施，严格按照规定路线行驶</w:t>
                  </w:r>
                  <w:r>
                    <w:rPr>
                      <w:rFonts w:hint="eastAsia" w:cs="Times New Roman"/>
                      <w:color w:val="auto"/>
                      <w:sz w:val="21"/>
                      <w:szCs w:val="21"/>
                      <w:highlight w:val="none"/>
                      <w:lang w:val="en-US" w:eastAsia="zh-CN"/>
                    </w:rPr>
                    <w:t>。</w:t>
                  </w:r>
                </w:p>
                <w:p>
                  <w:pPr>
                    <w:pStyle w:val="25"/>
                    <w:snapToGrid w:val="0"/>
                    <w:jc w:val="both"/>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8.本项目不属于有色金属矿采选、有色金属冶炼、铅蓄电池制造、皮革及其制品制造、化学原料以及化学制品制造、电镀等行业。</w:t>
                  </w:r>
                </w:p>
              </w:tc>
              <w:tc>
                <w:tcPr>
                  <w:tcW w:w="520"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51" w:type="pct"/>
                <w:trHeight w:val="340" w:hRule="atLeast"/>
              </w:trPr>
              <w:tc>
                <w:tcPr>
                  <w:tcW w:w="422"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环境风险防控</w:t>
                  </w:r>
                </w:p>
              </w:tc>
              <w:tc>
                <w:tcPr>
                  <w:tcW w:w="2410" w:type="pct"/>
                  <w:gridSpan w:val="2"/>
                  <w:noWrap w:val="0"/>
                  <w:vAlign w:val="center"/>
                </w:tcPr>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kern w:val="0"/>
                      <w:sz w:val="21"/>
                      <w:szCs w:val="21"/>
                      <w:highlight w:val="none"/>
                      <w:lang w:val="en-US" w:eastAsia="zh-CN" w:bidi="ar-SA"/>
                    </w:rPr>
                    <w:t>1.</w:t>
                  </w:r>
                  <w:r>
                    <w:rPr>
                      <w:rFonts w:hint="default" w:ascii="Times New Roman" w:hAnsi="Times New Roman" w:eastAsia="宋体" w:cs="Times New Roman"/>
                      <w:bCs/>
                      <w:color w:val="auto"/>
                      <w:sz w:val="21"/>
                      <w:szCs w:val="21"/>
                      <w:highlight w:val="none"/>
                    </w:rPr>
                    <w:t>企事业单位和其他生产经营者按照相关规定</w:t>
                  </w:r>
                  <w:r>
                    <w:rPr>
                      <w:rFonts w:hint="eastAsia" w:ascii="Times New Roman" w:hAnsi="Times New Roman" w:eastAsia="宋体" w:cs="Times New Roman"/>
                      <w:bCs/>
                      <w:color w:val="auto"/>
                      <w:sz w:val="21"/>
                      <w:szCs w:val="21"/>
                      <w:highlight w:val="none"/>
                      <w:lang w:val="en-US" w:eastAsia="zh-CN"/>
                    </w:rPr>
                    <w:t>编制</w:t>
                  </w:r>
                  <w:r>
                    <w:rPr>
                      <w:rFonts w:hint="default" w:ascii="Times New Roman" w:hAnsi="Times New Roman" w:eastAsia="宋体" w:cs="Times New Roman"/>
                      <w:bCs/>
                      <w:color w:val="auto"/>
                      <w:sz w:val="21"/>
                      <w:szCs w:val="21"/>
                      <w:highlight w:val="none"/>
                    </w:rPr>
                    <w:t>突发环境事件应急预案</w:t>
                  </w:r>
                  <w:r>
                    <w:rPr>
                      <w:rFonts w:hint="eastAsia" w:ascii="Times New Roman" w:hAnsi="Times New Roman" w:eastAsia="宋体" w:cs="Times New Roman"/>
                      <w:bCs/>
                      <w:color w:val="auto"/>
                      <w:sz w:val="21"/>
                      <w:szCs w:val="21"/>
                      <w:highlight w:val="none"/>
                      <w:lang w:val="en-US" w:eastAsia="zh-CN"/>
                    </w:rPr>
                    <w:t>并</w:t>
                  </w:r>
                  <w:r>
                    <w:rPr>
                      <w:rFonts w:hint="default" w:ascii="Times New Roman" w:hAnsi="Times New Roman" w:eastAsia="宋体" w:cs="Times New Roman"/>
                      <w:bCs/>
                      <w:color w:val="auto"/>
                      <w:sz w:val="21"/>
                      <w:szCs w:val="21"/>
                      <w:highlight w:val="none"/>
                    </w:rPr>
                    <w:t>向所在地县</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区</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生态环境部门报备。</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2.煤矸石、粉煤灰、电石渣等，一般工业固体废物贮存、利用、处置要符合相关规范要求。</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3.所有危险废物一律规范收集、贮存、转运、利用、处置。</w:t>
                  </w:r>
                </w:p>
                <w:p>
                  <w:pPr>
                    <w:pStyle w:val="25"/>
                    <w:numPr>
                      <w:ilvl w:val="0"/>
                      <w:numId w:val="0"/>
                    </w:numPr>
                    <w:snapToGrid w:val="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4.严格控制农用地的农药使用量，禁止使用高毒、高残留农药。</w:t>
                  </w:r>
                </w:p>
              </w:tc>
              <w:tc>
                <w:tcPr>
                  <w:tcW w:w="1593" w:type="pct"/>
                  <w:gridSpan w:val="2"/>
                  <w:noWrap w:val="0"/>
                  <w:vAlign w:val="center"/>
                </w:tcPr>
                <w:p>
                  <w:pPr>
                    <w:pStyle w:val="25"/>
                    <w:snapToGrid w:val="0"/>
                    <w:jc w:val="both"/>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项目产生的一般固废均得到合理处置；危险废物</w:t>
                  </w:r>
                  <w:r>
                    <w:rPr>
                      <w:rFonts w:hint="eastAsia" w:ascii="Times New Roman" w:hAnsi="Times New Roman" w:eastAsia="宋体" w:cs="Times New Roman"/>
                      <w:bCs/>
                      <w:color w:val="auto"/>
                      <w:sz w:val="21"/>
                      <w:szCs w:val="21"/>
                      <w:highlight w:val="none"/>
                      <w:lang w:val="en-US" w:eastAsia="zh-CN"/>
                    </w:rPr>
                    <w:t>暂存于厂区内</w:t>
                  </w:r>
                  <w:r>
                    <w:rPr>
                      <w:rFonts w:hint="eastAsia" w:hAnsi="Times New Roman" w:cs="Times New Roman"/>
                      <w:bCs/>
                      <w:color w:val="auto"/>
                      <w:sz w:val="21"/>
                      <w:szCs w:val="21"/>
                      <w:highlight w:val="none"/>
                      <w:lang w:eastAsia="zh-CN"/>
                    </w:rPr>
                    <w:t>危废贮存点</w:t>
                  </w:r>
                  <w:r>
                    <w:rPr>
                      <w:rFonts w:hint="default" w:ascii="Times New Roman" w:hAnsi="Times New Roman" w:eastAsia="宋体" w:cs="Times New Roman"/>
                      <w:bCs/>
                      <w:color w:val="auto"/>
                      <w:sz w:val="21"/>
                      <w:szCs w:val="21"/>
                      <w:highlight w:val="none"/>
                    </w:rPr>
                    <w:t>后交有资质单位处置</w:t>
                  </w:r>
                  <w:r>
                    <w:rPr>
                      <w:rFonts w:hint="eastAsia" w:ascii="Times New Roman" w:hAnsi="Times New Roman" w:eastAsia="宋体" w:cs="Times New Roman"/>
                      <w:bCs/>
                      <w:color w:val="auto"/>
                      <w:sz w:val="21"/>
                      <w:szCs w:val="21"/>
                      <w:highlight w:val="none"/>
                      <w:lang w:eastAsia="zh-CN"/>
                    </w:rPr>
                    <w:t>。</w:t>
                  </w:r>
                </w:p>
              </w:tc>
              <w:tc>
                <w:tcPr>
                  <w:tcW w:w="520"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2" w:type="pct"/>
                  <w:vMerge w:val="restart"/>
                  <w:noWrap w:val="0"/>
                  <w:vAlign w:val="center"/>
                </w:tcPr>
                <w:p>
                  <w:pPr>
                    <w:autoSpaceDE w:val="0"/>
                    <w:autoSpaceDN w:val="0"/>
                    <w:adjustRightInd w:val="0"/>
                    <w:snapToGrid w:val="0"/>
                    <w:jc w:val="center"/>
                    <w:rPr>
                      <w:rFonts w:hint="default" w:ascii="Times New Roman" w:hAnsi="Times New Roman" w:eastAsia="宋体" w:cs="Times New Roman"/>
                      <w:bCs/>
                      <w:color w:val="auto"/>
                      <w:sz w:val="21"/>
                      <w:szCs w:val="21"/>
                      <w:highlight w:val="none"/>
                    </w:rPr>
                  </w:pPr>
                  <w:r>
                    <w:rPr>
                      <w:color w:val="auto"/>
                      <w:sz w:val="21"/>
                      <w:szCs w:val="21"/>
                      <w:highlight w:val="none"/>
                    </w:rPr>
                    <w:t>资源利用效率</w:t>
                  </w:r>
                </w:p>
              </w:tc>
              <w:tc>
                <w:tcPr>
                  <w:tcW w:w="221" w:type="pct"/>
                  <w:gridSpan w:val="2"/>
                  <w:noWrap w:val="0"/>
                  <w:vAlign w:val="center"/>
                </w:tcPr>
                <w:p>
                  <w:pPr>
                    <w:autoSpaceDE w:val="0"/>
                    <w:autoSpaceDN w:val="0"/>
                    <w:adjustRightInd w:val="0"/>
                    <w:snapToGrid w:val="0"/>
                    <w:jc w:val="center"/>
                    <w:rPr>
                      <w:rFonts w:hint="default" w:ascii="Times New Roman" w:hAnsi="Times New Roman" w:eastAsia="宋体" w:cs="Times New Roman"/>
                      <w:bCs/>
                      <w:color w:val="auto"/>
                      <w:sz w:val="21"/>
                      <w:szCs w:val="21"/>
                      <w:highlight w:val="none"/>
                    </w:rPr>
                  </w:pPr>
                  <w:r>
                    <w:rPr>
                      <w:color w:val="auto"/>
                      <w:sz w:val="21"/>
                      <w:szCs w:val="21"/>
                      <w:highlight w:val="none"/>
                    </w:rPr>
                    <w:t>水资源利用</w:t>
                  </w:r>
                </w:p>
              </w:tc>
              <w:tc>
                <w:tcPr>
                  <w:tcW w:w="2411" w:type="pct"/>
                  <w:gridSpan w:val="2"/>
                  <w:noWrap w:val="0"/>
                  <w:vAlign w:val="center"/>
                </w:tcPr>
                <w:p>
                  <w:pPr>
                    <w:numPr>
                      <w:ilvl w:val="0"/>
                      <w:numId w:val="0"/>
                    </w:numPr>
                    <w:autoSpaceDE w:val="0"/>
                    <w:autoSpaceDN w:val="0"/>
                    <w:adjustRightInd w:val="0"/>
                    <w:snapToGrid w:val="0"/>
                    <w:jc w:val="both"/>
                    <w:rPr>
                      <w:color w:val="auto"/>
                      <w:sz w:val="21"/>
                      <w:szCs w:val="21"/>
                      <w:highlight w:val="none"/>
                    </w:rPr>
                  </w:pPr>
                  <w:r>
                    <w:rPr>
                      <w:rFonts w:ascii="Times New Roman" w:hAnsi="Times New Roman" w:eastAsia="宋体" w:cs="Times New Roman"/>
                      <w:color w:val="auto"/>
                      <w:kern w:val="2"/>
                      <w:sz w:val="21"/>
                      <w:szCs w:val="21"/>
                      <w:highlight w:val="none"/>
                      <w:lang w:val="en-US" w:eastAsia="zh-CN" w:bidi="ar-SA"/>
                    </w:rPr>
                    <w:t>1.</w:t>
                  </w:r>
                  <w:r>
                    <w:rPr>
                      <w:color w:val="auto"/>
                      <w:sz w:val="21"/>
                      <w:szCs w:val="21"/>
                      <w:highlight w:val="none"/>
                    </w:rPr>
                    <w:t>水资源利用上线严格落实“十四五”相关目标指标。</w:t>
                  </w:r>
                </w:p>
                <w:p>
                  <w:pPr>
                    <w:numPr>
                      <w:ilvl w:val="0"/>
                      <w:numId w:val="0"/>
                    </w:numPr>
                    <w:autoSpaceDE w:val="0"/>
                    <w:autoSpaceDN w:val="0"/>
                    <w:adjustRightInd w:val="0"/>
                    <w:snapToGrid w:val="0"/>
                    <w:jc w:val="both"/>
                    <w:rPr>
                      <w:color w:val="auto"/>
                      <w:sz w:val="21"/>
                      <w:szCs w:val="21"/>
                      <w:highlight w:val="none"/>
                    </w:rPr>
                  </w:pPr>
                  <w:r>
                    <w:rPr>
                      <w:color w:val="auto"/>
                      <w:sz w:val="21"/>
                      <w:szCs w:val="21"/>
                      <w:highlight w:val="none"/>
                    </w:rPr>
                    <w:t>2</w:t>
                  </w:r>
                  <w:r>
                    <w:rPr>
                      <w:rFonts w:hint="eastAsia"/>
                      <w:color w:val="auto"/>
                      <w:sz w:val="21"/>
                      <w:szCs w:val="21"/>
                      <w:highlight w:val="none"/>
                      <w:lang w:val="en-US" w:eastAsia="zh-CN"/>
                    </w:rPr>
                    <w:t>.</w:t>
                  </w:r>
                  <w:r>
                    <w:rPr>
                      <w:color w:val="auto"/>
                      <w:sz w:val="21"/>
                      <w:szCs w:val="21"/>
                      <w:highlight w:val="none"/>
                    </w:rPr>
                    <w:t>加快推进辛安泉饮用水水源地保护区和泉域重点保护区的保护和生态修复工作。</w:t>
                  </w:r>
                </w:p>
                <w:p>
                  <w:pPr>
                    <w:numPr>
                      <w:ilvl w:val="0"/>
                      <w:numId w:val="0"/>
                    </w:numPr>
                    <w:autoSpaceDE w:val="0"/>
                    <w:autoSpaceDN w:val="0"/>
                    <w:adjustRightInd w:val="0"/>
                    <w:snapToGrid w:val="0"/>
                    <w:jc w:val="both"/>
                    <w:rPr>
                      <w:color w:val="auto"/>
                      <w:sz w:val="21"/>
                      <w:szCs w:val="21"/>
                      <w:highlight w:val="none"/>
                    </w:rPr>
                  </w:pPr>
                  <w:r>
                    <w:rPr>
                      <w:rFonts w:hint="eastAsia"/>
                      <w:color w:val="auto"/>
                      <w:sz w:val="21"/>
                      <w:szCs w:val="21"/>
                      <w:highlight w:val="none"/>
                      <w:lang w:val="en-US" w:eastAsia="zh-CN"/>
                    </w:rPr>
                    <w:t>3.</w:t>
                  </w:r>
                  <w:r>
                    <w:rPr>
                      <w:color w:val="auto"/>
                      <w:sz w:val="21"/>
                      <w:szCs w:val="21"/>
                      <w:highlight w:val="none"/>
                    </w:rPr>
                    <w:t>大力推进工业节水改造，鼓励支持企业开展节水技术改造和再生水回用。</w:t>
                  </w:r>
                </w:p>
                <w:p>
                  <w:pPr>
                    <w:numPr>
                      <w:ilvl w:val="0"/>
                      <w:numId w:val="0"/>
                    </w:numPr>
                    <w:autoSpaceDE w:val="0"/>
                    <w:autoSpaceDN w:val="0"/>
                    <w:adjustRightInd w:val="0"/>
                    <w:snapToGrid w:val="0"/>
                    <w:jc w:val="both"/>
                    <w:rPr>
                      <w:color w:val="auto"/>
                      <w:sz w:val="21"/>
                      <w:szCs w:val="21"/>
                      <w:highlight w:val="none"/>
                    </w:rPr>
                  </w:pPr>
                  <w:r>
                    <w:rPr>
                      <w:color w:val="auto"/>
                      <w:sz w:val="21"/>
                      <w:szCs w:val="21"/>
                      <w:highlight w:val="none"/>
                    </w:rPr>
                    <w:t>4</w:t>
                  </w:r>
                  <w:r>
                    <w:rPr>
                      <w:rFonts w:hint="eastAsia"/>
                      <w:color w:val="auto"/>
                      <w:sz w:val="21"/>
                      <w:szCs w:val="21"/>
                      <w:highlight w:val="none"/>
                      <w:lang w:val="en-US" w:eastAsia="zh-CN"/>
                    </w:rPr>
                    <w:t>.</w:t>
                  </w:r>
                  <w:r>
                    <w:rPr>
                      <w:color w:val="auto"/>
                      <w:sz w:val="21"/>
                      <w:szCs w:val="21"/>
                      <w:highlight w:val="none"/>
                    </w:rPr>
                    <w:t>严格实行水资源管理制度，坚持以水定城、以水定地、以水定人、以水定产，提高水资源集约安全利用水平。</w:t>
                  </w:r>
                </w:p>
                <w:p>
                  <w:pPr>
                    <w:numPr>
                      <w:ilvl w:val="0"/>
                      <w:numId w:val="0"/>
                    </w:numPr>
                    <w:autoSpaceDE w:val="0"/>
                    <w:autoSpaceDN w:val="0"/>
                    <w:adjustRightInd w:val="0"/>
                    <w:snapToGrid w:val="0"/>
                    <w:jc w:val="both"/>
                    <w:rPr>
                      <w:rFonts w:hint="default" w:ascii="Times New Roman" w:hAnsi="Times New Roman" w:eastAsia="宋体" w:cs="Times New Roman"/>
                      <w:bCs/>
                      <w:color w:val="auto"/>
                      <w:sz w:val="21"/>
                      <w:szCs w:val="21"/>
                      <w:highlight w:val="none"/>
                    </w:rPr>
                  </w:pPr>
                  <w:r>
                    <w:rPr>
                      <w:color w:val="auto"/>
                      <w:sz w:val="21"/>
                      <w:szCs w:val="21"/>
                      <w:highlight w:val="none"/>
                    </w:rPr>
                    <w:t>5</w:t>
                  </w:r>
                  <w:r>
                    <w:rPr>
                      <w:rFonts w:hint="eastAsia"/>
                      <w:color w:val="auto"/>
                      <w:sz w:val="21"/>
                      <w:szCs w:val="21"/>
                      <w:highlight w:val="none"/>
                      <w:lang w:val="en-US" w:eastAsia="zh-CN"/>
                    </w:rPr>
                    <w:t>.</w:t>
                  </w:r>
                  <w:r>
                    <w:rPr>
                      <w:color w:val="auto"/>
                      <w:sz w:val="21"/>
                      <w:szCs w:val="21"/>
                      <w:highlight w:val="none"/>
                    </w:rPr>
                    <w:t>新建、改建、扩建项目涉及开发利用辛安泉域水资源的必须符合《山西省泉域水资源保护条例》相关规定。</w:t>
                  </w:r>
                </w:p>
              </w:tc>
              <w:tc>
                <w:tcPr>
                  <w:tcW w:w="1591" w:type="pct"/>
                  <w:gridSpan w:val="2"/>
                  <w:noWrap w:val="0"/>
                  <w:vAlign w:val="center"/>
                </w:tcPr>
                <w:p>
                  <w:pPr>
                    <w:numPr>
                      <w:ilvl w:val="0"/>
                      <w:numId w:val="0"/>
                    </w:numPr>
                    <w:autoSpaceDE w:val="0"/>
                    <w:autoSpaceDN w:val="0"/>
                    <w:adjustRightInd w:val="0"/>
                    <w:snapToGrid w:val="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1.本项目严格落实“十四五”相关目标指标。</w:t>
                  </w:r>
                </w:p>
                <w:p>
                  <w:pPr>
                    <w:numPr>
                      <w:ilvl w:val="0"/>
                      <w:numId w:val="0"/>
                    </w:numPr>
                    <w:autoSpaceDE w:val="0"/>
                    <w:autoSpaceDN w:val="0"/>
                    <w:adjustRightInd w:val="0"/>
                    <w:snapToGrid w:val="0"/>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2.本项目位于辛安泉域范围内，但不在其重点保护区范围内；本项目不在辛安泉饮用水水源地一级保护区、二级保护区范围及准保护区范围内。</w:t>
                  </w:r>
                </w:p>
                <w:p>
                  <w:pPr>
                    <w:numPr>
                      <w:ilvl w:val="0"/>
                      <w:numId w:val="0"/>
                    </w:numPr>
                    <w:autoSpaceDE w:val="0"/>
                    <w:autoSpaceDN w:val="0"/>
                    <w:adjustRightInd w:val="0"/>
                    <w:snapToGrid w:val="0"/>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4.本项目生产废水主要为洗车废水、地坪清洗废水，洗车废水沉淀池沉淀处理后循环使用不外排；地坪清洗废水回用于搅拌工序；生活污水经化粪池处理后排入园区生活污水管网，最终进入园区污水处理站处理。</w:t>
                  </w:r>
                </w:p>
                <w:p>
                  <w:pPr>
                    <w:numPr>
                      <w:ilvl w:val="0"/>
                      <w:numId w:val="0"/>
                    </w:numPr>
                    <w:autoSpaceDE w:val="0"/>
                    <w:autoSpaceDN w:val="0"/>
                    <w:adjustRightInd w:val="0"/>
                    <w:snapToGrid w:val="0"/>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未突破水资源利用上线</w:t>
                  </w:r>
                  <w:r>
                    <w:rPr>
                      <w:rFonts w:hint="eastAsia" w:ascii="Times New Roman" w:hAnsi="Times New Roman" w:eastAsia="宋体" w:cs="Times New Roman"/>
                      <w:color w:val="auto"/>
                      <w:sz w:val="21"/>
                      <w:szCs w:val="21"/>
                      <w:highlight w:val="none"/>
                      <w:lang w:eastAsia="zh-CN"/>
                    </w:rPr>
                    <w:t>。</w:t>
                  </w:r>
                </w:p>
                <w:p>
                  <w:pPr>
                    <w:numPr>
                      <w:ilvl w:val="0"/>
                      <w:numId w:val="0"/>
                    </w:numPr>
                    <w:autoSpaceDE w:val="0"/>
                    <w:autoSpaceDN w:val="0"/>
                    <w:adjustRightInd w:val="0"/>
                    <w:snapToGrid w:val="0"/>
                    <w:jc w:val="both"/>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5.本项目不涉及辛安泉域水资源的开发利用。</w:t>
                  </w:r>
                </w:p>
              </w:tc>
              <w:tc>
                <w:tcPr>
                  <w:tcW w:w="572"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2" w:type="pct"/>
                  <w:vMerge w:val="continue"/>
                  <w:noWrap w:val="0"/>
                  <w:vAlign w:val="center"/>
                </w:tcPr>
                <w:p>
                  <w:pPr>
                    <w:autoSpaceDE w:val="0"/>
                    <w:autoSpaceDN w:val="0"/>
                    <w:adjustRightInd w:val="0"/>
                    <w:snapToGrid w:val="0"/>
                    <w:jc w:val="center"/>
                    <w:rPr>
                      <w:rFonts w:hint="default" w:ascii="Times New Roman" w:hAnsi="Times New Roman" w:eastAsia="宋体" w:cs="Times New Roman"/>
                      <w:bCs/>
                      <w:color w:val="auto"/>
                      <w:sz w:val="21"/>
                      <w:szCs w:val="21"/>
                      <w:highlight w:val="none"/>
                    </w:rPr>
                  </w:pPr>
                </w:p>
              </w:tc>
              <w:tc>
                <w:tcPr>
                  <w:tcW w:w="221" w:type="pct"/>
                  <w:gridSpan w:val="2"/>
                  <w:noWrap w:val="0"/>
                  <w:vAlign w:val="center"/>
                </w:tcPr>
                <w:p>
                  <w:pPr>
                    <w:autoSpaceDE w:val="0"/>
                    <w:autoSpaceDN w:val="0"/>
                    <w:adjustRightInd w:val="0"/>
                    <w:snapToGrid w:val="0"/>
                    <w:jc w:val="center"/>
                    <w:rPr>
                      <w:rFonts w:hint="default" w:ascii="Times New Roman" w:hAnsi="Times New Roman" w:eastAsia="宋体" w:cs="Times New Roman"/>
                      <w:bCs/>
                      <w:color w:val="auto"/>
                      <w:sz w:val="21"/>
                      <w:szCs w:val="21"/>
                      <w:highlight w:val="none"/>
                    </w:rPr>
                  </w:pPr>
                  <w:r>
                    <w:rPr>
                      <w:color w:val="auto"/>
                      <w:sz w:val="21"/>
                      <w:szCs w:val="21"/>
                      <w:highlight w:val="none"/>
                    </w:rPr>
                    <w:t>能源利用</w:t>
                  </w:r>
                </w:p>
              </w:tc>
              <w:tc>
                <w:tcPr>
                  <w:tcW w:w="2411" w:type="pct"/>
                  <w:gridSpan w:val="2"/>
                  <w:noWrap w:val="0"/>
                  <w:vAlign w:val="center"/>
                </w:tcPr>
                <w:p>
                  <w:pPr>
                    <w:autoSpaceDE w:val="0"/>
                    <w:autoSpaceDN w:val="0"/>
                    <w:adjustRightInd w:val="0"/>
                    <w:snapToGrid w:val="0"/>
                    <w:jc w:val="both"/>
                    <w:rPr>
                      <w:color w:val="auto"/>
                      <w:sz w:val="21"/>
                      <w:szCs w:val="21"/>
                      <w:highlight w:val="none"/>
                    </w:rPr>
                  </w:pPr>
                  <w:r>
                    <w:rPr>
                      <w:color w:val="auto"/>
                      <w:sz w:val="21"/>
                      <w:szCs w:val="21"/>
                      <w:highlight w:val="none"/>
                    </w:rPr>
                    <w:t>1</w:t>
                  </w:r>
                  <w:r>
                    <w:rPr>
                      <w:rFonts w:hint="eastAsia"/>
                      <w:color w:val="auto"/>
                      <w:sz w:val="21"/>
                      <w:szCs w:val="21"/>
                      <w:highlight w:val="none"/>
                      <w:lang w:val="en-US" w:eastAsia="zh-CN"/>
                    </w:rPr>
                    <w:t>.</w:t>
                  </w:r>
                  <w:r>
                    <w:rPr>
                      <w:color w:val="auto"/>
                      <w:sz w:val="21"/>
                      <w:szCs w:val="21"/>
                      <w:highlight w:val="none"/>
                    </w:rPr>
                    <w:t>能源利用</w:t>
                  </w:r>
                  <w:r>
                    <w:rPr>
                      <w:rFonts w:hint="eastAsia"/>
                      <w:color w:val="auto"/>
                      <w:sz w:val="21"/>
                      <w:szCs w:val="21"/>
                      <w:highlight w:val="none"/>
                      <w:lang w:val="en-US" w:eastAsia="zh-CN"/>
                    </w:rPr>
                    <w:t>本项目</w:t>
                  </w:r>
                  <w:r>
                    <w:rPr>
                      <w:color w:val="auto"/>
                      <w:sz w:val="21"/>
                      <w:szCs w:val="21"/>
                      <w:highlight w:val="none"/>
                    </w:rPr>
                    <w:t>上线严格落实“十四五”相关目标指标以及碳达峰、碳中和相关要求。</w:t>
                  </w:r>
                </w:p>
                <w:p>
                  <w:pPr>
                    <w:autoSpaceDE w:val="0"/>
                    <w:autoSpaceDN w:val="0"/>
                    <w:adjustRightInd w:val="0"/>
                    <w:snapToGrid w:val="0"/>
                    <w:jc w:val="both"/>
                    <w:rPr>
                      <w:rFonts w:hint="eastAsia" w:ascii="Times New Roman" w:hAnsi="Times New Roman" w:eastAsia="宋体" w:cs="Times New Roman"/>
                      <w:bCs/>
                      <w:color w:val="auto"/>
                      <w:sz w:val="21"/>
                      <w:szCs w:val="21"/>
                      <w:highlight w:val="none"/>
                      <w:lang w:eastAsia="zh-CN"/>
                    </w:rPr>
                  </w:pPr>
                  <w:r>
                    <w:rPr>
                      <w:color w:val="auto"/>
                      <w:sz w:val="21"/>
                      <w:szCs w:val="21"/>
                      <w:highlight w:val="none"/>
                    </w:rPr>
                    <w:t>2</w:t>
                  </w:r>
                  <w:r>
                    <w:rPr>
                      <w:rFonts w:hint="eastAsia"/>
                      <w:color w:val="auto"/>
                      <w:sz w:val="21"/>
                      <w:szCs w:val="21"/>
                      <w:highlight w:val="none"/>
                      <w:lang w:val="en-US" w:eastAsia="zh-CN"/>
                    </w:rPr>
                    <w:t>.</w:t>
                  </w:r>
                  <w:r>
                    <w:rPr>
                      <w:color w:val="auto"/>
                      <w:sz w:val="21"/>
                      <w:szCs w:val="21"/>
                      <w:highlight w:val="none"/>
                    </w:rPr>
                    <w:t>以煤炭、火电、冶金、建材、化工、焦化等高碳排放行业为重点，推广应用先进工艺和低碳技术，提高能效，有效控制工业领域温室气体排放</w:t>
                  </w:r>
                  <w:r>
                    <w:rPr>
                      <w:rFonts w:hint="eastAsia"/>
                      <w:color w:val="auto"/>
                      <w:sz w:val="21"/>
                      <w:szCs w:val="21"/>
                      <w:highlight w:val="none"/>
                      <w:lang w:eastAsia="zh-CN"/>
                    </w:rPr>
                    <w:t>。</w:t>
                  </w:r>
                </w:p>
              </w:tc>
              <w:tc>
                <w:tcPr>
                  <w:tcW w:w="1591" w:type="pct"/>
                  <w:gridSpan w:val="2"/>
                  <w:noWrap w:val="0"/>
                  <w:vAlign w:val="center"/>
                </w:tcPr>
                <w:p>
                  <w:pPr>
                    <w:pStyle w:val="25"/>
                    <w:snapToGrid w:val="0"/>
                    <w:jc w:val="both"/>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本项目严格落实“十四五”相关目标指标</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生产过程中主要消耗能源为水、电，</w:t>
                  </w:r>
                  <w:r>
                    <w:rPr>
                      <w:rFonts w:hint="eastAsia"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lang w:val="en-US" w:eastAsia="zh-CN"/>
                    </w:rPr>
                    <w:t>来源于</w:t>
                  </w:r>
                  <w:r>
                    <w:rPr>
                      <w:rFonts w:hint="eastAsia" w:ascii="Times New Roman" w:hAnsi="Times New Roman" w:eastAsia="宋体" w:cs="Times New Roman"/>
                      <w:color w:val="auto"/>
                      <w:sz w:val="21"/>
                      <w:szCs w:val="21"/>
                      <w:highlight w:val="none"/>
                      <w:lang w:val="en-US" w:eastAsia="zh-CN"/>
                    </w:rPr>
                    <w:t>园区</w:t>
                  </w:r>
                  <w:r>
                    <w:rPr>
                      <w:rFonts w:hint="default" w:ascii="Times New Roman" w:hAnsi="Times New Roman" w:eastAsia="宋体" w:cs="Times New Roman"/>
                      <w:color w:val="auto"/>
                      <w:sz w:val="21"/>
                      <w:szCs w:val="21"/>
                      <w:highlight w:val="none"/>
                      <w:lang w:val="en-US" w:eastAsia="zh-CN"/>
                    </w:rPr>
                    <w:t>，未突破能源利用上线</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运营</w:t>
                  </w:r>
                  <w:r>
                    <w:rPr>
                      <w:rFonts w:hint="eastAsia" w:ascii="Times New Roman" w:hAnsi="Times New Roman" w:eastAsia="宋体" w:cs="Times New Roman"/>
                      <w:color w:val="auto"/>
                      <w:sz w:val="21"/>
                      <w:szCs w:val="21"/>
                      <w:highlight w:val="none"/>
                      <w:lang w:val="en-US" w:eastAsia="zh-CN"/>
                    </w:rPr>
                    <w:t>期</w:t>
                  </w:r>
                  <w:r>
                    <w:rPr>
                      <w:rFonts w:hint="default" w:ascii="Times New Roman" w:hAnsi="Times New Roman" w:eastAsia="宋体" w:cs="Times New Roman"/>
                      <w:color w:val="auto"/>
                      <w:sz w:val="21"/>
                      <w:szCs w:val="21"/>
                      <w:highlight w:val="none"/>
                      <w:lang w:val="en-US" w:eastAsia="zh-CN"/>
                    </w:rPr>
                    <w:t>在厂区硬化的基础上加强绿化工作，</w:t>
                  </w:r>
                  <w:r>
                    <w:rPr>
                      <w:rFonts w:hint="eastAsia" w:ascii="Times New Roman" w:hAnsi="Times New Roman" w:eastAsia="宋体" w:cs="Times New Roman"/>
                      <w:color w:val="auto"/>
                      <w:sz w:val="21"/>
                      <w:szCs w:val="21"/>
                      <w:highlight w:val="none"/>
                      <w:lang w:val="en-US" w:eastAsia="zh-CN"/>
                    </w:rPr>
                    <w:t>节约用水、用电；加大机动车减排力度，</w:t>
                  </w:r>
                  <w:r>
                    <w:rPr>
                      <w:rFonts w:hint="eastAsia" w:ascii="Times New Roman" w:hAnsi="Times New Roman" w:eastAsia="宋体" w:cs="Times New Roman"/>
                      <w:b w:val="0"/>
                      <w:bCs w:val="0"/>
                      <w:color w:val="auto"/>
                      <w:kern w:val="2"/>
                      <w:sz w:val="21"/>
                      <w:szCs w:val="21"/>
                      <w:highlight w:val="none"/>
                      <w:vertAlign w:val="baseline"/>
                      <w:lang w:val="en-US" w:eastAsia="zh-CN" w:bidi="ar-SA"/>
                    </w:rPr>
                    <w:t>厂区内非移动机械使用国四排放标准或新能源机械。运输车辆使用国六标准以上的运输车辆或新能源清洁燃料车辆</w:t>
                  </w:r>
                  <w:r>
                    <w:rPr>
                      <w:rFonts w:hint="eastAsia" w:cs="Times New Roman"/>
                      <w:color w:val="auto"/>
                      <w:sz w:val="21"/>
                      <w:szCs w:val="21"/>
                      <w:highlight w:val="none"/>
                      <w:lang w:val="en-US" w:eastAsia="zh-CN"/>
                    </w:rPr>
                    <w:t>。</w:t>
                  </w:r>
                </w:p>
              </w:tc>
              <w:tc>
                <w:tcPr>
                  <w:tcW w:w="572"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2" w:type="pct"/>
                  <w:vMerge w:val="continue"/>
                  <w:noWrap w:val="0"/>
                  <w:vAlign w:val="center"/>
                </w:tcPr>
                <w:p>
                  <w:pPr>
                    <w:autoSpaceDE w:val="0"/>
                    <w:autoSpaceDN w:val="0"/>
                    <w:adjustRightInd w:val="0"/>
                    <w:snapToGrid w:val="0"/>
                    <w:jc w:val="center"/>
                    <w:rPr>
                      <w:rFonts w:hint="default" w:ascii="Times New Roman" w:hAnsi="Times New Roman" w:eastAsia="宋体" w:cs="Times New Roman"/>
                      <w:bCs/>
                      <w:color w:val="auto"/>
                      <w:sz w:val="21"/>
                      <w:szCs w:val="21"/>
                      <w:highlight w:val="none"/>
                    </w:rPr>
                  </w:pPr>
                </w:p>
              </w:tc>
              <w:tc>
                <w:tcPr>
                  <w:tcW w:w="221" w:type="pct"/>
                  <w:gridSpan w:val="2"/>
                  <w:noWrap w:val="0"/>
                  <w:vAlign w:val="center"/>
                </w:tcPr>
                <w:p>
                  <w:pPr>
                    <w:autoSpaceDE w:val="0"/>
                    <w:autoSpaceDN w:val="0"/>
                    <w:adjustRightInd w:val="0"/>
                    <w:snapToGrid w:val="0"/>
                    <w:jc w:val="center"/>
                    <w:rPr>
                      <w:rFonts w:hint="default" w:ascii="Times New Roman" w:hAnsi="Times New Roman" w:eastAsia="宋体" w:cs="Times New Roman"/>
                      <w:bCs/>
                      <w:color w:val="auto"/>
                      <w:sz w:val="21"/>
                      <w:szCs w:val="21"/>
                      <w:highlight w:val="none"/>
                    </w:rPr>
                  </w:pPr>
                  <w:r>
                    <w:rPr>
                      <w:color w:val="auto"/>
                      <w:sz w:val="21"/>
                      <w:szCs w:val="21"/>
                      <w:highlight w:val="none"/>
                    </w:rPr>
                    <w:t>土地资源利用</w:t>
                  </w:r>
                </w:p>
              </w:tc>
              <w:tc>
                <w:tcPr>
                  <w:tcW w:w="2411" w:type="pct"/>
                  <w:gridSpan w:val="2"/>
                  <w:noWrap w:val="0"/>
                  <w:vAlign w:val="center"/>
                </w:tcPr>
                <w:p>
                  <w:pPr>
                    <w:autoSpaceDE w:val="0"/>
                    <w:autoSpaceDN w:val="0"/>
                    <w:adjustRightInd w:val="0"/>
                    <w:snapToGrid w:val="0"/>
                    <w:jc w:val="both"/>
                    <w:rPr>
                      <w:color w:val="auto"/>
                      <w:sz w:val="21"/>
                      <w:szCs w:val="21"/>
                      <w:highlight w:val="none"/>
                    </w:rPr>
                  </w:pPr>
                  <w:r>
                    <w:rPr>
                      <w:color w:val="auto"/>
                      <w:sz w:val="21"/>
                      <w:szCs w:val="21"/>
                      <w:highlight w:val="none"/>
                    </w:rPr>
                    <w:t>1</w:t>
                  </w:r>
                  <w:r>
                    <w:rPr>
                      <w:rFonts w:hint="eastAsia"/>
                      <w:color w:val="auto"/>
                      <w:sz w:val="21"/>
                      <w:szCs w:val="21"/>
                      <w:highlight w:val="none"/>
                      <w:lang w:val="en-US" w:eastAsia="zh-CN"/>
                    </w:rPr>
                    <w:t>.</w:t>
                  </w:r>
                  <w:r>
                    <w:rPr>
                      <w:color w:val="auto"/>
                      <w:sz w:val="21"/>
                      <w:szCs w:val="21"/>
                      <w:highlight w:val="none"/>
                    </w:rPr>
                    <w:t>土地资源利用上线严格落实“十四五”相关目标指标。</w:t>
                  </w:r>
                </w:p>
                <w:p>
                  <w:pPr>
                    <w:autoSpaceDE w:val="0"/>
                    <w:autoSpaceDN w:val="0"/>
                    <w:adjustRightInd w:val="0"/>
                    <w:snapToGrid w:val="0"/>
                    <w:jc w:val="both"/>
                    <w:rPr>
                      <w:color w:val="auto"/>
                      <w:sz w:val="21"/>
                      <w:szCs w:val="21"/>
                      <w:highlight w:val="none"/>
                    </w:rPr>
                  </w:pPr>
                  <w:r>
                    <w:rPr>
                      <w:color w:val="auto"/>
                      <w:sz w:val="21"/>
                      <w:szCs w:val="21"/>
                      <w:highlight w:val="none"/>
                    </w:rPr>
                    <w:t>2</w:t>
                  </w:r>
                  <w:r>
                    <w:rPr>
                      <w:rFonts w:hint="eastAsia"/>
                      <w:color w:val="auto"/>
                      <w:sz w:val="21"/>
                      <w:szCs w:val="21"/>
                      <w:highlight w:val="none"/>
                      <w:lang w:val="en-US" w:eastAsia="zh-CN"/>
                    </w:rPr>
                    <w:t>.</w:t>
                  </w:r>
                  <w:r>
                    <w:rPr>
                      <w:color w:val="auto"/>
                      <w:sz w:val="21"/>
                      <w:szCs w:val="21"/>
                      <w:highlight w:val="none"/>
                    </w:rPr>
                    <w:t>严格耕地和城镇建设用地总量控制，确保耕地占补平衡，严格建设用地规模控制，落实“增存挂钩”制度，持续加大批而未供和闲置土地处置力度，推进盘活存量建设用地，进一步提高土地利用效率。</w:t>
                  </w:r>
                </w:p>
                <w:p>
                  <w:pPr>
                    <w:autoSpaceDE w:val="0"/>
                    <w:autoSpaceDN w:val="0"/>
                    <w:adjustRightInd w:val="0"/>
                    <w:snapToGrid w:val="0"/>
                    <w:jc w:val="both"/>
                    <w:rPr>
                      <w:rFonts w:hint="default" w:ascii="Times New Roman" w:hAnsi="Times New Roman" w:eastAsia="宋体" w:cs="Times New Roman"/>
                      <w:bCs/>
                      <w:color w:val="auto"/>
                      <w:sz w:val="21"/>
                      <w:szCs w:val="21"/>
                      <w:highlight w:val="none"/>
                    </w:rPr>
                  </w:pPr>
                  <w:r>
                    <w:rPr>
                      <w:color w:val="auto"/>
                      <w:sz w:val="21"/>
                      <w:szCs w:val="21"/>
                      <w:highlight w:val="none"/>
                    </w:rPr>
                    <w:t>3</w:t>
                  </w:r>
                  <w:r>
                    <w:rPr>
                      <w:rFonts w:hint="eastAsia"/>
                      <w:color w:val="auto"/>
                      <w:sz w:val="21"/>
                      <w:szCs w:val="21"/>
                      <w:highlight w:val="none"/>
                      <w:lang w:val="en-US" w:eastAsia="zh-CN"/>
                    </w:rPr>
                    <w:t>.</w:t>
                  </w:r>
                  <w:r>
                    <w:rPr>
                      <w:color w:val="auto"/>
                      <w:sz w:val="21"/>
                      <w:szCs w:val="21"/>
                      <w:highlight w:val="none"/>
                    </w:rPr>
                    <w:t>提高矿产资源开发保护水平，落实资源价格形成机制，加快发展固废综合利用产业，提高资源综合利用效率。深入开展生活垃圾分类，加快构建废旧物资循环利用体系，推进“无废城市”建设。4.（疑似）污染地块再开发利用，必须开展土壤环境调查评估；未开展土壤环境调查评估或经评估对人体健康有严重影响的，未经治理修复或治理修复后仍不符合相应规划用地土壤环境要求的，不得纳入用地程序。</w:t>
                  </w:r>
                </w:p>
              </w:tc>
              <w:tc>
                <w:tcPr>
                  <w:tcW w:w="1591" w:type="pct"/>
                  <w:gridSpan w:val="2"/>
                  <w:noWrap w:val="0"/>
                  <w:vAlign w:val="center"/>
                </w:tcPr>
                <w:p>
                  <w:pP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本项目</w:t>
                  </w:r>
                  <w:r>
                    <w:rPr>
                      <w:rFonts w:hint="default" w:ascii="Times New Roman" w:hAnsi="Times New Roman" w:eastAsia="宋体" w:cs="Times New Roman"/>
                      <w:bCs/>
                      <w:color w:val="auto"/>
                      <w:sz w:val="21"/>
                      <w:szCs w:val="21"/>
                      <w:highlight w:val="none"/>
                      <w:lang w:val="en-US" w:eastAsia="zh-CN"/>
                    </w:rPr>
                    <w:t>为属于以煤矸石为原料，加工后再利用制造有机肥料系列产品</w:t>
                  </w:r>
                  <w:r>
                    <w:rPr>
                      <w:rFonts w:hint="eastAsia" w:ascii="Times New Roman" w:hAnsi="Times New Roman" w:eastAsia="宋体" w:cs="Times New Roman"/>
                      <w:bCs/>
                      <w:color w:val="auto"/>
                      <w:sz w:val="21"/>
                      <w:szCs w:val="21"/>
                      <w:highlight w:val="none"/>
                      <w:lang w:val="en-US" w:eastAsia="zh-CN"/>
                    </w:rPr>
                    <w:t>，项目占地为工业用地，不占用耕地，符合土地资源利用要求。</w:t>
                  </w:r>
                </w:p>
              </w:tc>
              <w:tc>
                <w:tcPr>
                  <w:tcW w:w="572" w:type="pct"/>
                  <w:gridSpan w:val="2"/>
                  <w:noWrap w:val="0"/>
                  <w:vAlign w:val="center"/>
                </w:tcPr>
                <w:p>
                  <w:pPr>
                    <w:pStyle w:val="25"/>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pPr>
              <w:spacing w:line="480" w:lineRule="exact"/>
              <w:jc w:val="center"/>
              <w:rPr>
                <w:rFonts w:hint="default"/>
                <w:b/>
                <w:color w:val="auto"/>
                <w:sz w:val="21"/>
                <w:szCs w:val="21"/>
                <w:highlight w:val="none"/>
                <w:lang w:val="zh-CN" w:eastAsia="zh-CN"/>
              </w:rPr>
            </w:pPr>
            <w:r>
              <w:rPr>
                <w:rFonts w:hint="default"/>
                <w:b/>
                <w:color w:val="auto"/>
                <w:sz w:val="21"/>
                <w:szCs w:val="21"/>
                <w:highlight w:val="none"/>
                <w:lang w:val="en-US" w:eastAsia="zh-CN"/>
              </w:rPr>
              <w:t>表1-</w:t>
            </w:r>
            <w:r>
              <w:rPr>
                <w:rFonts w:hint="eastAsia"/>
                <w:b/>
                <w:color w:val="auto"/>
                <w:sz w:val="21"/>
                <w:szCs w:val="21"/>
                <w:highlight w:val="none"/>
                <w:lang w:val="en-US" w:eastAsia="zh-CN"/>
              </w:rPr>
              <w:t>4</w:t>
            </w:r>
            <w:r>
              <w:rPr>
                <w:rFonts w:hint="default"/>
                <w:b/>
                <w:color w:val="auto"/>
                <w:sz w:val="21"/>
                <w:szCs w:val="21"/>
                <w:highlight w:val="none"/>
                <w:lang w:val="en-US" w:eastAsia="zh-CN"/>
              </w:rPr>
              <w:t xml:space="preserve">  与长治市浊漳河流域生态环境准入要求符合性分析</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6"/>
              <w:gridCol w:w="3825"/>
              <w:gridCol w:w="2925"/>
              <w:gridCol w:w="8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6" w:type="pct"/>
                  <w:noWrap w:val="0"/>
                  <w:vAlign w:val="center"/>
                </w:tcPr>
                <w:p>
                  <w:pPr>
                    <w:autoSpaceDE w:val="0"/>
                    <w:autoSpaceDN w:val="0"/>
                    <w:adjustRightIn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管控类别</w:t>
                  </w:r>
                </w:p>
              </w:tc>
              <w:tc>
                <w:tcPr>
                  <w:tcW w:w="2301" w:type="pct"/>
                  <w:noWrap w:val="0"/>
                  <w:vAlign w:val="center"/>
                </w:tcPr>
                <w:p>
                  <w:pPr>
                    <w:autoSpaceDE w:val="0"/>
                    <w:autoSpaceDN w:val="0"/>
                    <w:adjustRightIn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管控要求</w:t>
                  </w:r>
                </w:p>
              </w:tc>
              <w:tc>
                <w:tcPr>
                  <w:tcW w:w="1760" w:type="pct"/>
                  <w:noWrap w:val="0"/>
                  <w:vAlign w:val="center"/>
                </w:tcPr>
                <w:p>
                  <w:pPr>
                    <w:autoSpaceDE w:val="0"/>
                    <w:autoSpaceDN w:val="0"/>
                    <w:adjustRightIn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项目情况</w:t>
                  </w:r>
                </w:p>
              </w:tc>
              <w:tc>
                <w:tcPr>
                  <w:tcW w:w="530" w:type="pct"/>
                  <w:noWrap w:val="0"/>
                  <w:vAlign w:val="center"/>
                </w:tcPr>
                <w:p>
                  <w:pPr>
                    <w:autoSpaceDE w:val="0"/>
                    <w:autoSpaceDN w:val="0"/>
                    <w:adjustRightInd w:val="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6" w:type="pct"/>
                  <w:noWrap w:val="0"/>
                  <w:vAlign w:val="center"/>
                </w:tcPr>
                <w:p>
                  <w:pPr>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2301" w:type="pct"/>
                  <w:noWrap w:val="0"/>
                  <w:vAlign w:val="center"/>
                </w:tcPr>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1.浊漳河干流及主要支流沿岸禁止新建焦化、化工、农药、有色冶炼、造纸、电镀等高风险项目和危险化学仓储设施。</w:t>
                  </w:r>
                </w:p>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2.漳泽湖生态保护与修复区域，严禁新改扩建焦化、钢铁、化工、有色金属冶炼、水泥等污染较重项目，以及危险化学品贮存、处理处置等高风险项目。</w:t>
                  </w:r>
                </w:p>
              </w:tc>
              <w:tc>
                <w:tcPr>
                  <w:tcW w:w="1760" w:type="pct"/>
                  <w:noWrap w:val="0"/>
                  <w:vAlign w:val="center"/>
                </w:tcPr>
                <w:p>
                  <w:pPr>
                    <w:autoSpaceDE w:val="0"/>
                    <w:autoSpaceDN w:val="0"/>
                    <w:adjustRightInd w:val="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本项目周边距离项目厂区最近的地表水体为东</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w:t>
                  </w:r>
                  <w:r>
                    <w:rPr>
                      <w:rFonts w:hint="eastAsia" w:ascii="Times New Roman" w:hAnsi="Times New Roman" w:eastAsia="宋体" w:cs="Times New Roman"/>
                      <w:color w:val="auto"/>
                      <w:sz w:val="21"/>
                      <w:szCs w:val="21"/>
                      <w:highlight w:val="none"/>
                      <w:lang w:val="en-US" w:eastAsia="zh-CN"/>
                    </w:rPr>
                    <w:t>0.8k</w:t>
                  </w:r>
                  <w:r>
                    <w:rPr>
                      <w:rFonts w:hint="default" w:ascii="Times New Roman" w:hAnsi="Times New Roman" w:eastAsia="宋体" w:cs="Times New Roman"/>
                      <w:color w:val="auto"/>
                      <w:sz w:val="21"/>
                      <w:szCs w:val="21"/>
                      <w:highlight w:val="none"/>
                      <w:lang w:val="en-US" w:eastAsia="zh-CN"/>
                    </w:rPr>
                    <w:t>m的</w:t>
                  </w:r>
                  <w:r>
                    <w:rPr>
                      <w:rFonts w:hint="eastAsia" w:ascii="Times New Roman" w:hAnsi="Times New Roman" w:eastAsia="宋体" w:cs="Times New Roman"/>
                      <w:color w:val="auto"/>
                      <w:sz w:val="21"/>
                      <w:szCs w:val="21"/>
                      <w:highlight w:val="none"/>
                      <w:lang w:val="en-US" w:eastAsia="zh-CN"/>
                    </w:rPr>
                    <w:t>交川水河</w:t>
                  </w:r>
                  <w:r>
                    <w:rPr>
                      <w:rFonts w:hint="default" w:ascii="Times New Roman" w:hAnsi="Times New Roman" w:eastAsia="宋体" w:cs="Times New Roman"/>
                      <w:color w:val="auto"/>
                      <w:sz w:val="21"/>
                      <w:szCs w:val="21"/>
                      <w:highlight w:val="none"/>
                      <w:lang w:val="en-US" w:eastAsia="zh-CN"/>
                    </w:rPr>
                    <w:t>，</w:t>
                  </w:r>
                  <w:r>
                    <w:rPr>
                      <w:rFonts w:hint="eastAsia" w:cs="Times New Roman"/>
                      <w:bCs/>
                      <w:color w:val="auto"/>
                      <w:sz w:val="21"/>
                      <w:szCs w:val="21"/>
                      <w:highlight w:val="none"/>
                      <w:lang w:val="en-US" w:eastAsia="zh-CN"/>
                    </w:rPr>
                    <w:t>不属于</w:t>
                  </w:r>
                  <w:r>
                    <w:rPr>
                      <w:rFonts w:hint="default" w:ascii="Times New Roman" w:hAnsi="Times New Roman" w:eastAsia="宋体" w:cs="Times New Roman"/>
                      <w:bCs/>
                      <w:color w:val="auto"/>
                      <w:sz w:val="21"/>
                      <w:szCs w:val="21"/>
                      <w:highlight w:val="none"/>
                      <w:lang w:val="zh-CN" w:eastAsia="zh-CN"/>
                    </w:rPr>
                    <w:t>浊漳河干流及主要支流</w:t>
                  </w:r>
                  <w:r>
                    <w:rPr>
                      <w:rFonts w:hint="eastAsia" w:cs="Times New Roman"/>
                      <w:bCs/>
                      <w:color w:val="auto"/>
                      <w:sz w:val="21"/>
                      <w:szCs w:val="21"/>
                      <w:highlight w:val="none"/>
                      <w:lang w:val="en-US" w:eastAsia="zh-CN"/>
                    </w:rPr>
                    <w:t>的沿岸区域</w:t>
                  </w:r>
                  <w:r>
                    <w:rPr>
                      <w:rFonts w:hint="eastAsia" w:ascii="Times New Roman" w:hAnsi="Times New Roman" w:eastAsia="宋体" w:cs="Times New Roman"/>
                      <w:bCs/>
                      <w:color w:val="auto"/>
                      <w:sz w:val="21"/>
                      <w:szCs w:val="21"/>
                      <w:highlight w:val="none"/>
                      <w:lang w:val="zh-CN" w:eastAsia="zh-CN"/>
                    </w:rPr>
                    <w:t>，</w:t>
                  </w:r>
                  <w:r>
                    <w:rPr>
                      <w:rFonts w:hint="eastAsia" w:ascii="Times New Roman" w:hAnsi="Times New Roman" w:eastAsia="宋体" w:cs="Times New Roman"/>
                      <w:bCs/>
                      <w:color w:val="auto"/>
                      <w:sz w:val="21"/>
                      <w:szCs w:val="21"/>
                      <w:highlight w:val="none"/>
                      <w:lang w:val="en-US" w:eastAsia="zh-CN"/>
                    </w:rPr>
                    <w:t>不在</w:t>
                  </w:r>
                  <w:r>
                    <w:rPr>
                      <w:rFonts w:hint="default" w:ascii="Times New Roman" w:hAnsi="Times New Roman" w:eastAsia="宋体" w:cs="Times New Roman"/>
                      <w:bCs/>
                      <w:color w:val="auto"/>
                      <w:sz w:val="21"/>
                      <w:szCs w:val="21"/>
                      <w:highlight w:val="none"/>
                      <w:lang w:val="zh-CN"/>
                    </w:rPr>
                    <w:t>漳泽湖生态保护与修复区域</w:t>
                  </w:r>
                  <w:r>
                    <w:rPr>
                      <w:rFonts w:hint="eastAsia" w:cs="Times New Roman"/>
                      <w:bCs/>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项目属于</w:t>
                  </w:r>
                  <w:r>
                    <w:rPr>
                      <w:rFonts w:hint="eastAsia" w:cs="Times New Roman"/>
                      <w:color w:val="auto"/>
                      <w:sz w:val="21"/>
                      <w:szCs w:val="21"/>
                      <w:highlight w:val="none"/>
                      <w:lang w:val="en-US" w:eastAsia="zh-CN"/>
                    </w:rPr>
                    <w:t>有机</w:t>
                  </w:r>
                  <w:r>
                    <w:rPr>
                      <w:rFonts w:hint="eastAsia" w:ascii="Times New Roman" w:hAnsi="Times New Roman" w:eastAsia="宋体" w:cs="Times New Roman"/>
                      <w:color w:val="auto"/>
                      <w:sz w:val="21"/>
                      <w:szCs w:val="21"/>
                      <w:highlight w:val="none"/>
                      <w:lang w:val="en-US" w:eastAsia="zh-CN"/>
                    </w:rPr>
                    <w:t>肥料制造</w:t>
                  </w:r>
                  <w:r>
                    <w:rPr>
                      <w:rFonts w:hint="default" w:ascii="Times New Roman" w:hAnsi="Times New Roman" w:eastAsia="宋体" w:cs="Times New Roman"/>
                      <w:bCs/>
                      <w:color w:val="auto"/>
                      <w:sz w:val="21"/>
                      <w:szCs w:val="21"/>
                      <w:highlight w:val="none"/>
                    </w:rPr>
                    <w:t>，</w:t>
                  </w:r>
                  <w:r>
                    <w:rPr>
                      <w:rFonts w:hint="eastAsia" w:cs="Times New Roman"/>
                      <w:color w:val="auto"/>
                      <w:kern w:val="2"/>
                      <w:sz w:val="21"/>
                      <w:szCs w:val="21"/>
                      <w:highlight w:val="none"/>
                      <w:lang w:val="en-US" w:eastAsia="zh-CN" w:bidi="ar-SA"/>
                    </w:rPr>
                    <w:t>不属于</w:t>
                  </w:r>
                  <w:r>
                    <w:rPr>
                      <w:rFonts w:hint="default" w:ascii="Times New Roman" w:hAnsi="Times New Roman" w:eastAsia="宋体" w:cs="Times New Roman"/>
                      <w:bCs/>
                      <w:color w:val="auto"/>
                      <w:sz w:val="21"/>
                      <w:szCs w:val="21"/>
                      <w:highlight w:val="none"/>
                      <w:lang w:val="zh-CN" w:eastAsia="zh-CN"/>
                    </w:rPr>
                    <w:t>焦化、化工、农药、有色冶炼、造纸、电镀等高风险项目和危险化学品仓储设施</w:t>
                  </w:r>
                  <w:r>
                    <w:rPr>
                      <w:rFonts w:hint="eastAsia" w:ascii="Times New Roman" w:hAnsi="Times New Roman" w:eastAsia="宋体" w:cs="Times New Roman"/>
                      <w:bCs/>
                      <w:color w:val="auto"/>
                      <w:sz w:val="21"/>
                      <w:szCs w:val="21"/>
                      <w:highlight w:val="none"/>
                      <w:lang w:val="zh-CN" w:eastAsia="zh-CN"/>
                    </w:rPr>
                    <w:t>；</w:t>
                  </w:r>
                  <w:r>
                    <w:rPr>
                      <w:rFonts w:hint="eastAsia" w:ascii="Times New Roman" w:hAnsi="Times New Roman" w:eastAsia="宋体" w:cs="Times New Roman"/>
                      <w:bCs/>
                      <w:color w:val="auto"/>
                      <w:sz w:val="21"/>
                      <w:szCs w:val="21"/>
                      <w:highlight w:val="none"/>
                      <w:lang w:val="en-US" w:eastAsia="zh-CN"/>
                    </w:rPr>
                    <w:t>不属于</w:t>
                  </w:r>
                  <w:r>
                    <w:rPr>
                      <w:rFonts w:hint="default" w:ascii="Times New Roman" w:hAnsi="Times New Roman" w:eastAsia="宋体" w:cs="Times New Roman"/>
                      <w:bCs/>
                      <w:color w:val="auto"/>
                      <w:sz w:val="21"/>
                      <w:szCs w:val="21"/>
                      <w:highlight w:val="none"/>
                      <w:lang w:val="zh-CN" w:eastAsia="zh-CN"/>
                    </w:rPr>
                    <w:t>新改扩建焦化、钢铁、化工、有色金属冶炼、水泥等污染较重项目，以及危险化学品贮存、处理处置等高风险项目</w:t>
                  </w:r>
                  <w:r>
                    <w:rPr>
                      <w:rFonts w:hint="eastAsia" w:ascii="Times New Roman" w:hAnsi="Times New Roman" w:eastAsia="宋体" w:cs="Times New Roman"/>
                      <w:bCs/>
                      <w:color w:val="auto"/>
                      <w:sz w:val="21"/>
                      <w:szCs w:val="21"/>
                      <w:highlight w:val="none"/>
                      <w:lang w:val="zh-CN" w:eastAsia="zh-CN"/>
                    </w:rPr>
                    <w:t>。</w:t>
                  </w:r>
                </w:p>
              </w:tc>
              <w:tc>
                <w:tcPr>
                  <w:tcW w:w="530" w:type="pct"/>
                  <w:noWrap w:val="0"/>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6" w:type="pct"/>
                  <w:noWrap w:val="0"/>
                  <w:vAlign w:val="center"/>
                </w:tcPr>
                <w:p>
                  <w:pPr>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2301" w:type="pct"/>
                  <w:noWrap w:val="0"/>
                  <w:vAlign w:val="center"/>
                </w:tcPr>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1.污染物排放总量严格落实</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相关目标指标。</w:t>
                  </w:r>
                </w:p>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2.漳河流域内所有县界城镇入河排污口水质应当达到地表水环境质量V类及以上标准。禁止在浊漳河源头区域内倾倒垃圾。</w:t>
                  </w:r>
                </w:p>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3.加强水功能区限制纳污红线管理，严格控制入河湖排污总量。</w:t>
                  </w:r>
                </w:p>
              </w:tc>
              <w:tc>
                <w:tcPr>
                  <w:tcW w:w="1760" w:type="pct"/>
                  <w:noWrap w:val="0"/>
                  <w:vAlign w:val="center"/>
                </w:tcPr>
                <w:p>
                  <w:pPr>
                    <w:autoSpaceDE w:val="0"/>
                    <w:autoSpaceDN w:val="0"/>
                    <w:adjustRightInd w:val="0"/>
                    <w:jc w:val="both"/>
                    <w:rPr>
                      <w:rFonts w:hint="eastAsia" w:cs="Times New Roman"/>
                      <w:bCs/>
                      <w:color w:val="auto"/>
                      <w:sz w:val="21"/>
                      <w:szCs w:val="21"/>
                      <w:highlight w:val="none"/>
                      <w:lang w:val="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项目污染物</w:t>
                  </w:r>
                  <w:r>
                    <w:rPr>
                      <w:rFonts w:hint="default" w:ascii="Times New Roman" w:hAnsi="Times New Roman" w:eastAsia="宋体" w:cs="Times New Roman"/>
                      <w:bCs/>
                      <w:color w:val="auto"/>
                      <w:sz w:val="21"/>
                      <w:szCs w:val="21"/>
                      <w:highlight w:val="none"/>
                      <w:lang w:val="zh-CN"/>
                    </w:rPr>
                    <w:t>排放总量严格落实“十四五”相关目标指标</w:t>
                  </w:r>
                  <w:r>
                    <w:rPr>
                      <w:rFonts w:hint="eastAsia" w:cs="Times New Roman"/>
                      <w:bCs/>
                      <w:color w:val="auto"/>
                      <w:sz w:val="21"/>
                      <w:szCs w:val="21"/>
                      <w:highlight w:val="none"/>
                      <w:lang w:val="zh-CN"/>
                    </w:rPr>
                    <w:t>。</w:t>
                  </w:r>
                </w:p>
                <w:p>
                  <w:pPr>
                    <w:autoSpaceDE w:val="0"/>
                    <w:autoSpaceDN w:val="0"/>
                    <w:adjustRightInd w:val="0"/>
                    <w:jc w:val="both"/>
                    <w:rPr>
                      <w:rFonts w:hint="default"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2、3.</w:t>
                  </w:r>
                  <w:r>
                    <w:rPr>
                      <w:rFonts w:hint="eastAsia"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生产废水主要为洗车废水</w:t>
                  </w:r>
                  <w:r>
                    <w:rPr>
                      <w:rFonts w:hint="eastAsia" w:cs="Times New Roman"/>
                      <w:color w:val="auto"/>
                      <w:sz w:val="21"/>
                      <w:szCs w:val="21"/>
                      <w:highlight w:val="none"/>
                      <w:lang w:val="en-US" w:eastAsia="zh-CN"/>
                    </w:rPr>
                    <w:t>、地坪清洗废水</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洗车废水</w:t>
                  </w:r>
                  <w:r>
                    <w:rPr>
                      <w:rFonts w:hint="eastAsia" w:ascii="Times New Roman" w:hAnsi="Times New Roman" w:eastAsia="宋体" w:cs="Times New Roman"/>
                      <w:color w:val="auto"/>
                      <w:sz w:val="21"/>
                      <w:szCs w:val="21"/>
                      <w:highlight w:val="none"/>
                      <w:lang w:val="en-US" w:eastAsia="zh-CN"/>
                    </w:rPr>
                    <w:t>沉淀池沉淀处理后循环使用不外排；</w:t>
                  </w:r>
                  <w:r>
                    <w:rPr>
                      <w:rFonts w:hint="eastAsia" w:cs="Times New Roman"/>
                      <w:color w:val="auto"/>
                      <w:sz w:val="21"/>
                      <w:szCs w:val="21"/>
                      <w:highlight w:val="none"/>
                      <w:lang w:val="en-US" w:eastAsia="zh-CN"/>
                    </w:rPr>
                    <w:t>地坪清洗废水回用于搅拌工序；</w:t>
                  </w:r>
                  <w:r>
                    <w:rPr>
                      <w:rFonts w:hint="eastAsia" w:ascii="Times New Roman" w:hAnsi="Times New Roman" w:eastAsia="宋体" w:cs="Times New Roman"/>
                      <w:color w:val="auto"/>
                      <w:sz w:val="21"/>
                      <w:szCs w:val="21"/>
                      <w:highlight w:val="none"/>
                      <w:lang w:val="en-US" w:eastAsia="zh-CN"/>
                    </w:rPr>
                    <w:t>生活污水经化粪池处理后排入园区生活污水管网，最终进入园区污水处理站处理。</w:t>
                  </w:r>
                  <w:r>
                    <w:rPr>
                      <w:rFonts w:hint="eastAsia" w:cs="Times New Roman"/>
                      <w:bCs/>
                      <w:color w:val="auto"/>
                      <w:sz w:val="21"/>
                      <w:szCs w:val="21"/>
                      <w:highlight w:val="none"/>
                      <w:lang w:val="en-US" w:eastAsia="zh-CN"/>
                    </w:rPr>
                    <w:t>本项目</w:t>
                  </w:r>
                  <w:r>
                    <w:rPr>
                      <w:rFonts w:hint="default" w:ascii="Times New Roman" w:hAnsi="Times New Roman" w:eastAsia="宋体" w:cs="Times New Roman"/>
                      <w:bCs/>
                      <w:color w:val="auto"/>
                      <w:sz w:val="21"/>
                      <w:szCs w:val="21"/>
                      <w:highlight w:val="none"/>
                    </w:rPr>
                    <w:t>不在</w:t>
                  </w:r>
                  <w:r>
                    <w:rPr>
                      <w:rFonts w:hint="default" w:ascii="Times New Roman" w:hAnsi="Times New Roman" w:eastAsia="宋体" w:cs="Times New Roman"/>
                      <w:bCs/>
                      <w:color w:val="auto"/>
                      <w:sz w:val="21"/>
                      <w:szCs w:val="21"/>
                      <w:highlight w:val="none"/>
                      <w:lang w:val="zh-CN"/>
                    </w:rPr>
                    <w:t>浊漳河</w:t>
                  </w:r>
                  <w:r>
                    <w:rPr>
                      <w:rFonts w:hint="eastAsia"/>
                      <w:color w:val="auto"/>
                      <w:sz w:val="21"/>
                      <w:szCs w:val="21"/>
                      <w:highlight w:val="none"/>
                      <w:lang w:val="en-US" w:eastAsia="zh-CN"/>
                    </w:rPr>
                    <w:t>源头区域</w:t>
                  </w:r>
                  <w:r>
                    <w:rPr>
                      <w:rFonts w:hint="default" w:ascii="Times New Roman" w:hAnsi="Times New Roman" w:eastAsia="宋体" w:cs="Times New Roman"/>
                      <w:bCs/>
                      <w:color w:val="auto"/>
                      <w:sz w:val="21"/>
                      <w:szCs w:val="21"/>
                      <w:highlight w:val="none"/>
                      <w:lang w:val="zh-CN"/>
                    </w:rPr>
                    <w:t>，</w:t>
                  </w:r>
                  <w:r>
                    <w:rPr>
                      <w:rFonts w:hint="default" w:ascii="Times New Roman" w:hAnsi="Times New Roman" w:eastAsia="宋体" w:cs="Times New Roman"/>
                      <w:color w:val="auto"/>
                      <w:kern w:val="0"/>
                      <w:sz w:val="21"/>
                      <w:szCs w:val="21"/>
                      <w:highlight w:val="none"/>
                      <w:lang w:val="en-US" w:eastAsia="zh-CN" w:bidi="ar"/>
                    </w:rPr>
                    <w:t>固体废物均得到合理利用和妥善处置</w:t>
                  </w:r>
                  <w:r>
                    <w:rPr>
                      <w:rFonts w:hint="eastAsia" w:ascii="Times New Roman" w:hAnsi="Times New Roman" w:eastAsia="宋体" w:cs="Times New Roman"/>
                      <w:color w:val="auto"/>
                      <w:kern w:val="0"/>
                      <w:sz w:val="21"/>
                      <w:szCs w:val="21"/>
                      <w:highlight w:val="none"/>
                      <w:lang w:val="en-US" w:eastAsia="zh-CN" w:bidi="ar"/>
                    </w:rPr>
                    <w:t>。</w:t>
                  </w:r>
                </w:p>
              </w:tc>
              <w:tc>
                <w:tcPr>
                  <w:tcW w:w="530" w:type="pct"/>
                  <w:noWrap w:val="0"/>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6" w:type="pct"/>
                  <w:noWrap w:val="0"/>
                  <w:vAlign w:val="center"/>
                </w:tcPr>
                <w:p>
                  <w:pPr>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2301" w:type="pct"/>
                  <w:noWrap w:val="0"/>
                  <w:vAlign w:val="center"/>
                </w:tcPr>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加强浊漳河流域水环境风险防控工作，确定重点水环境风险源清单，建立应急物资储备库及保障机制。</w:t>
                  </w:r>
                </w:p>
              </w:tc>
              <w:tc>
                <w:tcPr>
                  <w:tcW w:w="1760" w:type="pct"/>
                  <w:noWrap w:val="0"/>
                  <w:vAlign w:val="center"/>
                </w:tcPr>
                <w:p>
                  <w:pPr>
                    <w:autoSpaceDE w:val="0"/>
                    <w:autoSpaceDN w:val="0"/>
                    <w:adjustRightIn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rPr>
                    <w:t>不涉及</w:t>
                  </w:r>
                  <w:r>
                    <w:rPr>
                      <w:rFonts w:hint="eastAsia" w:ascii="Times New Roman" w:hAnsi="Times New Roman" w:cs="Times New Roman"/>
                      <w:color w:val="auto"/>
                      <w:sz w:val="21"/>
                      <w:szCs w:val="21"/>
                      <w:highlight w:val="none"/>
                      <w:lang w:eastAsia="zh-CN"/>
                    </w:rPr>
                    <w:t>。</w:t>
                  </w:r>
                </w:p>
              </w:tc>
              <w:tc>
                <w:tcPr>
                  <w:tcW w:w="530" w:type="pct"/>
                  <w:noWrap w:val="0"/>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6" w:type="pct"/>
                  <w:noWrap w:val="0"/>
                  <w:vAlign w:val="center"/>
                </w:tcPr>
                <w:p>
                  <w:pPr>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资源利用效率</w:t>
                  </w:r>
                </w:p>
              </w:tc>
              <w:tc>
                <w:tcPr>
                  <w:tcW w:w="2301" w:type="pct"/>
                  <w:noWrap w:val="0"/>
                  <w:vAlign w:val="center"/>
                </w:tcPr>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1.水资源利用上线严格落实</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相关目标指标。</w:t>
                  </w:r>
                </w:p>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2.实施农业节水增效、工业节水减排、城镇节水降损，推进海绵城市建设，加强中水资源利用。</w:t>
                  </w:r>
                </w:p>
                <w:p>
                  <w:pPr>
                    <w:adjustRightInd w:val="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3.加强用水效率控制红线管理，全面推进节水型社会建设，通过节水改造、价格调节等措施，促进城乡节约用水。</w:t>
                  </w:r>
                </w:p>
              </w:tc>
              <w:tc>
                <w:tcPr>
                  <w:tcW w:w="1760" w:type="pct"/>
                  <w:noWrap w:val="0"/>
                  <w:vAlign w:val="center"/>
                </w:tcPr>
                <w:p>
                  <w:pPr>
                    <w:autoSpaceDE w:val="0"/>
                    <w:autoSpaceDN w:val="0"/>
                    <w:adjustRightInd w:val="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lang w:bidi="ar"/>
                    </w:rPr>
                    <w:t>本项目水资源新增量在区域可承受范围内，水资源消耗量相对区域资源利用总量较小，未突破水资源利用上线</w:t>
                  </w:r>
                  <w:r>
                    <w:rPr>
                      <w:rFonts w:hint="eastAsia" w:ascii="Times New Roman" w:hAnsi="Times New Roman" w:eastAsia="宋体" w:cs="Times New Roman"/>
                      <w:bCs/>
                      <w:color w:val="auto"/>
                      <w:sz w:val="21"/>
                      <w:szCs w:val="21"/>
                      <w:highlight w:val="none"/>
                      <w:lang w:eastAsia="zh-CN" w:bidi="ar"/>
                    </w:rPr>
                    <w:t>。</w:t>
                  </w:r>
                </w:p>
              </w:tc>
              <w:tc>
                <w:tcPr>
                  <w:tcW w:w="530" w:type="pct"/>
                  <w:noWrap w:val="0"/>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pPr>
              <w:spacing w:line="480" w:lineRule="exact"/>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表1-</w:t>
            </w:r>
            <w:r>
              <w:rPr>
                <w:rFonts w:hint="eastAsia" w:ascii="Times New Roman" w:hAnsi="Times New Roman" w:eastAsia="宋体" w:cs="Times New Roman"/>
                <w:b/>
                <w:bCs/>
                <w:color w:val="auto"/>
                <w:kern w:val="0"/>
                <w:sz w:val="21"/>
                <w:szCs w:val="21"/>
                <w:highlight w:val="none"/>
                <w:lang w:val="en-US" w:eastAsia="zh-CN" w:bidi="ar-SA"/>
              </w:rPr>
              <w:t>5</w:t>
            </w:r>
            <w:r>
              <w:rPr>
                <w:rFonts w:hint="default" w:ascii="Times New Roman" w:hAnsi="Times New Roman" w:eastAsia="宋体" w:cs="Times New Roman"/>
                <w:b/>
                <w:bCs/>
                <w:color w:val="auto"/>
                <w:kern w:val="0"/>
                <w:sz w:val="21"/>
                <w:szCs w:val="21"/>
                <w:highlight w:val="none"/>
                <w:lang w:val="en-US" w:eastAsia="zh-CN" w:bidi="ar-SA"/>
              </w:rPr>
              <w:t xml:space="preserve">  </w:t>
            </w:r>
            <w:r>
              <w:rPr>
                <w:rFonts w:hint="eastAsia" w:ascii="Times New Roman" w:hAnsi="Times New Roman" w:eastAsia="宋体" w:cs="Times New Roman"/>
                <w:b/>
                <w:bCs/>
                <w:color w:val="auto"/>
                <w:kern w:val="0"/>
                <w:sz w:val="21"/>
                <w:szCs w:val="21"/>
                <w:highlight w:val="none"/>
                <w:lang w:val="en-US" w:eastAsia="zh-CN" w:bidi="ar-SA"/>
              </w:rPr>
              <w:t>与</w:t>
            </w:r>
            <w:r>
              <w:rPr>
                <w:rFonts w:hint="default" w:ascii="Times New Roman" w:hAnsi="Times New Roman" w:eastAsia="宋体" w:cs="Times New Roman"/>
                <w:b/>
                <w:bCs/>
                <w:color w:val="auto"/>
                <w:kern w:val="0"/>
                <w:sz w:val="21"/>
                <w:szCs w:val="21"/>
                <w:highlight w:val="none"/>
                <w:lang w:val="en-US" w:eastAsia="zh-CN" w:bidi="ar-SA"/>
              </w:rPr>
              <w:t>长治市辛安泉域生态环境准入要求符合性分析</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0"/>
              <w:gridCol w:w="4716"/>
              <w:gridCol w:w="2065"/>
              <w:gridCol w:w="8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noWrap w:val="0"/>
                  <w:vAlign w:val="center"/>
                </w:tcPr>
                <w:p>
                  <w:pPr>
                    <w:autoSpaceDE w:val="0"/>
                    <w:autoSpaceDN w:val="0"/>
                    <w:adjustRightInd w:val="0"/>
                    <w:snapToGrid w:val="0"/>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管控类别</w:t>
                  </w:r>
                </w:p>
              </w:tc>
              <w:tc>
                <w:tcPr>
                  <w:tcW w:w="2840" w:type="pct"/>
                  <w:noWrap w:val="0"/>
                  <w:vAlign w:val="center"/>
                </w:tcPr>
                <w:p>
                  <w:pPr>
                    <w:autoSpaceDE w:val="0"/>
                    <w:autoSpaceDN w:val="0"/>
                    <w:adjustRightInd w:val="0"/>
                    <w:snapToGrid w:val="0"/>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管控要求</w:t>
                  </w:r>
                </w:p>
              </w:tc>
              <w:tc>
                <w:tcPr>
                  <w:tcW w:w="1241" w:type="pct"/>
                  <w:noWrap w:val="0"/>
                  <w:vAlign w:val="center"/>
                </w:tcPr>
                <w:p>
                  <w:pPr>
                    <w:autoSpaceDE w:val="0"/>
                    <w:autoSpaceDN w:val="0"/>
                    <w:adjustRightInd w:val="0"/>
                    <w:snapToGrid w:val="0"/>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项目情况</w:t>
                  </w:r>
                </w:p>
              </w:tc>
              <w:tc>
                <w:tcPr>
                  <w:tcW w:w="522" w:type="pct"/>
                  <w:noWrap w:val="0"/>
                  <w:vAlign w:val="center"/>
                </w:tcPr>
                <w:p>
                  <w:pPr>
                    <w:autoSpaceDE w:val="0"/>
                    <w:autoSpaceDN w:val="0"/>
                    <w:adjustRightInd w:val="0"/>
                    <w:snapToGrid w:val="0"/>
                    <w:spacing w:line="300" w:lineRule="exact"/>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lang w:val="en-US" w:eastAsia="zh-CN"/>
                    </w:rPr>
                    <w:t>符合</w:t>
                  </w:r>
                  <w:r>
                    <w:rPr>
                      <w:rFonts w:hint="default" w:ascii="Times New Roman" w:hAnsi="Times New Roman" w:cs="Times New Roman"/>
                      <w:b/>
                      <w:color w:val="auto"/>
                      <w:sz w:val="21"/>
                      <w:szCs w:val="21"/>
                      <w:highlight w:val="none"/>
                    </w:rPr>
                    <w:t>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noWrap w:val="0"/>
                  <w:vAlign w:val="center"/>
                </w:tcPr>
                <w:p>
                  <w:pPr>
                    <w:autoSpaceDE w:val="0"/>
                    <w:autoSpaceDN w:val="0"/>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28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泉域的重点保护区内禁止在泉水出露带进行</w:t>
                  </w:r>
                  <w:r>
                    <w:rPr>
                      <w:rFonts w:hint="eastAsia" w:ascii="Times New Roman" w:hAnsi="Times New Roman" w:cs="Times New Roman"/>
                      <w:color w:val="auto"/>
                      <w:sz w:val="21"/>
                      <w:szCs w:val="21"/>
                      <w:highlight w:val="none"/>
                      <w:lang w:val="en-US" w:eastAsia="zh-CN"/>
                    </w:rPr>
                    <w:t>采煤</w:t>
                  </w:r>
                  <w:r>
                    <w:rPr>
                      <w:rFonts w:hint="default" w:ascii="Times New Roman" w:hAnsi="Times New Roman" w:cs="Times New Roman"/>
                      <w:color w:val="auto"/>
                      <w:sz w:val="21"/>
                      <w:szCs w:val="21"/>
                      <w:highlight w:val="none"/>
                    </w:rPr>
                    <w:t>、开矿、开山采石和兴建地下工程，新建、改建、扩建与供水设施和保护水源无关的建设项目；重点保护区以外的泉域范围内严格控制兴建耗水量大或对水资源有污染的建设项目。</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辛安泉饮用水水源地一级保护区内禁止新建、改建、扩建与供水设施、防洪设施和保护水源无关的建设项目。</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辛安泉饮用水水源地二级保护区内禁止新建、改建、扩建炼焦、化工、炼油、冶炼、电镀、皮革、造纸、制浆、印染、染料、放射性以及其他排放污染物的建设项目；禁止建设畜禽养殖场、养殖小区；禁止建设工业固体废物、粪便和易溶、有毒有害废弃物集中贮存、处置的设施、场所和生活垃圾填埋场、转运站。</w:t>
                  </w:r>
                </w:p>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辛安泉饮用水水源地准保护区范围内禁止新建、扩建对水体污染严重的建设项目。</w:t>
                  </w:r>
                </w:p>
              </w:tc>
              <w:tc>
                <w:tcPr>
                  <w:tcW w:w="1241" w:type="pct"/>
                  <w:noWrap w:val="0"/>
                  <w:vAlign w:val="center"/>
                </w:tcPr>
                <w:p>
                  <w:pPr>
                    <w:autoSpaceDE w:val="0"/>
                    <w:autoSpaceDN w:val="0"/>
                    <w:adjustRightInd w:val="0"/>
                    <w:snapToGrid w:val="0"/>
                    <w:spacing w:line="300" w:lineRule="exact"/>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位于</w:t>
                  </w:r>
                  <w:r>
                    <w:rPr>
                      <w:rFonts w:hint="default" w:ascii="Times New Roman" w:hAnsi="Times New Roman" w:cs="Times New Roman"/>
                      <w:color w:val="auto"/>
                      <w:sz w:val="21"/>
                      <w:szCs w:val="21"/>
                      <w:highlight w:val="none"/>
                    </w:rPr>
                    <w:t>辛安泉域范围内</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但</w:t>
                  </w:r>
                  <w:r>
                    <w:rPr>
                      <w:rFonts w:hint="default" w:ascii="Times New Roman" w:hAnsi="Times New Roman" w:cs="Times New Roman"/>
                      <w:color w:val="auto"/>
                      <w:sz w:val="21"/>
                      <w:szCs w:val="21"/>
                      <w:highlight w:val="none"/>
                    </w:rPr>
                    <w:t>不在泉域重点保护区范围内，不在辛安泉饮用水水源地一、二级保护区和准保护区范围内</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lang w:eastAsia="zh-CN"/>
                    </w:rPr>
                    <w:t>本项目</w:t>
                  </w:r>
                  <w:r>
                    <w:rPr>
                      <w:rFonts w:hint="default" w:ascii="Times New Roman" w:hAnsi="Times New Roman" w:eastAsia="宋体" w:cs="Times New Roman"/>
                      <w:bCs/>
                      <w:color w:val="auto"/>
                      <w:sz w:val="21"/>
                      <w:szCs w:val="21"/>
                      <w:highlight w:val="none"/>
                      <w:lang w:val="en-US" w:eastAsia="zh-CN"/>
                    </w:rPr>
                    <w:t>不属于对水体污染严重的建设项目</w:t>
                  </w:r>
                  <w:r>
                    <w:rPr>
                      <w:rFonts w:hint="eastAsia" w:cs="Times New Roman"/>
                      <w:bCs/>
                      <w:color w:val="auto"/>
                      <w:sz w:val="21"/>
                      <w:szCs w:val="21"/>
                      <w:highlight w:val="none"/>
                      <w:lang w:val="en-US" w:eastAsia="zh-CN"/>
                    </w:rPr>
                    <w:t>。</w:t>
                  </w:r>
                </w:p>
              </w:tc>
              <w:tc>
                <w:tcPr>
                  <w:tcW w:w="522" w:type="pct"/>
                  <w:noWrap w:val="0"/>
                  <w:vAlign w:val="center"/>
                </w:tcPr>
                <w:p>
                  <w:pPr>
                    <w:autoSpaceDE w:val="0"/>
                    <w:autoSpaceDN w:val="0"/>
                    <w:adjustRightInd w:val="0"/>
                    <w:snapToGrid w:val="0"/>
                    <w:spacing w:line="30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noWrap w:val="0"/>
                  <w:vAlign w:val="center"/>
                </w:tcPr>
                <w:p>
                  <w:pPr>
                    <w:autoSpaceDE w:val="0"/>
                    <w:autoSpaceDN w:val="0"/>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2840" w:type="pct"/>
                  <w:noWrap w:val="0"/>
                  <w:vAlign w:val="center"/>
                </w:tcPr>
                <w:p>
                  <w:pPr>
                    <w:autoSpaceDE w:val="0"/>
                    <w:autoSpaceDN w:val="0"/>
                    <w:adjustRightInd w:val="0"/>
                    <w:snapToGrid w:val="0"/>
                    <w:spacing w:line="30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泉域的重点保护区内禁止将已污染含水层与未污染含水层的地下水混合开采，禁止倾倒、排放工业废渣和城市生活垃圾、污水及其他废弃物；重点保护区以外的泉域范围内不得利用渗坑、渗井、溶洞、废弃钻孔等排放工业废水、城市生活污水，倾倒污物、废渣和城市生活垃圾。</w:t>
                  </w:r>
                </w:p>
                <w:p>
                  <w:pPr>
                    <w:autoSpaceDE w:val="0"/>
                    <w:autoSpaceDN w:val="0"/>
                    <w:adjustRightInd w:val="0"/>
                    <w:snapToGrid w:val="0"/>
                    <w:spacing w:line="30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辛安泉饮用水水源地一级保护区内禁止倾倒、堆放工业废渣、废液、垃圾、粪便、油类和其他有害废弃物；禁止从网箱养殖、旅游、游泳、垂钓、水上训练或者其他可能污染饮用水水体的活动。</w:t>
                  </w:r>
                </w:p>
                <w:p>
                  <w:pPr>
                    <w:autoSpaceDE w:val="0"/>
                    <w:autoSpaceDN w:val="0"/>
                    <w:adjustRightInd w:val="0"/>
                    <w:snapToGrid w:val="0"/>
                    <w:spacing w:line="30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辛安泉饮用水水源地二级保护区内禁止使用农药，丢弃农药、农药包装物或者清洗施药器械；禁止利用未经净化的污水灌溉农田。</w:t>
                  </w:r>
                </w:p>
                <w:p>
                  <w:pPr>
                    <w:autoSpaceDE w:val="0"/>
                    <w:autoSpaceDN w:val="0"/>
                    <w:adjustRightInd w:val="0"/>
                    <w:snapToGrid w:val="0"/>
                    <w:spacing w:line="30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辛安泉饮用水水源地准保护区范围内禁止直接或者间接向水域排放不符合国家以及地方规定排放标准的废水；禁止使用不符合《农田灌溉水质标准》的污水灌溉农田；禁止利用渗井、废弃矿井、废弃井孔等排放工业废水、生活污水和矿坑水。</w:t>
                  </w:r>
                </w:p>
              </w:tc>
              <w:tc>
                <w:tcPr>
                  <w:tcW w:w="12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lang w:val="zh-CN"/>
                    </w:rPr>
                    <w:t>本项目</w:t>
                  </w:r>
                  <w:r>
                    <w:rPr>
                      <w:rFonts w:hint="default" w:ascii="Times New Roman" w:hAnsi="Times New Roman" w:eastAsia="宋体" w:cs="Times New Roman"/>
                      <w:bCs/>
                      <w:color w:val="auto"/>
                      <w:sz w:val="21"/>
                      <w:szCs w:val="21"/>
                      <w:highlight w:val="none"/>
                      <w:lang w:val="zh-CN" w:eastAsia="zh-CN"/>
                    </w:rPr>
                    <w:t>位于辛安泉域范围内，但</w:t>
                  </w:r>
                  <w:r>
                    <w:rPr>
                      <w:rFonts w:hint="default" w:ascii="Times New Roman" w:hAnsi="Times New Roman" w:eastAsia="宋体" w:cs="Times New Roman"/>
                      <w:bCs/>
                      <w:color w:val="auto"/>
                      <w:sz w:val="21"/>
                      <w:szCs w:val="21"/>
                      <w:highlight w:val="none"/>
                      <w:lang w:val="zh-CN"/>
                    </w:rPr>
                    <w:t>不在</w:t>
                  </w:r>
                  <w:r>
                    <w:rPr>
                      <w:rFonts w:hint="default" w:ascii="Times New Roman" w:hAnsi="Times New Roman" w:eastAsia="宋体" w:cs="Times New Roman"/>
                      <w:bCs/>
                      <w:color w:val="auto"/>
                      <w:sz w:val="21"/>
                      <w:szCs w:val="21"/>
                      <w:highlight w:val="none"/>
                      <w:lang w:val="zh-CN" w:eastAsia="zh-CN"/>
                    </w:rPr>
                    <w:t>其</w:t>
                  </w:r>
                  <w:r>
                    <w:rPr>
                      <w:rFonts w:hint="default" w:ascii="Times New Roman" w:hAnsi="Times New Roman" w:eastAsia="宋体" w:cs="Times New Roman"/>
                      <w:bCs/>
                      <w:color w:val="auto"/>
                      <w:sz w:val="21"/>
                      <w:szCs w:val="21"/>
                      <w:highlight w:val="none"/>
                      <w:lang w:val="zh-CN"/>
                    </w:rPr>
                    <w:t>重点保护区范围内</w:t>
                  </w:r>
                  <w:r>
                    <w:rPr>
                      <w:rFonts w:hint="default" w:ascii="Times New Roman" w:hAnsi="Times New Roman" w:eastAsia="宋体" w:cs="Times New Roman"/>
                      <w:bCs/>
                      <w:color w:val="auto"/>
                      <w:sz w:val="21"/>
                      <w:szCs w:val="21"/>
                      <w:highlight w:val="none"/>
                      <w:lang w:val="zh-CN" w:eastAsia="zh-CN"/>
                    </w:rPr>
                    <w:t>；本项目不涉及利用渗坑、渗井、溶洞、废弃钻孔等排放工业废水、城市生活污水，倾倒污物、废渣和城市生活垃圾；本项目</w:t>
                  </w:r>
                  <w:r>
                    <w:rPr>
                      <w:rFonts w:hint="default" w:ascii="Times New Roman" w:hAnsi="Times New Roman" w:eastAsia="宋体" w:cs="Times New Roman"/>
                      <w:bCs/>
                      <w:color w:val="auto"/>
                      <w:sz w:val="21"/>
                      <w:szCs w:val="21"/>
                      <w:highlight w:val="none"/>
                      <w:lang w:val="zh-CN"/>
                    </w:rPr>
                    <w:t>不在辛安泉饮用水水源地一级保护区、</w:t>
                  </w:r>
                  <w:r>
                    <w:rPr>
                      <w:rFonts w:hint="default" w:ascii="Times New Roman" w:hAnsi="Times New Roman" w:eastAsia="宋体" w:cs="Times New Roman"/>
                      <w:bCs/>
                      <w:color w:val="auto"/>
                      <w:sz w:val="21"/>
                      <w:szCs w:val="21"/>
                      <w:highlight w:val="none"/>
                      <w:lang w:val="zh-CN" w:eastAsia="zh-CN"/>
                    </w:rPr>
                    <w:t>二级保护区</w:t>
                  </w:r>
                  <w:r>
                    <w:rPr>
                      <w:rFonts w:hint="default" w:ascii="Times New Roman" w:hAnsi="Times New Roman" w:eastAsia="宋体" w:cs="Times New Roman"/>
                      <w:bCs/>
                      <w:color w:val="auto"/>
                      <w:sz w:val="21"/>
                      <w:szCs w:val="21"/>
                      <w:highlight w:val="none"/>
                      <w:lang w:val="zh-CN"/>
                    </w:rPr>
                    <w:t>范围内</w:t>
                  </w:r>
                  <w:r>
                    <w:rPr>
                      <w:rFonts w:hint="eastAsia" w:cs="Times New Roman"/>
                      <w:bCs/>
                      <w:color w:val="auto"/>
                      <w:sz w:val="21"/>
                      <w:szCs w:val="21"/>
                      <w:highlight w:val="none"/>
                      <w:lang w:val="zh-CN"/>
                    </w:rPr>
                    <w:t>。</w:t>
                  </w:r>
                </w:p>
              </w:tc>
              <w:tc>
                <w:tcPr>
                  <w:tcW w:w="522" w:type="pct"/>
                  <w:noWrap w:val="0"/>
                  <w:vAlign w:val="center"/>
                </w:tcPr>
                <w:p>
                  <w:pPr>
                    <w:autoSpaceDE w:val="0"/>
                    <w:autoSpaceDN w:val="0"/>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noWrap w:val="0"/>
                  <w:vAlign w:val="center"/>
                </w:tcPr>
                <w:p>
                  <w:pPr>
                    <w:autoSpaceDE w:val="0"/>
                    <w:autoSpaceDN w:val="0"/>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2840" w:type="pct"/>
                  <w:noWrap w:val="0"/>
                  <w:vAlign w:val="center"/>
                </w:tcPr>
                <w:p>
                  <w:pPr>
                    <w:autoSpaceDE w:val="0"/>
                    <w:autoSpaceDN w:val="0"/>
                    <w:adjustRightInd w:val="0"/>
                    <w:snapToGrid w:val="0"/>
                    <w:spacing w:line="30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泉域范围内，石化生产、存贮、销售企业以及工业园区、矿山开采区、矿山渣玚、垃圾填埋场以及危险废物堆放场等的运营、管理单位应当进行必要的防渗处理。报废矿井、钻井以及取水井应当实施封井回填。</w:t>
                  </w:r>
                </w:p>
              </w:tc>
              <w:tc>
                <w:tcPr>
                  <w:tcW w:w="1241" w:type="pct"/>
                  <w:noWrap w:val="0"/>
                  <w:vAlign w:val="center"/>
                </w:tcPr>
                <w:p>
                  <w:pPr>
                    <w:autoSpaceDE w:val="0"/>
                    <w:autoSpaceDN w:val="0"/>
                    <w:adjustRightInd w:val="0"/>
                    <w:snapToGrid w:val="0"/>
                    <w:spacing w:line="30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本项目不涉及</w:t>
                  </w:r>
                  <w:r>
                    <w:rPr>
                      <w:rFonts w:hint="eastAsia" w:ascii="Times New Roman" w:hAnsi="Times New Roman" w:cs="Times New Roman"/>
                      <w:color w:val="auto"/>
                      <w:sz w:val="21"/>
                      <w:szCs w:val="21"/>
                      <w:highlight w:val="none"/>
                      <w:lang w:eastAsia="zh-CN"/>
                    </w:rPr>
                    <w:t>。</w:t>
                  </w:r>
                </w:p>
              </w:tc>
              <w:tc>
                <w:tcPr>
                  <w:tcW w:w="522" w:type="pct"/>
                  <w:noWrap w:val="0"/>
                  <w:vAlign w:val="center"/>
                </w:tcPr>
                <w:p>
                  <w:pPr>
                    <w:autoSpaceDE w:val="0"/>
                    <w:autoSpaceDN w:val="0"/>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noWrap w:val="0"/>
                  <w:vAlign w:val="center"/>
                </w:tcPr>
                <w:p>
                  <w:pPr>
                    <w:autoSpaceDE w:val="0"/>
                    <w:autoSpaceDN w:val="0"/>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资源利用效率</w:t>
                  </w:r>
                </w:p>
              </w:tc>
              <w:tc>
                <w:tcPr>
                  <w:tcW w:w="2840" w:type="pct"/>
                  <w:noWrap w:val="0"/>
                  <w:vAlign w:val="center"/>
                </w:tcPr>
                <w:p>
                  <w:pPr>
                    <w:autoSpaceDE w:val="0"/>
                    <w:autoSpaceDN w:val="0"/>
                    <w:adjustRightInd w:val="0"/>
                    <w:snapToGrid w:val="0"/>
                    <w:spacing w:line="30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泉域的重点保护区内禁止擅自打井、挖泉、截流、引水；重点保护区以外的泉域范围内应控制岩溶地下水开采，合理开发孔隙裂隙地下水。</w:t>
                  </w:r>
                </w:p>
                <w:p>
                  <w:pPr>
                    <w:autoSpaceDE w:val="0"/>
                    <w:autoSpaceDN w:val="0"/>
                    <w:adjustRightInd w:val="0"/>
                    <w:snapToGrid w:val="0"/>
                    <w:spacing w:line="300" w:lineRule="exac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泉域范围内，任何单位或者个人取用岩溶地下水，应当依法办理取水许可手续，严禁未经批准擅自取水；经批准取安泉岩溶地下水的单位或者个人，应当依照取水许可规定的条件取水，不得超出核定的取水量，不得转供水。未经批准不得擅自改变取水用途，确需改变的，需经原批准机关审查同意：严格控制辛安泉岩溶地下水开采，实行区域限制许可制度，制定各县（区）岩溶水开采控制指标。对岩溶水取水量已达到或者超过控制指标的县（区），暂停新增岩溶水取水许可：对岩溶水取水量接近控制指标的县（区），限制新增岩溶水取水许可。</w:t>
                  </w:r>
                </w:p>
              </w:tc>
              <w:tc>
                <w:tcPr>
                  <w:tcW w:w="12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Cs/>
                      <w:color w:val="auto"/>
                      <w:sz w:val="21"/>
                      <w:szCs w:val="21"/>
                      <w:highlight w:val="none"/>
                    </w:rPr>
                    <w:t>1.</w:t>
                  </w:r>
                  <w:r>
                    <w:rPr>
                      <w:rFonts w:hint="default" w:ascii="Times New Roman" w:hAnsi="Times New Roman" w:eastAsia="宋体" w:cs="Times New Roman"/>
                      <w:color w:val="auto"/>
                      <w:sz w:val="21"/>
                      <w:szCs w:val="21"/>
                      <w:highlight w:val="none"/>
                    </w:rPr>
                    <w:t>本项目不</w:t>
                  </w:r>
                  <w:r>
                    <w:rPr>
                      <w:rFonts w:hint="eastAsia" w:ascii="Times New Roman" w:hAnsi="Times New Roman" w:eastAsia="宋体" w:cs="Times New Roman"/>
                      <w:color w:val="auto"/>
                      <w:sz w:val="21"/>
                      <w:szCs w:val="21"/>
                      <w:highlight w:val="none"/>
                      <w:lang w:val="en-US" w:eastAsia="zh-CN"/>
                    </w:rPr>
                    <w:t>在</w:t>
                  </w:r>
                  <w:r>
                    <w:rPr>
                      <w:rFonts w:hint="default" w:ascii="Times New Roman" w:hAnsi="Times New Roman" w:eastAsia="宋体" w:cs="Times New Roman"/>
                      <w:color w:val="auto"/>
                      <w:spacing w:val="0"/>
                      <w:kern w:val="21"/>
                      <w:sz w:val="21"/>
                      <w:szCs w:val="21"/>
                      <w:highlight w:val="none"/>
                      <w:lang w:val="en-US" w:eastAsia="zh-CN"/>
                    </w:rPr>
                    <w:t>辛安</w:t>
                  </w:r>
                  <w:r>
                    <w:rPr>
                      <w:rFonts w:hint="default" w:ascii="Times New Roman" w:hAnsi="Times New Roman" w:eastAsia="宋体" w:cs="Times New Roman"/>
                      <w:color w:val="auto"/>
                      <w:spacing w:val="0"/>
                      <w:kern w:val="21"/>
                      <w:sz w:val="21"/>
                      <w:szCs w:val="21"/>
                      <w:highlight w:val="none"/>
                    </w:rPr>
                    <w:t>泉域</w:t>
                  </w:r>
                  <w:r>
                    <w:rPr>
                      <w:rFonts w:hint="default" w:ascii="Times New Roman" w:hAnsi="Times New Roman" w:eastAsia="宋体" w:cs="Times New Roman"/>
                      <w:color w:val="auto"/>
                      <w:spacing w:val="0"/>
                      <w:kern w:val="21"/>
                      <w:sz w:val="21"/>
                      <w:szCs w:val="21"/>
                      <w:highlight w:val="none"/>
                      <w:lang w:val="zh-CN"/>
                    </w:rPr>
                    <w:t>重点保护区</w:t>
                  </w:r>
                  <w:r>
                    <w:rPr>
                      <w:rFonts w:hint="default" w:ascii="Times New Roman" w:hAnsi="Times New Roman" w:cs="Times New Roman"/>
                      <w:bCs/>
                      <w:color w:val="auto"/>
                      <w:spacing w:val="0"/>
                      <w:kern w:val="21"/>
                      <w:sz w:val="21"/>
                      <w:szCs w:val="21"/>
                      <w:highlight w:val="none"/>
                    </w:rPr>
                    <w:t>范围</w:t>
                  </w:r>
                  <w:r>
                    <w:rPr>
                      <w:rFonts w:hint="default" w:ascii="Times New Roman" w:hAnsi="Times New Roman" w:eastAsia="宋体" w:cs="Times New Roman"/>
                      <w:color w:val="auto"/>
                      <w:spacing w:val="0"/>
                      <w:kern w:val="21"/>
                      <w:sz w:val="21"/>
                      <w:szCs w:val="21"/>
                      <w:highlight w:val="none"/>
                      <w:lang w:val="en-US" w:eastAsia="zh-CN"/>
                    </w:rPr>
                    <w:t>内</w:t>
                  </w:r>
                  <w:r>
                    <w:rPr>
                      <w:rFonts w:hint="eastAsia" w:cs="Times New Roman"/>
                      <w:color w:val="auto"/>
                      <w:spacing w:val="0"/>
                      <w:kern w:val="21"/>
                      <w:sz w:val="21"/>
                      <w:szCs w:val="21"/>
                      <w:highlight w:val="none"/>
                      <w:lang w:val="en-US" w:eastAsia="zh-CN"/>
                    </w:rPr>
                    <w:t>。</w:t>
                  </w:r>
                </w:p>
                <w:p>
                  <w:pPr>
                    <w:autoSpaceDE w:val="0"/>
                    <w:autoSpaceDN w:val="0"/>
                    <w:adjustRightInd w:val="0"/>
                    <w:snapToGrid w:val="0"/>
                    <w:spacing w:line="300" w:lineRule="exact"/>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2.本项目</w:t>
                  </w:r>
                  <w:r>
                    <w:rPr>
                      <w:rFonts w:hint="eastAsia" w:cs="Times New Roman"/>
                      <w:color w:val="auto"/>
                      <w:sz w:val="21"/>
                      <w:szCs w:val="21"/>
                      <w:highlight w:val="none"/>
                      <w:lang w:val="en-US" w:eastAsia="zh-CN"/>
                    </w:rPr>
                    <w:t>不涉及。</w:t>
                  </w:r>
                </w:p>
              </w:tc>
              <w:tc>
                <w:tcPr>
                  <w:tcW w:w="522" w:type="pct"/>
                  <w:noWrap w:val="0"/>
                  <w:vAlign w:val="center"/>
                </w:tcPr>
                <w:p>
                  <w:pPr>
                    <w:autoSpaceDE w:val="0"/>
                    <w:autoSpaceDN w:val="0"/>
                    <w:adjustRightInd w:val="0"/>
                    <w:snapToGrid w:val="0"/>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相符</w:t>
                  </w: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504" w:firstLineChars="200"/>
              <w:jc w:val="both"/>
              <w:textAlignment w:val="auto"/>
              <w:rPr>
                <w:rFonts w:hint="default" w:ascii="Times New Roman" w:hAnsi="Times New Roman" w:eastAsia="宋体" w:cs="Times New Roman"/>
                <w:color w:val="auto"/>
                <w:kern w:val="0"/>
                <w:sz w:val="24"/>
                <w:szCs w:val="24"/>
                <w:highlight w:val="none"/>
                <w:lang w:val="zh-CN" w:eastAsia="zh-CN"/>
              </w:rPr>
            </w:pPr>
            <w:r>
              <w:rPr>
                <w:rFonts w:hint="default" w:ascii="Times New Roman" w:hAnsi="Times New Roman" w:eastAsia="宋体" w:cs="Times New Roman"/>
                <w:bCs/>
                <w:color w:val="auto"/>
                <w:spacing w:val="6"/>
                <w:kern w:val="2"/>
                <w:sz w:val="24"/>
                <w:szCs w:val="24"/>
                <w:highlight w:val="none"/>
              </w:rPr>
              <w:t>综上所述，</w:t>
            </w:r>
            <w:r>
              <w:rPr>
                <w:rFonts w:hint="default" w:ascii="Times New Roman" w:hAnsi="Times New Roman" w:eastAsia="宋体" w:cs="Times New Roman"/>
                <w:bCs/>
                <w:color w:val="auto"/>
                <w:spacing w:val="6"/>
                <w:kern w:val="2"/>
                <w:sz w:val="24"/>
                <w:szCs w:val="24"/>
                <w:highlight w:val="none"/>
                <w:lang w:val="en-US" w:eastAsia="zh-CN"/>
              </w:rPr>
              <w:t>本项目的建设不违背长政发[2021]21号文中的有关要求</w:t>
            </w:r>
            <w:r>
              <w:rPr>
                <w:rFonts w:hint="default" w:ascii="Times New Roman" w:hAnsi="Times New Roman" w:eastAsia="宋体" w:cs="Times New Roman"/>
                <w:bCs/>
                <w:color w:val="auto"/>
                <w:spacing w:val="6"/>
                <w:kern w:val="2"/>
                <w:sz w:val="24"/>
                <w:szCs w:val="24"/>
                <w:highlight w:val="none"/>
              </w:rPr>
              <w:t>。</w:t>
            </w:r>
          </w:p>
          <w:p>
            <w:pPr>
              <w:adjustRightInd w:val="0"/>
              <w:snapToGrid w:val="0"/>
              <w:spacing w:line="480" w:lineRule="exact"/>
              <w:ind w:firstLine="482" w:firstLineChars="200"/>
              <w:rPr>
                <w:rFonts w:hint="eastAsia"/>
                <w:b/>
                <w:bCs w:val="0"/>
                <w:color w:val="auto"/>
                <w:sz w:val="24"/>
                <w:szCs w:val="24"/>
                <w:highlight w:val="none"/>
              </w:rPr>
            </w:pPr>
            <w:r>
              <w:rPr>
                <w:rFonts w:hint="eastAsia"/>
                <w:b/>
                <w:bCs w:val="0"/>
                <w:color w:val="auto"/>
                <w:sz w:val="24"/>
                <w:szCs w:val="24"/>
                <w:highlight w:val="none"/>
              </w:rPr>
              <w:t>2</w:t>
            </w:r>
            <w:r>
              <w:rPr>
                <w:rFonts w:hint="eastAsia"/>
                <w:b/>
                <w:bCs w:val="0"/>
                <w:color w:val="auto"/>
                <w:sz w:val="24"/>
                <w:szCs w:val="24"/>
                <w:highlight w:val="none"/>
                <w:lang w:val="en-US" w:eastAsia="zh-CN"/>
              </w:rPr>
              <w:t>.</w:t>
            </w:r>
            <w:r>
              <w:rPr>
                <w:rFonts w:hint="eastAsia"/>
                <w:b/>
                <w:bCs w:val="0"/>
                <w:color w:val="auto"/>
                <w:sz w:val="24"/>
                <w:szCs w:val="24"/>
                <w:highlight w:val="none"/>
              </w:rPr>
              <w:t>环境质量底线符合性分析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baseline"/>
              <w:rPr>
                <w:rFonts w:hint="default" w:ascii="Times New Roman" w:hAnsi="Times New Roman" w:eastAsia="宋体" w:cs="Times New Roman"/>
                <w:color w:val="auto"/>
                <w:spacing w:val="4"/>
                <w:sz w:val="24"/>
                <w:szCs w:val="24"/>
                <w:highlight w:val="none"/>
              </w:rPr>
            </w:pPr>
            <w:r>
              <w:rPr>
                <w:rFonts w:hint="eastAsia" w:cs="Times New Roman"/>
                <w:color w:val="auto"/>
                <w:kern w:val="0"/>
                <w:sz w:val="24"/>
                <w:szCs w:val="24"/>
                <w:highlight w:val="none"/>
                <w:lang w:val="en-US" w:eastAsia="zh-CN"/>
              </w:rPr>
              <w:t>环境空气：</w:t>
            </w:r>
            <w:r>
              <w:rPr>
                <w:rFonts w:hint="default" w:ascii="Times New Roman" w:hAnsi="Times New Roman" w:eastAsia="宋体" w:cs="Times New Roman"/>
                <w:color w:val="auto"/>
                <w:kern w:val="0"/>
                <w:sz w:val="24"/>
                <w:szCs w:val="24"/>
                <w:highlight w:val="none"/>
                <w:lang w:eastAsia="zh-CN"/>
              </w:rPr>
              <w:t>本次评价</w:t>
            </w:r>
            <w:r>
              <w:rPr>
                <w:rFonts w:hint="eastAsia" w:ascii="Times New Roman" w:hAnsi="Times New Roman" w:eastAsia="宋体" w:cs="Times New Roman"/>
                <w:color w:val="auto"/>
                <w:kern w:val="0"/>
                <w:sz w:val="24"/>
                <w:szCs w:val="24"/>
                <w:highlight w:val="none"/>
                <w:lang w:val="en-US" w:eastAsia="zh-CN"/>
              </w:rPr>
              <w:t>引用</w:t>
            </w:r>
            <w:r>
              <w:rPr>
                <w:rFonts w:hint="eastAsia" w:ascii="Times New Roman" w:hAnsi="Times New Roman" w:eastAsia="宋体" w:cs="Times New Roman"/>
                <w:color w:val="auto"/>
                <w:kern w:val="0"/>
                <w:sz w:val="24"/>
                <w:szCs w:val="24"/>
                <w:highlight w:val="none"/>
                <w:lang w:eastAsia="zh-CN"/>
              </w:rPr>
              <w:t>了</w:t>
            </w:r>
            <w:r>
              <w:rPr>
                <w:rFonts w:hint="default" w:ascii="Times New Roman" w:hAnsi="Times New Roman" w:eastAsia="宋体" w:cs="Times New Roman"/>
                <w:color w:val="auto"/>
                <w:kern w:val="0"/>
                <w:sz w:val="24"/>
                <w:szCs w:val="24"/>
                <w:highlight w:val="none"/>
                <w:lang w:val="en-US" w:eastAsia="zh-CN"/>
              </w:rPr>
              <w:t>长治市</w:t>
            </w:r>
            <w:r>
              <w:rPr>
                <w:rFonts w:hint="eastAsia" w:cs="Times New Roman"/>
                <w:color w:val="auto"/>
                <w:kern w:val="0"/>
                <w:sz w:val="24"/>
                <w:szCs w:val="24"/>
                <w:highlight w:val="none"/>
                <w:lang w:val="en-US" w:eastAsia="zh-CN"/>
              </w:rPr>
              <w:t>屯留区</w:t>
            </w:r>
            <w:r>
              <w:rPr>
                <w:rFonts w:hint="default" w:ascii="Times New Roman" w:hAnsi="Times New Roman" w:eastAsia="宋体" w:cs="Times New Roman"/>
                <w:color w:val="auto"/>
                <w:kern w:val="0"/>
                <w:sz w:val="24"/>
                <w:szCs w:val="24"/>
                <w:highlight w:val="none"/>
                <w:lang w:val="en-US" w:eastAsia="zh-CN"/>
              </w:rPr>
              <w:t>202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w:t>
            </w:r>
            <w:r>
              <w:rPr>
                <w:rFonts w:hint="default" w:ascii="Times New Roman" w:hAnsi="Times New Roman" w:eastAsia="宋体" w:cs="Times New Roman"/>
                <w:color w:val="auto"/>
                <w:kern w:val="0"/>
                <w:sz w:val="24"/>
                <w:szCs w:val="24"/>
                <w:highlight w:val="none"/>
                <w:lang w:eastAsia="zh-CN"/>
              </w:rPr>
              <w:t>环境空气质量例行监测数据</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cs="Times New Roman"/>
                <w:color w:val="auto"/>
                <w:spacing w:val="4"/>
                <w:sz w:val="24"/>
                <w:szCs w:val="24"/>
                <w:highlight w:val="none"/>
                <w:lang w:val="en-US" w:eastAsia="zh-CN"/>
              </w:rPr>
              <w:t>数据显示2024年</w:t>
            </w:r>
            <w:r>
              <w:rPr>
                <w:rFonts w:hint="eastAsia" w:cs="Times New Roman"/>
                <w:color w:val="auto"/>
                <w:kern w:val="0"/>
                <w:sz w:val="24"/>
                <w:szCs w:val="24"/>
                <w:highlight w:val="none"/>
                <w:lang w:val="en-US" w:eastAsia="zh-CN"/>
              </w:rPr>
              <w:t>屯留区</w:t>
            </w:r>
            <w:r>
              <w:rPr>
                <w:rFonts w:hint="eastAsia" w:ascii="Times New Roman" w:hAnsi="Times New Roman" w:cs="Times New Roman"/>
                <w:color w:val="auto"/>
                <w:spacing w:val="4"/>
                <w:sz w:val="24"/>
                <w:szCs w:val="24"/>
                <w:highlight w:val="none"/>
                <w:lang w:val="en-US" w:eastAsia="zh-CN"/>
              </w:rPr>
              <w:t>环境空气质量中</w:t>
            </w:r>
            <w:r>
              <w:rPr>
                <w:rFonts w:hint="default" w:ascii="Times New Roman" w:hAnsi="Times New Roman" w:cs="Times New Roman"/>
                <w:color w:val="auto"/>
                <w:spacing w:val="4"/>
                <w:sz w:val="24"/>
                <w:szCs w:val="24"/>
                <w:highlight w:val="none"/>
                <w:lang w:val="en-US" w:eastAsia="zh-CN"/>
              </w:rPr>
              <w:t>SO</w:t>
            </w:r>
            <w:r>
              <w:rPr>
                <w:rFonts w:hint="default" w:ascii="Times New Roman" w:hAnsi="Times New Roman" w:cs="Times New Roman"/>
                <w:color w:val="auto"/>
                <w:spacing w:val="4"/>
                <w:sz w:val="24"/>
                <w:szCs w:val="24"/>
                <w:highlight w:val="none"/>
                <w:vertAlign w:val="subscript"/>
                <w:lang w:val="en-US" w:eastAsia="zh-CN"/>
              </w:rPr>
              <w:t>2</w:t>
            </w:r>
            <w:r>
              <w:rPr>
                <w:rFonts w:hint="eastAsia" w:ascii="Times New Roman" w:hAnsi="Times New Roman" w:cs="Times New Roman"/>
                <w:color w:val="auto"/>
                <w:spacing w:val="4"/>
                <w:sz w:val="24"/>
                <w:szCs w:val="24"/>
                <w:highlight w:val="none"/>
                <w:lang w:val="en-US" w:eastAsia="zh-CN"/>
              </w:rPr>
              <w:t>、</w:t>
            </w:r>
            <w:r>
              <w:rPr>
                <w:rFonts w:hint="default" w:ascii="Times New Roman" w:hAnsi="Times New Roman" w:cs="Times New Roman"/>
                <w:color w:val="auto"/>
                <w:spacing w:val="4"/>
                <w:sz w:val="24"/>
                <w:szCs w:val="24"/>
                <w:highlight w:val="none"/>
                <w:lang w:val="en-US" w:eastAsia="zh-CN"/>
              </w:rPr>
              <w:t>NO</w:t>
            </w:r>
            <w:r>
              <w:rPr>
                <w:rFonts w:hint="default" w:ascii="Times New Roman" w:hAnsi="Times New Roman" w:cs="Times New Roman"/>
                <w:color w:val="auto"/>
                <w:spacing w:val="4"/>
                <w:sz w:val="24"/>
                <w:szCs w:val="24"/>
                <w:highlight w:val="none"/>
                <w:vertAlign w:val="subscript"/>
                <w:lang w:val="en-US" w:eastAsia="zh-CN"/>
              </w:rPr>
              <w:t>2</w:t>
            </w:r>
            <w:r>
              <w:rPr>
                <w:rFonts w:hint="eastAsia" w:ascii="Times New Roman" w:hAnsi="Times New Roman" w:cs="Times New Roman"/>
                <w:color w:val="auto"/>
                <w:spacing w:val="4"/>
                <w:sz w:val="24"/>
                <w:szCs w:val="24"/>
                <w:highlight w:val="none"/>
                <w:lang w:val="en-US" w:eastAsia="zh-CN"/>
              </w:rPr>
              <w:t>、</w:t>
            </w:r>
            <w:r>
              <w:rPr>
                <w:rFonts w:hint="default" w:ascii="Times New Roman" w:hAnsi="Times New Roman" w:cs="Times New Roman"/>
                <w:color w:val="auto"/>
                <w:spacing w:val="4"/>
                <w:sz w:val="24"/>
                <w:szCs w:val="24"/>
                <w:highlight w:val="none"/>
                <w:lang w:val="en-US" w:eastAsia="zh-CN"/>
              </w:rPr>
              <w:t>PM</w:t>
            </w:r>
            <w:r>
              <w:rPr>
                <w:rFonts w:hint="default" w:ascii="Times New Roman" w:hAnsi="Times New Roman" w:cs="Times New Roman"/>
                <w:color w:val="auto"/>
                <w:spacing w:val="4"/>
                <w:sz w:val="24"/>
                <w:szCs w:val="24"/>
                <w:highlight w:val="none"/>
                <w:vertAlign w:val="subscript"/>
                <w:lang w:val="en-US" w:eastAsia="zh-CN"/>
              </w:rPr>
              <w:t>10</w:t>
            </w:r>
            <w:r>
              <w:rPr>
                <w:rFonts w:hint="eastAsia" w:ascii="Times New Roman" w:hAnsi="Times New Roman" w:cs="Times New Roman"/>
                <w:color w:val="auto"/>
                <w:spacing w:val="4"/>
                <w:sz w:val="24"/>
                <w:szCs w:val="24"/>
                <w:highlight w:val="none"/>
                <w:lang w:val="en-US" w:eastAsia="zh-CN"/>
              </w:rPr>
              <w:t>、</w:t>
            </w:r>
            <w:r>
              <w:rPr>
                <w:rFonts w:hint="default" w:ascii="Times New Roman" w:hAnsi="Times New Roman" w:cs="Times New Roman"/>
                <w:color w:val="auto"/>
                <w:spacing w:val="4"/>
                <w:sz w:val="24"/>
                <w:szCs w:val="24"/>
                <w:highlight w:val="none"/>
                <w:lang w:val="en-US" w:eastAsia="zh-CN"/>
              </w:rPr>
              <w:t>PM</w:t>
            </w:r>
            <w:r>
              <w:rPr>
                <w:rFonts w:hint="default" w:ascii="Times New Roman" w:hAnsi="Times New Roman" w:cs="Times New Roman"/>
                <w:color w:val="auto"/>
                <w:spacing w:val="4"/>
                <w:sz w:val="24"/>
                <w:szCs w:val="24"/>
                <w:highlight w:val="none"/>
                <w:vertAlign w:val="subscript"/>
                <w:lang w:val="en-US" w:eastAsia="zh-CN"/>
              </w:rPr>
              <w:t>2.5</w:t>
            </w:r>
            <w:r>
              <w:rPr>
                <w:rFonts w:hint="eastAsia" w:ascii="Times New Roman" w:hAnsi="Times New Roman" w:cs="Times New Roman"/>
                <w:color w:val="auto"/>
                <w:spacing w:val="4"/>
                <w:sz w:val="24"/>
                <w:szCs w:val="24"/>
                <w:highlight w:val="none"/>
                <w:lang w:val="en-US" w:eastAsia="zh-CN"/>
              </w:rPr>
              <w:t>、</w:t>
            </w:r>
            <w:r>
              <w:rPr>
                <w:rFonts w:hint="default" w:ascii="Times New Roman" w:hAnsi="Times New Roman" w:cs="Times New Roman"/>
                <w:color w:val="auto"/>
                <w:spacing w:val="4"/>
                <w:sz w:val="24"/>
                <w:szCs w:val="24"/>
                <w:highlight w:val="none"/>
                <w:lang w:val="en-US" w:eastAsia="zh-CN"/>
              </w:rPr>
              <w:t>CO</w:t>
            </w:r>
            <w:r>
              <w:rPr>
                <w:rFonts w:hint="eastAsia" w:ascii="Times New Roman" w:hAnsi="Times New Roman" w:cs="Times New Roman"/>
                <w:color w:val="auto"/>
                <w:spacing w:val="4"/>
                <w:sz w:val="24"/>
                <w:szCs w:val="24"/>
                <w:highlight w:val="none"/>
                <w:lang w:val="en-US" w:eastAsia="zh-CN"/>
              </w:rPr>
              <w:t>排放浓度均满足</w:t>
            </w:r>
            <w:r>
              <w:rPr>
                <w:rFonts w:hint="eastAsia" w:ascii="Times New Roman" w:hAnsi="Times New Roman" w:eastAsia="宋体" w:cs="Times New Roman"/>
                <w:b w:val="0"/>
                <w:bCs/>
                <w:color w:val="auto"/>
                <w:sz w:val="24"/>
                <w:szCs w:val="24"/>
                <w:highlight w:val="none"/>
                <w:lang w:val="en-US" w:eastAsia="zh-CN"/>
              </w:rPr>
              <w:t>《环境空气质量标准》（GB3095-2012）二级标准限值要求</w:t>
            </w:r>
            <w:r>
              <w:rPr>
                <w:rFonts w:hint="eastAsia" w:ascii="Times New Roman" w:hAnsi="Times New Roman" w:cs="Times New Roman"/>
                <w:color w:val="auto"/>
                <w:spacing w:val="4"/>
                <w:sz w:val="24"/>
                <w:szCs w:val="24"/>
                <w:highlight w:val="none"/>
                <w:lang w:val="en-US" w:eastAsia="zh-CN"/>
              </w:rPr>
              <w:t>，仅</w:t>
            </w:r>
            <w:r>
              <w:rPr>
                <w:rFonts w:hint="default" w:ascii="Times New Roman" w:hAnsi="Times New Roman" w:cs="Times New Roman"/>
                <w:color w:val="auto"/>
                <w:spacing w:val="4"/>
                <w:sz w:val="24"/>
                <w:szCs w:val="24"/>
                <w:highlight w:val="none"/>
                <w:lang w:val="en-US" w:eastAsia="zh-CN"/>
              </w:rPr>
              <w:t>O</w:t>
            </w:r>
            <w:r>
              <w:rPr>
                <w:rFonts w:hint="default" w:ascii="Times New Roman" w:hAnsi="Times New Roman" w:cs="Times New Roman"/>
                <w:color w:val="auto"/>
                <w:spacing w:val="4"/>
                <w:sz w:val="24"/>
                <w:szCs w:val="24"/>
                <w:highlight w:val="none"/>
                <w:vertAlign w:val="subscript"/>
                <w:lang w:val="en-US" w:eastAsia="zh-CN"/>
              </w:rPr>
              <w:t>3</w:t>
            </w:r>
            <w:r>
              <w:rPr>
                <w:rFonts w:hint="default" w:ascii="Times New Roman" w:hAnsi="Times New Roman" w:cs="Times New Roman"/>
                <w:color w:val="auto"/>
                <w:spacing w:val="4"/>
                <w:sz w:val="24"/>
                <w:szCs w:val="24"/>
                <w:highlight w:val="none"/>
                <w:lang w:val="en-US" w:eastAsia="zh-CN"/>
              </w:rPr>
              <w:t>超标，</w:t>
            </w:r>
            <w:r>
              <w:rPr>
                <w:rFonts w:hint="eastAsia" w:cs="Times New Roman"/>
                <w:color w:val="auto"/>
                <w:spacing w:val="4"/>
                <w:sz w:val="24"/>
                <w:szCs w:val="24"/>
                <w:highlight w:val="none"/>
                <w:lang w:val="en-US" w:eastAsia="zh-CN"/>
              </w:rPr>
              <w:t>屯留区</w:t>
            </w:r>
            <w:r>
              <w:rPr>
                <w:rFonts w:hint="default" w:ascii="Times New Roman" w:hAnsi="Times New Roman" w:cs="Times New Roman"/>
                <w:color w:val="auto"/>
                <w:spacing w:val="4"/>
                <w:sz w:val="24"/>
                <w:szCs w:val="24"/>
                <w:highlight w:val="none"/>
                <w:lang w:val="en-US" w:eastAsia="zh-CN"/>
              </w:rPr>
              <w:t>环境空气质量属于不达标区。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4"/>
                <w:sz w:val="24"/>
                <w:szCs w:val="24"/>
                <w:highlight w:val="none"/>
                <w:lang w:val="en-US" w:eastAsia="zh-CN"/>
              </w:rPr>
            </w:pPr>
            <w:r>
              <w:rPr>
                <w:rFonts w:hint="eastAsia"/>
                <w:color w:val="auto"/>
                <w:sz w:val="24"/>
                <w:szCs w:val="24"/>
                <w:highlight w:val="none"/>
              </w:rPr>
              <w:t>此外，根据《建设项目环境影响报告表编制技术指南》（污染影响类）（试行）区域环境质量现状监测要求，</w:t>
            </w:r>
            <w:r>
              <w:rPr>
                <w:rFonts w:hint="eastAsia" w:ascii="Times New Roman" w:hAnsi="Times New Roman" w:eastAsia="宋体" w:cs="Times New Roman"/>
                <w:color w:val="auto"/>
                <w:spacing w:val="4"/>
                <w:sz w:val="24"/>
                <w:szCs w:val="24"/>
                <w:highlight w:val="none"/>
                <w:lang w:val="en-US" w:eastAsia="zh-CN"/>
              </w:rPr>
              <w:t>同时，</w:t>
            </w:r>
            <w:r>
              <w:rPr>
                <w:rFonts w:hint="default" w:ascii="Times New Roman" w:hAnsi="Times New Roman" w:eastAsia="宋体" w:cs="Times New Roman"/>
                <w:color w:val="auto"/>
                <w:spacing w:val="4"/>
                <w:sz w:val="24"/>
                <w:szCs w:val="24"/>
                <w:highlight w:val="none"/>
                <w:lang w:val="en-US" w:eastAsia="zh-CN"/>
              </w:rPr>
              <w:t>本次评价引用</w:t>
            </w:r>
            <w:r>
              <w:rPr>
                <w:rFonts w:hint="eastAsia" w:ascii="Times New Roman" w:hAnsi="Times New Roman" w:eastAsia="宋体" w:cs="Times New Roman"/>
                <w:color w:val="auto"/>
                <w:spacing w:val="4"/>
                <w:sz w:val="24"/>
                <w:szCs w:val="24"/>
                <w:highlight w:val="none"/>
                <w:lang w:val="en-US" w:eastAsia="zh-CN"/>
              </w:rPr>
              <w:t>《长治市鑫宇环保材料有限公司废旧资源利用项目环境影响评价现状监测</w:t>
            </w:r>
            <w:r>
              <w:rPr>
                <w:rFonts w:hint="eastAsia" w:cs="Times New Roman"/>
                <w:color w:val="auto"/>
                <w:spacing w:val="4"/>
                <w:sz w:val="24"/>
                <w:szCs w:val="24"/>
                <w:highlight w:val="none"/>
                <w:lang w:val="en-US" w:eastAsia="zh-CN"/>
              </w:rPr>
              <w:t>》（</w:t>
            </w:r>
            <w:r>
              <w:rPr>
                <w:rFonts w:hint="eastAsia" w:ascii="Times New Roman" w:hAnsi="Times New Roman" w:eastAsia="宋体" w:cs="Times New Roman"/>
                <w:color w:val="auto"/>
                <w:spacing w:val="4"/>
                <w:sz w:val="24"/>
                <w:szCs w:val="24"/>
                <w:highlight w:val="none"/>
                <w:lang w:val="en-US" w:eastAsia="zh-CN"/>
              </w:rPr>
              <w:t>报告编号</w:t>
            </w:r>
            <w:r>
              <w:rPr>
                <w:rFonts w:hint="eastAsia" w:cs="Times New Roman"/>
                <w:color w:val="auto"/>
                <w:spacing w:val="4"/>
                <w:sz w:val="24"/>
                <w:szCs w:val="24"/>
                <w:highlight w:val="none"/>
                <w:lang w:val="en-US" w:eastAsia="zh-CN"/>
              </w:rPr>
              <w:t>为</w:t>
            </w:r>
            <w:r>
              <w:rPr>
                <w:rFonts w:hint="eastAsia" w:ascii="Times New Roman" w:hAnsi="Times New Roman" w:eastAsia="宋体" w:cs="Times New Roman"/>
                <w:color w:val="auto"/>
                <w:spacing w:val="4"/>
                <w:sz w:val="24"/>
                <w:szCs w:val="24"/>
                <w:highlight w:val="none"/>
                <w:lang w:val="en-US" w:eastAsia="zh-CN"/>
              </w:rPr>
              <w:t>XYX25031001-S-250317</w:t>
            </w:r>
            <w:r>
              <w:rPr>
                <w:rFonts w:hint="eastAsia" w:cs="Times New Roman"/>
                <w:color w:val="auto"/>
                <w:spacing w:val="4"/>
                <w:sz w:val="24"/>
                <w:szCs w:val="24"/>
                <w:highlight w:val="none"/>
                <w:lang w:val="en-US" w:eastAsia="zh-CN"/>
              </w:rPr>
              <w:t>）</w:t>
            </w:r>
            <w:r>
              <w:rPr>
                <w:rFonts w:hint="default" w:ascii="Times New Roman" w:hAnsi="Times New Roman" w:eastAsia="宋体" w:cs="Times New Roman"/>
                <w:color w:val="auto"/>
                <w:spacing w:val="4"/>
                <w:sz w:val="24"/>
                <w:szCs w:val="24"/>
                <w:highlight w:val="none"/>
                <w:lang w:val="en-US" w:eastAsia="zh-CN"/>
              </w:rPr>
              <w:t>中环境质量监测数据，监测点位为</w:t>
            </w:r>
            <w:r>
              <w:rPr>
                <w:rFonts w:hint="eastAsia" w:cs="Times New Roman"/>
                <w:color w:val="auto"/>
                <w:spacing w:val="4"/>
                <w:sz w:val="24"/>
                <w:szCs w:val="24"/>
                <w:highlight w:val="none"/>
                <w:lang w:val="en-US" w:eastAsia="zh-CN"/>
              </w:rPr>
              <w:t>前苏村</w:t>
            </w:r>
            <w:r>
              <w:rPr>
                <w:rFonts w:hint="default" w:ascii="Times New Roman" w:hAnsi="Times New Roman" w:eastAsia="宋体" w:cs="Times New Roman"/>
                <w:color w:val="auto"/>
                <w:spacing w:val="4"/>
                <w:sz w:val="24"/>
                <w:szCs w:val="24"/>
                <w:highlight w:val="none"/>
                <w:lang w:val="en-US" w:eastAsia="zh-CN"/>
              </w:rPr>
              <w:t>，</w:t>
            </w:r>
            <w:r>
              <w:rPr>
                <w:rFonts w:hint="eastAsia" w:cs="Times New Roman"/>
                <w:color w:val="auto"/>
                <w:spacing w:val="4"/>
                <w:sz w:val="24"/>
                <w:szCs w:val="24"/>
                <w:highlight w:val="none"/>
                <w:lang w:val="en-US" w:eastAsia="zh-CN"/>
              </w:rPr>
              <w:t>位于本项目东南侧4.5km处，</w:t>
            </w:r>
            <w:r>
              <w:rPr>
                <w:rFonts w:hint="default" w:ascii="Times New Roman" w:hAnsi="Times New Roman" w:eastAsia="宋体" w:cs="Times New Roman"/>
                <w:color w:val="auto"/>
                <w:spacing w:val="4"/>
                <w:sz w:val="24"/>
                <w:szCs w:val="24"/>
                <w:highlight w:val="none"/>
                <w:lang w:val="en-US" w:eastAsia="zh-CN"/>
              </w:rPr>
              <w:t>监测时间为202</w:t>
            </w:r>
            <w:r>
              <w:rPr>
                <w:rFonts w:hint="eastAsia" w:cs="Times New Roman"/>
                <w:color w:val="auto"/>
                <w:spacing w:val="4"/>
                <w:sz w:val="24"/>
                <w:szCs w:val="24"/>
                <w:highlight w:val="none"/>
                <w:lang w:val="en-US" w:eastAsia="zh-CN"/>
              </w:rPr>
              <w:t>5</w:t>
            </w:r>
            <w:r>
              <w:rPr>
                <w:rFonts w:hint="default" w:ascii="Times New Roman" w:hAnsi="Times New Roman" w:eastAsia="宋体" w:cs="Times New Roman"/>
                <w:color w:val="auto"/>
                <w:spacing w:val="4"/>
                <w:sz w:val="24"/>
                <w:szCs w:val="24"/>
                <w:highlight w:val="none"/>
                <w:lang w:val="en-US" w:eastAsia="zh-CN"/>
              </w:rPr>
              <w:t>年</w:t>
            </w:r>
            <w:r>
              <w:rPr>
                <w:rFonts w:hint="eastAsia" w:cs="Times New Roman"/>
                <w:color w:val="auto"/>
                <w:spacing w:val="4"/>
                <w:sz w:val="24"/>
                <w:szCs w:val="24"/>
                <w:highlight w:val="none"/>
                <w:lang w:val="en-US" w:eastAsia="zh-CN"/>
              </w:rPr>
              <w:t>3</w:t>
            </w:r>
            <w:r>
              <w:rPr>
                <w:rFonts w:hint="default" w:ascii="Times New Roman" w:hAnsi="Times New Roman" w:eastAsia="宋体" w:cs="Times New Roman"/>
                <w:color w:val="auto"/>
                <w:spacing w:val="4"/>
                <w:sz w:val="24"/>
                <w:szCs w:val="24"/>
                <w:highlight w:val="none"/>
                <w:lang w:val="en-US" w:eastAsia="zh-CN"/>
              </w:rPr>
              <w:t>月1</w:t>
            </w:r>
            <w:r>
              <w:rPr>
                <w:rFonts w:hint="eastAsia" w:cs="Times New Roman"/>
                <w:color w:val="auto"/>
                <w:spacing w:val="4"/>
                <w:sz w:val="24"/>
                <w:szCs w:val="24"/>
                <w:highlight w:val="none"/>
                <w:lang w:val="en-US" w:eastAsia="zh-CN"/>
              </w:rPr>
              <w:t>1</w:t>
            </w:r>
            <w:r>
              <w:rPr>
                <w:rFonts w:hint="default" w:ascii="Times New Roman" w:hAnsi="Times New Roman" w:eastAsia="宋体" w:cs="Times New Roman"/>
                <w:color w:val="auto"/>
                <w:spacing w:val="4"/>
                <w:sz w:val="24"/>
                <w:szCs w:val="24"/>
                <w:highlight w:val="none"/>
                <w:lang w:val="en-US" w:eastAsia="zh-CN"/>
              </w:rPr>
              <w:t>日-1</w:t>
            </w:r>
            <w:r>
              <w:rPr>
                <w:rFonts w:hint="eastAsia" w:cs="Times New Roman"/>
                <w:color w:val="auto"/>
                <w:spacing w:val="4"/>
                <w:sz w:val="24"/>
                <w:szCs w:val="24"/>
                <w:highlight w:val="none"/>
                <w:lang w:val="en-US" w:eastAsia="zh-CN"/>
              </w:rPr>
              <w:t>3</w:t>
            </w:r>
            <w:r>
              <w:rPr>
                <w:rFonts w:hint="default" w:ascii="Times New Roman" w:hAnsi="Times New Roman" w:eastAsia="宋体" w:cs="Times New Roman"/>
                <w:color w:val="auto"/>
                <w:spacing w:val="4"/>
                <w:sz w:val="24"/>
                <w:szCs w:val="24"/>
                <w:highlight w:val="none"/>
                <w:lang w:val="en-US" w:eastAsia="zh-CN"/>
              </w:rPr>
              <w:t>日</w:t>
            </w:r>
            <w:r>
              <w:rPr>
                <w:rFonts w:hint="eastAsia" w:ascii="Times New Roman" w:hAnsi="Times New Roman" w:eastAsia="宋体" w:cs="Times New Roman"/>
                <w:color w:val="auto"/>
                <w:spacing w:val="4"/>
                <w:sz w:val="24"/>
                <w:szCs w:val="24"/>
                <w:highlight w:val="none"/>
                <w:lang w:val="en-US" w:eastAsia="zh-CN"/>
              </w:rPr>
              <w:t>。</w:t>
            </w:r>
            <w:r>
              <w:rPr>
                <w:rFonts w:hint="default" w:ascii="Times New Roman" w:hAnsi="Times New Roman" w:eastAsia="宋体" w:cs="Times New Roman"/>
                <w:color w:val="auto"/>
                <w:spacing w:val="4"/>
                <w:sz w:val="24"/>
                <w:szCs w:val="24"/>
                <w:highlight w:val="none"/>
                <w:lang w:val="en-US" w:eastAsia="zh-CN"/>
              </w:rPr>
              <w:t>监测结果表明</w:t>
            </w:r>
            <w:r>
              <w:rPr>
                <w:rFonts w:hint="eastAsia" w:ascii="Times New Roman" w:hAnsi="Times New Roman" w:eastAsia="宋体" w:cs="Times New Roman"/>
                <w:color w:val="auto"/>
                <w:spacing w:val="4"/>
                <w:sz w:val="24"/>
                <w:szCs w:val="24"/>
                <w:highlight w:val="none"/>
                <w:lang w:val="en-US" w:eastAsia="zh-CN"/>
              </w:rPr>
              <w:t>，</w:t>
            </w:r>
            <w:r>
              <w:rPr>
                <w:rFonts w:hint="eastAsia" w:cs="Times New Roman"/>
                <w:color w:val="auto"/>
                <w:spacing w:val="4"/>
                <w:sz w:val="24"/>
                <w:szCs w:val="24"/>
                <w:highlight w:val="none"/>
                <w:lang w:val="en-US" w:eastAsia="zh-CN"/>
              </w:rPr>
              <w:t>前苏村</w:t>
            </w:r>
            <w:r>
              <w:rPr>
                <w:rFonts w:hint="default" w:ascii="Times New Roman" w:hAnsi="Times New Roman" w:eastAsia="宋体" w:cs="Times New Roman"/>
                <w:color w:val="auto"/>
                <w:spacing w:val="4"/>
                <w:sz w:val="24"/>
                <w:szCs w:val="24"/>
                <w:highlight w:val="none"/>
                <w:lang w:val="en-US" w:eastAsia="zh-CN"/>
              </w:rPr>
              <w:t>环境空气质量现状TSP日均浓度均能满足《环境空气质量标准》（GB3095-2012）二级标准限值要求。</w:t>
            </w:r>
          </w:p>
          <w:p>
            <w:pPr>
              <w:spacing w:line="480" w:lineRule="exact"/>
              <w:ind w:firstLine="480" w:firstLineChars="200"/>
              <w:rPr>
                <w:color w:val="auto"/>
                <w:sz w:val="24"/>
                <w:szCs w:val="24"/>
                <w:highlight w:val="none"/>
              </w:rPr>
            </w:pPr>
            <w:r>
              <w:rPr>
                <w:rFonts w:hint="eastAsia"/>
                <w:color w:val="auto"/>
                <w:sz w:val="24"/>
                <w:szCs w:val="24"/>
                <w:highlight w:val="none"/>
              </w:rPr>
              <w:t>声环境：本项目厂界外50m范围内无声环境敏感点</w:t>
            </w:r>
            <w:r>
              <w:rPr>
                <w:rFonts w:hint="eastAsia"/>
                <w:color w:val="auto"/>
                <w:sz w:val="24"/>
                <w:szCs w:val="24"/>
                <w:highlight w:val="none"/>
                <w:lang w:eastAsia="zh-CN"/>
              </w:rPr>
              <w:t>，</w:t>
            </w:r>
            <w:r>
              <w:rPr>
                <w:rFonts w:hint="eastAsia"/>
                <w:color w:val="auto"/>
                <w:sz w:val="24"/>
                <w:szCs w:val="24"/>
                <w:highlight w:val="none"/>
              </w:rPr>
              <w:t>因此，本次评价未对项目厂界及声环境敏感点噪声进行监测。</w:t>
            </w:r>
          </w:p>
          <w:p>
            <w:pPr>
              <w:pStyle w:val="6"/>
              <w:keepNext/>
              <w:keepLines/>
              <w:pageBreakBefore w:val="0"/>
              <w:widowControl/>
              <w:suppressLineNumbers w:val="0"/>
              <w:kinsoku/>
              <w:wordWrap/>
              <w:overflowPunct/>
              <w:topLinePunct w:val="0"/>
              <w:autoSpaceDE/>
              <w:autoSpaceDN/>
              <w:bidi w:val="0"/>
              <w:adjustRightInd/>
              <w:snapToGrid/>
              <w:spacing w:before="0" w:beforeLines="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地表水：距离本项目最近的地表水体为厂址东北侧0.8km的交川水河。交川水河向南蜿蜒最终汇入绛河。根据《山西省地表水水环境功能区划》（DB14/67-2019），本项目临近的绛河位于“屯绛水库-入南源”段，距本项目距离最近断面为司徒桥监测断面，该断面水环境功能为工农业用水保护，执行《地表水环境质量标准》（GB3838-2002）</w:t>
            </w:r>
            <w:r>
              <w:rPr>
                <w:rFonts w:hint="default" w:ascii="Times New Roman" w:hAnsi="Times New Roman" w:eastAsia="宋体" w:cs="Times New Roman"/>
                <w:b w:val="0"/>
                <w:bCs w:val="0"/>
                <w:color w:val="auto"/>
                <w:kern w:val="2"/>
                <w:sz w:val="24"/>
                <w:szCs w:val="24"/>
                <w:highlight w:val="none"/>
                <w:lang w:val="en-US" w:eastAsia="zh-CN" w:bidi="ar-SA"/>
              </w:rPr>
              <w:t>Ⅲ</w:t>
            </w:r>
            <w:r>
              <w:rPr>
                <w:rFonts w:hint="eastAsia" w:ascii="Times New Roman" w:hAnsi="Times New Roman" w:eastAsia="宋体" w:cs="Times New Roman"/>
                <w:b w:val="0"/>
                <w:bCs w:val="0"/>
                <w:color w:val="auto"/>
                <w:kern w:val="2"/>
                <w:sz w:val="24"/>
                <w:szCs w:val="24"/>
                <w:highlight w:val="none"/>
                <w:lang w:val="en-US" w:eastAsia="zh-CN" w:bidi="ar-SA"/>
              </w:rPr>
              <w:t>类标准。</w:t>
            </w:r>
          </w:p>
          <w:p>
            <w:pPr>
              <w:pStyle w:val="6"/>
              <w:keepNext/>
              <w:keepLines/>
              <w:pageBreakBefore w:val="0"/>
              <w:widowControl/>
              <w:suppressLineNumbers w:val="0"/>
              <w:kinsoku/>
              <w:wordWrap/>
              <w:overflowPunct/>
              <w:topLinePunct w:val="0"/>
              <w:autoSpaceDE/>
              <w:autoSpaceDN/>
              <w:bidi w:val="0"/>
              <w:adjustRightInd/>
              <w:snapToGrid/>
              <w:spacing w:before="0" w:beforeLines="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根据《2024年1-12月份及12月地表水断面水质状况表》可知</w:t>
            </w:r>
            <w:r>
              <w:rPr>
                <w:rFonts w:hint="default" w:ascii="Times New Roman" w:hAnsi="Times New Roman" w:eastAsia="宋体" w:cs="Times New Roman"/>
                <w:b w:val="0"/>
                <w:bCs w:val="0"/>
                <w:color w:val="auto"/>
                <w:kern w:val="2"/>
                <w:sz w:val="24"/>
                <w:szCs w:val="24"/>
                <w:highlight w:val="none"/>
                <w:lang w:val="en-US" w:eastAsia="zh-CN" w:bidi="ar-SA"/>
              </w:rPr>
              <w:t>，2024年司徒桥监测断面</w:t>
            </w:r>
            <w:r>
              <w:rPr>
                <w:rFonts w:hint="default" w:ascii="Times New Roman" w:hAnsi="Times New Roman" w:eastAsia="宋体" w:cs="Times New Roman"/>
                <w:b w:val="0"/>
                <w:bCs w:val="0"/>
                <w:color w:val="auto"/>
                <w:sz w:val="24"/>
                <w:szCs w:val="24"/>
                <w:highlight w:val="none"/>
                <w:lang w:val="en-US" w:eastAsia="zh-CN"/>
              </w:rPr>
              <w:t>1-12月水质类别为</w:t>
            </w:r>
            <w:r>
              <w:rPr>
                <w:rFonts w:hint="default" w:ascii="Times New Roman" w:hAnsi="Times New Roman" w:eastAsia="宋体" w:cs="Times New Roman"/>
                <w:b w:val="0"/>
                <w:bCs w:val="0"/>
                <w:color w:val="auto"/>
                <w:kern w:val="2"/>
                <w:sz w:val="24"/>
                <w:szCs w:val="24"/>
                <w:highlight w:val="none"/>
                <w:lang w:val="en-US" w:eastAsia="zh-CN" w:bidi="ar-SA"/>
              </w:rPr>
              <w:t>Ⅲ类，</w:t>
            </w:r>
            <w:r>
              <w:rPr>
                <w:rFonts w:hint="eastAsia" w:ascii="Times New Roman" w:hAnsi="Times New Roman" w:eastAsia="宋体" w:cs="Times New Roman"/>
                <w:b w:val="0"/>
                <w:bCs w:val="0"/>
                <w:color w:val="auto"/>
                <w:kern w:val="2"/>
                <w:sz w:val="24"/>
                <w:szCs w:val="24"/>
                <w:highlight w:val="none"/>
                <w:lang w:val="en-US" w:eastAsia="zh-CN" w:bidi="ar-SA"/>
              </w:rPr>
              <w:t>满足《地表水环境质量标准》（GB3838-2002）Ⅲ类标准要求。本项目运营期废水均能综合利用，无废水外排，不会对区域水环境造成不良影响。</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本项目投产并采取本报告规定的环保措施后，本项目对区域环境质量影响很小。因此本项目建设不会明显增加对区域环境的压力，符合区域环境质量控制的要求。</w:t>
            </w:r>
          </w:p>
          <w:p>
            <w:pPr>
              <w:adjustRightInd w:val="0"/>
              <w:snapToGrid w:val="0"/>
              <w:spacing w:line="480" w:lineRule="exact"/>
              <w:ind w:firstLine="482" w:firstLineChars="200"/>
              <w:rPr>
                <w:rFonts w:hint="eastAsia"/>
                <w:b/>
                <w:bCs w:val="0"/>
                <w:color w:val="auto"/>
                <w:sz w:val="24"/>
                <w:szCs w:val="24"/>
                <w:highlight w:val="none"/>
              </w:rPr>
            </w:pPr>
            <w:r>
              <w:rPr>
                <w:b/>
                <w:bCs w:val="0"/>
                <w:color w:val="auto"/>
                <w:sz w:val="24"/>
                <w:szCs w:val="24"/>
                <w:highlight w:val="none"/>
              </w:rPr>
              <w:t>3</w:t>
            </w:r>
            <w:r>
              <w:rPr>
                <w:rFonts w:hint="eastAsia"/>
                <w:b/>
                <w:bCs w:val="0"/>
                <w:color w:val="auto"/>
                <w:sz w:val="24"/>
                <w:szCs w:val="24"/>
                <w:highlight w:val="none"/>
                <w:lang w:val="en-US" w:eastAsia="zh-CN"/>
              </w:rPr>
              <w:t>.</w:t>
            </w:r>
            <w:r>
              <w:rPr>
                <w:rFonts w:hint="eastAsia"/>
                <w:b/>
                <w:bCs w:val="0"/>
                <w:color w:val="auto"/>
                <w:sz w:val="24"/>
                <w:szCs w:val="24"/>
                <w:highlight w:val="none"/>
              </w:rPr>
              <w:t>资源利用上线符合性分析</w:t>
            </w:r>
          </w:p>
          <w:p>
            <w:pPr>
              <w:adjustRightInd w:val="0"/>
              <w:snapToGrid w:val="0"/>
              <w:spacing w:line="480" w:lineRule="exact"/>
              <w:ind w:firstLine="480" w:firstLineChars="200"/>
              <w:rPr>
                <w:color w:val="auto"/>
                <w:sz w:val="24"/>
                <w:szCs w:val="24"/>
                <w:highlight w:val="none"/>
              </w:rPr>
            </w:pPr>
            <w:r>
              <w:rPr>
                <w:rFonts w:hint="eastAsia" w:ascii="Times New Roman" w:hAnsi="Times New Roman" w:eastAsia="宋体" w:cs="宋体"/>
                <w:color w:val="auto"/>
                <w:kern w:val="2"/>
                <w:sz w:val="24"/>
                <w:szCs w:val="24"/>
                <w:highlight w:val="none"/>
                <w:lang w:val="en-US" w:eastAsia="zh-CN" w:bidi="ar"/>
              </w:rPr>
              <w:t>本项目用地属于</w:t>
            </w:r>
            <w:r>
              <w:rPr>
                <w:rFonts w:hint="eastAsia" w:ascii="Times New Roman" w:hAnsi="Times New Roman" w:cs="宋体"/>
                <w:color w:val="auto"/>
                <w:kern w:val="2"/>
                <w:sz w:val="24"/>
                <w:szCs w:val="24"/>
                <w:highlight w:val="none"/>
                <w:lang w:val="en-US" w:eastAsia="zh-CN" w:bidi="ar"/>
              </w:rPr>
              <w:t>工业</w:t>
            </w:r>
            <w:r>
              <w:rPr>
                <w:rFonts w:hint="eastAsia" w:ascii="Times New Roman" w:hAnsi="Times New Roman" w:eastAsia="宋体" w:cs="宋体"/>
                <w:color w:val="auto"/>
                <w:kern w:val="2"/>
                <w:sz w:val="24"/>
                <w:szCs w:val="24"/>
                <w:highlight w:val="none"/>
                <w:lang w:val="en-US" w:eastAsia="zh-CN" w:bidi="ar"/>
              </w:rPr>
              <w:t>用地，不涉及基本农田。</w:t>
            </w:r>
            <w:r>
              <w:rPr>
                <w:color w:val="auto"/>
                <w:sz w:val="24"/>
                <w:szCs w:val="24"/>
                <w:highlight w:val="none"/>
              </w:rPr>
              <w:t>本项目生产过程中所用的</w:t>
            </w:r>
            <w:r>
              <w:rPr>
                <w:rFonts w:hint="eastAsia"/>
                <w:color w:val="auto"/>
                <w:sz w:val="24"/>
                <w:szCs w:val="24"/>
                <w:highlight w:val="none"/>
              </w:rPr>
              <w:t>能耗</w:t>
            </w:r>
            <w:r>
              <w:rPr>
                <w:color w:val="auto"/>
                <w:sz w:val="24"/>
                <w:szCs w:val="24"/>
                <w:highlight w:val="none"/>
              </w:rPr>
              <w:t>资源主要为水资源、电能，不属于高水耗、高能耗的产业。项目建成后通过内部管理、设备选择、原辅材料的选用和管理、废物回收利用、污染治理等方面采取合理可行的防治措施，以“节能、降耗、减污”为目标，有效控制污染。不会因本项目的建设而突破区域的资源利用上线。</w:t>
            </w:r>
            <w:r>
              <w:rPr>
                <w:rFonts w:hint="eastAsia"/>
                <w:color w:val="auto"/>
                <w:sz w:val="24"/>
                <w:szCs w:val="24"/>
                <w:highlight w:val="none"/>
              </w:rPr>
              <w:t>项目主要原料为</w:t>
            </w:r>
            <w:r>
              <w:rPr>
                <w:rFonts w:hint="eastAsia"/>
                <w:color w:val="auto"/>
                <w:sz w:val="24"/>
                <w:szCs w:val="24"/>
                <w:highlight w:val="none"/>
                <w:lang w:val="en-US" w:eastAsia="zh-CN"/>
              </w:rPr>
              <w:t>煤</w:t>
            </w:r>
            <w:r>
              <w:rPr>
                <w:rFonts w:hint="eastAsia"/>
                <w:color w:val="auto"/>
                <w:sz w:val="24"/>
                <w:szCs w:val="24"/>
                <w:highlight w:val="none"/>
              </w:rPr>
              <w:t>矸石，做到了废弃资源综合利用。</w:t>
            </w:r>
          </w:p>
          <w:p>
            <w:pPr>
              <w:adjustRightInd w:val="0"/>
              <w:snapToGrid w:val="0"/>
              <w:spacing w:line="480" w:lineRule="exact"/>
              <w:ind w:firstLine="482" w:firstLineChars="200"/>
              <w:rPr>
                <w:b/>
                <w:bCs w:val="0"/>
                <w:color w:val="auto"/>
                <w:sz w:val="24"/>
                <w:szCs w:val="24"/>
                <w:highlight w:val="none"/>
              </w:rPr>
            </w:pPr>
            <w:r>
              <w:rPr>
                <w:b/>
                <w:bCs w:val="0"/>
                <w:color w:val="auto"/>
                <w:sz w:val="24"/>
                <w:szCs w:val="24"/>
                <w:highlight w:val="none"/>
              </w:rPr>
              <w:t>4</w:t>
            </w:r>
            <w:r>
              <w:rPr>
                <w:rFonts w:hint="eastAsia"/>
                <w:b/>
                <w:bCs w:val="0"/>
                <w:color w:val="auto"/>
                <w:sz w:val="24"/>
                <w:szCs w:val="24"/>
                <w:highlight w:val="none"/>
                <w:lang w:val="en-US" w:eastAsia="zh-CN"/>
              </w:rPr>
              <w:t>.</w:t>
            </w:r>
            <w:r>
              <w:rPr>
                <w:rFonts w:hint="eastAsia"/>
                <w:b/>
                <w:bCs w:val="0"/>
                <w:color w:val="auto"/>
                <w:sz w:val="24"/>
                <w:szCs w:val="24"/>
                <w:highlight w:val="none"/>
              </w:rPr>
              <w:t>生态环境准入清单符合性分析</w:t>
            </w:r>
          </w:p>
          <w:p>
            <w:pPr>
              <w:pStyle w:val="25"/>
              <w:snapToGrid w:val="0"/>
              <w:spacing w:line="480" w:lineRule="exact"/>
              <w:ind w:firstLine="480" w:firstLineChars="200"/>
              <w:jc w:val="both"/>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根据</w:t>
            </w:r>
            <w:r>
              <w:rPr>
                <w:rFonts w:hint="eastAsia" w:ascii="Times New Roman" w:hAnsi="Times New Roman" w:eastAsia="宋体"/>
                <w:color w:val="auto"/>
                <w:sz w:val="24"/>
                <w:szCs w:val="24"/>
                <w:highlight w:val="none"/>
                <w:lang w:val="en-US" w:eastAsia="zh-CN"/>
              </w:rPr>
              <w:t>表1</w:t>
            </w:r>
            <w:r>
              <w:rPr>
                <w:rFonts w:hint="eastAsia" w:ascii="Times New Roman" w:hAnsi="Times New Roman"/>
                <w:color w:val="auto"/>
                <w:sz w:val="24"/>
                <w:szCs w:val="24"/>
                <w:highlight w:val="none"/>
                <w:lang w:val="en-US" w:eastAsia="zh-CN"/>
              </w:rPr>
              <w:t>-3、表1-4、</w:t>
            </w:r>
            <w:r>
              <w:rPr>
                <w:rFonts w:hint="eastAsia" w:ascii="Times New Roman" w:hAnsi="Times New Roman" w:eastAsia="宋体"/>
                <w:color w:val="auto"/>
                <w:sz w:val="24"/>
                <w:szCs w:val="24"/>
                <w:highlight w:val="none"/>
                <w:lang w:val="en-US" w:eastAsia="zh-CN"/>
              </w:rPr>
              <w:t>表1-</w:t>
            </w:r>
            <w:r>
              <w:rPr>
                <w:rFonts w:hint="eastAsia" w:ascii="Times New Roman" w:hAnsi="Times New Roman"/>
                <w:color w:val="auto"/>
                <w:sz w:val="24"/>
                <w:szCs w:val="24"/>
                <w:highlight w:val="none"/>
                <w:lang w:val="en-US" w:eastAsia="zh-CN"/>
              </w:rPr>
              <w:t>5</w:t>
            </w:r>
            <w:r>
              <w:rPr>
                <w:rFonts w:hint="eastAsia" w:ascii="Times New Roman" w:hAnsi="Times New Roman" w:eastAsia="宋体"/>
                <w:color w:val="auto"/>
                <w:sz w:val="24"/>
                <w:szCs w:val="24"/>
                <w:highlight w:val="none"/>
                <w:lang w:val="en-US" w:eastAsia="zh-CN"/>
              </w:rPr>
              <w:t>符合性分析，本项目符合长治市生态环境准入、长治市浊漳河流域生态环境准入、长治市辛安泉域生态环境准入要求。</w:t>
            </w:r>
          </w:p>
          <w:p>
            <w:pPr>
              <w:pStyle w:val="25"/>
              <w:snapToGrid w:val="0"/>
              <w:spacing w:line="480" w:lineRule="exact"/>
              <w:ind w:firstLine="480" w:firstLineChars="20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综上所述，本项目的建设不违背国家“三线一单”的管控原则。</w:t>
            </w:r>
          </w:p>
          <w:p>
            <w:pPr>
              <w:pStyle w:val="25"/>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baseline"/>
              <w:rPr>
                <w:rFonts w:ascii="Times New Roman" w:hAnsi="Times New Roman" w:eastAsia="宋体"/>
                <w:b/>
                <w:color w:val="auto"/>
                <w:kern w:val="2"/>
                <w:sz w:val="24"/>
                <w:szCs w:val="24"/>
                <w:highlight w:val="none"/>
              </w:rPr>
            </w:pPr>
            <w:r>
              <w:rPr>
                <w:rFonts w:hint="eastAsia" w:hAnsi="Times New Roman"/>
                <w:b/>
                <w:color w:val="auto"/>
                <w:kern w:val="2"/>
                <w:sz w:val="24"/>
                <w:szCs w:val="24"/>
                <w:highlight w:val="none"/>
                <w:lang w:val="en-US" w:eastAsia="zh-CN"/>
              </w:rPr>
              <w:t>三</w:t>
            </w:r>
            <w:r>
              <w:rPr>
                <w:rFonts w:ascii="Times New Roman" w:hAnsi="Times New Roman" w:eastAsia="宋体"/>
                <w:b/>
                <w:color w:val="auto"/>
                <w:kern w:val="2"/>
                <w:sz w:val="24"/>
                <w:szCs w:val="24"/>
                <w:highlight w:val="none"/>
              </w:rPr>
              <w:t>、与相关生态环境保护法律法规政策、生态环境保护规划的符合性分析</w:t>
            </w:r>
          </w:p>
          <w:p>
            <w:pPr>
              <w:autoSpaceDE w:val="0"/>
              <w:autoSpaceDN w:val="0"/>
              <w:adjustRightInd w:val="0"/>
              <w:snapToGrid w:val="0"/>
              <w:spacing w:line="480" w:lineRule="exact"/>
              <w:ind w:firstLine="482" w:firstLineChars="200"/>
              <w:rPr>
                <w:b/>
                <w:bCs/>
                <w:color w:val="auto"/>
                <w:sz w:val="24"/>
                <w:szCs w:val="24"/>
                <w:highlight w:val="none"/>
              </w:rPr>
            </w:pPr>
            <w:r>
              <w:rPr>
                <w:b/>
                <w:bCs/>
                <w:color w:val="auto"/>
                <w:sz w:val="24"/>
                <w:szCs w:val="24"/>
                <w:highlight w:val="none"/>
              </w:rPr>
              <w:t>1</w:t>
            </w:r>
            <w:r>
              <w:rPr>
                <w:rFonts w:hint="eastAsia"/>
                <w:b/>
                <w:bCs/>
                <w:color w:val="auto"/>
                <w:sz w:val="24"/>
                <w:szCs w:val="24"/>
                <w:highlight w:val="none"/>
                <w:lang w:val="en-US" w:eastAsia="zh-CN"/>
              </w:rPr>
              <w:t>.</w:t>
            </w:r>
            <w:r>
              <w:rPr>
                <w:b/>
                <w:bCs/>
                <w:color w:val="auto"/>
                <w:sz w:val="24"/>
                <w:szCs w:val="24"/>
                <w:highlight w:val="none"/>
              </w:rPr>
              <w:t>与区域水源地保护区符合性分析</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（1）</w:t>
            </w:r>
            <w:bookmarkStart w:id="4" w:name="_Hlk82075314"/>
            <w:r>
              <w:rPr>
                <w:rFonts w:hint="eastAsia"/>
                <w:color w:val="auto"/>
                <w:sz w:val="24"/>
                <w:szCs w:val="24"/>
                <w:highlight w:val="none"/>
              </w:rPr>
              <w:t>县城集中饮用水源地</w:t>
            </w:r>
            <w:bookmarkEnd w:id="4"/>
          </w:p>
          <w:p>
            <w:pPr>
              <w:spacing w:line="480" w:lineRule="exact"/>
              <w:ind w:firstLine="480" w:firstLineChars="200"/>
              <w:rPr>
                <w:rFonts w:hint="eastAsia"/>
                <w:color w:val="auto"/>
                <w:sz w:val="24"/>
                <w:szCs w:val="24"/>
                <w:highlight w:val="none"/>
              </w:rPr>
            </w:pPr>
            <w:r>
              <w:rPr>
                <w:color w:val="auto"/>
                <w:sz w:val="24"/>
                <w:szCs w:val="24"/>
                <w:highlight w:val="none"/>
              </w:rPr>
              <w:t>根据《屯留县城水源地保护区划分技术报告》，屯留县有席店和屯降两处水源地保护区。席店水源地保护区范围为东自郭村西一线，西自刘家坪西南一线，北起刘家坪南一线，南到罗庄席店东一线，由以上圈点的面积为1.85km</w:t>
            </w:r>
            <w:r>
              <w:rPr>
                <w:color w:val="auto"/>
                <w:sz w:val="24"/>
                <w:szCs w:val="24"/>
                <w:highlight w:val="none"/>
                <w:vertAlign w:val="superscript"/>
              </w:rPr>
              <w:t>2</w:t>
            </w:r>
            <w:r>
              <w:rPr>
                <w:color w:val="auto"/>
                <w:sz w:val="24"/>
                <w:szCs w:val="24"/>
                <w:highlight w:val="none"/>
              </w:rPr>
              <w:t>。屯降水库水源地保护区范围为屯降水库水面及水库上游1000m的水面和陆面。厂址位置距离席店和屯降两处水源地保护区分别为7.</w:t>
            </w:r>
            <w:r>
              <w:rPr>
                <w:rFonts w:hint="eastAsia"/>
                <w:color w:val="auto"/>
                <w:sz w:val="24"/>
                <w:szCs w:val="24"/>
                <w:highlight w:val="none"/>
                <w:lang w:val="en-US" w:eastAsia="zh-CN"/>
              </w:rPr>
              <w:t>2</w:t>
            </w:r>
            <w:r>
              <w:rPr>
                <w:color w:val="auto"/>
                <w:sz w:val="24"/>
                <w:szCs w:val="24"/>
                <w:highlight w:val="none"/>
              </w:rPr>
              <w:t>km和1</w:t>
            </w:r>
            <w:r>
              <w:rPr>
                <w:rFonts w:hint="eastAsia"/>
                <w:color w:val="auto"/>
                <w:sz w:val="24"/>
                <w:szCs w:val="24"/>
                <w:highlight w:val="none"/>
                <w:lang w:val="en-US" w:eastAsia="zh-CN"/>
              </w:rPr>
              <w:t>3.5</w:t>
            </w:r>
            <w:r>
              <w:rPr>
                <w:color w:val="auto"/>
                <w:sz w:val="24"/>
                <w:szCs w:val="24"/>
                <w:highlight w:val="none"/>
              </w:rPr>
              <w:t>km，不会对水源地造成影响。</w:t>
            </w:r>
            <w:r>
              <w:rPr>
                <w:rFonts w:hint="eastAsia"/>
                <w:color w:val="auto"/>
                <w:sz w:val="24"/>
                <w:szCs w:val="24"/>
                <w:highlight w:val="none"/>
              </w:rPr>
              <w:t>本项目与屯留区</w:t>
            </w:r>
            <w:r>
              <w:rPr>
                <w:color w:val="auto"/>
                <w:sz w:val="24"/>
                <w:szCs w:val="24"/>
                <w:highlight w:val="none"/>
              </w:rPr>
              <w:t>县城水源地保护区</w:t>
            </w:r>
            <w:r>
              <w:rPr>
                <w:rFonts w:hint="eastAsia"/>
                <w:color w:val="auto"/>
                <w:sz w:val="24"/>
                <w:szCs w:val="24"/>
                <w:highlight w:val="none"/>
              </w:rPr>
              <w:t>相对位置关系图见附图</w:t>
            </w:r>
            <w:r>
              <w:rPr>
                <w:rFonts w:hint="eastAsia"/>
                <w:color w:val="auto"/>
                <w:sz w:val="24"/>
                <w:szCs w:val="24"/>
                <w:highlight w:val="none"/>
                <w:lang w:val="en-US" w:eastAsia="zh-CN"/>
              </w:rPr>
              <w:t>5</w:t>
            </w:r>
            <w:r>
              <w:rPr>
                <w:rFonts w:hint="eastAsia"/>
                <w:color w:val="auto"/>
                <w:sz w:val="24"/>
                <w:szCs w:val="24"/>
                <w:highlight w:val="none"/>
              </w:rPr>
              <w:t>。</w:t>
            </w:r>
          </w:p>
          <w:p>
            <w:pPr>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rPr>
              <w:t>2</w:t>
            </w:r>
            <w:r>
              <w:rPr>
                <w:color w:val="auto"/>
                <w:sz w:val="24"/>
                <w:szCs w:val="24"/>
                <w:highlight w:val="none"/>
              </w:rPr>
              <w:t>）</w:t>
            </w:r>
            <w:r>
              <w:rPr>
                <w:rFonts w:hint="eastAsia"/>
                <w:color w:val="auto"/>
                <w:sz w:val="24"/>
                <w:szCs w:val="24"/>
                <w:highlight w:val="none"/>
              </w:rPr>
              <w:t>乡镇</w:t>
            </w:r>
            <w:r>
              <w:rPr>
                <w:color w:val="auto"/>
                <w:sz w:val="24"/>
                <w:szCs w:val="24"/>
                <w:highlight w:val="none"/>
              </w:rPr>
              <w:t>集中饮用水源地</w:t>
            </w:r>
          </w:p>
          <w:p>
            <w:pPr>
              <w:spacing w:line="480" w:lineRule="exact"/>
              <w:ind w:firstLine="480" w:firstLineChars="200"/>
              <w:rPr>
                <w:color w:val="auto"/>
                <w:sz w:val="24"/>
                <w:szCs w:val="24"/>
                <w:highlight w:val="none"/>
              </w:rPr>
            </w:pPr>
            <w:r>
              <w:rPr>
                <w:color w:val="auto"/>
                <w:sz w:val="24"/>
                <w:szCs w:val="24"/>
                <w:highlight w:val="none"/>
              </w:rPr>
              <w:t>屯留</w:t>
            </w:r>
            <w:r>
              <w:rPr>
                <w:rFonts w:hint="eastAsia"/>
                <w:color w:val="auto"/>
                <w:sz w:val="24"/>
                <w:szCs w:val="24"/>
                <w:highlight w:val="none"/>
              </w:rPr>
              <w:t>区</w:t>
            </w:r>
            <w:r>
              <w:rPr>
                <w:color w:val="auto"/>
                <w:sz w:val="24"/>
                <w:szCs w:val="24"/>
                <w:highlight w:val="none"/>
              </w:rPr>
              <w:t>共有10个乡镇集中饮用水水源地，其中有8个乡镇集中供水水源地，2个开发区集中供水水源地，均为地下水型水源地，开采地下水类型包括岩溶裂隙水、砂岩裂隙水、第四系孔隙水，承压水和潜水类型均有。</w:t>
            </w:r>
          </w:p>
          <w:p>
            <w:pPr>
              <w:spacing w:line="480" w:lineRule="exact"/>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w:t>
            </w:r>
            <w:r>
              <w:rPr>
                <w:rFonts w:hint="eastAsia" w:ascii="Times New Roman" w:hAnsi="Times New Roman" w:eastAsia="宋体" w:cs="Times New Roman"/>
                <w:b/>
                <w:bCs/>
                <w:color w:val="auto"/>
                <w:kern w:val="0"/>
                <w:sz w:val="21"/>
                <w:szCs w:val="21"/>
                <w:highlight w:val="none"/>
                <w:lang w:val="en-US" w:eastAsia="zh-CN" w:bidi="ar-SA"/>
              </w:rPr>
              <w:t>1</w:t>
            </w:r>
            <w:r>
              <w:rPr>
                <w:rFonts w:hint="default" w:ascii="Times New Roman" w:hAnsi="Times New Roman" w:eastAsia="宋体" w:cs="Times New Roman"/>
                <w:b/>
                <w:bCs/>
                <w:color w:val="auto"/>
                <w:kern w:val="0"/>
                <w:sz w:val="21"/>
                <w:szCs w:val="21"/>
                <w:highlight w:val="none"/>
                <w:lang w:val="en-US" w:eastAsia="zh-CN" w:bidi="ar-SA"/>
              </w:rPr>
              <w:t>-</w:t>
            </w:r>
            <w:r>
              <w:rPr>
                <w:rFonts w:hint="eastAsia" w:ascii="Times New Roman" w:hAnsi="Times New Roman" w:eastAsia="宋体" w:cs="Times New Roman"/>
                <w:b/>
                <w:bCs/>
                <w:color w:val="auto"/>
                <w:kern w:val="0"/>
                <w:sz w:val="21"/>
                <w:szCs w:val="21"/>
                <w:highlight w:val="none"/>
                <w:lang w:val="en-US" w:eastAsia="zh-CN" w:bidi="ar-SA"/>
              </w:rPr>
              <w:t xml:space="preserve">6 </w:t>
            </w:r>
            <w:r>
              <w:rPr>
                <w:rFonts w:hint="default" w:ascii="Times New Roman" w:hAnsi="Times New Roman" w:eastAsia="宋体" w:cs="Times New Roman"/>
                <w:b/>
                <w:bCs/>
                <w:color w:val="auto"/>
                <w:kern w:val="0"/>
                <w:sz w:val="21"/>
                <w:szCs w:val="21"/>
                <w:highlight w:val="none"/>
                <w:lang w:val="en-US" w:eastAsia="zh-CN" w:bidi="ar-SA"/>
              </w:rPr>
              <w:t xml:space="preserve"> 屯留县各乡镇集中供水水源地位置及一级保护区范围</w:t>
            </w:r>
          </w:p>
          <w:tbl>
            <w:tblPr>
              <w:tblStyle w:val="28"/>
              <w:tblW w:w="4998" w:type="pct"/>
              <w:tblInd w:w="3"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759"/>
              <w:gridCol w:w="1320"/>
              <w:gridCol w:w="1651"/>
              <w:gridCol w:w="1226"/>
              <w:gridCol w:w="135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vMerge w:val="restart"/>
                  <w:noWrap w:val="0"/>
                  <w:vAlign w:val="center"/>
                </w:tcPr>
                <w:p>
                  <w:pPr>
                    <w:pStyle w:val="126"/>
                    <w:spacing w:line="240" w:lineRule="auto"/>
                    <w:rPr>
                      <w:rFonts w:ascii="Times New Roman"/>
                      <w:b/>
                      <w:color w:val="auto"/>
                      <w:sz w:val="21"/>
                      <w:szCs w:val="21"/>
                      <w:highlight w:val="none"/>
                    </w:rPr>
                  </w:pPr>
                  <w:r>
                    <w:rPr>
                      <w:rFonts w:ascii="Times New Roman" w:hAnsi="宋体"/>
                      <w:b/>
                      <w:color w:val="auto"/>
                      <w:sz w:val="21"/>
                      <w:szCs w:val="21"/>
                      <w:highlight w:val="none"/>
                    </w:rPr>
                    <w:t>水源地名称</w:t>
                  </w:r>
                </w:p>
              </w:tc>
              <w:tc>
                <w:tcPr>
                  <w:tcW w:w="795" w:type="pct"/>
                  <w:vMerge w:val="restart"/>
                  <w:noWrap w:val="0"/>
                  <w:vAlign w:val="center"/>
                </w:tcPr>
                <w:p>
                  <w:pPr>
                    <w:pStyle w:val="126"/>
                    <w:spacing w:line="240" w:lineRule="auto"/>
                    <w:rPr>
                      <w:rFonts w:ascii="Times New Roman"/>
                      <w:b/>
                      <w:color w:val="auto"/>
                      <w:sz w:val="21"/>
                      <w:szCs w:val="21"/>
                      <w:highlight w:val="none"/>
                    </w:rPr>
                  </w:pPr>
                  <w:r>
                    <w:rPr>
                      <w:rFonts w:ascii="Times New Roman" w:hAnsi="宋体"/>
                      <w:b/>
                      <w:color w:val="auto"/>
                      <w:sz w:val="21"/>
                      <w:szCs w:val="21"/>
                      <w:highlight w:val="none"/>
                    </w:rPr>
                    <w:t>经度</w:t>
                  </w:r>
                </w:p>
              </w:tc>
              <w:tc>
                <w:tcPr>
                  <w:tcW w:w="993" w:type="pct"/>
                  <w:vMerge w:val="restart"/>
                  <w:noWrap w:val="0"/>
                  <w:vAlign w:val="center"/>
                </w:tcPr>
                <w:p>
                  <w:pPr>
                    <w:pStyle w:val="126"/>
                    <w:spacing w:line="240" w:lineRule="auto"/>
                    <w:rPr>
                      <w:rFonts w:ascii="Times New Roman"/>
                      <w:b/>
                      <w:color w:val="auto"/>
                      <w:sz w:val="21"/>
                      <w:szCs w:val="21"/>
                      <w:highlight w:val="none"/>
                    </w:rPr>
                  </w:pPr>
                  <w:r>
                    <w:rPr>
                      <w:rFonts w:ascii="Times New Roman" w:hAnsi="宋体"/>
                      <w:b/>
                      <w:color w:val="auto"/>
                      <w:sz w:val="21"/>
                      <w:szCs w:val="21"/>
                      <w:highlight w:val="none"/>
                    </w:rPr>
                    <w:t>纬度</w:t>
                  </w:r>
                </w:p>
              </w:tc>
              <w:tc>
                <w:tcPr>
                  <w:tcW w:w="1550" w:type="pct"/>
                  <w:gridSpan w:val="2"/>
                  <w:noWrap w:val="0"/>
                  <w:vAlign w:val="center"/>
                </w:tcPr>
                <w:p>
                  <w:pPr>
                    <w:pStyle w:val="126"/>
                    <w:spacing w:line="240" w:lineRule="auto"/>
                    <w:rPr>
                      <w:rFonts w:ascii="Times New Roman"/>
                      <w:b/>
                      <w:color w:val="auto"/>
                      <w:sz w:val="21"/>
                      <w:szCs w:val="21"/>
                      <w:highlight w:val="none"/>
                    </w:rPr>
                  </w:pPr>
                  <w:r>
                    <w:rPr>
                      <w:rFonts w:ascii="Times New Roman" w:hAnsi="宋体"/>
                      <w:b/>
                      <w:color w:val="auto"/>
                      <w:sz w:val="21"/>
                      <w:szCs w:val="21"/>
                      <w:highlight w:val="none"/>
                    </w:rPr>
                    <w:t>一级保护区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vMerge w:val="continue"/>
                  <w:noWrap w:val="0"/>
                  <w:vAlign w:val="center"/>
                </w:tcPr>
                <w:p>
                  <w:pPr>
                    <w:pStyle w:val="126"/>
                    <w:spacing w:line="240" w:lineRule="auto"/>
                    <w:rPr>
                      <w:rFonts w:ascii="Times New Roman"/>
                      <w:b/>
                      <w:color w:val="auto"/>
                      <w:sz w:val="21"/>
                      <w:szCs w:val="21"/>
                      <w:highlight w:val="none"/>
                    </w:rPr>
                  </w:pPr>
                </w:p>
              </w:tc>
              <w:tc>
                <w:tcPr>
                  <w:tcW w:w="795" w:type="pct"/>
                  <w:vMerge w:val="continue"/>
                  <w:noWrap w:val="0"/>
                  <w:vAlign w:val="center"/>
                </w:tcPr>
                <w:p>
                  <w:pPr>
                    <w:pStyle w:val="126"/>
                    <w:spacing w:line="240" w:lineRule="auto"/>
                    <w:rPr>
                      <w:rFonts w:ascii="Times New Roman"/>
                      <w:b/>
                      <w:color w:val="auto"/>
                      <w:sz w:val="21"/>
                      <w:szCs w:val="21"/>
                      <w:highlight w:val="none"/>
                    </w:rPr>
                  </w:pPr>
                </w:p>
              </w:tc>
              <w:tc>
                <w:tcPr>
                  <w:tcW w:w="993" w:type="pct"/>
                  <w:vMerge w:val="continue"/>
                  <w:noWrap w:val="0"/>
                  <w:vAlign w:val="center"/>
                </w:tcPr>
                <w:p>
                  <w:pPr>
                    <w:pStyle w:val="126"/>
                    <w:spacing w:line="240" w:lineRule="auto"/>
                    <w:rPr>
                      <w:rFonts w:ascii="Times New Roman"/>
                      <w:b/>
                      <w:color w:val="auto"/>
                      <w:sz w:val="21"/>
                      <w:szCs w:val="21"/>
                      <w:highlight w:val="none"/>
                    </w:rPr>
                  </w:pPr>
                </w:p>
              </w:tc>
              <w:tc>
                <w:tcPr>
                  <w:tcW w:w="738" w:type="pct"/>
                  <w:noWrap w:val="0"/>
                  <w:vAlign w:val="center"/>
                </w:tcPr>
                <w:p>
                  <w:pPr>
                    <w:pStyle w:val="126"/>
                    <w:spacing w:line="240" w:lineRule="auto"/>
                    <w:rPr>
                      <w:rFonts w:ascii="Times New Roman"/>
                      <w:b/>
                      <w:color w:val="auto"/>
                      <w:sz w:val="21"/>
                      <w:szCs w:val="21"/>
                      <w:highlight w:val="none"/>
                    </w:rPr>
                  </w:pPr>
                  <w:r>
                    <w:rPr>
                      <w:rFonts w:ascii="Times New Roman" w:hAnsi="宋体"/>
                      <w:b/>
                      <w:color w:val="auto"/>
                      <w:sz w:val="21"/>
                      <w:szCs w:val="21"/>
                      <w:highlight w:val="none"/>
                    </w:rPr>
                    <w:t>半径（</w:t>
                  </w:r>
                  <w:r>
                    <w:rPr>
                      <w:rFonts w:ascii="Times New Roman"/>
                      <w:b/>
                      <w:color w:val="auto"/>
                      <w:sz w:val="21"/>
                      <w:szCs w:val="21"/>
                      <w:highlight w:val="none"/>
                    </w:rPr>
                    <w:t>m</w:t>
                  </w:r>
                  <w:r>
                    <w:rPr>
                      <w:rFonts w:ascii="Times New Roman" w:hAnsi="宋体"/>
                      <w:b/>
                      <w:color w:val="auto"/>
                      <w:sz w:val="21"/>
                      <w:szCs w:val="21"/>
                      <w:highlight w:val="none"/>
                    </w:rPr>
                    <w:t>）</w:t>
                  </w:r>
                </w:p>
              </w:tc>
              <w:tc>
                <w:tcPr>
                  <w:tcW w:w="811" w:type="pct"/>
                  <w:noWrap w:val="0"/>
                  <w:vAlign w:val="center"/>
                </w:tcPr>
                <w:p>
                  <w:pPr>
                    <w:pStyle w:val="126"/>
                    <w:spacing w:line="240" w:lineRule="auto"/>
                    <w:rPr>
                      <w:rFonts w:ascii="Times New Roman"/>
                      <w:b/>
                      <w:color w:val="auto"/>
                      <w:sz w:val="21"/>
                      <w:szCs w:val="21"/>
                      <w:highlight w:val="none"/>
                    </w:rPr>
                  </w:pPr>
                  <w:r>
                    <w:rPr>
                      <w:rFonts w:ascii="Times New Roman" w:hAnsi="宋体"/>
                      <w:b/>
                      <w:color w:val="auto"/>
                      <w:sz w:val="21"/>
                      <w:szCs w:val="21"/>
                      <w:highlight w:val="none"/>
                    </w:rPr>
                    <w:t>面积（</w:t>
                  </w:r>
                  <w:r>
                    <w:rPr>
                      <w:rFonts w:ascii="Times New Roman"/>
                      <w:b/>
                      <w:color w:val="auto"/>
                      <w:sz w:val="21"/>
                      <w:szCs w:val="21"/>
                      <w:highlight w:val="none"/>
                    </w:rPr>
                    <w:t>hm</w:t>
                  </w:r>
                  <w:r>
                    <w:rPr>
                      <w:rFonts w:ascii="Times New Roman"/>
                      <w:b/>
                      <w:color w:val="auto"/>
                      <w:sz w:val="21"/>
                      <w:szCs w:val="21"/>
                      <w:highlight w:val="none"/>
                      <w:vertAlign w:val="superscript"/>
                    </w:rPr>
                    <w:t>2</w:t>
                  </w:r>
                  <w:r>
                    <w:rPr>
                      <w:rFonts w:ascii="Times New Roman" w:hAnsi="宋体"/>
                      <w:b/>
                      <w:color w:val="auto"/>
                      <w:sz w:val="21"/>
                      <w:szCs w:val="21"/>
                      <w:highlight w:val="none"/>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上村镇集中供水水源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112°59′38″</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36°19′20″</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73</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0.0167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渔泽镇集中供水水源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112°58′48″</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36°21′35″</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47</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0.0069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余吾镇集中供水水源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112°49′56″</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36°23′13″</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59</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0.0109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吾元镇集中供水水源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112°41′35″</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36°25′41″</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89</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0.0219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张店镇集中供水水源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112°35′56″</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36°21′03″</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65</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0.0133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丰宜镇集中供水水源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112°43′39″</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36°14′16″</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89</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0.0249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李高乡集中供水水源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112°56′18″</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36°15′22″</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81</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0.0206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河神庙乡集中供水水源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112°43′20″</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36°18′26″</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39</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0.048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西流寨开发区集中供水水源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112°38′47″</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36°13′39″</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43</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0.0058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0" w:type="pct"/>
                  <w:noWrap w:val="0"/>
                  <w:vAlign w:val="center"/>
                </w:tcPr>
                <w:p>
                  <w:pPr>
                    <w:pStyle w:val="126"/>
                    <w:spacing w:line="240" w:lineRule="auto"/>
                    <w:rPr>
                      <w:rFonts w:ascii="Times New Roman"/>
                      <w:color w:val="auto"/>
                      <w:sz w:val="21"/>
                      <w:szCs w:val="21"/>
                      <w:highlight w:val="none"/>
                    </w:rPr>
                  </w:pPr>
                  <w:r>
                    <w:rPr>
                      <w:rFonts w:ascii="Times New Roman" w:hAnsi="宋体"/>
                      <w:color w:val="auto"/>
                      <w:sz w:val="21"/>
                      <w:szCs w:val="21"/>
                      <w:highlight w:val="none"/>
                    </w:rPr>
                    <w:t>上莲开发区集中供水水源</w:t>
                  </w:r>
                </w:p>
              </w:tc>
              <w:tc>
                <w:tcPr>
                  <w:tcW w:w="795"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112°50′22″</w:t>
                  </w:r>
                </w:p>
              </w:tc>
              <w:tc>
                <w:tcPr>
                  <w:tcW w:w="993"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36°25′56″</w:t>
                  </w:r>
                </w:p>
              </w:tc>
              <w:tc>
                <w:tcPr>
                  <w:tcW w:w="738"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40</w:t>
                  </w:r>
                </w:p>
              </w:tc>
              <w:tc>
                <w:tcPr>
                  <w:tcW w:w="811" w:type="pct"/>
                  <w:noWrap w:val="0"/>
                  <w:vAlign w:val="center"/>
                </w:tcPr>
                <w:p>
                  <w:pPr>
                    <w:pStyle w:val="126"/>
                    <w:spacing w:line="240" w:lineRule="auto"/>
                    <w:rPr>
                      <w:rFonts w:ascii="Times New Roman"/>
                      <w:color w:val="auto"/>
                      <w:sz w:val="21"/>
                      <w:szCs w:val="21"/>
                      <w:highlight w:val="none"/>
                    </w:rPr>
                  </w:pPr>
                  <w:r>
                    <w:rPr>
                      <w:rFonts w:ascii="Times New Roman"/>
                      <w:color w:val="auto"/>
                      <w:sz w:val="21"/>
                      <w:szCs w:val="21"/>
                      <w:highlight w:val="none"/>
                    </w:rPr>
                    <w:t>0.0050</w:t>
                  </w:r>
                </w:p>
              </w:tc>
            </w:tr>
          </w:tbl>
          <w:p>
            <w:pPr>
              <w:spacing w:line="480" w:lineRule="exact"/>
              <w:ind w:firstLine="480" w:firstLineChars="200"/>
              <w:rPr>
                <w:rFonts w:hint="eastAsia"/>
                <w:color w:val="auto"/>
                <w:sz w:val="24"/>
                <w:szCs w:val="24"/>
                <w:highlight w:val="none"/>
              </w:rPr>
            </w:pPr>
            <w:r>
              <w:rPr>
                <w:color w:val="auto"/>
                <w:sz w:val="24"/>
                <w:szCs w:val="24"/>
                <w:highlight w:val="none"/>
              </w:rPr>
              <w:t>本项目厂址距离屯留</w:t>
            </w:r>
            <w:r>
              <w:rPr>
                <w:rFonts w:hint="eastAsia"/>
                <w:color w:val="auto"/>
                <w:sz w:val="24"/>
                <w:szCs w:val="24"/>
                <w:highlight w:val="none"/>
              </w:rPr>
              <w:t>区</w:t>
            </w:r>
            <w:r>
              <w:rPr>
                <w:color w:val="auto"/>
                <w:sz w:val="24"/>
                <w:szCs w:val="24"/>
                <w:highlight w:val="none"/>
              </w:rPr>
              <w:t>各乡镇集中供水水源地最近的为</w:t>
            </w:r>
            <w:r>
              <w:rPr>
                <w:rFonts w:hint="eastAsia"/>
                <w:color w:val="auto"/>
                <w:sz w:val="24"/>
                <w:szCs w:val="24"/>
                <w:highlight w:val="none"/>
              </w:rPr>
              <w:t>余吾镇集中供水水源</w:t>
            </w:r>
            <w:r>
              <w:rPr>
                <w:color w:val="auto"/>
                <w:sz w:val="24"/>
                <w:szCs w:val="24"/>
                <w:highlight w:val="none"/>
              </w:rPr>
              <w:t>，距离其一级保护区边界</w:t>
            </w:r>
            <w:r>
              <w:rPr>
                <w:rFonts w:hint="eastAsia"/>
                <w:color w:val="auto"/>
                <w:sz w:val="24"/>
                <w:szCs w:val="24"/>
                <w:highlight w:val="none"/>
                <w:lang w:val="en-US" w:eastAsia="zh-CN"/>
              </w:rPr>
              <w:t>约1</w:t>
            </w:r>
            <w:r>
              <w:rPr>
                <w:color w:val="auto"/>
                <w:sz w:val="24"/>
                <w:szCs w:val="24"/>
                <w:highlight w:val="none"/>
              </w:rPr>
              <w:t>.8km，距离较远。</w:t>
            </w:r>
            <w:r>
              <w:rPr>
                <w:rFonts w:hint="eastAsia"/>
                <w:color w:val="auto"/>
                <w:sz w:val="24"/>
                <w:szCs w:val="24"/>
                <w:highlight w:val="none"/>
              </w:rPr>
              <w:t>本项目与</w:t>
            </w:r>
            <w:bookmarkStart w:id="5" w:name="_Hlk120198576"/>
            <w:r>
              <w:rPr>
                <w:rFonts w:hint="eastAsia"/>
                <w:color w:val="auto"/>
                <w:sz w:val="24"/>
                <w:szCs w:val="24"/>
                <w:highlight w:val="none"/>
              </w:rPr>
              <w:t>余吾镇集中供水水源保护区</w:t>
            </w:r>
            <w:bookmarkEnd w:id="5"/>
            <w:r>
              <w:rPr>
                <w:rFonts w:hint="eastAsia"/>
                <w:color w:val="auto"/>
                <w:sz w:val="24"/>
                <w:szCs w:val="24"/>
                <w:highlight w:val="none"/>
              </w:rPr>
              <w:t>相对位置关系图见附图</w:t>
            </w:r>
            <w:r>
              <w:rPr>
                <w:rFonts w:hint="eastAsia"/>
                <w:color w:val="auto"/>
                <w:sz w:val="24"/>
                <w:szCs w:val="24"/>
                <w:highlight w:val="none"/>
                <w:lang w:val="en-US" w:eastAsia="zh-CN"/>
              </w:rPr>
              <w:t>6</w:t>
            </w:r>
            <w:r>
              <w:rPr>
                <w:rFonts w:hint="eastAsia"/>
                <w:color w:val="auto"/>
                <w:sz w:val="24"/>
                <w:szCs w:val="24"/>
                <w:highlight w:val="none"/>
              </w:rPr>
              <w:t>。</w:t>
            </w:r>
          </w:p>
          <w:p>
            <w:pPr>
              <w:pStyle w:val="25"/>
              <w:spacing w:line="480" w:lineRule="exact"/>
              <w:ind w:firstLine="482" w:firstLineChars="200"/>
              <w:rPr>
                <w:rFonts w:ascii="Times New Roman" w:hAnsi="Times New Roman" w:eastAsia="宋体"/>
                <w:b/>
                <w:bCs w:val="0"/>
                <w:color w:val="auto"/>
                <w:sz w:val="24"/>
                <w:szCs w:val="24"/>
                <w:highlight w:val="none"/>
              </w:rPr>
            </w:pPr>
            <w:r>
              <w:rPr>
                <w:rFonts w:ascii="Times New Roman" w:hAnsi="Times New Roman" w:eastAsia="宋体"/>
                <w:b/>
                <w:bCs w:val="0"/>
                <w:color w:val="auto"/>
                <w:sz w:val="24"/>
                <w:szCs w:val="24"/>
                <w:highlight w:val="none"/>
              </w:rPr>
              <w:t>2</w:t>
            </w:r>
            <w:r>
              <w:rPr>
                <w:rFonts w:hint="eastAsia" w:ascii="Times New Roman" w:hAnsi="Times New Roman"/>
                <w:b/>
                <w:bCs w:val="0"/>
                <w:color w:val="auto"/>
                <w:sz w:val="24"/>
                <w:szCs w:val="24"/>
                <w:highlight w:val="none"/>
                <w:lang w:val="en-US" w:eastAsia="zh-CN"/>
              </w:rPr>
              <w:t>.</w:t>
            </w:r>
            <w:r>
              <w:rPr>
                <w:rFonts w:ascii="Times New Roman" w:hAnsi="Times New Roman" w:eastAsia="宋体"/>
                <w:b/>
                <w:bCs w:val="0"/>
                <w:color w:val="auto"/>
                <w:sz w:val="24"/>
                <w:szCs w:val="24"/>
                <w:highlight w:val="none"/>
              </w:rPr>
              <w:t>与</w:t>
            </w:r>
            <w:r>
              <w:rPr>
                <w:rFonts w:hint="eastAsia" w:ascii="Times New Roman" w:hAnsi="Times New Roman" w:eastAsia="宋体"/>
                <w:b/>
                <w:bCs w:val="0"/>
                <w:color w:val="auto"/>
                <w:sz w:val="24"/>
                <w:szCs w:val="24"/>
                <w:highlight w:val="none"/>
              </w:rPr>
              <w:t>辛安</w:t>
            </w:r>
            <w:r>
              <w:rPr>
                <w:rFonts w:ascii="Times New Roman" w:hAnsi="Times New Roman" w:eastAsia="宋体"/>
                <w:b/>
                <w:bCs w:val="0"/>
                <w:color w:val="auto"/>
                <w:sz w:val="24"/>
                <w:szCs w:val="24"/>
                <w:highlight w:val="none"/>
              </w:rPr>
              <w:t>泉域符合性分析</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（1）泉域概况</w:t>
            </w:r>
          </w:p>
          <w:p>
            <w:pPr>
              <w:spacing w:line="480" w:lineRule="exact"/>
              <w:ind w:firstLine="480" w:firstLineChars="200"/>
              <w:rPr>
                <w:color w:val="auto"/>
                <w:sz w:val="24"/>
                <w:szCs w:val="24"/>
                <w:highlight w:val="none"/>
              </w:rPr>
            </w:pPr>
            <w:r>
              <w:rPr>
                <w:color w:val="auto"/>
                <w:sz w:val="24"/>
                <w:szCs w:val="24"/>
                <w:highlight w:val="none"/>
              </w:rPr>
              <w:t>辛安泉出露于潞城市西流村至平顺县北耽车长16km的浊漳河河谷中，可见泉点170余个。辛安村以上较大泉组有林滩泉、西流泉、苇泉、南流泉，称王曲泉群，出露高程615-643m，出露地层为奥套系中统；辛安村以下有实会泉、年流泉等，多出露于寒武系中统，称实会泉群，标高600-615m。多年平均流量11.9m</w:t>
            </w:r>
            <w:r>
              <w:rPr>
                <w:color w:val="auto"/>
                <w:sz w:val="24"/>
                <w:szCs w:val="24"/>
                <w:highlight w:val="none"/>
                <w:vertAlign w:val="superscript"/>
              </w:rPr>
              <w:t>3</w:t>
            </w:r>
            <w:r>
              <w:rPr>
                <w:color w:val="auto"/>
                <w:sz w:val="24"/>
                <w:szCs w:val="24"/>
                <w:highlight w:val="none"/>
              </w:rPr>
              <w:t>/s</w:t>
            </w:r>
            <w:r>
              <w:rPr>
                <w:rFonts w:hint="eastAsia"/>
                <w:color w:val="auto"/>
                <w:sz w:val="24"/>
                <w:szCs w:val="24"/>
                <w:highlight w:val="none"/>
                <w:lang w:eastAsia="zh-CN"/>
              </w:rPr>
              <w:t>（</w:t>
            </w:r>
            <w:r>
              <w:rPr>
                <w:rFonts w:hint="default"/>
                <w:color w:val="auto"/>
                <w:sz w:val="24"/>
                <w:szCs w:val="24"/>
                <w:highlight w:val="none"/>
              </w:rPr>
              <w:t>1959-1984年</w:t>
            </w:r>
            <w:r>
              <w:rPr>
                <w:rFonts w:hint="eastAsia"/>
                <w:color w:val="auto"/>
                <w:sz w:val="24"/>
                <w:szCs w:val="24"/>
                <w:highlight w:val="none"/>
                <w:lang w:eastAsia="zh-CN"/>
              </w:rPr>
              <w:t>）</w:t>
            </w:r>
            <w:r>
              <w:rPr>
                <w:color w:val="auto"/>
                <w:sz w:val="24"/>
                <w:szCs w:val="24"/>
                <w:highlight w:val="none"/>
              </w:rPr>
              <w:t>。</w:t>
            </w:r>
          </w:p>
          <w:p>
            <w:pPr>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rPr>
              <w:t>2</w:t>
            </w:r>
            <w:r>
              <w:rPr>
                <w:color w:val="auto"/>
                <w:sz w:val="24"/>
                <w:szCs w:val="24"/>
                <w:highlight w:val="none"/>
              </w:rPr>
              <w:t>）辛安泉域范围</w:t>
            </w:r>
          </w:p>
          <w:p>
            <w:pPr>
              <w:spacing w:line="480" w:lineRule="exact"/>
              <w:ind w:firstLine="480" w:firstLineChars="200"/>
              <w:rPr>
                <w:color w:val="auto"/>
                <w:sz w:val="24"/>
                <w:szCs w:val="24"/>
                <w:highlight w:val="none"/>
              </w:rPr>
            </w:pPr>
            <w:r>
              <w:rPr>
                <w:color w:val="auto"/>
                <w:sz w:val="24"/>
                <w:szCs w:val="24"/>
                <w:highlight w:val="none"/>
              </w:rPr>
              <w:t>北部及西部边界：泉域北部、西部在构造上处于沁水向斜核部，地表出露二叠、三叠系地层，寒武、奥陶系地层埋深千米以上，岩溶水呈封闭的滞流状态，因此以浊漳河与汾河及沁河的地表分水岭为泉域边界。自北向南有榆社县人头山-辉教北-子金山-分南南。西部沁县与沁源县行政边界，自北向南基本为自分南南-屯留县八泉-长子县良坪西。</w:t>
            </w:r>
          </w:p>
          <w:p>
            <w:pPr>
              <w:spacing w:line="480" w:lineRule="exact"/>
              <w:ind w:firstLine="480" w:firstLineChars="200"/>
              <w:rPr>
                <w:color w:val="auto"/>
                <w:sz w:val="24"/>
                <w:szCs w:val="24"/>
                <w:highlight w:val="none"/>
              </w:rPr>
            </w:pPr>
            <w:r>
              <w:rPr>
                <w:color w:val="auto"/>
                <w:sz w:val="24"/>
                <w:szCs w:val="24"/>
                <w:highlight w:val="none"/>
              </w:rPr>
              <w:t>南部边界：为浊漳河和沁河与丹河的地表分水岭，自西向东基本为长治市与晋城市的行政边界，由老庄沟-色头镇南-金泉山-陵川西马安。</w:t>
            </w:r>
          </w:p>
          <w:p>
            <w:pPr>
              <w:spacing w:line="480" w:lineRule="exact"/>
              <w:ind w:firstLine="480" w:firstLineChars="200"/>
              <w:rPr>
                <w:color w:val="auto"/>
                <w:sz w:val="24"/>
                <w:szCs w:val="24"/>
                <w:highlight w:val="none"/>
              </w:rPr>
            </w:pPr>
            <w:r>
              <w:rPr>
                <w:color w:val="auto"/>
                <w:sz w:val="24"/>
                <w:szCs w:val="24"/>
                <w:highlight w:val="none"/>
              </w:rPr>
              <w:t>东部边界：东北段以清漳河与浊漳河地表分水岭及和神烟地下分水岭与娘子关泉域为界。为晋中地区和顺县、左权县与榆社县、长治市武乡县的行政边界。</w:t>
            </w:r>
          </w:p>
          <w:p>
            <w:pPr>
              <w:spacing w:line="480" w:lineRule="exact"/>
              <w:ind w:firstLine="480" w:firstLineChars="200"/>
              <w:rPr>
                <w:color w:val="auto"/>
                <w:sz w:val="24"/>
                <w:szCs w:val="24"/>
                <w:highlight w:val="none"/>
              </w:rPr>
            </w:pPr>
            <w:r>
              <w:rPr>
                <w:color w:val="auto"/>
                <w:sz w:val="24"/>
                <w:szCs w:val="24"/>
                <w:highlight w:val="none"/>
              </w:rPr>
              <w:t>泉域边界范围内总面积为13500m</w:t>
            </w:r>
            <w:r>
              <w:rPr>
                <w:color w:val="auto"/>
                <w:sz w:val="24"/>
                <w:szCs w:val="24"/>
                <w:highlight w:val="none"/>
                <w:vertAlign w:val="superscript"/>
              </w:rPr>
              <w:t>2</w:t>
            </w:r>
            <w:r>
              <w:rPr>
                <w:color w:val="auto"/>
                <w:sz w:val="24"/>
                <w:szCs w:val="24"/>
                <w:highlight w:val="none"/>
              </w:rPr>
              <w:t>，其中碳酸盐岩裸露面积2600km</w:t>
            </w:r>
            <w:r>
              <w:rPr>
                <w:color w:val="auto"/>
                <w:sz w:val="24"/>
                <w:szCs w:val="24"/>
                <w:highlight w:val="none"/>
                <w:vertAlign w:val="superscript"/>
              </w:rPr>
              <w:t>2</w:t>
            </w:r>
            <w:r>
              <w:rPr>
                <w:color w:val="auto"/>
                <w:sz w:val="24"/>
                <w:szCs w:val="24"/>
                <w:highlight w:val="none"/>
              </w:rPr>
              <w:t>，碎屑岩面积为6830km</w:t>
            </w:r>
            <w:r>
              <w:rPr>
                <w:color w:val="auto"/>
                <w:sz w:val="24"/>
                <w:szCs w:val="24"/>
                <w:highlight w:val="none"/>
                <w:vertAlign w:val="superscript"/>
              </w:rPr>
              <w:t>2</w:t>
            </w:r>
            <w:r>
              <w:rPr>
                <w:color w:val="auto"/>
                <w:sz w:val="24"/>
                <w:szCs w:val="24"/>
                <w:highlight w:val="none"/>
              </w:rPr>
              <w:t>，松散岩面积为4070km</w:t>
            </w:r>
            <w:r>
              <w:rPr>
                <w:color w:val="auto"/>
                <w:sz w:val="24"/>
                <w:szCs w:val="24"/>
                <w:highlight w:val="none"/>
                <w:vertAlign w:val="superscript"/>
              </w:rPr>
              <w:t>2</w:t>
            </w:r>
            <w:r>
              <w:rPr>
                <w:color w:val="auto"/>
                <w:sz w:val="24"/>
                <w:szCs w:val="24"/>
                <w:highlight w:val="none"/>
              </w:rPr>
              <w:t>。</w:t>
            </w:r>
          </w:p>
          <w:p>
            <w:pPr>
              <w:spacing w:line="480" w:lineRule="exact"/>
              <w:ind w:firstLine="480" w:firstLineChars="200"/>
              <w:rPr>
                <w:color w:val="auto"/>
                <w:sz w:val="24"/>
                <w:szCs w:val="24"/>
                <w:highlight w:val="none"/>
              </w:rPr>
            </w:pPr>
            <w:r>
              <w:rPr>
                <w:color w:val="auto"/>
                <w:sz w:val="24"/>
                <w:szCs w:val="24"/>
                <w:highlight w:val="none"/>
              </w:rPr>
              <w:t>（</w:t>
            </w:r>
            <w:r>
              <w:rPr>
                <w:rFonts w:hint="eastAsia"/>
                <w:color w:val="auto"/>
                <w:sz w:val="24"/>
                <w:szCs w:val="24"/>
                <w:highlight w:val="none"/>
              </w:rPr>
              <w:t>3</w:t>
            </w:r>
            <w:r>
              <w:rPr>
                <w:color w:val="auto"/>
                <w:sz w:val="24"/>
                <w:szCs w:val="24"/>
                <w:highlight w:val="none"/>
              </w:rPr>
              <w:t>）泉域重点保护区范围</w:t>
            </w:r>
          </w:p>
          <w:p>
            <w:pPr>
              <w:spacing w:line="480" w:lineRule="exact"/>
              <w:ind w:firstLine="480" w:firstLineChars="200"/>
              <w:rPr>
                <w:color w:val="auto"/>
                <w:sz w:val="24"/>
                <w:szCs w:val="24"/>
                <w:highlight w:val="none"/>
              </w:rPr>
            </w:pPr>
            <w:r>
              <w:rPr>
                <w:color w:val="auto"/>
                <w:sz w:val="24"/>
                <w:szCs w:val="24"/>
                <w:highlight w:val="none"/>
              </w:rPr>
              <w:t>根据山西省人民政府晋政函[1998]137号“关于山西省泉域边界范围及重点保护区划定的批复”，划定的辛安泉域重点保护区范围：</w:t>
            </w:r>
          </w:p>
          <w:p>
            <w:pPr>
              <w:spacing w:line="480" w:lineRule="exact"/>
              <w:ind w:firstLine="480" w:firstLineChars="200"/>
              <w:rPr>
                <w:color w:val="auto"/>
                <w:sz w:val="24"/>
                <w:szCs w:val="24"/>
                <w:highlight w:val="none"/>
              </w:rPr>
            </w:pPr>
            <w:r>
              <w:rPr>
                <w:color w:val="auto"/>
                <w:sz w:val="24"/>
                <w:szCs w:val="24"/>
                <w:highlight w:val="none"/>
              </w:rPr>
              <w:t>1）泉水集中出露带和文王山地拿渗漏段，其中泉水集中出露带以浊漳河为轴线，北起黎城县南赵店桥，顺浊漳河谷向下游、至平顺县北耽车，包括河谷两岸地带；西起山西化肥厂排污管道，两侧宽200m，至辛安桥下河道，面积48km</w:t>
            </w:r>
            <w:r>
              <w:rPr>
                <w:color w:val="auto"/>
                <w:sz w:val="24"/>
                <w:szCs w:val="24"/>
                <w:highlight w:val="none"/>
                <w:vertAlign w:val="superscript"/>
              </w:rPr>
              <w:t>2</w:t>
            </w:r>
            <w:r>
              <w:rPr>
                <w:color w:val="auto"/>
                <w:sz w:val="24"/>
                <w:szCs w:val="24"/>
                <w:highlight w:val="none"/>
              </w:rPr>
              <w:t>。</w:t>
            </w:r>
          </w:p>
          <w:p>
            <w:pPr>
              <w:spacing w:line="480" w:lineRule="exact"/>
              <w:ind w:firstLine="480" w:firstLineChars="200"/>
              <w:rPr>
                <w:color w:val="auto"/>
                <w:sz w:val="24"/>
                <w:szCs w:val="24"/>
                <w:highlight w:val="none"/>
              </w:rPr>
            </w:pPr>
            <w:r>
              <w:rPr>
                <w:color w:val="auto"/>
                <w:sz w:val="24"/>
                <w:szCs w:val="24"/>
                <w:highlight w:val="none"/>
              </w:rPr>
              <w:t>2）文王山地垒渗漏段自黄碾南铁路桥上游500m起，顺浊漳河南源主河道，左右两侧各500m，向下游至与浊漳河西源汇流处，面积18km</w:t>
            </w:r>
            <w:r>
              <w:rPr>
                <w:color w:val="auto"/>
                <w:sz w:val="24"/>
                <w:szCs w:val="24"/>
                <w:highlight w:val="none"/>
                <w:vertAlign w:val="superscript"/>
              </w:rPr>
              <w:t>2</w:t>
            </w:r>
            <w:r>
              <w:rPr>
                <w:color w:val="auto"/>
                <w:sz w:val="24"/>
                <w:szCs w:val="24"/>
                <w:highlight w:val="none"/>
              </w:rPr>
              <w:t>。</w:t>
            </w:r>
          </w:p>
          <w:p>
            <w:pPr>
              <w:spacing w:line="480" w:lineRule="exact"/>
              <w:ind w:firstLine="480" w:firstLineChars="200"/>
              <w:rPr>
                <w:color w:val="auto"/>
                <w:sz w:val="24"/>
                <w:szCs w:val="24"/>
                <w:highlight w:val="none"/>
              </w:rPr>
            </w:pPr>
            <w:r>
              <w:rPr>
                <w:color w:val="auto"/>
                <w:sz w:val="24"/>
                <w:szCs w:val="24"/>
                <w:highlight w:val="none"/>
              </w:rPr>
              <w:t>两处合计面积为66km</w:t>
            </w:r>
            <w:r>
              <w:rPr>
                <w:color w:val="auto"/>
                <w:sz w:val="24"/>
                <w:szCs w:val="24"/>
                <w:highlight w:val="none"/>
                <w:vertAlign w:val="superscript"/>
              </w:rPr>
              <w:t>2</w:t>
            </w:r>
            <w:r>
              <w:rPr>
                <w:color w:val="auto"/>
                <w:sz w:val="24"/>
                <w:szCs w:val="24"/>
                <w:highlight w:val="none"/>
              </w:rPr>
              <w:t>。</w:t>
            </w:r>
          </w:p>
          <w:p>
            <w:pPr>
              <w:spacing w:line="480" w:lineRule="exact"/>
              <w:ind w:firstLine="480" w:firstLineChars="200"/>
              <w:rPr>
                <w:color w:val="auto"/>
                <w:sz w:val="24"/>
                <w:szCs w:val="24"/>
                <w:highlight w:val="none"/>
              </w:rPr>
            </w:pPr>
            <w:r>
              <w:rPr>
                <w:color w:val="auto"/>
                <w:sz w:val="24"/>
                <w:szCs w:val="24"/>
                <w:highlight w:val="none"/>
              </w:rPr>
              <w:t>同时，根据《山西省长治市辛安泉饮用水水源地保护条例》，建立辛安泉饮用水水源地保护区制度。辛安泉饮用水水源地保护区划分为一级保护区、二级保护区，并在保护区外围设立准保护区，实行分级保护与管理。</w:t>
            </w:r>
          </w:p>
          <w:p>
            <w:pPr>
              <w:spacing w:line="480" w:lineRule="exact"/>
              <w:ind w:firstLine="480" w:firstLineChars="200"/>
              <w:rPr>
                <w:color w:val="auto"/>
                <w:sz w:val="24"/>
                <w:szCs w:val="24"/>
                <w:highlight w:val="none"/>
              </w:rPr>
            </w:pPr>
            <w:r>
              <w:rPr>
                <w:color w:val="auto"/>
                <w:sz w:val="24"/>
                <w:szCs w:val="24"/>
                <w:highlight w:val="none"/>
              </w:rPr>
              <w:t>辛安泉饮用水水源地一级保护区范围为现有水源井组周边区域，涉及潞城市辛安泉镇西流北村</w:t>
            </w:r>
            <w:r>
              <w:rPr>
                <w:rFonts w:hint="eastAsia"/>
                <w:color w:val="auto"/>
                <w:sz w:val="24"/>
                <w:szCs w:val="24"/>
                <w:highlight w:val="none"/>
                <w:lang w:eastAsia="zh-CN"/>
              </w:rPr>
              <w:t>（</w:t>
            </w:r>
            <w:r>
              <w:rPr>
                <w:rFonts w:hint="default"/>
                <w:color w:val="auto"/>
                <w:sz w:val="24"/>
                <w:szCs w:val="24"/>
                <w:highlight w:val="none"/>
              </w:rPr>
              <w:t>西北村</w:t>
            </w:r>
            <w:r>
              <w:rPr>
                <w:rFonts w:hint="eastAsia"/>
                <w:color w:val="auto"/>
                <w:sz w:val="24"/>
                <w:szCs w:val="24"/>
                <w:highlight w:val="none"/>
                <w:lang w:eastAsia="zh-CN"/>
              </w:rPr>
              <w:t>）</w:t>
            </w:r>
            <w:r>
              <w:rPr>
                <w:color w:val="auto"/>
                <w:sz w:val="24"/>
                <w:szCs w:val="24"/>
                <w:highlight w:val="none"/>
              </w:rPr>
              <w:t>、西流南村</w:t>
            </w:r>
            <w:r>
              <w:rPr>
                <w:rFonts w:hint="eastAsia"/>
                <w:color w:val="auto"/>
                <w:sz w:val="24"/>
                <w:szCs w:val="24"/>
                <w:highlight w:val="none"/>
                <w:lang w:eastAsia="zh-CN"/>
              </w:rPr>
              <w:t>（</w:t>
            </w:r>
            <w:r>
              <w:rPr>
                <w:rFonts w:hint="default"/>
                <w:color w:val="auto"/>
                <w:sz w:val="24"/>
                <w:szCs w:val="24"/>
                <w:highlight w:val="none"/>
              </w:rPr>
              <w:t>西南村</w:t>
            </w:r>
            <w:r>
              <w:rPr>
                <w:rFonts w:hint="eastAsia"/>
                <w:color w:val="auto"/>
                <w:sz w:val="24"/>
                <w:szCs w:val="24"/>
                <w:highlight w:val="none"/>
                <w:lang w:eastAsia="zh-CN"/>
              </w:rPr>
              <w:t>）</w:t>
            </w:r>
            <w:r>
              <w:rPr>
                <w:color w:val="auto"/>
                <w:sz w:val="24"/>
                <w:szCs w:val="24"/>
                <w:highlight w:val="none"/>
              </w:rPr>
              <w:t>，黎城县程家山乡北流村，面积3.73平方公里。</w:t>
            </w:r>
          </w:p>
          <w:p>
            <w:pPr>
              <w:spacing w:line="480" w:lineRule="exact"/>
              <w:ind w:firstLine="480" w:firstLineChars="200"/>
              <w:rPr>
                <w:color w:val="auto"/>
                <w:sz w:val="24"/>
                <w:szCs w:val="24"/>
                <w:highlight w:val="none"/>
              </w:rPr>
            </w:pPr>
            <w:r>
              <w:rPr>
                <w:color w:val="auto"/>
                <w:sz w:val="24"/>
                <w:szCs w:val="24"/>
                <w:highlight w:val="none"/>
              </w:rPr>
              <w:t>辛安泉饮用水水源地二级保护区范围为东至黎城县隆旺村东-北流村东-南堡村东一线，南至平顺县王曲村北，西至潞城市西流南村(西南村</w:t>
            </w:r>
            <w:r>
              <w:rPr>
                <w:rFonts w:hint="eastAsia"/>
                <w:color w:val="auto"/>
                <w:sz w:val="24"/>
                <w:szCs w:val="24"/>
                <w:highlight w:val="none"/>
              </w:rPr>
              <w:t>）</w:t>
            </w:r>
            <w:r>
              <w:rPr>
                <w:color w:val="auto"/>
                <w:sz w:val="24"/>
                <w:szCs w:val="24"/>
                <w:highlight w:val="none"/>
              </w:rPr>
              <w:t>西1.3公里-涧口村西一线，北至潞城市续村南-黎城县东窑上村北一线，面积24.9平方公里。</w:t>
            </w:r>
          </w:p>
          <w:p>
            <w:pPr>
              <w:spacing w:line="480" w:lineRule="exact"/>
              <w:ind w:firstLine="480" w:firstLineChars="200"/>
              <w:rPr>
                <w:color w:val="auto"/>
                <w:sz w:val="24"/>
                <w:szCs w:val="24"/>
                <w:highlight w:val="none"/>
              </w:rPr>
            </w:pPr>
            <w:r>
              <w:rPr>
                <w:color w:val="auto"/>
                <w:sz w:val="24"/>
                <w:szCs w:val="24"/>
                <w:highlight w:val="none"/>
              </w:rPr>
              <w:t>辛安泉饮用水水源地准保护区范围为水源地上游辛安泉域灰岩裸露补给区，涉及城区、郊区、长治县、潞城市、壶关县、平顺县、黎城县、武乡县、襄垣县，面积约1260平方公里。</w:t>
            </w:r>
          </w:p>
          <w:p>
            <w:pPr>
              <w:pStyle w:val="25"/>
              <w:spacing w:line="480" w:lineRule="exact"/>
              <w:ind w:firstLine="480" w:firstLineChars="200"/>
              <w:jc w:val="both"/>
              <w:rPr>
                <w:rFonts w:ascii="Times New Roman" w:hAnsi="Times New Roman" w:eastAsia="宋体"/>
                <w:color w:val="auto"/>
                <w:kern w:val="2"/>
                <w:sz w:val="24"/>
                <w:szCs w:val="24"/>
                <w:highlight w:val="none"/>
              </w:rPr>
            </w:pPr>
            <w:r>
              <w:rPr>
                <w:rFonts w:ascii="Times New Roman" w:hAnsi="Times New Roman" w:eastAsia="宋体"/>
                <w:color w:val="auto"/>
                <w:kern w:val="2"/>
                <w:sz w:val="24"/>
                <w:szCs w:val="24"/>
                <w:highlight w:val="none"/>
              </w:rPr>
              <w:t>本项目拟选厂址处于辛安泉域内，但不在泉域的重点保护范围之内，距离重点泉域保护区边界约</w:t>
            </w:r>
            <w:r>
              <w:rPr>
                <w:rFonts w:hint="eastAsia" w:ascii="Times New Roman" w:hAnsi="Times New Roman"/>
                <w:color w:val="auto"/>
                <w:kern w:val="2"/>
                <w:sz w:val="24"/>
                <w:szCs w:val="24"/>
                <w:highlight w:val="none"/>
                <w:lang w:val="en-US" w:eastAsia="zh-CN"/>
              </w:rPr>
              <w:t>22</w:t>
            </w:r>
            <w:r>
              <w:rPr>
                <w:rFonts w:ascii="Times New Roman" w:hAnsi="Times New Roman" w:eastAsia="宋体"/>
                <w:color w:val="auto"/>
                <w:kern w:val="2"/>
                <w:sz w:val="24"/>
                <w:szCs w:val="24"/>
                <w:highlight w:val="none"/>
              </w:rPr>
              <w:t>km，且不在</w:t>
            </w:r>
            <w:r>
              <w:rPr>
                <w:rFonts w:ascii="宋体" w:hAnsi="宋体" w:eastAsia="宋体"/>
                <w:color w:val="auto"/>
                <w:sz w:val="24"/>
                <w:szCs w:val="24"/>
                <w:highlight w:val="none"/>
              </w:rPr>
              <w:t>辛安泉饮用水水源地</w:t>
            </w:r>
            <w:r>
              <w:rPr>
                <w:rFonts w:ascii="Times New Roman" w:hAnsi="Times New Roman" w:eastAsia="宋体"/>
                <w:color w:val="auto"/>
                <w:kern w:val="2"/>
                <w:sz w:val="24"/>
                <w:szCs w:val="24"/>
                <w:highlight w:val="none"/>
              </w:rPr>
              <w:t>一级、二级、准保护区内。</w:t>
            </w:r>
            <w:r>
              <w:rPr>
                <w:rFonts w:hint="eastAsia" w:ascii="Times New Roman" w:hAnsi="Times New Roman"/>
                <w:color w:val="auto"/>
                <w:kern w:val="2"/>
                <w:sz w:val="24"/>
                <w:szCs w:val="24"/>
                <w:highlight w:val="none"/>
                <w:lang w:val="en-US" w:eastAsia="zh-CN"/>
              </w:rPr>
              <w:t>本项目与辛安泉域</w:t>
            </w:r>
            <w:r>
              <w:rPr>
                <w:rFonts w:ascii="Times New Roman" w:hAnsi="Times New Roman" w:eastAsia="宋体"/>
                <w:color w:val="auto"/>
                <w:kern w:val="2"/>
                <w:sz w:val="24"/>
                <w:szCs w:val="24"/>
                <w:highlight w:val="none"/>
              </w:rPr>
              <w:t>位置关系详见</w:t>
            </w:r>
            <w:r>
              <w:rPr>
                <w:rFonts w:hint="eastAsia" w:ascii="Times New Roman" w:hAnsi="Times New Roman" w:eastAsia="宋体"/>
                <w:color w:val="auto"/>
                <w:kern w:val="2"/>
                <w:sz w:val="24"/>
                <w:szCs w:val="24"/>
                <w:highlight w:val="none"/>
              </w:rPr>
              <w:t>附图</w:t>
            </w:r>
            <w:r>
              <w:rPr>
                <w:rFonts w:hint="eastAsia" w:ascii="Times New Roman" w:hAnsi="Times New Roman"/>
                <w:color w:val="auto"/>
                <w:kern w:val="2"/>
                <w:sz w:val="24"/>
                <w:szCs w:val="24"/>
                <w:highlight w:val="none"/>
                <w:lang w:val="en-US" w:eastAsia="zh-CN"/>
              </w:rPr>
              <w:t>7</w:t>
            </w:r>
            <w:r>
              <w:rPr>
                <w:rFonts w:hint="eastAsia" w:hAnsi="Times New Roman"/>
                <w:color w:val="auto"/>
                <w:kern w:val="2"/>
                <w:sz w:val="24"/>
                <w:szCs w:val="24"/>
                <w:highlight w:val="none"/>
                <w:lang w:val="en-US" w:eastAsia="zh-CN"/>
              </w:rPr>
              <w:t>、本项目与辛安泉水源地保护区分布相对位置图见附图8</w:t>
            </w:r>
            <w:r>
              <w:rPr>
                <w:rFonts w:ascii="Times New Roman" w:hAnsi="Times New Roman" w:eastAsia="宋体"/>
                <w:color w:val="auto"/>
                <w:sz w:val="24"/>
                <w:szCs w:val="24"/>
                <w:highlight w:val="none"/>
              </w:rPr>
              <w:t>。</w:t>
            </w:r>
          </w:p>
          <w:p>
            <w:pPr>
              <w:autoSpaceDE w:val="0"/>
              <w:autoSpaceDN w:val="0"/>
              <w:adjustRightInd w:val="0"/>
              <w:snapToGrid w:val="0"/>
              <w:spacing w:line="480" w:lineRule="exact"/>
              <w:ind w:firstLine="482" w:firstLineChars="200"/>
              <w:rPr>
                <w:b/>
                <w:bCs/>
                <w:color w:val="auto"/>
                <w:sz w:val="24"/>
                <w:szCs w:val="24"/>
                <w:highlight w:val="none"/>
              </w:rPr>
            </w:pPr>
            <w:r>
              <w:rPr>
                <w:b/>
                <w:bCs/>
                <w:color w:val="auto"/>
                <w:sz w:val="24"/>
                <w:szCs w:val="24"/>
                <w:highlight w:val="none"/>
              </w:rPr>
              <w:t>3</w:t>
            </w:r>
            <w:r>
              <w:rPr>
                <w:rFonts w:hint="eastAsia"/>
                <w:b/>
                <w:bCs/>
                <w:color w:val="auto"/>
                <w:sz w:val="24"/>
                <w:szCs w:val="24"/>
                <w:highlight w:val="none"/>
                <w:lang w:val="en-US" w:eastAsia="zh-CN"/>
              </w:rPr>
              <w:t>.</w:t>
            </w:r>
            <w:r>
              <w:rPr>
                <w:rFonts w:hint="default"/>
                <w:b/>
                <w:bCs/>
                <w:color w:val="auto"/>
                <w:sz w:val="24"/>
                <w:szCs w:val="24"/>
                <w:highlight w:val="none"/>
              </w:rPr>
              <w:t>与《屯留区国土空间总体规划</w:t>
            </w:r>
            <w:r>
              <w:rPr>
                <w:rFonts w:hint="eastAsia"/>
                <w:b/>
                <w:bCs/>
                <w:color w:val="auto"/>
                <w:sz w:val="24"/>
                <w:szCs w:val="24"/>
                <w:highlight w:val="none"/>
              </w:rPr>
              <w:t>（2021-2035年）</w:t>
            </w:r>
            <w:r>
              <w:rPr>
                <w:rFonts w:hint="default"/>
                <w:b/>
                <w:bCs/>
                <w:color w:val="auto"/>
                <w:sz w:val="24"/>
                <w:szCs w:val="24"/>
                <w:highlight w:val="none"/>
              </w:rPr>
              <w:t>》符合性分析</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（1）规划范围</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规划范围为屯留区行政辖区内全部国土空间，包括全区和中心城区两个层次。</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（2）规划期限</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规划期限为2021-2035年，基准年为2020年，近期目标为2025年，远期目标为2035年，远景展望至2050年。</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（3）功能定位</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规划屯留区功能定位为：有机循环农业示范区、以煤基新材料为主导的资源型城市转型升级示范区、以康体休闲为特色的现代化太行山水名城，合力保障长治市建设全国资源型城市转型升级示范区、现代化太行山水名城。</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（4）三区三线划定</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1）耕地与永久基本农田</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全区划定不低于513.00平方千米（76.95万亩）的耕地和不低于444.27平方千米（66.64万亩）的永久基本农田。</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落实最严格的耕地保护制度，对永久基本农田实行特殊保护，坚决防止永久基本农田“非农化”，积极开展永久基本农田储备区划定并严格管理。</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2）生态保护红线</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全区划定生态保护红线总面积不少于20.64平方千米，占全区国土面积的1.73%，全部为整合优化后的自然保护地。</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稳固太行山区生态安全屏障，增强水源涵养、水土保持和生物多样性等生态系统服务功能，加强生物多样性保护优先区域和珍稀濒危野生动植物集中分布地保护，注重保护重要生态空间，严格控制人为活动尤其是开发建设活动对生态系统的破坏。</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3）城镇开发边界</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eastAsia"/>
                <w:color w:val="auto"/>
                <w:sz w:val="24"/>
                <w:szCs w:val="24"/>
                <w:highlight w:val="none"/>
              </w:rPr>
            </w:pPr>
            <w:r>
              <w:rPr>
                <w:rFonts w:hint="eastAsia"/>
                <w:color w:val="auto"/>
                <w:sz w:val="24"/>
                <w:szCs w:val="24"/>
                <w:highlight w:val="none"/>
              </w:rPr>
              <w:t>全区城镇开发边界控制在24.75平方千米（3.71万亩），占全区总面积的2.08%。</w:t>
            </w:r>
          </w:p>
          <w:p>
            <w:pPr>
              <w:keepNext w:val="0"/>
              <w:keepLines w:val="0"/>
              <w:suppressLineNumbers w:val="0"/>
              <w:autoSpaceDE w:val="0"/>
              <w:autoSpaceDN w:val="0"/>
              <w:adjustRightInd w:val="0"/>
              <w:snapToGrid w:val="0"/>
              <w:spacing w:before="0" w:beforeAutospacing="0" w:after="0" w:afterAutospacing="0" w:line="480" w:lineRule="exact"/>
              <w:ind w:left="0" w:right="0" w:firstLine="480" w:firstLineChars="200"/>
              <w:rPr>
                <w:rFonts w:hint="default"/>
                <w:color w:val="auto"/>
                <w:sz w:val="24"/>
                <w:szCs w:val="24"/>
                <w:highlight w:val="none"/>
              </w:rPr>
            </w:pPr>
            <w:r>
              <w:rPr>
                <w:rFonts w:hint="eastAsia"/>
                <w:color w:val="auto"/>
                <w:sz w:val="24"/>
                <w:szCs w:val="24"/>
                <w:highlight w:val="none"/>
              </w:rPr>
              <w:t>集中建设区重点保障生产、生活、生态和安全空间需求。在城镇开发边界内实施战略留白，为长远发展谋划预留战略空间。</w:t>
            </w:r>
          </w:p>
          <w:p>
            <w:pPr>
              <w:pStyle w:val="25"/>
              <w:spacing w:line="480" w:lineRule="exact"/>
              <w:ind w:firstLine="480" w:firstLineChars="200"/>
              <w:rPr>
                <w:rFonts w:ascii="Times New Roman" w:hAnsi="Times New Roman" w:eastAsia="宋体"/>
                <w:b w:val="0"/>
                <w:bCs w:val="0"/>
                <w:color w:val="auto"/>
                <w:sz w:val="24"/>
                <w:szCs w:val="24"/>
                <w:highlight w:val="none"/>
              </w:rPr>
            </w:pPr>
            <w:r>
              <w:rPr>
                <w:rFonts w:hint="eastAsia" w:ascii="Times New Roman" w:hAnsi="Times New Roman" w:eastAsia="宋体"/>
                <w:b w:val="0"/>
                <w:bCs w:val="0"/>
                <w:color w:val="auto"/>
                <w:sz w:val="24"/>
                <w:szCs w:val="24"/>
                <w:highlight w:val="none"/>
              </w:rPr>
              <w:t>本项目位于山西省长治市屯留区余吾镇南街村</w:t>
            </w:r>
            <w:r>
              <w:rPr>
                <w:rFonts w:hint="eastAsia" w:ascii="Times New Roman" w:hAnsi="Times New Roman" w:eastAsia="宋体"/>
                <w:b w:val="0"/>
                <w:bCs w:val="0"/>
                <w:color w:val="auto"/>
                <w:sz w:val="24"/>
                <w:szCs w:val="24"/>
                <w:highlight w:val="none"/>
                <w:lang w:val="en-US" w:eastAsia="zh-CN"/>
              </w:rPr>
              <w:t>东侧225m</w:t>
            </w:r>
            <w:r>
              <w:rPr>
                <w:rFonts w:hint="eastAsia" w:ascii="Times New Roman" w:hAnsi="Times New Roman"/>
                <w:b w:val="0"/>
                <w:bCs w:val="0"/>
                <w:color w:val="auto"/>
                <w:sz w:val="24"/>
                <w:szCs w:val="24"/>
                <w:highlight w:val="none"/>
                <w:lang w:val="en-US" w:eastAsia="zh-CN"/>
              </w:rPr>
              <w:t>处</w:t>
            </w:r>
            <w:r>
              <w:rPr>
                <w:rFonts w:hint="eastAsia" w:ascii="Times New Roman" w:hAnsi="Times New Roman" w:eastAsia="宋体"/>
                <w:b w:val="0"/>
                <w:bCs w:val="0"/>
                <w:color w:val="auto"/>
                <w:sz w:val="24"/>
                <w:szCs w:val="24"/>
                <w:highlight w:val="none"/>
                <w:lang w:eastAsia="zh-CN"/>
              </w:rPr>
              <w:t>，</w:t>
            </w:r>
            <w:r>
              <w:rPr>
                <w:rFonts w:hint="eastAsia" w:hAnsi="Times New Roman"/>
                <w:b w:val="0"/>
                <w:bCs w:val="0"/>
                <w:color w:val="auto"/>
                <w:sz w:val="24"/>
                <w:szCs w:val="24"/>
                <w:highlight w:val="none"/>
                <w:lang w:val="en-US" w:eastAsia="zh-CN"/>
              </w:rPr>
              <w:t>位于城镇开发边界范围内，</w:t>
            </w:r>
            <w:r>
              <w:rPr>
                <w:rFonts w:hint="eastAsia" w:ascii="Times New Roman" w:hAnsi="Times New Roman" w:eastAsia="宋体"/>
                <w:b w:val="0"/>
                <w:bCs w:val="0"/>
                <w:color w:val="auto"/>
                <w:sz w:val="24"/>
                <w:szCs w:val="24"/>
                <w:highlight w:val="none"/>
                <w:lang w:val="en-US" w:eastAsia="zh-CN"/>
              </w:rPr>
              <w:t>占地类型为工业工地，</w:t>
            </w:r>
            <w:r>
              <w:rPr>
                <w:rFonts w:hint="eastAsia" w:ascii="Times New Roman" w:hAnsi="Times New Roman" w:eastAsia="宋体"/>
                <w:b w:val="0"/>
                <w:bCs w:val="0"/>
                <w:color w:val="auto"/>
                <w:sz w:val="24"/>
                <w:szCs w:val="24"/>
                <w:highlight w:val="none"/>
              </w:rPr>
              <w:t>不占用永久基本农田，不在生态保护红线范围内，</w:t>
            </w:r>
            <w:r>
              <w:rPr>
                <w:rFonts w:hint="eastAsia" w:hAnsi="Times New Roman"/>
                <w:b w:val="0"/>
                <w:bCs w:val="0"/>
                <w:color w:val="auto"/>
                <w:sz w:val="24"/>
                <w:szCs w:val="24"/>
                <w:highlight w:val="none"/>
                <w:lang w:val="en-US" w:eastAsia="zh-CN"/>
              </w:rPr>
              <w:t>但</w:t>
            </w:r>
            <w:r>
              <w:rPr>
                <w:rFonts w:hint="eastAsia" w:ascii="Times New Roman" w:hAnsi="Times New Roman" w:eastAsia="宋体"/>
                <w:b w:val="0"/>
                <w:bCs w:val="0"/>
                <w:color w:val="auto"/>
                <w:sz w:val="24"/>
                <w:szCs w:val="24"/>
                <w:highlight w:val="none"/>
              </w:rPr>
              <w:t>未突破城镇开发边界。本项目与屯留区国土空间控制线规划图相对位置关系图见附图</w:t>
            </w:r>
            <w:r>
              <w:rPr>
                <w:rFonts w:hint="eastAsia" w:hAnsi="Times New Roman"/>
                <w:b w:val="0"/>
                <w:bCs w:val="0"/>
                <w:color w:val="auto"/>
                <w:sz w:val="24"/>
                <w:szCs w:val="24"/>
                <w:highlight w:val="none"/>
                <w:lang w:val="en-US" w:eastAsia="zh-CN"/>
              </w:rPr>
              <w:t>10</w:t>
            </w:r>
            <w:r>
              <w:rPr>
                <w:rFonts w:hint="default" w:ascii="Times New Roman" w:hAnsi="Times New Roman" w:eastAsia="宋体"/>
                <w:b w:val="0"/>
                <w:bCs w:val="0"/>
                <w:color w:val="auto"/>
                <w:sz w:val="24"/>
                <w:szCs w:val="24"/>
                <w:highlight w:val="none"/>
              </w:rPr>
              <w:t>。</w:t>
            </w:r>
          </w:p>
          <w:p>
            <w:pPr>
              <w:autoSpaceDE w:val="0"/>
              <w:autoSpaceDN w:val="0"/>
              <w:adjustRightInd w:val="0"/>
              <w:snapToGrid w:val="0"/>
              <w:spacing w:line="480" w:lineRule="exact"/>
              <w:ind w:firstLine="482" w:firstLineChars="200"/>
              <w:rPr>
                <w:b/>
                <w:bCs/>
                <w:color w:val="auto"/>
                <w:sz w:val="24"/>
                <w:szCs w:val="24"/>
                <w:highlight w:val="none"/>
              </w:rPr>
            </w:pPr>
            <w:r>
              <w:rPr>
                <w:rFonts w:hint="eastAsia"/>
                <w:b/>
                <w:bCs/>
                <w:color w:val="auto"/>
                <w:sz w:val="24"/>
                <w:szCs w:val="24"/>
                <w:highlight w:val="none"/>
                <w:lang w:val="en-US" w:eastAsia="zh-CN"/>
              </w:rPr>
              <w:t>4.</w:t>
            </w:r>
            <w:r>
              <w:rPr>
                <w:rFonts w:hint="eastAsia"/>
                <w:b/>
                <w:bCs/>
                <w:color w:val="auto"/>
                <w:sz w:val="24"/>
                <w:szCs w:val="24"/>
                <w:highlight w:val="none"/>
              </w:rPr>
              <w:t>与山西省人民政府办公厅《关于印发山西省推进多式联运发展优化调整运输结构工作实施方案（2</w:t>
            </w:r>
            <w:r>
              <w:rPr>
                <w:b/>
                <w:bCs/>
                <w:color w:val="auto"/>
                <w:sz w:val="24"/>
                <w:szCs w:val="24"/>
                <w:highlight w:val="none"/>
              </w:rPr>
              <w:t>022-2025</w:t>
            </w:r>
            <w:r>
              <w:rPr>
                <w:rFonts w:hint="eastAsia"/>
                <w:b/>
                <w:bCs/>
                <w:color w:val="auto"/>
                <w:sz w:val="24"/>
                <w:szCs w:val="24"/>
                <w:highlight w:val="none"/>
              </w:rPr>
              <w:t>年）的通知》的符合性分析</w:t>
            </w:r>
          </w:p>
          <w:p>
            <w:pPr>
              <w:autoSpaceDE w:val="0"/>
              <w:autoSpaceDN w:val="0"/>
              <w:adjustRightInd w:val="0"/>
              <w:snapToGrid w:val="0"/>
              <w:spacing w:line="480" w:lineRule="exact"/>
              <w:ind w:firstLine="480" w:firstLineChars="200"/>
              <w:rPr>
                <w:color w:val="auto"/>
                <w:sz w:val="24"/>
                <w:szCs w:val="24"/>
                <w:highlight w:val="none"/>
              </w:rPr>
            </w:pPr>
            <w:r>
              <w:rPr>
                <w:rFonts w:hint="eastAsia"/>
                <w:color w:val="auto"/>
                <w:sz w:val="24"/>
                <w:szCs w:val="24"/>
                <w:highlight w:val="none"/>
              </w:rPr>
              <w:t>20</w:t>
            </w:r>
            <w:r>
              <w:rPr>
                <w:color w:val="auto"/>
                <w:sz w:val="24"/>
                <w:szCs w:val="24"/>
                <w:highlight w:val="none"/>
              </w:rPr>
              <w:t>22</w:t>
            </w:r>
            <w:r>
              <w:rPr>
                <w:rFonts w:hint="eastAsia"/>
                <w:color w:val="auto"/>
                <w:sz w:val="24"/>
                <w:szCs w:val="24"/>
                <w:highlight w:val="none"/>
              </w:rPr>
              <w:t>年</w:t>
            </w:r>
            <w:r>
              <w:rPr>
                <w:color w:val="auto"/>
                <w:sz w:val="24"/>
                <w:szCs w:val="24"/>
                <w:highlight w:val="none"/>
              </w:rPr>
              <w:t>11</w:t>
            </w:r>
            <w:r>
              <w:rPr>
                <w:rFonts w:hint="eastAsia"/>
                <w:color w:val="auto"/>
                <w:sz w:val="24"/>
                <w:szCs w:val="24"/>
                <w:highlight w:val="none"/>
              </w:rPr>
              <w:t>月</w:t>
            </w:r>
            <w:r>
              <w:rPr>
                <w:color w:val="auto"/>
                <w:sz w:val="24"/>
                <w:szCs w:val="24"/>
                <w:highlight w:val="none"/>
              </w:rPr>
              <w:t>8</w:t>
            </w:r>
            <w:r>
              <w:rPr>
                <w:rFonts w:hint="eastAsia"/>
                <w:color w:val="auto"/>
                <w:sz w:val="24"/>
                <w:szCs w:val="24"/>
                <w:highlight w:val="none"/>
              </w:rPr>
              <w:t>日山西省人民政府办公厅晋政办发[20</w:t>
            </w:r>
            <w:r>
              <w:rPr>
                <w:color w:val="auto"/>
                <w:sz w:val="24"/>
                <w:szCs w:val="24"/>
                <w:highlight w:val="none"/>
              </w:rPr>
              <w:t>22</w:t>
            </w:r>
            <w:r>
              <w:rPr>
                <w:rFonts w:hint="eastAsia"/>
                <w:color w:val="auto"/>
                <w:sz w:val="24"/>
                <w:szCs w:val="24"/>
                <w:highlight w:val="none"/>
              </w:rPr>
              <w:t>]</w:t>
            </w:r>
            <w:r>
              <w:rPr>
                <w:color w:val="auto"/>
                <w:sz w:val="24"/>
                <w:szCs w:val="24"/>
                <w:highlight w:val="none"/>
              </w:rPr>
              <w:t>88</w:t>
            </w:r>
            <w:r>
              <w:rPr>
                <w:rFonts w:hint="eastAsia"/>
                <w:color w:val="auto"/>
                <w:sz w:val="24"/>
                <w:szCs w:val="24"/>
                <w:highlight w:val="none"/>
              </w:rPr>
              <w:t>号“关于印发山西省推进多式联运发展优化调整运输结构工作实施方案（2022-2025年）的通知”，文中提到：进一步加快运输结构调整，推动大宗物资“公转铁”，鼓励工矿企业等实施大宗货物公转铁”、“散改集”，中长距离运输时主要采用铁路运输，短距离运输时优先采用封闭式皮带廊道或新能源车。加快推动铁路专用线建设，新建或迁建煤炭、矿石、焦炭等大宗货物年运量150万吨以上的物流园区、工矿企业及粮食储备库等，原则上要接入铁路专用线或管道。推动太原、大同、临汾等无水港与沿海港口深度合作、联动发展，探索推广大宗固体废物公铁协同联运模式。</w:t>
            </w:r>
          </w:p>
          <w:p>
            <w:pPr>
              <w:autoSpaceDE w:val="0"/>
              <w:autoSpaceDN w:val="0"/>
              <w:adjustRightInd w:val="0"/>
              <w:snapToGrid w:val="0"/>
              <w:spacing w:line="480" w:lineRule="exact"/>
              <w:ind w:firstLine="480" w:firstLineChars="200"/>
              <w:rPr>
                <w:rFonts w:hint="eastAsia"/>
                <w:color w:val="auto"/>
                <w:sz w:val="24"/>
                <w:szCs w:val="24"/>
                <w:highlight w:val="none"/>
              </w:rPr>
            </w:pPr>
            <w:r>
              <w:rPr>
                <w:rFonts w:hint="eastAsia"/>
                <w:color w:val="auto"/>
                <w:sz w:val="24"/>
                <w:szCs w:val="24"/>
                <w:highlight w:val="none"/>
              </w:rPr>
              <w:t>本项目利用煤炭开采、固废煤矸石，节约天然资源，提高产业固体废物综合利用水平，属于废弃资源利用，本质上不属于上述文件中提到的“新建或迁建煤炭、矿石、焦炭等项目”</w:t>
            </w:r>
            <w:r>
              <w:rPr>
                <w:rFonts w:hint="eastAsia"/>
                <w:color w:val="auto"/>
                <w:sz w:val="24"/>
                <w:szCs w:val="24"/>
                <w:highlight w:val="none"/>
                <w:lang w:eastAsia="zh-CN"/>
              </w:rPr>
              <w:t>，</w:t>
            </w:r>
            <w:r>
              <w:rPr>
                <w:rFonts w:hint="eastAsia"/>
                <w:color w:val="auto"/>
                <w:sz w:val="24"/>
                <w:szCs w:val="24"/>
                <w:highlight w:val="none"/>
              </w:rPr>
              <w:t>符合“山西省推进多式联运发展优化调整运输结构工作实施方案（2022-2025年）的通知”要求。</w:t>
            </w:r>
          </w:p>
          <w:p>
            <w:pPr>
              <w:keepNext w:val="0"/>
              <w:keepLines w:val="0"/>
              <w:suppressLineNumbers w:val="0"/>
              <w:autoSpaceDE w:val="0"/>
              <w:autoSpaceDN w:val="0"/>
              <w:adjustRightInd w:val="0"/>
              <w:snapToGrid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szCs w:val="24"/>
                <w:highlight w:val="none"/>
                <w:lang w:val="en-US" w:eastAsia="zh-CN"/>
              </w:rPr>
            </w:pPr>
            <w:r>
              <w:rPr>
                <w:rFonts w:hint="eastAsia"/>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与《山西省黄河（汾河）流域水污染治理攻坚方案》（晋政办发</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2020</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19号）</w:t>
            </w:r>
            <w:r>
              <w:rPr>
                <w:rFonts w:hint="eastAsia"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《山西省人民政府关于坚决打赢汾河流域治理攻坚战的决定》符合性分析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根据《山西省黄河（汾河）流域水污染治理攻坚方案》（晋政办发</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2020</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19号）第十六条规定，</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汾河及入黄主要支流沿岸堤外50米、其支流堤外30米范围内实施植树种草增绿，建设绿色生态廊道，改善断面水质，保护河流生态空间</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；《山西省人民政府关于坚决打赢汾河流域治理攻坚战的决定》中第11条指出</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在汾河干流河道水岸线以外原则上不小于一百米、支流原则上不小于五十米，划定生态功能保护线，建设缓冲隔离防护林带和水源涵养林带，改变农防段种植结构，提高汾河流域河流自净能力</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项目厂址附近最近的河流为</w:t>
            </w:r>
            <w:r>
              <w:rPr>
                <w:rFonts w:hint="eastAsia"/>
                <w:bCs/>
                <w:color w:val="auto"/>
                <w:sz w:val="24"/>
                <w:szCs w:val="24"/>
                <w:highlight w:val="none"/>
                <w:lang w:val="en-US" w:eastAsia="zh-CN"/>
              </w:rPr>
              <w:t>厂址东北侧约0.8km的交川水河</w:t>
            </w:r>
            <w:r>
              <w:rPr>
                <w:rFonts w:hint="default" w:ascii="Times New Roman" w:hAnsi="Times New Roman" w:eastAsia="宋体" w:cs="Times New Roman"/>
                <w:b w:val="0"/>
                <w:bCs w:val="0"/>
                <w:color w:val="auto"/>
                <w:sz w:val="24"/>
                <w:szCs w:val="24"/>
                <w:highlight w:val="none"/>
                <w:lang w:val="en-US" w:eastAsia="zh-CN"/>
              </w:rPr>
              <w:t>，项目不占用河道及河滩，</w:t>
            </w:r>
            <w:r>
              <w:rPr>
                <w:rFonts w:hint="eastAsia" w:cs="Times New Roman"/>
                <w:b w:val="0"/>
                <w:bCs w:val="0"/>
                <w:color w:val="auto"/>
                <w:sz w:val="24"/>
                <w:szCs w:val="24"/>
                <w:highlight w:val="none"/>
                <w:lang w:val="en-US" w:eastAsia="zh-CN"/>
              </w:rPr>
              <w:t>则项目建设符合</w:t>
            </w:r>
            <w:r>
              <w:rPr>
                <w:rFonts w:hint="default" w:ascii="Times New Roman" w:hAnsi="Times New Roman" w:eastAsia="宋体" w:cs="Times New Roman"/>
                <w:b w:val="0"/>
                <w:bCs w:val="0"/>
                <w:color w:val="auto"/>
                <w:sz w:val="24"/>
                <w:szCs w:val="24"/>
                <w:highlight w:val="none"/>
                <w:lang w:val="en-US" w:eastAsia="zh-CN"/>
              </w:rPr>
              <w:t>《山西省黄河（汾河）流域水污染治理攻坚方案》（晋政办发</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2020</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19号）、《山西省人民政府关于坚决打赢汾河流域治理攻坚战的决定》中相关要求</w:t>
            </w:r>
            <w:r>
              <w:rPr>
                <w:rFonts w:hint="eastAsia" w:ascii="Times New Roman" w:hAnsi="Times New Roman" w:eastAsia="宋体" w:cs="Times New Roman"/>
                <w:b w:val="0"/>
                <w:bCs w:val="0"/>
                <w:color w:val="auto"/>
                <w:sz w:val="24"/>
                <w:szCs w:val="24"/>
                <w:highlight w:val="none"/>
                <w:lang w:val="en-US" w:eastAsia="zh-CN"/>
              </w:rPr>
              <w:t>。</w:t>
            </w:r>
          </w:p>
          <w:p>
            <w:pPr>
              <w:autoSpaceDE w:val="0"/>
              <w:autoSpaceDN w:val="0"/>
              <w:adjustRightInd w:val="0"/>
              <w:snapToGrid w:val="0"/>
              <w:spacing w:line="460" w:lineRule="exact"/>
              <w:ind w:firstLine="482" w:firstLineChars="200"/>
              <w:rPr>
                <w:rFonts w:hint="default" w:eastAsia="宋体" w:cs="Times New Roman"/>
                <w:b/>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color w:val="auto"/>
                <w:sz w:val="24"/>
                <w:szCs w:val="24"/>
                <w:highlight w:val="none"/>
                <w:lang w:val="en-US" w:eastAsia="zh-CN"/>
              </w:rPr>
              <w:t>与《</w:t>
            </w:r>
            <w:r>
              <w:rPr>
                <w:rFonts w:hint="eastAsia"/>
                <w:b/>
                <w:bCs/>
                <w:color w:val="auto"/>
                <w:sz w:val="24"/>
                <w:szCs w:val="24"/>
                <w:highlight w:val="none"/>
              </w:rPr>
              <w:t>长治市工业企业无组织排放治理实施方案的通知》（长气防办（2019）9号）</w:t>
            </w:r>
            <w:r>
              <w:rPr>
                <w:rFonts w:hint="eastAsia"/>
                <w:b/>
                <w:bCs/>
                <w:color w:val="auto"/>
                <w:sz w:val="24"/>
                <w:szCs w:val="24"/>
                <w:highlight w:val="none"/>
                <w:lang w:val="en-US" w:eastAsia="zh-CN"/>
              </w:rPr>
              <w:t>符合性分析</w:t>
            </w:r>
          </w:p>
          <w:p>
            <w:pPr>
              <w:spacing w:line="480" w:lineRule="exact"/>
              <w:jc w:val="center"/>
              <w:rPr>
                <w:rFonts w:hint="default" w:ascii="Times New Roman" w:hAnsi="Times New Roman" w:eastAsia="宋体" w:cs="Times New Roman"/>
                <w:b/>
                <w:bCs/>
                <w:color w:val="auto"/>
                <w:kern w:val="0"/>
                <w:sz w:val="24"/>
                <w:szCs w:val="24"/>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表1-</w:t>
            </w:r>
            <w:r>
              <w:rPr>
                <w:rFonts w:hint="eastAsia" w:cs="Times New Roman"/>
                <w:b/>
                <w:bCs/>
                <w:color w:val="auto"/>
                <w:kern w:val="0"/>
                <w:sz w:val="21"/>
                <w:szCs w:val="21"/>
                <w:highlight w:val="none"/>
                <w:lang w:val="en-US" w:eastAsia="zh-CN" w:bidi="ar-SA"/>
              </w:rPr>
              <w:t>7</w:t>
            </w:r>
            <w:r>
              <w:rPr>
                <w:rFonts w:hint="default" w:ascii="Times New Roman" w:hAnsi="Times New Roman" w:eastAsia="宋体" w:cs="Times New Roman"/>
                <w:b/>
                <w:bCs/>
                <w:color w:val="auto"/>
                <w:kern w:val="0"/>
                <w:sz w:val="21"/>
                <w:szCs w:val="21"/>
                <w:highlight w:val="none"/>
                <w:lang w:val="en-US" w:eastAsia="zh-CN" w:bidi="ar-SA"/>
              </w:rPr>
              <w:t xml:space="preserve">  项目与</w:t>
            </w:r>
            <w:r>
              <w:rPr>
                <w:rFonts w:hint="eastAsia" w:cs="Times New Roman"/>
                <w:b/>
                <w:bCs/>
                <w:color w:val="auto"/>
                <w:kern w:val="0"/>
                <w:sz w:val="21"/>
                <w:szCs w:val="21"/>
                <w:highlight w:val="none"/>
                <w:lang w:val="en-US" w:eastAsia="zh-CN" w:bidi="ar-SA"/>
              </w:rPr>
              <w:t>实施方案</w:t>
            </w:r>
            <w:r>
              <w:rPr>
                <w:rFonts w:hint="default" w:ascii="Times New Roman" w:hAnsi="Times New Roman" w:eastAsia="宋体" w:cs="Times New Roman"/>
                <w:b/>
                <w:bCs/>
                <w:color w:val="auto"/>
                <w:kern w:val="0"/>
                <w:sz w:val="21"/>
                <w:szCs w:val="21"/>
                <w:highlight w:val="none"/>
                <w:lang w:val="en-US" w:eastAsia="zh-CN" w:bidi="ar-SA"/>
              </w:rPr>
              <w:t>符合性分析</w:t>
            </w:r>
          </w:p>
          <w:tbl>
            <w:tblPr>
              <w:tblStyle w:val="29"/>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2797"/>
              <w:gridCol w:w="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cs="Times New Roman"/>
                      <w:b/>
                      <w:bCs/>
                      <w:color w:val="auto"/>
                      <w:sz w:val="21"/>
                      <w:szCs w:val="21"/>
                      <w:highlight w:val="none"/>
                      <w:shd w:val="clear" w:color="auto" w:fill="auto"/>
                      <w:vertAlign w:val="baseline"/>
                      <w:lang w:val="en-US" w:eastAsia="zh-CN"/>
                    </w:rPr>
                    <w:t>文件</w:t>
                  </w:r>
                  <w:r>
                    <w:rPr>
                      <w:rFonts w:hint="default" w:ascii="Times New Roman" w:hAnsi="Times New Roman" w:cs="Times New Roman"/>
                      <w:b/>
                      <w:bCs/>
                      <w:color w:val="auto"/>
                      <w:sz w:val="21"/>
                      <w:szCs w:val="21"/>
                      <w:highlight w:val="none"/>
                      <w:shd w:val="clear" w:color="auto" w:fill="auto"/>
                      <w:vertAlign w:val="baseline"/>
                      <w:lang w:val="en-US" w:eastAsia="zh-CN"/>
                    </w:rPr>
                    <w:t>要求</w:t>
                  </w:r>
                </w:p>
              </w:tc>
              <w:tc>
                <w:tcPr>
                  <w:tcW w:w="16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项目情况</w:t>
                  </w:r>
                </w:p>
              </w:tc>
              <w:tc>
                <w:tcPr>
                  <w:tcW w:w="5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cs="Times New Roman"/>
                      <w:b/>
                      <w:bCs/>
                      <w:color w:val="auto"/>
                      <w:sz w:val="21"/>
                      <w:szCs w:val="21"/>
                      <w:highlight w:val="none"/>
                      <w:shd w:val="clear" w:color="auto" w:fill="auto"/>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1、储存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（1）</w:t>
                  </w:r>
                  <w:r>
                    <w:rPr>
                      <w:rFonts w:hint="default" w:ascii="Times New Roman" w:hAnsi="Times New Roman" w:eastAsia="宋体" w:cs="Times New Roman"/>
                      <w:color w:val="auto"/>
                      <w:sz w:val="21"/>
                      <w:szCs w:val="21"/>
                      <w:highlight w:val="none"/>
                      <w:shd w:val="clear" w:color="auto" w:fill="auto"/>
                      <w:vertAlign w:val="baseline"/>
                      <w:lang w:val="en-US" w:eastAsia="zh-CN"/>
                    </w:rPr>
                    <w:t>各类生产、加工企业的粉状或颗粒状物料要全部仓储，禁止露天存放。仓储方式包括全封闭储料仓</w:t>
                  </w:r>
                  <w:r>
                    <w:rPr>
                      <w:rFonts w:hint="eastAsia" w:ascii="Times New Roman" w:hAnsi="Times New Roman" w:eastAsia="宋体"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钢结构或气膜</w:t>
                  </w:r>
                  <w:r>
                    <w:rPr>
                      <w:rFonts w:hint="eastAsia" w:ascii="Times New Roman" w:hAnsi="Times New Roman" w:eastAsia="宋体"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、筒仓。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（2）</w:t>
                  </w:r>
                  <w:r>
                    <w:rPr>
                      <w:rFonts w:hint="default" w:ascii="Times New Roman" w:hAnsi="Times New Roman" w:eastAsia="宋体" w:cs="Times New Roman"/>
                      <w:color w:val="auto"/>
                      <w:sz w:val="21"/>
                      <w:szCs w:val="21"/>
                      <w:highlight w:val="none"/>
                      <w:shd w:val="clear" w:color="auto" w:fill="auto"/>
                      <w:vertAlign w:val="baseline"/>
                      <w:lang w:val="en-US" w:eastAsia="zh-CN"/>
                    </w:rPr>
                    <w:t>全封闭储料仓防尘措施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棚仓</w:t>
                  </w:r>
                  <w:r>
                    <w:rPr>
                      <w:rFonts w:hint="eastAsia" w:ascii="Times New Roman" w:hAnsi="Times New Roman" w:eastAsia="宋体"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含门窗</w:t>
                  </w:r>
                  <w:r>
                    <w:rPr>
                      <w:rFonts w:hint="eastAsia" w:ascii="Times New Roman" w:hAnsi="Times New Roman" w:eastAsia="宋体"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必须全密封，因防爆、职业防治、安全等</w:t>
                  </w:r>
                  <w:r>
                    <w:rPr>
                      <w:rFonts w:hint="eastAsia" w:cs="Times New Roman"/>
                      <w:color w:val="auto"/>
                      <w:sz w:val="21"/>
                      <w:szCs w:val="21"/>
                      <w:highlight w:val="none"/>
                      <w:shd w:val="clear" w:color="auto" w:fill="auto"/>
                      <w:vertAlign w:val="baseline"/>
                      <w:lang w:val="en-US" w:eastAsia="zh-CN"/>
                    </w:rPr>
                    <w:t>特殊</w:t>
                  </w:r>
                  <w:r>
                    <w:rPr>
                      <w:rFonts w:hint="default" w:ascii="Times New Roman" w:hAnsi="Times New Roman" w:eastAsia="宋体" w:cs="Times New Roman"/>
                      <w:color w:val="auto"/>
                      <w:sz w:val="21"/>
                      <w:szCs w:val="21"/>
                      <w:highlight w:val="none"/>
                      <w:shd w:val="clear" w:color="auto" w:fill="auto"/>
                      <w:vertAlign w:val="baseline"/>
                      <w:lang w:val="en-US" w:eastAsia="zh-CN"/>
                    </w:rPr>
                    <w:t>原因的可按要求留口。顶部和四周封闭材料不得存在锈蚀损坏，脱落现象。地面必须硬化。储存质量较轻的粉状物料棚仓要在顶部或房梁部加装雾化喷淋装置，做到仓内抑尘。储存砂石、铁矿粉、炉渣等质量较大的物料，棚仓配装射程可覆盖全仓的雾炮。对含水率有要求的物料可以采用高效干雾等抑尘措施。车辆出入口加装密闭门，密闭门优先选择自动感应门或自动升降帘，当工艺有特殊要求时，可选择手动，无车辆出入时保持关闭状态。棚仓出口必须加设车辆冲洗平台，储存粉状物料的棚仓要在车辆进出口加设扬尘在线监测和视频监控设施，并与生态环境部门联网，实时传输监测数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其他料场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确因地质地形、生产安全等条件影响，不能建设全封闭储仓或筒仓时，可选择建设挡风抑尘网并安装无组织扬尘在线监测设备，物料堆存高度必须低于挡风抑尘网高度2米以上，挡风抑尘网内物料必须全部苫盖，加设喷淋或喷雾抑尘设施，喷淋面积必须覆盖全部物料。有条件的企业，在不影响物料性质的基础上可采用抑尘剂进一步防止物料随风起尘。当工作面必须裸露时，必须同时开启喷淋或喷雾抑尘装置，确保物料不起尘，同时要对地面进行洗扫，保持地面清洁无扬尘。车辆进出口必须加设车辆冲洗平台、扬尘在线监测和视频监控设施，并与生态环境部门联网，实时传输监测数据。</w:t>
                  </w:r>
                </w:p>
              </w:tc>
              <w:tc>
                <w:tcPr>
                  <w:tcW w:w="16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本项目原料为煤矸石，在全封闭</w:t>
                  </w:r>
                  <w:r>
                    <w:rPr>
                      <w:rFonts w:hint="eastAsia" w:cs="Times New Roman"/>
                      <w:color w:val="auto"/>
                      <w:sz w:val="21"/>
                      <w:szCs w:val="21"/>
                      <w:highlight w:val="none"/>
                      <w:shd w:val="clear" w:color="auto" w:fill="auto"/>
                      <w:vertAlign w:val="baseline"/>
                      <w:lang w:val="en-US" w:eastAsia="zh-CN"/>
                    </w:rPr>
                    <w:t>生产车间内</w:t>
                  </w:r>
                  <w:r>
                    <w:rPr>
                      <w:rFonts w:hint="eastAsia" w:ascii="Times New Roman" w:hAnsi="Times New Roman" w:eastAsia="宋体" w:cs="Times New Roman"/>
                      <w:color w:val="auto"/>
                      <w:sz w:val="21"/>
                      <w:szCs w:val="21"/>
                      <w:highlight w:val="none"/>
                      <w:shd w:val="clear" w:color="auto" w:fill="auto"/>
                      <w:vertAlign w:val="baseline"/>
                      <w:lang w:val="en-US" w:eastAsia="zh-CN"/>
                    </w:rPr>
                    <w:t>贮存，</w:t>
                  </w:r>
                  <w:r>
                    <w:rPr>
                      <w:rFonts w:hint="eastAsia" w:cs="Times New Roman"/>
                      <w:color w:val="auto"/>
                      <w:sz w:val="21"/>
                      <w:szCs w:val="21"/>
                      <w:highlight w:val="none"/>
                      <w:shd w:val="clear" w:color="auto" w:fill="auto"/>
                      <w:vertAlign w:val="baseline"/>
                      <w:lang w:val="en-US" w:eastAsia="zh-CN"/>
                    </w:rPr>
                    <w:t>煤矸石由装载机送入给料仓内；原料堆放区上方设置喷雾抑尘装置；煤矸石粉设置1台粉料仓，仓顶设置1台布袋除尘器；生产车间的</w:t>
                  </w:r>
                  <w:r>
                    <w:rPr>
                      <w:rFonts w:hint="default" w:ascii="Times New Roman" w:hAnsi="Times New Roman" w:eastAsia="宋体" w:cs="Times New Roman"/>
                      <w:color w:val="auto"/>
                      <w:sz w:val="21"/>
                      <w:szCs w:val="21"/>
                      <w:highlight w:val="none"/>
                      <w:shd w:val="clear" w:color="auto" w:fill="auto"/>
                      <w:vertAlign w:val="baseline"/>
                      <w:lang w:val="en-US" w:eastAsia="zh-CN"/>
                    </w:rPr>
                    <w:t>车辆出入口加装密闭门</w:t>
                  </w:r>
                  <w:r>
                    <w:rPr>
                      <w:rFonts w:hint="eastAsia" w:cs="Times New Roman"/>
                      <w:color w:val="auto"/>
                      <w:sz w:val="21"/>
                      <w:szCs w:val="21"/>
                      <w:highlight w:val="none"/>
                      <w:shd w:val="clear" w:color="auto" w:fill="auto"/>
                      <w:vertAlign w:val="baseline"/>
                      <w:lang w:val="en-US" w:eastAsia="zh-CN"/>
                    </w:rPr>
                    <w:t>；在厂区主入口处设置1座洗车平台、</w:t>
                  </w:r>
                  <w:r>
                    <w:rPr>
                      <w:rFonts w:hint="default" w:ascii="Times New Roman" w:hAnsi="Times New Roman" w:eastAsia="宋体" w:cs="Times New Roman"/>
                      <w:color w:val="auto"/>
                      <w:sz w:val="21"/>
                      <w:szCs w:val="21"/>
                      <w:highlight w:val="none"/>
                      <w:shd w:val="clear" w:color="auto" w:fill="auto"/>
                      <w:vertAlign w:val="baseline"/>
                      <w:lang w:val="en-US" w:eastAsia="zh-CN"/>
                    </w:rPr>
                    <w:t>扬尘在线监测和视频监控设施</w:t>
                  </w:r>
                  <w:r>
                    <w:rPr>
                      <w:rFonts w:hint="eastAsia" w:cs="Times New Roman"/>
                      <w:color w:val="auto"/>
                      <w:sz w:val="21"/>
                      <w:szCs w:val="21"/>
                      <w:highlight w:val="none"/>
                      <w:shd w:val="clear" w:color="auto" w:fill="auto"/>
                      <w:vertAlign w:val="baseline"/>
                      <w:lang w:val="en-US" w:eastAsia="zh-CN"/>
                    </w:rPr>
                    <w:t>，并与</w:t>
                  </w:r>
                  <w:r>
                    <w:rPr>
                      <w:rFonts w:hint="default" w:ascii="Times New Roman" w:hAnsi="Times New Roman" w:eastAsia="宋体" w:cs="Times New Roman"/>
                      <w:color w:val="auto"/>
                      <w:sz w:val="21"/>
                      <w:szCs w:val="21"/>
                      <w:highlight w:val="none"/>
                      <w:shd w:val="clear" w:color="auto" w:fill="auto"/>
                      <w:vertAlign w:val="baseline"/>
                      <w:lang w:val="en-US" w:eastAsia="zh-CN"/>
                    </w:rPr>
                    <w:t>生态环境部门联网</w:t>
                  </w:r>
                  <w:r>
                    <w:rPr>
                      <w:rFonts w:hint="eastAsia" w:cs="Times New Roman"/>
                      <w:color w:val="auto"/>
                      <w:sz w:val="21"/>
                      <w:szCs w:val="21"/>
                      <w:highlight w:val="none"/>
                      <w:shd w:val="clear" w:color="auto" w:fill="auto"/>
                      <w:vertAlign w:val="baseline"/>
                      <w:lang w:val="en-US" w:eastAsia="zh-CN"/>
                    </w:rPr>
                    <w:t>，出厂车辆轮胎要进行清洗方可出厂。本项目原料堆放区和成品堆放区均位于全封闭生产车间内，不在厂区露天堆放。</w:t>
                  </w:r>
                </w:p>
              </w:tc>
              <w:tc>
                <w:tcPr>
                  <w:tcW w:w="5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2、装卸</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所有物料装卸</w:t>
                  </w:r>
                  <w:r>
                    <w:rPr>
                      <w:rFonts w:hint="eastAsia" w:ascii="Times New Roman" w:hAnsi="Times New Roman" w:eastAsia="宋体"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含包装好的物料</w:t>
                  </w:r>
                  <w:r>
                    <w:rPr>
                      <w:rFonts w:hint="eastAsia" w:ascii="Times New Roman" w:hAnsi="Times New Roman" w:eastAsia="宋体" w:cs="Times New Roman"/>
                      <w:color w:val="auto"/>
                      <w:sz w:val="21"/>
                      <w:szCs w:val="21"/>
                      <w:highlight w:val="none"/>
                      <w:shd w:val="clear" w:color="auto" w:fill="auto"/>
                      <w:vertAlign w:val="baseline"/>
                      <w:lang w:val="en-US" w:eastAsia="zh-CN"/>
                    </w:rPr>
                    <w:t>）</w:t>
                  </w:r>
                  <w:r>
                    <w:rPr>
                      <w:rFonts w:hint="default" w:ascii="Times New Roman" w:hAnsi="Times New Roman" w:eastAsia="宋体" w:cs="Times New Roman"/>
                      <w:color w:val="auto"/>
                      <w:sz w:val="21"/>
                      <w:szCs w:val="21"/>
                      <w:highlight w:val="none"/>
                      <w:shd w:val="clear" w:color="auto" w:fill="auto"/>
                      <w:vertAlign w:val="baseline"/>
                      <w:lang w:val="en-US" w:eastAsia="zh-CN"/>
                    </w:rPr>
                    <w:t>必须固定装卸位，严禁随意装卸。所有物料严禁露天装卸，因工艺要求等特殊原因确需露天装卸的，必须同步设置收尘、除尘设施，并布设符合要求的排气筒。</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（1）</w:t>
                  </w:r>
                  <w:r>
                    <w:rPr>
                      <w:rFonts w:hint="default" w:ascii="Times New Roman" w:hAnsi="Times New Roman" w:eastAsia="宋体" w:cs="Times New Roman"/>
                      <w:color w:val="auto"/>
                      <w:sz w:val="21"/>
                      <w:szCs w:val="21"/>
                      <w:highlight w:val="none"/>
                      <w:shd w:val="clear" w:color="auto" w:fill="auto"/>
                      <w:vertAlign w:val="baseline"/>
                      <w:lang w:val="en-US" w:eastAsia="zh-CN"/>
                    </w:rPr>
                    <w:t>装车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煤炭、煤</w:t>
                  </w:r>
                  <w:r>
                    <w:rPr>
                      <w:rFonts w:hint="eastAsia" w:cs="Times New Roman"/>
                      <w:color w:val="auto"/>
                      <w:sz w:val="21"/>
                      <w:szCs w:val="21"/>
                      <w:highlight w:val="none"/>
                      <w:shd w:val="clear" w:color="auto" w:fill="auto"/>
                      <w:vertAlign w:val="baseline"/>
                      <w:lang w:val="en-US" w:eastAsia="zh-CN"/>
                    </w:rPr>
                    <w:t>矸</w:t>
                  </w:r>
                  <w:r>
                    <w:rPr>
                      <w:rFonts w:hint="default" w:ascii="Times New Roman" w:hAnsi="Times New Roman" w:eastAsia="宋体" w:cs="Times New Roman"/>
                      <w:color w:val="auto"/>
                      <w:sz w:val="21"/>
                      <w:szCs w:val="21"/>
                      <w:highlight w:val="none"/>
                      <w:shd w:val="clear" w:color="auto" w:fill="auto"/>
                      <w:vertAlign w:val="baseline"/>
                      <w:lang w:val="en-US" w:eastAsia="zh-CN"/>
                    </w:rPr>
                    <w:t>石、砂石、矿粉等物料应在密闭储仓内装运，采用筒仓储存的应通过皮带转运，抑尘装车时应固定装车位，并同步设置收尘、吸尘装置，装车时适当提高含水率，无法增加含水率的，装车过程中同步使用雾炮、喷淋或高效干雾抑尘。</w:t>
                  </w:r>
                </w:p>
              </w:tc>
              <w:tc>
                <w:tcPr>
                  <w:tcW w:w="16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本项目原料堆放区和成品堆放区均位于全封闭生产车间内，不在厂区露天堆放，且在原料堆放区顶部设置喷雾抑尘设施，原料在装卸过程在原料堆放区进行，且要装卸高度，同时设置移动式雾炮机进行除尘。煤矸石粉设置1台粉料仓，仓顶设置1台布袋除尘器。</w:t>
                  </w:r>
                </w:p>
              </w:tc>
              <w:tc>
                <w:tcPr>
                  <w:tcW w:w="5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3、转运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物料转运应采取气力管道输送、卷筒皮带或全密闭皮带走廊，位于室内输送粉状物料的皮带走廊也应全密闭，物料输送管道不得有锈蚀、破损现象，接口处不得跑冒粉尘。物料转载、转运跌落点要设置吸尘收尘装置或者设置喷雾抑尘装置，并且要降低物料跌落高度以降低起尘量。</w:t>
                  </w:r>
                </w:p>
              </w:tc>
              <w:tc>
                <w:tcPr>
                  <w:tcW w:w="16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煤矸石粉设置1台粉料仓，仓顶设置1台布袋除尘器；本项目物料转运均在全封闭生产车间内进行，皮带输送机、提升机均为全封闭式。</w:t>
                  </w:r>
                </w:p>
              </w:tc>
              <w:tc>
                <w:tcPr>
                  <w:tcW w:w="5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4、工艺过程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工艺过程中的产尘设施要置于密闭车间内，并且加设除尘吸尘设施或者采取湿法作业，减少扬尘产生，因安全原因或特殊要求无法采取湿法作业的物料可以采用高效干雾抑尘措施。收尘吸尘设施要确保可覆盖其进料口、出料口等整个起尘区，采用负压收集，确保收集效率。除尘设施优先选取高效袋式除尘器，有特殊要求不能采用高效袋式除尘的，建议选取湿电等联合除尘设施，确保除尘后粉尘排放浓度控制在10mg/m</w:t>
                  </w:r>
                  <w:r>
                    <w:rPr>
                      <w:rFonts w:hint="eastAsia"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以内。破碎、筛分等产尘量较大的生产设施在生产条件允许的情况下，可置于地下，并在进料口和出料口加设收尘吸尘设施，确保无扬尘逸散。采用湿法搅拌的搅拌机，要确保其含水率在20%以上以避免扬尘；搅拌含水率20%以下的物料和干性物料时必须全密闭，出料口加装软接套和侧吸装置。粉状物料包装工序采用软包装时必须在下料口安装粉尘收尘装置，处理打包过程中粉状物料流动和跌落产生的扬尘。除尘器收集产生的除尘灰应使用气动或螺旋方式输送，不具备上述输送条件的除尘器的卸灰口要加装软联接，除尘灰必须直接卸入密封容器或包装袋内，避免形成二次扬尘污染，严禁敞口卸灰。</w:t>
                  </w:r>
                </w:p>
              </w:tc>
              <w:tc>
                <w:tcPr>
                  <w:tcW w:w="16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本项目生产过程位于全封闭式生产车间内进行，</w:t>
                  </w:r>
                  <w:r>
                    <w:rPr>
                      <w:rFonts w:hint="default" w:ascii="Times New Roman" w:hAnsi="Times New Roman" w:eastAsia="宋体" w:cs="Times New Roman"/>
                      <w:color w:val="auto"/>
                      <w:spacing w:val="0"/>
                      <w:kern w:val="2"/>
                      <w:sz w:val="21"/>
                      <w:szCs w:val="21"/>
                      <w:highlight w:val="none"/>
                      <w:vertAlign w:val="baseline"/>
                      <w:lang w:val="en-US" w:eastAsia="zh-CN" w:bidi="ar-SA"/>
                    </w:rPr>
                    <w:t>2台给料机进料仓上方各设置1个集气罩（共2个），</w:t>
                  </w:r>
                  <w:r>
                    <w:rPr>
                      <w:rFonts w:hint="eastAsia" w:cs="Times New Roman"/>
                      <w:color w:val="auto"/>
                      <w:spacing w:val="0"/>
                      <w:kern w:val="2"/>
                      <w:sz w:val="21"/>
                      <w:szCs w:val="21"/>
                      <w:highlight w:val="none"/>
                      <w:vertAlign w:val="baseline"/>
                      <w:lang w:val="en-US" w:eastAsia="zh-CN" w:bidi="ar-SA"/>
                    </w:rPr>
                    <w:t>2台破碎机为全封闭式，设置集气管道，</w:t>
                  </w:r>
                  <w:r>
                    <w:rPr>
                      <w:rFonts w:hint="default" w:ascii="Times New Roman" w:hAnsi="Times New Roman" w:eastAsia="宋体" w:cs="Times New Roman"/>
                      <w:color w:val="auto"/>
                      <w:spacing w:val="0"/>
                      <w:kern w:val="2"/>
                      <w:sz w:val="21"/>
                      <w:szCs w:val="21"/>
                      <w:highlight w:val="none"/>
                      <w:vertAlign w:val="baseline"/>
                      <w:lang w:val="en-US" w:eastAsia="zh-CN" w:bidi="ar-SA"/>
                    </w:rPr>
                    <w:t>废气经收集后共同引入1台布袋除尘器（TA001）处理后，由一根</w:t>
                  </w:r>
                  <w:r>
                    <w:rPr>
                      <w:rFonts w:hint="eastAsia" w:cs="Times New Roman"/>
                      <w:color w:val="auto"/>
                      <w:spacing w:val="0"/>
                      <w:kern w:val="2"/>
                      <w:sz w:val="21"/>
                      <w:szCs w:val="21"/>
                      <w:highlight w:val="none"/>
                      <w:lang w:val="en-US" w:eastAsia="zh-CN" w:bidi="ar-SA"/>
                    </w:rPr>
                    <w:t>20</w:t>
                  </w:r>
                  <w:r>
                    <w:rPr>
                      <w:rFonts w:hint="default" w:ascii="Times New Roman" w:hAnsi="Times New Roman" w:eastAsia="宋体" w:cs="Times New Roman"/>
                      <w:color w:val="auto"/>
                      <w:spacing w:val="0"/>
                      <w:kern w:val="2"/>
                      <w:sz w:val="21"/>
                      <w:szCs w:val="21"/>
                      <w:highlight w:val="none"/>
                      <w:vertAlign w:val="baseline"/>
                      <w:lang w:val="en-US" w:eastAsia="zh-CN" w:bidi="ar-SA"/>
                    </w:rPr>
                    <w:t>m高排气筒（DA001）排放</w:t>
                  </w:r>
                  <w:r>
                    <w:rPr>
                      <w:rFonts w:hint="eastAsia" w:ascii="Times New Roman" w:hAnsi="Times New Roman" w:eastAsia="宋体" w:cs="Times New Roman"/>
                      <w:color w:val="auto"/>
                      <w:spacing w:val="0"/>
                      <w:kern w:val="2"/>
                      <w:sz w:val="21"/>
                      <w:szCs w:val="21"/>
                      <w:highlight w:val="none"/>
                      <w:vertAlign w:val="baseline"/>
                      <w:lang w:val="en-US" w:eastAsia="zh-CN" w:bidi="ar-SA"/>
                    </w:rPr>
                    <w:t>。</w:t>
                  </w:r>
                  <w:r>
                    <w:rPr>
                      <w:rFonts w:hint="default" w:ascii="Times New Roman" w:hAnsi="Times New Roman" w:eastAsia="宋体" w:cs="Times New Roman"/>
                      <w:color w:val="auto"/>
                      <w:spacing w:val="0"/>
                      <w:kern w:val="2"/>
                      <w:sz w:val="21"/>
                      <w:szCs w:val="21"/>
                      <w:highlight w:val="none"/>
                      <w:vertAlign w:val="baseline"/>
                      <w:lang w:val="en-US" w:eastAsia="zh-CN" w:bidi="ar-SA"/>
                    </w:rPr>
                    <w:t>球磨机和振动筛均为全封闭式，设置集气管道，废气经集气管道送至1台布袋除尘器（TA002）处理，</w:t>
                  </w:r>
                  <w:r>
                    <w:rPr>
                      <w:rFonts w:hint="eastAsia"/>
                      <w:color w:val="auto"/>
                      <w:sz w:val="21"/>
                      <w:szCs w:val="18"/>
                      <w:highlight w:val="none"/>
                      <w:lang w:val="en-US" w:eastAsia="zh-CN"/>
                    </w:rPr>
                    <w:t>煤矸石设置1台粉料仓，仓顶自带1台布袋除尘器（TA005），处理后的废气共同由</w:t>
                  </w:r>
                  <w:r>
                    <w:rPr>
                      <w:rFonts w:hint="default"/>
                      <w:color w:val="auto"/>
                      <w:sz w:val="21"/>
                      <w:szCs w:val="18"/>
                      <w:highlight w:val="none"/>
                    </w:rPr>
                    <w:t>1根</w:t>
                  </w:r>
                  <w:r>
                    <w:rPr>
                      <w:rFonts w:hint="eastAsia"/>
                      <w:color w:val="auto"/>
                      <w:sz w:val="21"/>
                      <w:szCs w:val="18"/>
                      <w:highlight w:val="none"/>
                      <w:lang w:val="en-US" w:eastAsia="zh-CN"/>
                    </w:rPr>
                    <w:t>20</w:t>
                  </w:r>
                  <w:r>
                    <w:rPr>
                      <w:rFonts w:hint="default"/>
                      <w:color w:val="auto"/>
                      <w:sz w:val="21"/>
                      <w:szCs w:val="18"/>
                      <w:highlight w:val="none"/>
                    </w:rPr>
                    <w:t>m高排气筒（</w:t>
                  </w:r>
                  <w:r>
                    <w:rPr>
                      <w:rFonts w:hint="eastAsia"/>
                      <w:color w:val="auto"/>
                      <w:sz w:val="21"/>
                      <w:szCs w:val="18"/>
                      <w:highlight w:val="none"/>
                    </w:rPr>
                    <w:t>D</w:t>
                  </w:r>
                  <w:r>
                    <w:rPr>
                      <w:rFonts w:hint="default"/>
                      <w:color w:val="auto"/>
                      <w:sz w:val="21"/>
                      <w:szCs w:val="18"/>
                      <w:highlight w:val="none"/>
                    </w:rPr>
                    <w:t>A00</w:t>
                  </w:r>
                  <w:r>
                    <w:rPr>
                      <w:rFonts w:hint="eastAsia"/>
                      <w:color w:val="auto"/>
                      <w:sz w:val="21"/>
                      <w:szCs w:val="18"/>
                      <w:highlight w:val="none"/>
                      <w:lang w:val="en-US" w:eastAsia="zh-CN"/>
                    </w:rPr>
                    <w:t>2</w:t>
                  </w:r>
                  <w:r>
                    <w:rPr>
                      <w:rFonts w:hint="default"/>
                      <w:color w:val="auto"/>
                      <w:sz w:val="21"/>
                      <w:szCs w:val="18"/>
                      <w:highlight w:val="none"/>
                    </w:rPr>
                    <w:t>）排放</w:t>
                  </w:r>
                  <w:r>
                    <w:rPr>
                      <w:rFonts w:hint="eastAsia" w:ascii="Times New Roman" w:hAnsi="Times New Roman" w:eastAsia="宋体" w:cs="Times New Roman"/>
                      <w:color w:val="auto"/>
                      <w:spacing w:val="0"/>
                      <w:kern w:val="2"/>
                      <w:sz w:val="21"/>
                      <w:szCs w:val="21"/>
                      <w:highlight w:val="none"/>
                      <w:vertAlign w:val="baseline"/>
                      <w:lang w:val="en-US" w:eastAsia="zh-CN" w:bidi="ar-SA"/>
                    </w:rPr>
                    <w:t>。发酵过程中，使用纳米膜将发酵池覆盖，采取密闭发酵，发酵池进行全封闭，在发酵池末端通过管道和引风机，将发酵池内废气引入1套生物除臭装置（TA003）进行处理后，由1根</w:t>
                  </w:r>
                  <w:r>
                    <w:rPr>
                      <w:rFonts w:hint="eastAsia" w:cs="Times New Roman"/>
                      <w:color w:val="auto"/>
                      <w:spacing w:val="0"/>
                      <w:kern w:val="2"/>
                      <w:sz w:val="21"/>
                      <w:szCs w:val="21"/>
                      <w:highlight w:val="none"/>
                      <w:vertAlign w:val="baseline"/>
                      <w:lang w:val="en-US" w:eastAsia="zh-CN" w:bidi="ar-SA"/>
                    </w:rPr>
                    <w:t>20</w:t>
                  </w:r>
                  <w:r>
                    <w:rPr>
                      <w:rFonts w:hint="eastAsia" w:ascii="Times New Roman" w:hAnsi="Times New Roman" w:eastAsia="宋体" w:cs="Times New Roman"/>
                      <w:color w:val="auto"/>
                      <w:spacing w:val="0"/>
                      <w:kern w:val="2"/>
                      <w:sz w:val="21"/>
                      <w:szCs w:val="21"/>
                      <w:highlight w:val="none"/>
                      <w:vertAlign w:val="baseline"/>
                      <w:lang w:val="en-US" w:eastAsia="zh-CN" w:bidi="ar-SA"/>
                    </w:rPr>
                    <w:t>m高排气筒（DA003）排放。</w:t>
                  </w:r>
                  <w:r>
                    <w:rPr>
                      <w:rFonts w:hint="default" w:ascii="Times New Roman" w:hAnsi="Times New Roman" w:eastAsia="宋体" w:cs="Times New Roman"/>
                      <w:color w:val="auto"/>
                      <w:spacing w:val="0"/>
                      <w:kern w:val="2"/>
                      <w:sz w:val="21"/>
                      <w:szCs w:val="21"/>
                      <w:highlight w:val="none"/>
                      <w:vertAlign w:val="baseline"/>
                      <w:lang w:val="en-US" w:eastAsia="zh-CN" w:bidi="ar-SA"/>
                    </w:rPr>
                    <w:t>挤压成型机进料口上方设置1台集气罩，筛分机为全封闭式设置集气管道，每台计量袋装机进料口设置1个侧吸罩（共5个），收集后的废气引入1台布袋除尘器（TA004），处理后由1根</w:t>
                  </w:r>
                  <w:r>
                    <w:rPr>
                      <w:rFonts w:hint="eastAsia" w:cs="Times New Roman"/>
                      <w:color w:val="auto"/>
                      <w:spacing w:val="0"/>
                      <w:kern w:val="2"/>
                      <w:sz w:val="21"/>
                      <w:szCs w:val="21"/>
                      <w:highlight w:val="none"/>
                      <w:vertAlign w:val="baseline"/>
                      <w:lang w:val="en-US" w:eastAsia="zh-CN" w:bidi="ar-SA"/>
                    </w:rPr>
                    <w:t>20</w:t>
                  </w:r>
                  <w:r>
                    <w:rPr>
                      <w:rFonts w:hint="default" w:ascii="Times New Roman" w:hAnsi="Times New Roman" w:eastAsia="宋体" w:cs="Times New Roman"/>
                      <w:color w:val="auto"/>
                      <w:spacing w:val="0"/>
                      <w:kern w:val="2"/>
                      <w:sz w:val="21"/>
                      <w:szCs w:val="21"/>
                      <w:highlight w:val="none"/>
                      <w:vertAlign w:val="baseline"/>
                      <w:lang w:val="en-US" w:eastAsia="zh-CN" w:bidi="ar-SA"/>
                    </w:rPr>
                    <w:t>m高排气筒（DA004）排放</w:t>
                  </w:r>
                  <w:r>
                    <w:rPr>
                      <w:rFonts w:hint="eastAsia" w:ascii="Times New Roman" w:hAnsi="Times New Roman" w:eastAsia="宋体" w:cs="Times New Roman"/>
                      <w:color w:val="auto"/>
                      <w:spacing w:val="0"/>
                      <w:kern w:val="2"/>
                      <w:sz w:val="21"/>
                      <w:szCs w:val="21"/>
                      <w:highlight w:val="none"/>
                      <w:vertAlign w:val="baseline"/>
                      <w:lang w:val="en-US" w:eastAsia="zh-CN" w:bidi="ar-SA"/>
                    </w:rPr>
                    <w:t>。</w:t>
                  </w:r>
                </w:p>
              </w:tc>
              <w:tc>
                <w:tcPr>
                  <w:tcW w:w="5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5、运输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大宗物料运输应优先选取铁路或管道等绿色运输方式，钢铁、电力、化工、焦化、矿山、建材等涉大宗物料运输的企业要加快铁路专用线的建设。铁路运输煤炭、矿石等散装物料时要喷洒抑尘剂，形成保护膜，有效控制运输过程中产生的扬尘污染。块状物料及产品运输必须苫盖，采取密闭运输，严禁沿路抛洒逸散。</w:t>
                  </w:r>
                </w:p>
              </w:tc>
              <w:tc>
                <w:tcPr>
                  <w:tcW w:w="16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本项目原料煤矸石购买屯留区当地的煤矿，主要来源为潞安集团余吾煤业洗煤厂，位于园区内，最长运输距离约5km，运输过程中采用厢式车，并采用篷布苫盖，运输车辆在路过村庄时，应注意车速，禁止鸣笛。</w:t>
                  </w:r>
                </w:p>
              </w:tc>
              <w:tc>
                <w:tcPr>
                  <w:tcW w:w="5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6、厂区道路及运输道路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厂区内道路及厂区至主干公路的道路必须硬化，采用吸尘车或洒水车进行喷洒抑尘、道路洗扫，厂区内不得有明显积尘。货运车辆进、出厂区必须进行轮胎和车身清洗，车辆清洗时间足够，有效将车轮及车身全部冲洗干净。物料棚出口必须安装车辆冲洗平台，如物料棚出口距离厂区出口的道路长度不足100米时，厂区出口可不再设置车辆冲洗平台，否则，必须在厂区出口再增设一个车辆冲洗平台。</w:t>
                  </w:r>
                </w:p>
              </w:tc>
              <w:tc>
                <w:tcPr>
                  <w:tcW w:w="16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本项目厂区内道路及厂区至主干公路的道路均做硬化处理，定期由专人到扫并洒水抑尘。厂区主入口设置1座洗车平台，</w:t>
                  </w:r>
                  <w:r>
                    <w:rPr>
                      <w:rFonts w:hint="default" w:ascii="Times New Roman" w:hAnsi="Times New Roman" w:eastAsia="宋体" w:cs="Times New Roman"/>
                      <w:color w:val="auto"/>
                      <w:sz w:val="21"/>
                      <w:szCs w:val="21"/>
                      <w:highlight w:val="none"/>
                      <w:shd w:val="clear" w:color="auto" w:fill="auto"/>
                      <w:vertAlign w:val="baseline"/>
                      <w:lang w:val="en-US" w:eastAsia="zh-CN"/>
                    </w:rPr>
                    <w:t>出厂区</w:t>
                  </w:r>
                  <w:r>
                    <w:rPr>
                      <w:rFonts w:hint="eastAsia" w:cs="Times New Roman"/>
                      <w:color w:val="auto"/>
                      <w:sz w:val="21"/>
                      <w:szCs w:val="21"/>
                      <w:highlight w:val="none"/>
                      <w:shd w:val="clear" w:color="auto" w:fill="auto"/>
                      <w:vertAlign w:val="baseline"/>
                      <w:lang w:val="en-US" w:eastAsia="zh-CN"/>
                    </w:rPr>
                    <w:t>车辆</w:t>
                  </w:r>
                  <w:r>
                    <w:rPr>
                      <w:rFonts w:hint="default" w:ascii="Times New Roman" w:hAnsi="Times New Roman" w:eastAsia="宋体" w:cs="Times New Roman"/>
                      <w:color w:val="auto"/>
                      <w:sz w:val="21"/>
                      <w:szCs w:val="21"/>
                      <w:highlight w:val="none"/>
                      <w:shd w:val="clear" w:color="auto" w:fill="auto"/>
                      <w:vertAlign w:val="baseline"/>
                      <w:lang w:val="en-US" w:eastAsia="zh-CN"/>
                    </w:rPr>
                    <w:t>必须进行轮胎和车身清洗</w:t>
                  </w:r>
                  <w:r>
                    <w:rPr>
                      <w:rFonts w:hint="eastAsia" w:cs="Times New Roman"/>
                      <w:color w:val="auto"/>
                      <w:sz w:val="21"/>
                      <w:szCs w:val="21"/>
                      <w:highlight w:val="none"/>
                      <w:shd w:val="clear" w:color="auto" w:fill="auto"/>
                      <w:vertAlign w:val="baseline"/>
                      <w:lang w:val="en-US" w:eastAsia="zh-CN"/>
                    </w:rPr>
                    <w:t>方可出厂。</w:t>
                  </w:r>
                </w:p>
              </w:tc>
              <w:tc>
                <w:tcPr>
                  <w:tcW w:w="5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0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7、排气筒设置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无组织废气经收集处理后需经排气筒排放，排气筒的内径和高度必须满足相关要求。</w:t>
                  </w:r>
                </w:p>
              </w:tc>
              <w:tc>
                <w:tcPr>
                  <w:tcW w:w="168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cs="Times New Roman"/>
                      <w:color w:val="auto"/>
                      <w:sz w:val="21"/>
                      <w:szCs w:val="21"/>
                      <w:highlight w:val="none"/>
                      <w:shd w:val="clear" w:color="auto" w:fill="auto"/>
                      <w:vertAlign w:val="baseline"/>
                      <w:lang w:val="en-US" w:eastAsia="zh-CN"/>
                    </w:rPr>
                    <w:t>本项目设有4根排气筒，排气筒高度均为20m，满足恶臭排放执行《恶臭污染物排放标准》（GB14554-1993）二级标准和《大气污染物综合排放标准》（GB16297-1996）标准中相应管理要求。</w:t>
                  </w:r>
                </w:p>
              </w:tc>
              <w:tc>
                <w:tcPr>
                  <w:tcW w:w="5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shd w:val="clear" w:color="auto" w:fill="auto"/>
                      <w:vertAlign w:val="baseline"/>
                      <w:lang w:val="en-US" w:eastAsia="zh-CN"/>
                    </w:rPr>
                  </w:pPr>
                  <w:r>
                    <w:rPr>
                      <w:rFonts w:hint="default" w:ascii="Times New Roman" w:hAnsi="Times New Roman" w:cs="Times New Roman"/>
                      <w:color w:val="auto"/>
                      <w:sz w:val="21"/>
                      <w:szCs w:val="21"/>
                      <w:highlight w:val="none"/>
                      <w:shd w:val="clear" w:color="auto" w:fill="auto"/>
                      <w:vertAlign w:val="baseline"/>
                      <w:lang w:val="en-US" w:eastAsia="zh-CN"/>
                    </w:rPr>
                    <w:t>符合</w:t>
                  </w:r>
                </w:p>
              </w:tc>
            </w:tr>
          </w:tbl>
          <w:p>
            <w:pPr>
              <w:autoSpaceDE w:val="0"/>
              <w:autoSpaceDN w:val="0"/>
              <w:adjustRightInd w:val="0"/>
              <w:snapToGrid w:val="0"/>
              <w:spacing w:line="460" w:lineRule="exact"/>
              <w:ind w:firstLine="480" w:firstLineChars="200"/>
              <w:rPr>
                <w:rFonts w:hint="default" w:ascii="Times New Roman" w:hAnsi="Times New Roman" w:cs="Times New Roman"/>
                <w:color w:val="auto"/>
                <w:sz w:val="24"/>
                <w:szCs w:val="24"/>
                <w:highlight w:val="none"/>
              </w:rPr>
            </w:pPr>
          </w:p>
          <w:p>
            <w:pPr>
              <w:autoSpaceDE w:val="0"/>
              <w:autoSpaceDN w:val="0"/>
              <w:adjustRightInd w:val="0"/>
              <w:snapToGrid w:val="0"/>
              <w:spacing w:line="480" w:lineRule="exact"/>
              <w:ind w:firstLine="480" w:firstLineChars="200"/>
              <w:rPr>
                <w:rFonts w:hint="default" w:eastAsia="宋体"/>
                <w:color w:val="auto"/>
                <w:sz w:val="24"/>
                <w:szCs w:val="24"/>
                <w:highlight w:val="none"/>
                <w:lang w:val="en-US" w:eastAsia="zh-CN"/>
              </w:rPr>
            </w:pPr>
          </w:p>
          <w:p>
            <w:pPr>
              <w:autoSpaceDE w:val="0"/>
              <w:autoSpaceDN w:val="0"/>
              <w:adjustRightInd w:val="0"/>
              <w:snapToGrid w:val="0"/>
              <w:spacing w:line="480" w:lineRule="exact"/>
              <w:ind w:firstLine="480" w:firstLineChars="200"/>
              <w:rPr>
                <w:rFonts w:hint="default" w:eastAsia="宋体"/>
                <w:color w:val="auto"/>
                <w:sz w:val="24"/>
                <w:szCs w:val="24"/>
                <w:highlight w:val="none"/>
                <w:lang w:val="en-US" w:eastAsia="zh-CN"/>
              </w:rPr>
            </w:pPr>
          </w:p>
          <w:p>
            <w:pPr>
              <w:autoSpaceDE w:val="0"/>
              <w:autoSpaceDN w:val="0"/>
              <w:adjustRightInd w:val="0"/>
              <w:snapToGrid w:val="0"/>
              <w:spacing w:line="480" w:lineRule="exact"/>
              <w:ind w:firstLine="480" w:firstLineChars="200"/>
              <w:rPr>
                <w:rFonts w:hint="default" w:eastAsia="宋体"/>
                <w:color w:val="auto"/>
                <w:sz w:val="24"/>
                <w:szCs w:val="24"/>
                <w:highlight w:val="none"/>
                <w:lang w:val="en-US" w:eastAsia="zh-CN"/>
              </w:rPr>
            </w:pPr>
          </w:p>
          <w:p>
            <w:pPr>
              <w:autoSpaceDE w:val="0"/>
              <w:autoSpaceDN w:val="0"/>
              <w:adjustRightInd w:val="0"/>
              <w:snapToGrid w:val="0"/>
              <w:spacing w:line="480" w:lineRule="exact"/>
              <w:ind w:firstLine="480" w:firstLineChars="200"/>
              <w:rPr>
                <w:rFonts w:hint="default" w:eastAsia="宋体"/>
                <w:color w:val="auto"/>
                <w:sz w:val="24"/>
                <w:szCs w:val="24"/>
                <w:highlight w:val="none"/>
                <w:lang w:val="en-US" w:eastAsia="zh-CN"/>
              </w:rPr>
            </w:pPr>
          </w:p>
          <w:p>
            <w:pPr>
              <w:autoSpaceDE w:val="0"/>
              <w:autoSpaceDN w:val="0"/>
              <w:adjustRightInd w:val="0"/>
              <w:snapToGrid w:val="0"/>
              <w:spacing w:line="480" w:lineRule="exact"/>
              <w:ind w:firstLine="480" w:firstLineChars="200"/>
              <w:rPr>
                <w:rFonts w:hint="default" w:eastAsia="宋体"/>
                <w:color w:val="auto"/>
                <w:sz w:val="24"/>
                <w:szCs w:val="24"/>
                <w:highlight w:val="none"/>
                <w:lang w:val="en-US" w:eastAsia="zh-CN"/>
              </w:rPr>
            </w:pPr>
          </w:p>
          <w:p>
            <w:pPr>
              <w:autoSpaceDE w:val="0"/>
              <w:autoSpaceDN w:val="0"/>
              <w:adjustRightInd w:val="0"/>
              <w:snapToGrid w:val="0"/>
              <w:spacing w:line="480" w:lineRule="exact"/>
              <w:ind w:firstLine="480" w:firstLineChars="200"/>
              <w:rPr>
                <w:rFonts w:hint="default" w:eastAsia="宋体"/>
                <w:color w:val="auto"/>
                <w:sz w:val="24"/>
                <w:szCs w:val="24"/>
                <w:highlight w:val="none"/>
                <w:lang w:val="en-US" w:eastAsia="zh-CN"/>
              </w:rPr>
            </w:pPr>
          </w:p>
        </w:tc>
      </w:tr>
    </w:tbl>
    <w:p>
      <w:pPr>
        <w:spacing w:line="40" w:lineRule="exact"/>
        <w:rPr>
          <w:color w:val="FF0000"/>
          <w:highlight w:val="none"/>
        </w:rPr>
      </w:pPr>
    </w:p>
    <w:p>
      <w:pPr>
        <w:spacing w:line="40" w:lineRule="exact"/>
        <w:rPr>
          <w:color w:val="FF0000"/>
          <w:highlight w:val="none"/>
        </w:rPr>
        <w:sectPr>
          <w:headerReference r:id="rId4" w:type="default"/>
          <w:footerReference r:id="rId5" w:type="default"/>
          <w:pgSz w:w="11906" w:h="16838"/>
          <w:pgMar w:top="1701" w:right="1531" w:bottom="1701" w:left="1531" w:header="1134"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0"/>
        <w:spacing w:before="0" w:beforeAutospacing="0" w:after="0" w:afterAutospacing="0"/>
        <w:jc w:val="center"/>
        <w:outlineLvl w:val="0"/>
        <w:rPr>
          <w:rFonts w:ascii="黑体" w:hAnsi="黑体" w:eastAsia="黑体"/>
          <w:color w:val="FF0000"/>
          <w:sz w:val="30"/>
          <w:szCs w:val="30"/>
          <w:highlight w:val="none"/>
        </w:rPr>
      </w:pPr>
      <w:bookmarkStart w:id="6" w:name="_Toc23129"/>
      <w:r>
        <w:rPr>
          <w:rFonts w:hint="eastAsia" w:ascii="黑体" w:hAnsi="黑体" w:eastAsia="黑体"/>
          <w:color w:val="auto"/>
          <w:sz w:val="30"/>
          <w:szCs w:val="30"/>
          <w:highlight w:val="none"/>
        </w:rPr>
        <w:t>二、建设项目工程分析</w:t>
      </w:r>
      <w:bookmarkEnd w:id="6"/>
    </w:p>
    <w:tbl>
      <w:tblPr>
        <w:tblStyle w:val="28"/>
        <w:tblW w:w="50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5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pPr>
              <w:pStyle w:val="20"/>
              <w:adjustRightInd w:val="0"/>
              <w:snapToGrid w:val="0"/>
              <w:spacing w:before="0" w:beforeAutospacing="0" w:after="0" w:afterAutospacing="0"/>
              <w:jc w:val="center"/>
              <w:rPr>
                <w:b w:val="0"/>
                <w:bCs w:val="0"/>
                <w:color w:val="auto"/>
                <w:sz w:val="24"/>
                <w:szCs w:val="24"/>
                <w:highlight w:val="none"/>
              </w:rPr>
            </w:pPr>
            <w:r>
              <w:rPr>
                <w:rFonts w:hint="eastAsia"/>
                <w:b w:val="0"/>
                <w:bCs w:val="0"/>
                <w:color w:val="auto"/>
                <w:sz w:val="24"/>
                <w:szCs w:val="24"/>
                <w:highlight w:val="none"/>
              </w:rPr>
              <w:t>建设内容</w:t>
            </w:r>
          </w:p>
        </w:tc>
        <w:tc>
          <w:tcPr>
            <w:tcW w:w="4622" w:type="pct"/>
          </w:tcPr>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eastAsia="宋体"/>
                <w:b/>
                <w:color w:val="auto"/>
                <w:sz w:val="24"/>
                <w:highlight w:val="none"/>
                <w:lang w:val="en-US" w:eastAsia="zh-CN"/>
              </w:rPr>
            </w:pPr>
            <w:r>
              <w:rPr>
                <w:rFonts w:hint="eastAsia"/>
                <w:b/>
                <w:color w:val="auto"/>
                <w:sz w:val="24"/>
                <w:highlight w:val="none"/>
                <w:lang w:val="en-US" w:eastAsia="zh-CN"/>
              </w:rPr>
              <w:t>一、工程组成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olor w:val="auto"/>
                <w:sz w:val="24"/>
                <w:highlight w:val="none"/>
                <w:lang w:val="en-US" w:eastAsia="zh-CN"/>
              </w:rPr>
            </w:pPr>
            <w:r>
              <w:rPr>
                <w:rFonts w:hint="eastAsia" w:ascii="Times New Roman" w:hAnsi="Times New Roman" w:cs="Times New Roman"/>
                <w:color w:val="auto"/>
                <w:sz w:val="24"/>
                <w:highlight w:val="none"/>
                <w:lang w:val="en-US" w:eastAsia="zh-CN"/>
              </w:rPr>
              <w:t>本项目主要建设内容见表2-1。</w:t>
            </w:r>
          </w:p>
          <w:p>
            <w:pPr>
              <w:pStyle w:val="122"/>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bCs/>
                <w:color w:val="auto"/>
                <w:sz w:val="21"/>
                <w:szCs w:val="21"/>
                <w:highlight w:val="none"/>
                <w:shd w:val="clear" w:color="auto" w:fill="auto"/>
              </w:rPr>
            </w:pPr>
            <w:r>
              <w:rPr>
                <w:rFonts w:hint="default" w:ascii="Times New Roman" w:hAnsi="Times New Roman" w:cs="Times New Roman"/>
                <w:bCs/>
                <w:color w:val="auto"/>
                <w:sz w:val="21"/>
                <w:szCs w:val="21"/>
                <w:highlight w:val="none"/>
                <w:shd w:val="clear" w:color="auto" w:fill="auto"/>
              </w:rPr>
              <w:t>表2-1  本项目主要工程内容一览表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498"/>
              <w:gridCol w:w="1370"/>
              <w:gridCol w:w="5290"/>
              <w:gridCol w:w="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类别</w:t>
                  </w: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bCs/>
                      <w:color w:val="auto"/>
                      <w:sz w:val="21"/>
                      <w:szCs w:val="21"/>
                      <w:highlight w:val="none"/>
                      <w:shd w:val="clear" w:color="auto" w:fill="auto"/>
                    </w:rPr>
                  </w:pPr>
                  <w:r>
                    <w:rPr>
                      <w:rFonts w:hint="default" w:ascii="Times New Roman" w:hAnsi="Times New Roman" w:cs="Times New Roman"/>
                      <w:b/>
                      <w:bCs/>
                      <w:color w:val="auto"/>
                      <w:sz w:val="21"/>
                      <w:szCs w:val="21"/>
                      <w:highlight w:val="none"/>
                      <w:shd w:val="clear" w:color="auto" w:fill="auto"/>
                    </w:rPr>
                    <w:t>名称</w:t>
                  </w:r>
                </w:p>
              </w:tc>
              <w:tc>
                <w:tcPr>
                  <w:tcW w:w="3178"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bCs/>
                      <w:color w:val="auto"/>
                      <w:sz w:val="21"/>
                      <w:szCs w:val="21"/>
                      <w:highlight w:val="none"/>
                      <w:shd w:val="clear" w:color="auto" w:fill="auto"/>
                    </w:rPr>
                  </w:pPr>
                  <w:r>
                    <w:rPr>
                      <w:rFonts w:hint="default" w:ascii="Times New Roman" w:hAnsi="Times New Roman" w:cs="Times New Roman"/>
                      <w:b/>
                      <w:bCs/>
                      <w:color w:val="auto"/>
                      <w:sz w:val="21"/>
                      <w:szCs w:val="21"/>
                      <w:highlight w:val="none"/>
                      <w:shd w:val="clear" w:color="auto" w:fill="auto"/>
                    </w:rPr>
                    <w:t>建设内容</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default" w:ascii="Times New Roman" w:hAnsi="Times New Roman" w:cs="Times New Roman"/>
                      <w:b w:val="0"/>
                      <w:bCs w:val="0"/>
                      <w:color w:val="auto"/>
                      <w:sz w:val="21"/>
                      <w:szCs w:val="21"/>
                      <w:highlight w:val="none"/>
                      <w:shd w:val="clear" w:color="auto" w:fill="auto"/>
                    </w:rPr>
                    <w:t>主体工程</w:t>
                  </w: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生产车间</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2F，占地面积为12040.6</w:t>
                  </w:r>
                  <w:r>
                    <w:rPr>
                      <w:rFonts w:hint="default" w:ascii="Times New Roman" w:hAnsi="Times New Roman" w:eastAsia="宋体" w:cs="Times New Roman"/>
                      <w:b w:val="0"/>
                      <w:bCs w:val="0"/>
                      <w:color w:val="auto"/>
                      <w:sz w:val="21"/>
                      <w:szCs w:val="21"/>
                      <w:highlight w:val="none"/>
                      <w:shd w:val="clear" w:color="auto" w:fill="auto"/>
                      <w:lang w:val="en-US" w:eastAsia="zh-CN"/>
                    </w:rPr>
                    <w:t>m</w:t>
                  </w:r>
                  <w:r>
                    <w:rPr>
                      <w:rFonts w:hint="default" w:ascii="Times New Roman" w:hAnsi="Times New Roman" w:eastAsia="宋体" w:cs="Times New Roman"/>
                      <w:b w:val="0"/>
                      <w:bCs w:val="0"/>
                      <w:color w:val="auto"/>
                      <w:sz w:val="21"/>
                      <w:szCs w:val="21"/>
                      <w:highlight w:val="none"/>
                      <w:shd w:val="clear" w:color="auto" w:fill="auto"/>
                      <w:vertAlign w:val="superscript"/>
                      <w:lang w:val="en-US" w:eastAsia="zh-CN"/>
                    </w:rPr>
                    <w:t>2</w:t>
                  </w:r>
                  <w:r>
                    <w:rPr>
                      <w:rFonts w:hint="default" w:ascii="Times New Roman" w:hAnsi="Times New Roman" w:eastAsia="宋体" w:cs="Times New Roman"/>
                      <w:b w:val="0"/>
                      <w:bCs w:val="0"/>
                      <w:color w:val="auto"/>
                      <w:sz w:val="21"/>
                      <w:szCs w:val="21"/>
                      <w:highlight w:val="none"/>
                      <w:shd w:val="clear" w:color="auto" w:fill="auto"/>
                      <w:lang w:val="en-US" w:eastAsia="zh-CN"/>
                    </w:rPr>
                    <w:t>，</w:t>
                  </w:r>
                  <w:r>
                    <w:rPr>
                      <w:rFonts w:hint="eastAsia" w:cs="Times New Roman"/>
                      <w:b w:val="0"/>
                      <w:bCs w:val="0"/>
                      <w:color w:val="auto"/>
                      <w:sz w:val="21"/>
                      <w:szCs w:val="21"/>
                      <w:highlight w:val="none"/>
                      <w:shd w:val="clear" w:color="auto" w:fill="auto"/>
                      <w:lang w:val="en-US" w:eastAsia="zh-CN"/>
                    </w:rPr>
                    <w:t>高18m，全封闭式彩钢结构，生产车间一层内设置一条煤矸石制有机肥料生产线，主要生产设备有1台给料机、1台分级筛、1台锤破圆锥、1台球磨机等配套设备。二层为库房，主要堆放应急物资等</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成品包装区</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占地面积1000</w:t>
                  </w:r>
                  <w:r>
                    <w:rPr>
                      <w:rFonts w:hint="default" w:ascii="Times New Roman" w:hAnsi="Times New Roman" w:eastAsia="宋体" w:cs="Times New Roman"/>
                      <w:b w:val="0"/>
                      <w:bCs w:val="0"/>
                      <w:color w:val="auto"/>
                      <w:sz w:val="21"/>
                      <w:szCs w:val="21"/>
                      <w:highlight w:val="none"/>
                      <w:shd w:val="clear" w:color="auto" w:fill="auto"/>
                      <w:lang w:val="en-US" w:eastAsia="zh-CN"/>
                    </w:rPr>
                    <w:t>m</w:t>
                  </w:r>
                  <w:r>
                    <w:rPr>
                      <w:rFonts w:hint="default" w:ascii="Times New Roman" w:hAnsi="Times New Roman" w:eastAsia="宋体" w:cs="Times New Roman"/>
                      <w:b w:val="0"/>
                      <w:bCs w:val="0"/>
                      <w:color w:val="auto"/>
                      <w:sz w:val="21"/>
                      <w:szCs w:val="21"/>
                      <w:highlight w:val="none"/>
                      <w:shd w:val="clear" w:color="auto" w:fill="auto"/>
                      <w:vertAlign w:val="superscript"/>
                      <w:lang w:val="en-US" w:eastAsia="zh-CN"/>
                    </w:rPr>
                    <w:t>2</w:t>
                  </w:r>
                  <w:r>
                    <w:rPr>
                      <w:rFonts w:hint="default" w:ascii="Times New Roman" w:hAnsi="Times New Roman" w:eastAsia="宋体" w:cs="Times New Roman"/>
                      <w:b w:val="0"/>
                      <w:bCs w:val="0"/>
                      <w:color w:val="auto"/>
                      <w:sz w:val="21"/>
                      <w:szCs w:val="21"/>
                      <w:highlight w:val="none"/>
                      <w:shd w:val="clear" w:color="auto" w:fill="auto"/>
                      <w:lang w:val="en-US" w:eastAsia="zh-CN"/>
                    </w:rPr>
                    <w:t>，</w:t>
                  </w:r>
                  <w:r>
                    <w:rPr>
                      <w:rFonts w:hint="eastAsia" w:cs="Times New Roman"/>
                      <w:b w:val="0"/>
                      <w:bCs w:val="0"/>
                      <w:color w:val="auto"/>
                      <w:sz w:val="21"/>
                      <w:szCs w:val="21"/>
                      <w:highlight w:val="none"/>
                      <w:shd w:val="clear" w:color="auto" w:fill="auto"/>
                      <w:lang w:val="en-US" w:eastAsia="zh-CN"/>
                    </w:rPr>
                    <w:t>位于生产车间1层西侧，</w:t>
                  </w:r>
                  <w:r>
                    <w:rPr>
                      <w:rFonts w:hint="default" w:ascii="Times New Roman" w:hAnsi="Times New Roman" w:eastAsia="宋体" w:cs="Times New Roman"/>
                      <w:b w:val="0"/>
                      <w:bCs w:val="0"/>
                      <w:color w:val="auto"/>
                      <w:sz w:val="21"/>
                      <w:szCs w:val="21"/>
                      <w:highlight w:val="none"/>
                      <w:shd w:val="clear" w:color="auto" w:fill="auto"/>
                      <w:lang w:val="en-US" w:eastAsia="zh-CN"/>
                    </w:rPr>
                    <w:t>设有</w:t>
                  </w:r>
                  <w:r>
                    <w:rPr>
                      <w:rFonts w:hint="eastAsia" w:cs="Times New Roman"/>
                      <w:b w:val="0"/>
                      <w:bCs w:val="0"/>
                      <w:color w:val="auto"/>
                      <w:kern w:val="0"/>
                      <w:sz w:val="21"/>
                      <w:szCs w:val="21"/>
                      <w:highlight w:val="none"/>
                      <w:lang w:val="en-US" w:eastAsia="zh-CN" w:bidi="ar"/>
                    </w:rPr>
                    <w:t>5</w:t>
                  </w:r>
                  <w:r>
                    <w:rPr>
                      <w:rFonts w:hint="default" w:ascii="Times New Roman" w:hAnsi="Times New Roman" w:eastAsia="宋体" w:cs="Times New Roman"/>
                      <w:b w:val="0"/>
                      <w:bCs w:val="0"/>
                      <w:color w:val="auto"/>
                      <w:kern w:val="0"/>
                      <w:sz w:val="21"/>
                      <w:szCs w:val="21"/>
                      <w:highlight w:val="none"/>
                      <w:lang w:val="en-US" w:eastAsia="zh-CN" w:bidi="ar"/>
                    </w:rPr>
                    <w:t>台计量装袋机</w:t>
                  </w:r>
                  <w:r>
                    <w:rPr>
                      <w:rFonts w:hint="eastAsia" w:cs="Times New Roman"/>
                      <w:b w:val="0"/>
                      <w:bCs w:val="0"/>
                      <w:color w:val="auto"/>
                      <w:kern w:val="0"/>
                      <w:sz w:val="21"/>
                      <w:szCs w:val="21"/>
                      <w:highlight w:val="none"/>
                      <w:lang w:val="en-US" w:eastAsia="zh-CN" w:bidi="ar"/>
                    </w:rPr>
                    <w:t>，用于成品的包装</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发酵区</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占地面积2520</w:t>
                  </w:r>
                  <w:r>
                    <w:rPr>
                      <w:rFonts w:hint="default" w:ascii="Times New Roman" w:hAnsi="Times New Roman" w:eastAsia="宋体" w:cs="Times New Roman"/>
                      <w:b w:val="0"/>
                      <w:bCs w:val="0"/>
                      <w:color w:val="auto"/>
                      <w:sz w:val="21"/>
                      <w:szCs w:val="21"/>
                      <w:highlight w:val="none"/>
                      <w:shd w:val="clear" w:color="auto" w:fill="auto"/>
                      <w:lang w:val="en-US" w:eastAsia="zh-CN"/>
                    </w:rPr>
                    <w:t>m</w:t>
                  </w:r>
                  <w:r>
                    <w:rPr>
                      <w:rFonts w:hint="default" w:ascii="Times New Roman" w:hAnsi="Times New Roman" w:eastAsia="宋体" w:cs="Times New Roman"/>
                      <w:b w:val="0"/>
                      <w:bCs w:val="0"/>
                      <w:color w:val="auto"/>
                      <w:sz w:val="21"/>
                      <w:szCs w:val="21"/>
                      <w:highlight w:val="none"/>
                      <w:shd w:val="clear" w:color="auto" w:fill="auto"/>
                      <w:vertAlign w:val="superscript"/>
                      <w:lang w:val="en-US" w:eastAsia="zh-CN"/>
                    </w:rPr>
                    <w:t>2</w:t>
                  </w:r>
                  <w:r>
                    <w:rPr>
                      <w:rFonts w:hint="default" w:ascii="Times New Roman" w:hAnsi="Times New Roman" w:eastAsia="宋体" w:cs="Times New Roman"/>
                      <w:b w:val="0"/>
                      <w:bCs w:val="0"/>
                      <w:color w:val="auto"/>
                      <w:sz w:val="21"/>
                      <w:szCs w:val="21"/>
                      <w:highlight w:val="none"/>
                      <w:shd w:val="clear" w:color="auto" w:fill="auto"/>
                      <w:lang w:val="en-US" w:eastAsia="zh-CN"/>
                    </w:rPr>
                    <w:t>，长56</w:t>
                  </w:r>
                  <w:r>
                    <w:rPr>
                      <w:rFonts w:hint="eastAsia" w:cs="Times New Roman"/>
                      <w:b w:val="0"/>
                      <w:bCs w:val="0"/>
                      <w:color w:val="auto"/>
                      <w:sz w:val="21"/>
                      <w:szCs w:val="21"/>
                      <w:highlight w:val="none"/>
                      <w:shd w:val="clear" w:color="auto" w:fill="auto"/>
                      <w:lang w:val="en-US" w:eastAsia="zh-CN"/>
                    </w:rPr>
                    <w:t>m</w:t>
                  </w:r>
                  <w:r>
                    <w:rPr>
                      <w:rFonts w:hint="default" w:ascii="Times New Roman" w:hAnsi="Times New Roman" w:eastAsia="宋体" w:cs="Times New Roman"/>
                      <w:b w:val="0"/>
                      <w:bCs w:val="0"/>
                      <w:color w:val="auto"/>
                      <w:sz w:val="21"/>
                      <w:szCs w:val="21"/>
                      <w:highlight w:val="none"/>
                      <w:shd w:val="clear" w:color="auto" w:fill="auto"/>
                      <w:lang w:val="en-US" w:eastAsia="zh-CN"/>
                    </w:rPr>
                    <w:t>，宽45</w:t>
                  </w:r>
                  <w:r>
                    <w:rPr>
                      <w:rFonts w:hint="eastAsia" w:cs="Times New Roman"/>
                      <w:b w:val="0"/>
                      <w:bCs w:val="0"/>
                      <w:color w:val="auto"/>
                      <w:sz w:val="21"/>
                      <w:szCs w:val="21"/>
                      <w:highlight w:val="none"/>
                      <w:shd w:val="clear" w:color="auto" w:fill="auto"/>
                      <w:lang w:val="en-US" w:eastAsia="zh-CN"/>
                    </w:rPr>
                    <w:t>m，位于生产车间1层东北侧，共设有60个500t的发酵罐，发酵罐直径5米，高15米，设有三次发酵</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349" w:type="pct"/>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lang w:val="en-US" w:eastAsia="zh-CN"/>
                    </w:rPr>
                    <w:t>储运工程</w:t>
                  </w: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原料</w:t>
                  </w:r>
                  <w:r>
                    <w:rPr>
                      <w:rFonts w:hint="eastAsia" w:cs="Times New Roman"/>
                      <w:b w:val="0"/>
                      <w:bCs w:val="0"/>
                      <w:color w:val="auto"/>
                      <w:sz w:val="21"/>
                      <w:szCs w:val="21"/>
                      <w:highlight w:val="none"/>
                      <w:shd w:val="clear" w:color="auto" w:fill="auto"/>
                      <w:lang w:val="en-US" w:eastAsia="zh-CN"/>
                    </w:rPr>
                    <w:t>堆放区</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占地面积为</w:t>
                  </w:r>
                  <w:r>
                    <w:rPr>
                      <w:rFonts w:hint="eastAsia" w:cs="Times New Roman"/>
                      <w:b w:val="0"/>
                      <w:bCs w:val="0"/>
                      <w:color w:val="auto"/>
                      <w:sz w:val="21"/>
                      <w:szCs w:val="21"/>
                      <w:highlight w:val="none"/>
                      <w:shd w:val="clear" w:color="auto" w:fill="auto"/>
                      <w:lang w:val="en-US" w:eastAsia="zh-CN"/>
                    </w:rPr>
                    <w:t>2</w:t>
                  </w:r>
                  <w:r>
                    <w:rPr>
                      <w:rFonts w:hint="eastAsia" w:ascii="Times New Roman" w:hAnsi="Times New Roman" w:eastAsia="宋体" w:cs="Times New Roman"/>
                      <w:b w:val="0"/>
                      <w:bCs w:val="0"/>
                      <w:color w:val="auto"/>
                      <w:sz w:val="21"/>
                      <w:szCs w:val="21"/>
                      <w:highlight w:val="none"/>
                      <w:shd w:val="clear" w:color="auto" w:fill="auto"/>
                      <w:lang w:val="en-US" w:eastAsia="zh-CN"/>
                    </w:rPr>
                    <w:t>000</w:t>
                  </w:r>
                  <w:r>
                    <w:rPr>
                      <w:rFonts w:hint="default" w:ascii="Times New Roman" w:hAnsi="Times New Roman" w:eastAsia="宋体" w:cs="Times New Roman"/>
                      <w:b w:val="0"/>
                      <w:bCs w:val="0"/>
                      <w:color w:val="auto"/>
                      <w:sz w:val="21"/>
                      <w:szCs w:val="21"/>
                      <w:highlight w:val="none"/>
                      <w:shd w:val="clear" w:color="auto" w:fill="auto"/>
                      <w:lang w:val="en-US" w:eastAsia="zh-CN"/>
                    </w:rPr>
                    <w:t>m</w:t>
                  </w:r>
                  <w:r>
                    <w:rPr>
                      <w:rFonts w:hint="default" w:ascii="Times New Roman" w:hAnsi="Times New Roman" w:eastAsia="宋体" w:cs="Times New Roman"/>
                      <w:b w:val="0"/>
                      <w:bCs w:val="0"/>
                      <w:color w:val="auto"/>
                      <w:sz w:val="21"/>
                      <w:szCs w:val="21"/>
                      <w:highlight w:val="none"/>
                      <w:shd w:val="clear" w:color="auto" w:fill="auto"/>
                      <w:vertAlign w:val="superscript"/>
                      <w:lang w:val="en-US" w:eastAsia="zh-CN"/>
                    </w:rPr>
                    <w:t>2</w:t>
                  </w:r>
                  <w:r>
                    <w:rPr>
                      <w:rFonts w:hint="eastAsia" w:ascii="Times New Roman" w:hAnsi="Times New Roman" w:eastAsia="宋体" w:cs="Times New Roman"/>
                      <w:b w:val="0"/>
                      <w:bCs w:val="0"/>
                      <w:color w:val="auto"/>
                      <w:sz w:val="21"/>
                      <w:szCs w:val="21"/>
                      <w:highlight w:val="none"/>
                      <w:shd w:val="clear" w:color="auto" w:fill="auto"/>
                      <w:lang w:val="en-US" w:eastAsia="zh-CN"/>
                    </w:rPr>
                    <w:t>，</w:t>
                  </w:r>
                  <w:r>
                    <w:rPr>
                      <w:rFonts w:hint="eastAsia" w:cs="Times New Roman"/>
                      <w:b w:val="0"/>
                      <w:bCs w:val="0"/>
                      <w:color w:val="auto"/>
                      <w:sz w:val="21"/>
                      <w:szCs w:val="21"/>
                      <w:highlight w:val="none"/>
                      <w:shd w:val="clear" w:color="auto" w:fill="auto"/>
                      <w:lang w:val="en-US" w:eastAsia="zh-CN"/>
                    </w:rPr>
                    <w:t>煤矸石堆放区位于生产车间1层南侧，堆放区顶部设置喷雾抑尘装置</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shd w:val="clear" w:color="auto" w:fill="auto"/>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eastAsia" w:ascii="Times New Roman" w:hAnsi="Times New Roman" w:eastAsia="宋体" w:cs="Times New Roman"/>
                      <w:b w:val="0"/>
                      <w:bCs w:val="0"/>
                      <w:color w:val="auto"/>
                      <w:sz w:val="21"/>
                      <w:szCs w:val="21"/>
                      <w:highlight w:val="none"/>
                      <w:shd w:val="clear" w:color="auto" w:fill="auto"/>
                      <w:lang w:val="en-US" w:eastAsia="zh-CN"/>
                    </w:rPr>
                    <w:t>成品</w:t>
                  </w:r>
                  <w:r>
                    <w:rPr>
                      <w:rFonts w:hint="eastAsia" w:cs="Times New Roman"/>
                      <w:b w:val="0"/>
                      <w:bCs w:val="0"/>
                      <w:color w:val="auto"/>
                      <w:sz w:val="21"/>
                      <w:szCs w:val="21"/>
                      <w:highlight w:val="none"/>
                      <w:shd w:val="clear" w:color="auto" w:fill="auto"/>
                      <w:lang w:val="en-US" w:eastAsia="zh-CN"/>
                    </w:rPr>
                    <w:t>堆放区</w:t>
                  </w:r>
                </w:p>
              </w:tc>
              <w:tc>
                <w:tcPr>
                  <w:tcW w:w="317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shd w:val="clear" w:color="auto" w:fill="auto"/>
                      <w:lang w:val="en-US" w:eastAsia="zh-CN"/>
                    </w:rPr>
                    <w:t>占地面积为</w:t>
                  </w:r>
                  <w:r>
                    <w:rPr>
                      <w:rFonts w:hint="eastAsia" w:cs="Times New Roman"/>
                      <w:b w:val="0"/>
                      <w:bCs w:val="0"/>
                      <w:color w:val="auto"/>
                      <w:sz w:val="21"/>
                      <w:szCs w:val="21"/>
                      <w:highlight w:val="none"/>
                      <w:shd w:val="clear" w:color="auto" w:fill="auto"/>
                      <w:lang w:val="en-US" w:eastAsia="zh-CN"/>
                    </w:rPr>
                    <w:t>30</w:t>
                  </w:r>
                  <w:r>
                    <w:rPr>
                      <w:rFonts w:hint="eastAsia" w:ascii="Times New Roman" w:hAnsi="Times New Roman" w:eastAsia="宋体" w:cs="Times New Roman"/>
                      <w:b w:val="0"/>
                      <w:bCs w:val="0"/>
                      <w:color w:val="auto"/>
                      <w:sz w:val="21"/>
                      <w:szCs w:val="21"/>
                      <w:highlight w:val="none"/>
                      <w:shd w:val="clear" w:color="auto" w:fill="auto"/>
                      <w:lang w:val="en-US" w:eastAsia="zh-CN"/>
                    </w:rPr>
                    <w:t>00</w:t>
                  </w:r>
                  <w:r>
                    <w:rPr>
                      <w:rFonts w:hint="default" w:ascii="Times New Roman" w:hAnsi="Times New Roman" w:eastAsia="宋体" w:cs="Times New Roman"/>
                      <w:b w:val="0"/>
                      <w:bCs w:val="0"/>
                      <w:color w:val="auto"/>
                      <w:sz w:val="21"/>
                      <w:szCs w:val="21"/>
                      <w:highlight w:val="none"/>
                      <w:shd w:val="clear" w:color="auto" w:fill="auto"/>
                      <w:lang w:val="en-US" w:eastAsia="zh-CN"/>
                    </w:rPr>
                    <w:t>m</w:t>
                  </w:r>
                  <w:r>
                    <w:rPr>
                      <w:rFonts w:hint="default" w:ascii="Times New Roman" w:hAnsi="Times New Roman" w:eastAsia="宋体" w:cs="Times New Roman"/>
                      <w:b w:val="0"/>
                      <w:bCs w:val="0"/>
                      <w:color w:val="auto"/>
                      <w:sz w:val="21"/>
                      <w:szCs w:val="21"/>
                      <w:highlight w:val="none"/>
                      <w:shd w:val="clear" w:color="auto" w:fill="auto"/>
                      <w:vertAlign w:val="superscript"/>
                      <w:lang w:val="en-US" w:eastAsia="zh-CN"/>
                    </w:rPr>
                    <w:t>2</w:t>
                  </w:r>
                  <w:r>
                    <w:rPr>
                      <w:rFonts w:hint="eastAsia" w:ascii="Times New Roman" w:hAnsi="Times New Roman" w:eastAsia="宋体" w:cs="Times New Roman"/>
                      <w:b w:val="0"/>
                      <w:bCs w:val="0"/>
                      <w:color w:val="auto"/>
                      <w:sz w:val="21"/>
                      <w:szCs w:val="21"/>
                      <w:highlight w:val="none"/>
                      <w:shd w:val="clear" w:color="auto" w:fill="auto"/>
                      <w:lang w:val="en-US" w:eastAsia="zh-CN"/>
                    </w:rPr>
                    <w:t>，</w:t>
                  </w:r>
                  <w:r>
                    <w:rPr>
                      <w:rFonts w:hint="eastAsia" w:cs="Times New Roman"/>
                      <w:b w:val="0"/>
                      <w:bCs w:val="0"/>
                      <w:color w:val="auto"/>
                      <w:sz w:val="21"/>
                      <w:szCs w:val="21"/>
                      <w:highlight w:val="none"/>
                      <w:shd w:val="clear" w:color="auto" w:fill="auto"/>
                      <w:lang w:val="en-US" w:eastAsia="zh-CN"/>
                    </w:rPr>
                    <w:t>位于生产车间一层西侧，</w:t>
                  </w:r>
                  <w:r>
                    <w:rPr>
                      <w:rFonts w:hint="eastAsia" w:ascii="Times New Roman" w:hAnsi="Times New Roman" w:eastAsia="宋体" w:cs="Times New Roman"/>
                      <w:b w:val="0"/>
                      <w:bCs w:val="0"/>
                      <w:color w:val="auto"/>
                      <w:sz w:val="21"/>
                      <w:szCs w:val="21"/>
                      <w:highlight w:val="none"/>
                      <w:shd w:val="clear" w:color="auto" w:fill="auto"/>
                      <w:lang w:val="en-US" w:eastAsia="zh-CN"/>
                    </w:rPr>
                    <w:t>主要用于</w:t>
                  </w:r>
                  <w:r>
                    <w:rPr>
                      <w:rFonts w:hint="eastAsia" w:cs="Times New Roman"/>
                      <w:b w:val="0"/>
                      <w:bCs w:val="0"/>
                      <w:color w:val="auto"/>
                      <w:sz w:val="21"/>
                      <w:szCs w:val="21"/>
                      <w:highlight w:val="none"/>
                      <w:shd w:val="clear" w:color="auto" w:fill="auto"/>
                      <w:lang w:val="en-US" w:eastAsia="zh-CN"/>
                    </w:rPr>
                    <w:t>袋装成品</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49" w:type="pct"/>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辅助工程</w:t>
                  </w: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cs="Times New Roman"/>
                      <w:b w:val="0"/>
                      <w:bCs w:val="0"/>
                      <w:color w:val="auto"/>
                      <w:sz w:val="21"/>
                      <w:szCs w:val="21"/>
                      <w:highlight w:val="none"/>
                      <w:shd w:val="clear" w:color="auto" w:fill="auto"/>
                    </w:rPr>
                    <w:t>办公</w:t>
                  </w:r>
                  <w:r>
                    <w:rPr>
                      <w:rFonts w:hint="eastAsia" w:cs="Times New Roman"/>
                      <w:b w:val="0"/>
                      <w:bCs w:val="0"/>
                      <w:color w:val="auto"/>
                      <w:sz w:val="21"/>
                      <w:szCs w:val="21"/>
                      <w:highlight w:val="none"/>
                      <w:shd w:val="clear" w:color="auto" w:fill="auto"/>
                      <w:lang w:val="en-US" w:eastAsia="zh-CN"/>
                    </w:rPr>
                    <w:t>楼</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位于厂区西侧，占地</w:t>
                  </w:r>
                  <w:r>
                    <w:rPr>
                      <w:rFonts w:hint="default" w:ascii="Times New Roman" w:hAnsi="Times New Roman" w:cs="Times New Roman"/>
                      <w:b w:val="0"/>
                      <w:bCs w:val="0"/>
                      <w:color w:val="auto"/>
                      <w:sz w:val="21"/>
                      <w:szCs w:val="21"/>
                      <w:highlight w:val="none"/>
                      <w:shd w:val="clear" w:color="auto" w:fill="auto"/>
                      <w:lang w:val="en-US" w:eastAsia="zh-CN"/>
                    </w:rPr>
                    <w:t>面积</w:t>
                  </w:r>
                  <w:r>
                    <w:rPr>
                      <w:rFonts w:hint="eastAsia" w:cs="Times New Roman"/>
                      <w:b w:val="0"/>
                      <w:bCs w:val="0"/>
                      <w:color w:val="auto"/>
                      <w:sz w:val="21"/>
                      <w:szCs w:val="21"/>
                      <w:highlight w:val="none"/>
                      <w:shd w:val="clear" w:color="auto" w:fill="auto"/>
                      <w:lang w:val="en-US" w:eastAsia="zh-CN"/>
                    </w:rPr>
                    <w:t>838</w:t>
                  </w:r>
                  <w:r>
                    <w:rPr>
                      <w:rFonts w:hint="default" w:ascii="Times New Roman" w:hAnsi="Times New Roman" w:cs="Times New Roman"/>
                      <w:b w:val="0"/>
                      <w:bCs w:val="0"/>
                      <w:color w:val="auto"/>
                      <w:sz w:val="21"/>
                      <w:szCs w:val="21"/>
                      <w:highlight w:val="none"/>
                      <w:shd w:val="clear" w:color="auto" w:fill="auto"/>
                    </w:rPr>
                    <w:t>m</w:t>
                  </w:r>
                  <w:r>
                    <w:rPr>
                      <w:rFonts w:hint="default" w:ascii="Times New Roman" w:hAnsi="Times New Roman" w:cs="Times New Roman"/>
                      <w:b w:val="0"/>
                      <w:bCs w:val="0"/>
                      <w:color w:val="auto"/>
                      <w:sz w:val="21"/>
                      <w:szCs w:val="21"/>
                      <w:highlight w:val="none"/>
                      <w:shd w:val="clear" w:color="auto" w:fill="auto"/>
                      <w:vertAlign w:val="superscript"/>
                    </w:rPr>
                    <w:t>2</w:t>
                  </w:r>
                  <w:r>
                    <w:rPr>
                      <w:rFonts w:hint="default" w:ascii="Times New Roman" w:hAnsi="Times New Roman" w:cs="Times New Roman"/>
                      <w:b w:val="0"/>
                      <w:bCs w:val="0"/>
                      <w:color w:val="auto"/>
                      <w:sz w:val="21"/>
                      <w:szCs w:val="21"/>
                      <w:highlight w:val="none"/>
                      <w:shd w:val="clear" w:color="auto" w:fill="auto"/>
                    </w:rPr>
                    <w:t>，砖混结构，</w:t>
                  </w:r>
                  <w:r>
                    <w:rPr>
                      <w:rFonts w:hint="eastAsia" w:cs="Times New Roman"/>
                      <w:b w:val="0"/>
                      <w:bCs w:val="0"/>
                      <w:color w:val="auto"/>
                      <w:sz w:val="21"/>
                      <w:szCs w:val="21"/>
                      <w:highlight w:val="none"/>
                      <w:shd w:val="clear" w:color="auto" w:fill="auto"/>
                      <w:lang w:val="en-US" w:eastAsia="zh-CN"/>
                    </w:rPr>
                    <w:t>设有办公室、</w:t>
                  </w:r>
                  <w:r>
                    <w:rPr>
                      <w:rFonts w:hint="eastAsia" w:ascii="Times New Roman" w:hAnsi="Times New Roman" w:cs="Times New Roman"/>
                      <w:b w:val="0"/>
                      <w:bCs w:val="0"/>
                      <w:color w:val="auto"/>
                      <w:sz w:val="21"/>
                      <w:szCs w:val="21"/>
                      <w:highlight w:val="none"/>
                      <w:shd w:val="clear" w:color="auto" w:fill="auto"/>
                      <w:lang w:val="en-US" w:eastAsia="zh-CN"/>
                    </w:rPr>
                    <w:t>会议室</w:t>
                  </w:r>
                  <w:r>
                    <w:rPr>
                      <w:rFonts w:hint="eastAsia" w:cs="Times New Roman"/>
                      <w:b w:val="0"/>
                      <w:bCs w:val="0"/>
                      <w:color w:val="auto"/>
                      <w:sz w:val="21"/>
                      <w:szCs w:val="21"/>
                      <w:highlight w:val="none"/>
                      <w:shd w:val="clear" w:color="auto" w:fill="auto"/>
                      <w:lang w:val="en-US" w:eastAsia="zh-CN"/>
                    </w:rPr>
                    <w:t>、</w:t>
                  </w:r>
                  <w:r>
                    <w:rPr>
                      <w:rFonts w:hint="eastAsia" w:ascii="Times New Roman" w:hAnsi="Times New Roman" w:cs="Times New Roman"/>
                      <w:b w:val="0"/>
                      <w:bCs w:val="0"/>
                      <w:color w:val="auto"/>
                      <w:sz w:val="21"/>
                      <w:szCs w:val="21"/>
                      <w:highlight w:val="none"/>
                      <w:shd w:val="clear" w:color="auto" w:fill="auto"/>
                      <w:lang w:val="en-US" w:eastAsia="zh-CN"/>
                    </w:rPr>
                    <w:t>值班室等</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配套楼</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cs="Times New Roman"/>
                      <w:b w:val="0"/>
                      <w:bCs w:val="0"/>
                      <w:color w:val="auto"/>
                      <w:sz w:val="21"/>
                      <w:szCs w:val="21"/>
                      <w:highlight w:val="none"/>
                      <w:shd w:val="clear" w:color="auto" w:fill="auto"/>
                      <w:lang w:val="en-US" w:eastAsia="zh-CN"/>
                    </w:rPr>
                  </w:pPr>
                  <w:r>
                    <w:rPr>
                      <w:rFonts w:hint="eastAsia"/>
                      <w:b w:val="0"/>
                      <w:bCs w:val="0"/>
                      <w:color w:val="auto"/>
                      <w:sz w:val="21"/>
                      <w:szCs w:val="21"/>
                      <w:highlight w:val="none"/>
                      <w:lang w:val="en-US" w:eastAsia="zh-CN"/>
                    </w:rPr>
                    <w:t>位于厂区西南侧，占地面积</w:t>
                  </w:r>
                  <w:r>
                    <w:rPr>
                      <w:rFonts w:hint="eastAsia" w:cs="Times New Roman"/>
                      <w:b w:val="0"/>
                      <w:bCs w:val="0"/>
                      <w:color w:val="auto"/>
                      <w:sz w:val="21"/>
                      <w:szCs w:val="21"/>
                      <w:highlight w:val="none"/>
                      <w:shd w:val="clear" w:color="auto" w:fill="auto"/>
                      <w:lang w:val="en-US" w:eastAsia="zh-CN"/>
                    </w:rPr>
                    <w:t>547</w:t>
                  </w:r>
                  <w:r>
                    <w:rPr>
                      <w:rFonts w:hint="default" w:ascii="Times New Roman" w:hAnsi="Times New Roman" w:cs="Times New Roman"/>
                      <w:b w:val="0"/>
                      <w:bCs w:val="0"/>
                      <w:color w:val="auto"/>
                      <w:sz w:val="21"/>
                      <w:szCs w:val="21"/>
                      <w:highlight w:val="none"/>
                      <w:shd w:val="clear" w:color="auto" w:fill="auto"/>
                    </w:rPr>
                    <w:t>m</w:t>
                  </w:r>
                  <w:r>
                    <w:rPr>
                      <w:rFonts w:hint="default" w:ascii="Times New Roman" w:hAnsi="Times New Roman" w:cs="Times New Roman"/>
                      <w:b w:val="0"/>
                      <w:bCs w:val="0"/>
                      <w:color w:val="auto"/>
                      <w:sz w:val="21"/>
                      <w:szCs w:val="21"/>
                      <w:highlight w:val="none"/>
                      <w:shd w:val="clear" w:color="auto" w:fill="auto"/>
                      <w:vertAlign w:val="superscript"/>
                    </w:rPr>
                    <w:t>2</w:t>
                  </w:r>
                  <w:r>
                    <w:rPr>
                      <w:rFonts w:hint="default" w:ascii="Times New Roman" w:hAnsi="Times New Roman" w:cs="Times New Roman"/>
                      <w:b w:val="0"/>
                      <w:bCs w:val="0"/>
                      <w:color w:val="auto"/>
                      <w:sz w:val="21"/>
                      <w:szCs w:val="21"/>
                      <w:highlight w:val="none"/>
                      <w:shd w:val="clear" w:color="auto" w:fill="auto"/>
                    </w:rPr>
                    <w:t>，</w:t>
                  </w:r>
                  <w:r>
                    <w:rPr>
                      <w:rFonts w:hint="eastAsia" w:ascii="Times New Roman" w:eastAsia="宋体"/>
                      <w:b w:val="0"/>
                      <w:bCs w:val="0"/>
                      <w:color w:val="auto"/>
                      <w:sz w:val="21"/>
                      <w:szCs w:val="21"/>
                      <w:highlight w:val="none"/>
                      <w:lang w:val="en-US" w:eastAsia="zh-CN"/>
                    </w:rPr>
                    <w:t>砖混结构，</w:t>
                  </w:r>
                  <w:r>
                    <w:rPr>
                      <w:rFonts w:hint="eastAsia"/>
                      <w:b w:val="0"/>
                      <w:bCs w:val="0"/>
                      <w:color w:val="auto"/>
                      <w:sz w:val="21"/>
                      <w:szCs w:val="21"/>
                      <w:highlight w:val="none"/>
                      <w:lang w:val="en-US" w:eastAsia="zh-CN"/>
                    </w:rPr>
                    <w:t>设有检验室等</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化验室</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位于配套楼一层北侧，占地面积15</w:t>
                  </w:r>
                  <w:r>
                    <w:rPr>
                      <w:rFonts w:hint="default" w:ascii="Times New Roman" w:hAnsi="Times New Roman" w:cs="Times New Roman"/>
                      <w:b w:val="0"/>
                      <w:bCs w:val="0"/>
                      <w:color w:val="auto"/>
                      <w:sz w:val="21"/>
                      <w:szCs w:val="21"/>
                      <w:highlight w:val="none"/>
                      <w:shd w:val="clear" w:color="auto" w:fill="auto"/>
                    </w:rPr>
                    <w:t>m</w:t>
                  </w:r>
                  <w:r>
                    <w:rPr>
                      <w:rFonts w:hint="default" w:ascii="Times New Roman" w:hAnsi="Times New Roman" w:cs="Times New Roman"/>
                      <w:b w:val="0"/>
                      <w:bCs w:val="0"/>
                      <w:color w:val="auto"/>
                      <w:sz w:val="21"/>
                      <w:szCs w:val="21"/>
                      <w:highlight w:val="none"/>
                      <w:shd w:val="clear" w:color="auto" w:fill="auto"/>
                      <w:vertAlign w:val="superscript"/>
                    </w:rPr>
                    <w:t>2</w:t>
                  </w:r>
                  <w:r>
                    <w:rPr>
                      <w:rFonts w:hint="default" w:ascii="Times New Roman" w:hAnsi="Times New Roman" w:cs="Times New Roman"/>
                      <w:b w:val="0"/>
                      <w:bCs w:val="0"/>
                      <w:color w:val="auto"/>
                      <w:sz w:val="21"/>
                      <w:szCs w:val="21"/>
                      <w:highlight w:val="none"/>
                      <w:shd w:val="clear" w:color="auto" w:fill="auto"/>
                    </w:rPr>
                    <w:t>，</w:t>
                  </w:r>
                  <w:r>
                    <w:rPr>
                      <w:rFonts w:hint="eastAsia" w:ascii="Times New Roman" w:eastAsia="宋体"/>
                      <w:b w:val="0"/>
                      <w:bCs w:val="0"/>
                      <w:color w:val="auto"/>
                      <w:sz w:val="21"/>
                      <w:szCs w:val="21"/>
                      <w:highlight w:val="none"/>
                      <w:lang w:val="en-US" w:eastAsia="zh-CN"/>
                    </w:rPr>
                    <w:t>砖混结构</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shd w:val="clear" w:color="auto" w:fill="auto"/>
                      <w:lang w:val="en-US" w:eastAsia="zh-CN"/>
                    </w:rPr>
                  </w:pPr>
                  <w:r>
                    <w:rPr>
                      <w:rFonts w:hint="eastAsia" w:ascii="Times New Roman" w:hAnsi="Times New Roman" w:cs="Times New Roman"/>
                      <w:b w:val="0"/>
                      <w:bCs w:val="0"/>
                      <w:color w:val="auto"/>
                      <w:sz w:val="21"/>
                      <w:szCs w:val="21"/>
                      <w:highlight w:val="none"/>
                      <w:shd w:val="clear" w:color="auto" w:fill="auto"/>
                      <w:lang w:val="en-US" w:eastAsia="zh-CN"/>
                    </w:rPr>
                    <w:t>门房</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b w:val="0"/>
                      <w:bCs w:val="0"/>
                      <w:color w:val="auto"/>
                      <w:sz w:val="21"/>
                      <w:szCs w:val="21"/>
                      <w:highlight w:val="none"/>
                    </w:rPr>
                    <w:t>1座，</w:t>
                  </w:r>
                  <w:r>
                    <w:rPr>
                      <w:rFonts w:hint="eastAsia"/>
                      <w:b w:val="0"/>
                      <w:bCs w:val="0"/>
                      <w:color w:val="auto"/>
                      <w:sz w:val="21"/>
                      <w:szCs w:val="21"/>
                      <w:highlight w:val="none"/>
                      <w:lang w:val="en-US" w:eastAsia="zh-CN"/>
                    </w:rPr>
                    <w:t>砖混结构，</w:t>
                  </w:r>
                  <w:r>
                    <w:rPr>
                      <w:b w:val="0"/>
                      <w:bCs w:val="0"/>
                      <w:color w:val="auto"/>
                      <w:sz w:val="21"/>
                      <w:szCs w:val="21"/>
                      <w:highlight w:val="none"/>
                    </w:rPr>
                    <w:t>占地面积</w:t>
                  </w:r>
                  <w:r>
                    <w:rPr>
                      <w:rFonts w:hint="eastAsia"/>
                      <w:b w:val="0"/>
                      <w:bCs w:val="0"/>
                      <w:color w:val="auto"/>
                      <w:sz w:val="21"/>
                      <w:szCs w:val="21"/>
                      <w:highlight w:val="none"/>
                      <w:lang w:val="en-US" w:eastAsia="zh-CN"/>
                    </w:rPr>
                    <w:t>25</w:t>
                  </w:r>
                  <w:r>
                    <w:rPr>
                      <w:b w:val="0"/>
                      <w:bCs w:val="0"/>
                      <w:color w:val="auto"/>
                      <w:sz w:val="21"/>
                      <w:szCs w:val="21"/>
                      <w:highlight w:val="none"/>
                    </w:rPr>
                    <w:t>m</w:t>
                  </w:r>
                  <w:r>
                    <w:rPr>
                      <w:b w:val="0"/>
                      <w:bCs w:val="0"/>
                      <w:color w:val="auto"/>
                      <w:sz w:val="21"/>
                      <w:szCs w:val="21"/>
                      <w:highlight w:val="none"/>
                      <w:vertAlign w:val="superscript"/>
                    </w:rPr>
                    <w:t>2</w:t>
                  </w:r>
                  <w:r>
                    <w:rPr>
                      <w:rFonts w:hint="eastAsia"/>
                      <w:b w:val="0"/>
                      <w:bCs w:val="0"/>
                      <w:color w:val="auto"/>
                      <w:sz w:val="21"/>
                      <w:szCs w:val="21"/>
                      <w:highlight w:val="none"/>
                      <w:vertAlign w:val="baseline"/>
                      <w:lang w:eastAsia="zh-CN"/>
                    </w:rPr>
                    <w:t>，</w:t>
                  </w:r>
                  <w:r>
                    <w:rPr>
                      <w:rFonts w:hint="eastAsia"/>
                      <w:b w:val="0"/>
                      <w:bCs w:val="0"/>
                      <w:color w:val="auto"/>
                      <w:sz w:val="21"/>
                      <w:szCs w:val="21"/>
                      <w:highlight w:val="none"/>
                      <w:vertAlign w:val="baseline"/>
                      <w:lang w:val="en-US" w:eastAsia="zh-CN"/>
                    </w:rPr>
                    <w:t>位于厂区西侧</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b w:val="0"/>
                      <w:bCs w:val="0"/>
                      <w:color w:val="auto"/>
                      <w:sz w:val="21"/>
                      <w:szCs w:val="21"/>
                      <w:highlight w:val="none"/>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eastAsia" w:cs="Times New Roman"/>
                      <w:color w:val="auto"/>
                      <w:spacing w:val="0"/>
                      <w:sz w:val="21"/>
                      <w:szCs w:val="21"/>
                      <w:highlight w:val="none"/>
                      <w:lang w:val="en-US" w:eastAsia="zh-CN"/>
                    </w:rPr>
                    <w:t>磅房</w:t>
                  </w:r>
                </w:p>
              </w:tc>
              <w:tc>
                <w:tcPr>
                  <w:tcW w:w="31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eastAsia="宋体"/>
                      <w:b w:val="0"/>
                      <w:bCs w:val="0"/>
                      <w:color w:val="auto"/>
                      <w:sz w:val="21"/>
                      <w:szCs w:val="21"/>
                      <w:highlight w:val="none"/>
                      <w:lang w:val="en-US" w:eastAsia="zh-CN"/>
                    </w:rPr>
                  </w:pPr>
                  <w:r>
                    <w:rPr>
                      <w:rFonts w:hint="eastAsia" w:cs="Times New Roman"/>
                      <w:color w:val="auto"/>
                      <w:spacing w:val="0"/>
                      <w:sz w:val="21"/>
                      <w:szCs w:val="21"/>
                      <w:highlight w:val="none"/>
                      <w:lang w:val="en-US" w:eastAsia="zh-CN"/>
                    </w:rPr>
                    <w:t>厂区南侧主入口设置1座磅房，轻钢结构，占地面积15</w:t>
                  </w:r>
                  <w:r>
                    <w:rPr>
                      <w:rFonts w:hint="default" w:ascii="Times New Roman" w:hAnsi="Times New Roman" w:cs="Times New Roman"/>
                      <w:color w:val="auto"/>
                      <w:spacing w:val="0"/>
                      <w:szCs w:val="21"/>
                      <w:highlight w:val="none"/>
                    </w:rPr>
                    <w:t>m</w:t>
                  </w:r>
                  <w:r>
                    <w:rPr>
                      <w:rFonts w:hint="default" w:ascii="Times New Roman" w:hAnsi="Times New Roman" w:cs="Times New Roman"/>
                      <w:color w:val="auto"/>
                      <w:spacing w:val="0"/>
                      <w:szCs w:val="21"/>
                      <w:highlight w:val="none"/>
                      <w:vertAlign w:val="superscript"/>
                    </w:rPr>
                    <w:t>2</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b w:val="0"/>
                      <w:bCs w:val="0"/>
                      <w:color w:val="auto"/>
                      <w:sz w:val="21"/>
                      <w:szCs w:val="21"/>
                      <w:highlight w:val="none"/>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eastAsia" w:ascii="Times New Roman" w:hAnsi="Times New Roman" w:cs="Times New Roman"/>
                      <w:b w:val="0"/>
                      <w:bCs w:val="0"/>
                      <w:color w:val="auto"/>
                      <w:sz w:val="21"/>
                      <w:szCs w:val="21"/>
                      <w:highlight w:val="none"/>
                      <w:shd w:val="clear" w:color="auto" w:fill="auto"/>
                      <w:lang w:val="en-US" w:eastAsia="zh-CN"/>
                    </w:rPr>
                    <w:t>洗车平台</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b w:val="0"/>
                      <w:bCs w:val="0"/>
                      <w:color w:val="auto"/>
                      <w:sz w:val="21"/>
                      <w:szCs w:val="21"/>
                      <w:highlight w:val="none"/>
                    </w:rPr>
                  </w:pPr>
                  <w:r>
                    <w:rPr>
                      <w:rFonts w:hint="eastAsia" w:ascii="Times New Roman" w:hAnsi="Times New Roman" w:eastAsia="宋体" w:cs="Times New Roman"/>
                      <w:color w:val="auto"/>
                      <w:spacing w:val="0"/>
                      <w:sz w:val="21"/>
                      <w:szCs w:val="21"/>
                      <w:highlight w:val="none"/>
                      <w:lang w:val="en-US" w:eastAsia="zh-CN"/>
                    </w:rPr>
                    <w:t>厂区</w:t>
                  </w:r>
                  <w:r>
                    <w:rPr>
                      <w:rFonts w:hint="eastAsia" w:cs="Times New Roman"/>
                      <w:color w:val="auto"/>
                      <w:spacing w:val="0"/>
                      <w:sz w:val="21"/>
                      <w:szCs w:val="21"/>
                      <w:highlight w:val="none"/>
                      <w:lang w:val="en-US" w:eastAsia="zh-CN"/>
                    </w:rPr>
                    <w:t>南侧主入口</w:t>
                  </w:r>
                  <w:r>
                    <w:rPr>
                      <w:rFonts w:hint="eastAsia" w:ascii="Times New Roman" w:hAnsi="Times New Roman" w:eastAsia="宋体" w:cs="Times New Roman"/>
                      <w:color w:val="auto"/>
                      <w:spacing w:val="0"/>
                      <w:sz w:val="21"/>
                      <w:szCs w:val="21"/>
                      <w:highlight w:val="none"/>
                      <w:lang w:val="en-US" w:eastAsia="zh-CN"/>
                    </w:rPr>
                    <w:t>处设一处全自动洗车平台，具有保温、烘干功能，长度和高度应确保车身和车轮全部冲洗到位；平台两侧内壁及底部设高压喷淋水喷头，清洗水压高于1.0MPa，单台车辆冲洗时间不低于100s；并配套设置三级沉淀池（混凝土结构）</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49" w:type="pct"/>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公用工程</w:t>
                  </w: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供水</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由</w:t>
                  </w:r>
                  <w:r>
                    <w:rPr>
                      <w:rFonts w:hint="eastAsia" w:ascii="Times New Roman" w:hAnsi="Times New Roman" w:eastAsia="宋体" w:cs="Times New Roman"/>
                      <w:b w:val="0"/>
                      <w:bCs w:val="0"/>
                      <w:color w:val="auto"/>
                      <w:sz w:val="21"/>
                      <w:szCs w:val="21"/>
                      <w:highlight w:val="none"/>
                      <w:shd w:val="clear" w:color="auto" w:fill="auto"/>
                      <w:lang w:val="en-US" w:eastAsia="zh-CN"/>
                    </w:rPr>
                    <w:t>园区供水系统提供</w:t>
                  </w:r>
                  <w:r>
                    <w:rPr>
                      <w:rFonts w:hint="default" w:ascii="Times New Roman" w:hAnsi="Times New Roman" w:eastAsia="宋体" w:cs="Times New Roman"/>
                      <w:b w:val="0"/>
                      <w:bCs w:val="0"/>
                      <w:color w:val="auto"/>
                      <w:sz w:val="21"/>
                      <w:szCs w:val="21"/>
                      <w:highlight w:val="none"/>
                      <w:shd w:val="clear" w:color="auto" w:fill="auto"/>
                      <w:lang w:val="en-US" w:eastAsia="zh-CN"/>
                    </w:rPr>
                    <w:t>，能满足项目生产生活用水需求</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供电</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lang w:val="en-US" w:eastAsia="zh-CN"/>
                    </w:rPr>
                    <w:t>接自</w:t>
                  </w:r>
                  <w:r>
                    <w:rPr>
                      <w:rFonts w:hint="eastAsia" w:ascii="Times New Roman" w:hAnsi="Times New Roman" w:eastAsia="宋体" w:cs="Times New Roman"/>
                      <w:b w:val="0"/>
                      <w:bCs w:val="0"/>
                      <w:color w:val="auto"/>
                      <w:sz w:val="21"/>
                      <w:szCs w:val="21"/>
                      <w:highlight w:val="none"/>
                      <w:lang w:val="en-US" w:eastAsia="zh-CN"/>
                    </w:rPr>
                    <w:t>园区供电系统</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能满足本项目生产生活用</w:t>
                  </w:r>
                  <w:r>
                    <w:rPr>
                      <w:rFonts w:hint="default" w:ascii="Times New Roman" w:hAnsi="Times New Roman" w:eastAsia="宋体" w:cs="Times New Roman"/>
                      <w:b w:val="0"/>
                      <w:bCs w:val="0"/>
                      <w:color w:val="auto"/>
                      <w:sz w:val="21"/>
                      <w:szCs w:val="21"/>
                      <w:highlight w:val="none"/>
                      <w:lang w:val="en-US" w:eastAsia="zh-CN"/>
                    </w:rPr>
                    <w:t>电</w:t>
                  </w:r>
                  <w:r>
                    <w:rPr>
                      <w:rFonts w:hint="default" w:ascii="Times New Roman" w:hAnsi="Times New Roman" w:eastAsia="宋体" w:cs="Times New Roman"/>
                      <w:b w:val="0"/>
                      <w:bCs w:val="0"/>
                      <w:color w:val="auto"/>
                      <w:sz w:val="21"/>
                      <w:szCs w:val="21"/>
                      <w:highlight w:val="none"/>
                    </w:rPr>
                    <w:t>需求</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1122" w:type="pct"/>
                  <w:gridSpan w:val="2"/>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shd w:val="clear" w:color="auto" w:fill="auto"/>
                      <w:lang w:eastAsia="zh-CN"/>
                    </w:rPr>
                  </w:pPr>
                  <w:r>
                    <w:rPr>
                      <w:rFonts w:hint="default" w:ascii="Times New Roman" w:hAnsi="Times New Roman" w:cs="Times New Roman"/>
                      <w:b w:val="0"/>
                      <w:bCs w:val="0"/>
                      <w:color w:val="auto"/>
                      <w:sz w:val="21"/>
                      <w:szCs w:val="21"/>
                      <w:highlight w:val="none"/>
                      <w:shd w:val="clear" w:color="auto" w:fill="auto"/>
                      <w:lang w:val="en-US" w:eastAsia="zh-CN"/>
                    </w:rPr>
                    <w:t>采暖</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生产车间无需供暖，</w:t>
                  </w:r>
                  <w:r>
                    <w:rPr>
                      <w:rFonts w:hint="eastAsia" w:ascii="Times New Roman" w:hAnsi="Times New Roman" w:eastAsia="宋体" w:cs="Times New Roman"/>
                      <w:b w:val="0"/>
                      <w:bCs w:val="0"/>
                      <w:color w:val="auto"/>
                      <w:sz w:val="21"/>
                      <w:szCs w:val="21"/>
                      <w:highlight w:val="none"/>
                      <w:shd w:val="clear" w:color="auto" w:fill="auto"/>
                      <w:lang w:val="en-US" w:eastAsia="zh-CN"/>
                    </w:rPr>
                    <w:t>办公生活区采暖</w:t>
                  </w:r>
                  <w:r>
                    <w:rPr>
                      <w:rFonts w:hint="eastAsia" w:cs="Times New Roman"/>
                      <w:b w:val="0"/>
                      <w:bCs w:val="0"/>
                      <w:color w:val="auto"/>
                      <w:sz w:val="21"/>
                      <w:szCs w:val="21"/>
                      <w:highlight w:val="none"/>
                      <w:shd w:val="clear" w:color="auto" w:fill="auto"/>
                      <w:lang w:val="en-US" w:eastAsia="zh-CN"/>
                    </w:rPr>
                    <w:t>使用电采暖</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49" w:type="pct"/>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环保工程</w:t>
                  </w:r>
                </w:p>
              </w:tc>
              <w:tc>
                <w:tcPr>
                  <w:tcW w:w="299" w:type="pct"/>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废气</w:t>
                  </w:r>
                </w:p>
              </w:tc>
              <w:tc>
                <w:tcPr>
                  <w:tcW w:w="823" w:type="pc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给料、破碎</w:t>
                  </w:r>
                </w:p>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eastAsia" w:ascii="Times New Roman" w:hAnsi="Times New Roman" w:cs="Times New Roman"/>
                      <w:b w:val="0"/>
                      <w:bCs w:val="0"/>
                      <w:color w:val="auto"/>
                      <w:sz w:val="21"/>
                      <w:szCs w:val="21"/>
                      <w:highlight w:val="none"/>
                      <w:shd w:val="clear" w:color="auto" w:fill="auto"/>
                      <w:lang w:val="en-US" w:eastAsia="zh-CN"/>
                    </w:rPr>
                    <w:t>废气</w:t>
                  </w:r>
                </w:p>
              </w:tc>
              <w:tc>
                <w:tcPr>
                  <w:tcW w:w="317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2台给料机进料仓上方各设置1个集气罩（共2个），2台锤式破碎机</w:t>
                  </w:r>
                  <w:r>
                    <w:rPr>
                      <w:rFonts w:hint="eastAsia" w:cs="Times New Roman"/>
                      <w:color w:val="auto"/>
                      <w:spacing w:val="0"/>
                      <w:kern w:val="2"/>
                      <w:sz w:val="21"/>
                      <w:szCs w:val="21"/>
                      <w:highlight w:val="none"/>
                      <w:vertAlign w:val="baseline"/>
                      <w:lang w:val="en-US" w:eastAsia="zh-CN" w:bidi="ar-SA"/>
                    </w:rPr>
                    <w:t>为全封闭式设置集气管道</w:t>
                  </w:r>
                  <w:r>
                    <w:rPr>
                      <w:rFonts w:hint="default" w:ascii="Times New Roman" w:hAnsi="Times New Roman" w:eastAsia="宋体" w:cs="Times New Roman"/>
                      <w:color w:val="auto"/>
                      <w:spacing w:val="0"/>
                      <w:kern w:val="2"/>
                      <w:sz w:val="21"/>
                      <w:szCs w:val="21"/>
                      <w:highlight w:val="none"/>
                      <w:vertAlign w:val="baseline"/>
                      <w:lang w:val="en-US" w:eastAsia="zh-CN" w:bidi="ar-SA"/>
                    </w:rPr>
                    <w:t>，废气经收集后共同引入1台布袋除尘器（TA001）处理后，由一根</w:t>
                  </w:r>
                  <w:r>
                    <w:rPr>
                      <w:rFonts w:hint="eastAsia" w:cs="Times New Roman"/>
                      <w:color w:val="auto"/>
                      <w:spacing w:val="0"/>
                      <w:kern w:val="2"/>
                      <w:sz w:val="21"/>
                      <w:szCs w:val="21"/>
                      <w:highlight w:val="none"/>
                      <w:vertAlign w:val="baseline"/>
                      <w:lang w:val="en-US" w:eastAsia="zh-CN" w:bidi="ar-SA"/>
                    </w:rPr>
                    <w:t>20</w:t>
                  </w:r>
                  <w:r>
                    <w:rPr>
                      <w:rFonts w:hint="default" w:ascii="Times New Roman" w:hAnsi="Times New Roman" w:eastAsia="宋体" w:cs="Times New Roman"/>
                      <w:color w:val="auto"/>
                      <w:spacing w:val="0"/>
                      <w:kern w:val="2"/>
                      <w:sz w:val="21"/>
                      <w:szCs w:val="21"/>
                      <w:highlight w:val="none"/>
                      <w:vertAlign w:val="baseline"/>
                      <w:lang w:val="en-US" w:eastAsia="zh-CN" w:bidi="ar-SA"/>
                    </w:rPr>
                    <w:t>m高排气筒（DA001）排放</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rPr>
                  </w:pPr>
                  <w:r>
                    <w:rPr>
                      <w:rFonts w:hint="default" w:ascii="Times New Roman" w:hAnsi="Times New Roman" w:eastAsia="宋体" w:cs="Times New Roman"/>
                      <w:b w:val="0"/>
                      <w:bCs w:val="0"/>
                      <w:color w:val="auto"/>
                      <w:sz w:val="21"/>
                      <w:szCs w:val="21"/>
                      <w:highlight w:val="none"/>
                      <w:shd w:val="clear" w:color="auto" w:fill="auto"/>
                      <w:lang w:val="en-US" w:eastAsia="zh-CN"/>
                    </w:rPr>
                    <w:t>筛分、粉磨</w:t>
                  </w:r>
                  <w:r>
                    <w:rPr>
                      <w:rFonts w:hint="eastAsia" w:cs="Times New Roman"/>
                      <w:b w:val="0"/>
                      <w:bCs w:val="0"/>
                      <w:color w:val="auto"/>
                      <w:sz w:val="21"/>
                      <w:szCs w:val="21"/>
                      <w:highlight w:val="none"/>
                      <w:shd w:val="clear" w:color="auto" w:fill="auto"/>
                      <w:lang w:val="en-US" w:eastAsia="zh-CN"/>
                    </w:rPr>
                    <w:t>、粉料仓</w:t>
                  </w:r>
                  <w:r>
                    <w:rPr>
                      <w:rFonts w:hint="default" w:ascii="Times New Roman" w:hAnsi="Times New Roman" w:eastAsia="宋体" w:cs="Times New Roman"/>
                      <w:b w:val="0"/>
                      <w:bCs w:val="0"/>
                      <w:color w:val="auto"/>
                      <w:sz w:val="21"/>
                      <w:szCs w:val="21"/>
                      <w:highlight w:val="none"/>
                      <w:shd w:val="clear" w:color="auto" w:fill="auto"/>
                      <w:lang w:val="en-US" w:eastAsia="zh-CN"/>
                    </w:rPr>
                    <w:t>废气</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球磨机和振动筛均为全封闭式，设置集气管道，废气经集气管道送至1台布袋除尘器（TA002）处理，</w:t>
                  </w:r>
                  <w:r>
                    <w:rPr>
                      <w:rFonts w:hint="eastAsia"/>
                      <w:color w:val="auto"/>
                      <w:sz w:val="21"/>
                      <w:szCs w:val="18"/>
                      <w:highlight w:val="none"/>
                      <w:lang w:val="en-US" w:eastAsia="zh-CN"/>
                    </w:rPr>
                    <w:t>煤矸石设置1台粉料仓，仓顶自带1台布袋除尘器（TA005），处理后的废气共同由</w:t>
                  </w:r>
                  <w:r>
                    <w:rPr>
                      <w:rFonts w:hint="default"/>
                      <w:color w:val="auto"/>
                      <w:sz w:val="21"/>
                      <w:szCs w:val="18"/>
                      <w:highlight w:val="none"/>
                    </w:rPr>
                    <w:t>1根</w:t>
                  </w:r>
                  <w:r>
                    <w:rPr>
                      <w:rFonts w:hint="eastAsia"/>
                      <w:color w:val="auto"/>
                      <w:sz w:val="21"/>
                      <w:szCs w:val="18"/>
                      <w:highlight w:val="none"/>
                      <w:lang w:val="en-US" w:eastAsia="zh-CN"/>
                    </w:rPr>
                    <w:t>20</w:t>
                  </w:r>
                  <w:r>
                    <w:rPr>
                      <w:rFonts w:hint="default"/>
                      <w:color w:val="auto"/>
                      <w:sz w:val="21"/>
                      <w:szCs w:val="18"/>
                      <w:highlight w:val="none"/>
                    </w:rPr>
                    <w:t>m高排气筒（</w:t>
                  </w:r>
                  <w:r>
                    <w:rPr>
                      <w:rFonts w:hint="eastAsia"/>
                      <w:color w:val="auto"/>
                      <w:sz w:val="21"/>
                      <w:szCs w:val="18"/>
                      <w:highlight w:val="none"/>
                    </w:rPr>
                    <w:t>D</w:t>
                  </w:r>
                  <w:r>
                    <w:rPr>
                      <w:rFonts w:hint="default"/>
                      <w:color w:val="auto"/>
                      <w:sz w:val="21"/>
                      <w:szCs w:val="18"/>
                      <w:highlight w:val="none"/>
                    </w:rPr>
                    <w:t>A00</w:t>
                  </w:r>
                  <w:r>
                    <w:rPr>
                      <w:rFonts w:hint="eastAsia"/>
                      <w:color w:val="auto"/>
                      <w:sz w:val="21"/>
                      <w:szCs w:val="18"/>
                      <w:highlight w:val="none"/>
                      <w:lang w:val="en-US" w:eastAsia="zh-CN"/>
                    </w:rPr>
                    <w:t>2</w:t>
                  </w:r>
                  <w:r>
                    <w:rPr>
                      <w:rFonts w:hint="default"/>
                      <w:color w:val="auto"/>
                      <w:sz w:val="21"/>
                      <w:szCs w:val="18"/>
                      <w:highlight w:val="none"/>
                    </w:rPr>
                    <w:t>）排放</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eastAsia" w:ascii="Times New Roman" w:hAnsi="Times New Roman" w:eastAsia="宋体" w:cs="Times New Roman"/>
                      <w:b w:val="0"/>
                      <w:bCs w:val="0"/>
                      <w:color w:val="auto"/>
                      <w:sz w:val="21"/>
                      <w:szCs w:val="21"/>
                      <w:highlight w:val="none"/>
                      <w:shd w:val="clear" w:color="auto" w:fill="auto"/>
                      <w:lang w:val="en-US" w:eastAsia="zh-CN"/>
                    </w:rPr>
                    <w:t>发酵废气</w:t>
                  </w:r>
                </w:p>
              </w:tc>
              <w:tc>
                <w:tcPr>
                  <w:tcW w:w="3178" w:type="pct"/>
                  <w:tcBorders>
                    <w:tl2br w:val="nil"/>
                    <w:tr2bl w:val="nil"/>
                  </w:tcBorders>
                  <w:noWrap w:val="0"/>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color w:val="auto"/>
                      <w:spacing w:val="0"/>
                      <w:kern w:val="2"/>
                      <w:sz w:val="21"/>
                      <w:szCs w:val="21"/>
                      <w:highlight w:val="none"/>
                      <w:vertAlign w:val="baseline"/>
                      <w:lang w:val="en-US" w:eastAsia="zh-CN" w:bidi="ar-SA"/>
                    </w:rPr>
                    <w:t>发酵过程中，使用纳米膜将发酵池覆盖，采取密闭发酵，发酵池进行全封闭，在发酵池末端通过管道和引风机，将发酵池内废气引入1套生物除臭装置（TA003）进行处理后，由1根</w:t>
                  </w:r>
                  <w:r>
                    <w:rPr>
                      <w:rFonts w:hint="eastAsia" w:cs="Times New Roman"/>
                      <w:color w:val="auto"/>
                      <w:spacing w:val="0"/>
                      <w:kern w:val="2"/>
                      <w:sz w:val="21"/>
                      <w:szCs w:val="21"/>
                      <w:highlight w:val="none"/>
                      <w:vertAlign w:val="baseline"/>
                      <w:lang w:val="en-US" w:eastAsia="zh-CN" w:bidi="ar-SA"/>
                    </w:rPr>
                    <w:t>20</w:t>
                  </w:r>
                  <w:r>
                    <w:rPr>
                      <w:rFonts w:hint="eastAsia" w:ascii="Times New Roman" w:hAnsi="Times New Roman" w:eastAsia="宋体" w:cs="Times New Roman"/>
                      <w:color w:val="auto"/>
                      <w:spacing w:val="0"/>
                      <w:kern w:val="2"/>
                      <w:sz w:val="21"/>
                      <w:szCs w:val="21"/>
                      <w:highlight w:val="none"/>
                      <w:vertAlign w:val="baseline"/>
                      <w:lang w:val="en-US" w:eastAsia="zh-CN" w:bidi="ar-SA"/>
                    </w:rPr>
                    <w:t>m高排气筒（DA003）排放</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eastAsia" w:cs="Times New Roman"/>
                      <w:b w:val="0"/>
                      <w:bCs w:val="0"/>
                      <w:color w:val="auto"/>
                      <w:sz w:val="21"/>
                      <w:szCs w:val="21"/>
                      <w:highlight w:val="none"/>
                      <w:shd w:val="clear" w:color="auto" w:fill="auto"/>
                      <w:lang w:val="en-US" w:eastAsia="zh-CN"/>
                    </w:rPr>
                    <w:t>造粒、筛分、袋装废气</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eastAsia"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挤压成型机进料口上方设置1台集气罩，筛分机为全封闭式设置集气管道，每台计量袋装机进料口设置1个侧吸罩（共5个），收集后的废气引入1台布袋除尘器（TA004），处理后由1根</w:t>
                  </w:r>
                  <w:r>
                    <w:rPr>
                      <w:rFonts w:hint="eastAsia" w:cs="Times New Roman"/>
                      <w:color w:val="auto"/>
                      <w:spacing w:val="0"/>
                      <w:kern w:val="2"/>
                      <w:sz w:val="21"/>
                      <w:szCs w:val="21"/>
                      <w:highlight w:val="none"/>
                      <w:vertAlign w:val="baseline"/>
                      <w:lang w:val="en-US" w:eastAsia="zh-CN" w:bidi="ar-SA"/>
                    </w:rPr>
                    <w:t>20</w:t>
                  </w:r>
                  <w:r>
                    <w:rPr>
                      <w:rFonts w:hint="default" w:ascii="Times New Roman" w:hAnsi="Times New Roman" w:eastAsia="宋体" w:cs="Times New Roman"/>
                      <w:color w:val="auto"/>
                      <w:spacing w:val="0"/>
                      <w:kern w:val="2"/>
                      <w:sz w:val="21"/>
                      <w:szCs w:val="21"/>
                      <w:highlight w:val="none"/>
                      <w:vertAlign w:val="baseline"/>
                      <w:lang w:val="en-US" w:eastAsia="zh-CN" w:bidi="ar-SA"/>
                    </w:rPr>
                    <w:t>m高排气筒（DA004）排放</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lang w:val="en-US" w:eastAsia="zh-CN"/>
                    </w:rPr>
                    <w:t>原料、</w:t>
                  </w:r>
                  <w:r>
                    <w:rPr>
                      <w:rFonts w:hint="default" w:ascii="Times New Roman" w:hAnsi="Times New Roman" w:cs="Times New Roman"/>
                      <w:b w:val="0"/>
                      <w:bCs w:val="0"/>
                      <w:color w:val="auto"/>
                      <w:sz w:val="21"/>
                      <w:szCs w:val="21"/>
                      <w:highlight w:val="none"/>
                      <w:lang w:val="en-US" w:eastAsia="zh-CN"/>
                    </w:rPr>
                    <w:t>成品堆放与装卸扬尘</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both"/>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ascii="Times New Roman" w:hAnsi="Times New Roman" w:cs="Times New Roman"/>
                      <w:b w:val="0"/>
                      <w:bCs w:val="0"/>
                      <w:color w:val="auto"/>
                      <w:sz w:val="21"/>
                      <w:szCs w:val="21"/>
                      <w:highlight w:val="none"/>
                      <w:lang w:val="en-US" w:eastAsia="zh-CN"/>
                    </w:rPr>
                    <w:t>全封闭生产车间内，堆放区顶部设置喷雾抑尘装置</w:t>
                  </w:r>
                  <w:r>
                    <w:rPr>
                      <w:rFonts w:hint="eastAsia" w:cs="Times New Roman"/>
                      <w:b w:val="0"/>
                      <w:bCs w:val="0"/>
                      <w:color w:val="auto"/>
                      <w:sz w:val="21"/>
                      <w:szCs w:val="21"/>
                      <w:highlight w:val="none"/>
                      <w:lang w:val="en-US" w:eastAsia="zh-CN"/>
                    </w:rPr>
                    <w:t>，同时设置1台移动式雾炮机</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rPr>
                  </w:pPr>
                  <w:r>
                    <w:rPr>
                      <w:rFonts w:hint="default" w:ascii="Times New Roman" w:hAnsi="Times New Roman" w:cs="Times New Roman"/>
                      <w:b w:val="0"/>
                      <w:bCs w:val="0"/>
                      <w:color w:val="auto"/>
                      <w:sz w:val="21"/>
                      <w:szCs w:val="21"/>
                      <w:highlight w:val="none"/>
                      <w:lang w:val="en-US" w:eastAsia="zh-CN"/>
                    </w:rPr>
                    <w:t>道路运输扬尘</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厂区运输道路全部硬化，对道路定期洒水，并对物料运输车辆采取加盖篷布等封闭措施，限制车速</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物料运输转载废气</w:t>
                  </w:r>
                </w:p>
              </w:tc>
              <w:tc>
                <w:tcPr>
                  <w:tcW w:w="317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leftChars="0" w:right="0" w:rightChars="0"/>
                    <w:jc w:val="lef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本项目物料运输采用皮带输送机、螺旋输送机和提升机均为全封闭式，运输转载粉尘就近接入相应的除尘器中</w:t>
                  </w:r>
                  <w:r>
                    <w:rPr>
                      <w:rFonts w:hint="eastAsia" w:cs="Times New Roman"/>
                      <w:b w:val="0"/>
                      <w:bCs w:val="0"/>
                      <w:color w:val="auto"/>
                      <w:sz w:val="21"/>
                      <w:szCs w:val="21"/>
                      <w:highlight w:val="none"/>
                      <w:lang w:val="en-US" w:eastAsia="zh-CN"/>
                    </w:rPr>
                    <w:t>，加料口设有喷雾装置</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restart"/>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废水</w:t>
                  </w: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shd w:val="clear" w:color="auto" w:fill="auto"/>
                      <w:lang w:val="en-US" w:eastAsia="zh-CN" w:bidi="ar-SA"/>
                    </w:rPr>
                  </w:pPr>
                  <w:r>
                    <w:rPr>
                      <w:rFonts w:hint="eastAsia" w:cs="Times New Roman"/>
                      <w:color w:val="auto"/>
                      <w:spacing w:val="0"/>
                      <w:kern w:val="2"/>
                      <w:sz w:val="21"/>
                      <w:szCs w:val="21"/>
                      <w:highlight w:val="none"/>
                      <w:lang w:val="en-US" w:eastAsia="zh-CN" w:bidi="ar-SA"/>
                    </w:rPr>
                    <w:t>生活污水</w:t>
                  </w:r>
                </w:p>
              </w:tc>
              <w:tc>
                <w:tcPr>
                  <w:tcW w:w="31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经化粪池处理后排入园区生活污水管网，最终进入园区污水处理站处理</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shd w:val="clear" w:color="auto" w:fill="auto"/>
                    </w:rPr>
                  </w:pPr>
                  <w:r>
                    <w:rPr>
                      <w:rFonts w:hint="eastAsia" w:cs="Times New Roman"/>
                      <w:color w:val="auto"/>
                      <w:spacing w:val="0"/>
                      <w:kern w:val="2"/>
                      <w:sz w:val="21"/>
                      <w:szCs w:val="21"/>
                      <w:highlight w:val="none"/>
                      <w:lang w:val="en-US" w:eastAsia="zh-CN" w:bidi="ar-SA"/>
                    </w:rPr>
                    <w:t>地坪清洗废水</w:t>
                  </w:r>
                </w:p>
              </w:tc>
              <w:tc>
                <w:tcPr>
                  <w:tcW w:w="31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cs="Times New Roman"/>
                      <w:color w:val="auto"/>
                      <w:spacing w:val="0"/>
                      <w:sz w:val="21"/>
                      <w:szCs w:val="21"/>
                      <w:highlight w:val="none"/>
                      <w:lang w:val="en-US" w:eastAsia="zh-CN"/>
                    </w:rPr>
                  </w:pPr>
                  <w:r>
                    <w:rPr>
                      <w:rFonts w:hint="eastAsia" w:cs="Times New Roman"/>
                      <w:color w:val="auto"/>
                      <w:spacing w:val="0"/>
                      <w:kern w:val="2"/>
                      <w:sz w:val="21"/>
                      <w:szCs w:val="21"/>
                      <w:highlight w:val="none"/>
                      <w:vertAlign w:val="baseline"/>
                      <w:lang w:val="en-US" w:eastAsia="zh-CN" w:bidi="ar-SA"/>
                    </w:rPr>
                    <w:t>回用于搅拌用水</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color w:val="auto"/>
                      <w:spacing w:val="0"/>
                      <w:sz w:val="21"/>
                      <w:szCs w:val="21"/>
                      <w:highlight w:val="none"/>
                    </w:rPr>
                    <w:t>洗车废水</w:t>
                  </w:r>
                </w:p>
              </w:tc>
              <w:tc>
                <w:tcPr>
                  <w:tcW w:w="31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cs="Times New Roman"/>
                      <w:b w:val="0"/>
                      <w:bCs w:val="0"/>
                      <w:color w:val="auto"/>
                      <w:sz w:val="21"/>
                      <w:szCs w:val="21"/>
                      <w:highlight w:val="none"/>
                      <w:shd w:val="clear" w:color="auto" w:fill="auto"/>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设置1座洗车平台，容积为</w:t>
                  </w:r>
                  <w:r>
                    <w:rPr>
                      <w:rFonts w:hint="eastAsia" w:cs="Times New Roman"/>
                      <w:color w:val="auto"/>
                      <w:spacing w:val="0"/>
                      <w:kern w:val="2"/>
                      <w:sz w:val="21"/>
                      <w:szCs w:val="21"/>
                      <w:highlight w:val="none"/>
                      <w:lang w:val="en-US" w:eastAsia="zh-CN" w:bidi="ar-SA"/>
                    </w:rPr>
                    <w:t>25</w:t>
                  </w:r>
                  <w:r>
                    <w:rPr>
                      <w:rFonts w:hint="eastAsia" w:ascii="Times New Roman" w:hAnsi="Times New Roman" w:eastAsia="宋体" w:cs="Times New Roman"/>
                      <w:color w:val="auto"/>
                      <w:spacing w:val="0"/>
                      <w:kern w:val="2"/>
                      <w:sz w:val="21"/>
                      <w:szCs w:val="21"/>
                      <w:highlight w:val="none"/>
                      <w:lang w:val="en-US" w:eastAsia="zh-CN" w:bidi="ar-SA"/>
                    </w:rPr>
                    <w:t>m</w:t>
                  </w:r>
                  <w:r>
                    <w:rPr>
                      <w:rFonts w:hint="eastAsia" w:ascii="Times New Roman" w:hAnsi="Times New Roman" w:eastAsia="宋体" w:cs="Times New Roman"/>
                      <w:color w:val="auto"/>
                      <w:spacing w:val="0"/>
                      <w:kern w:val="2"/>
                      <w:sz w:val="21"/>
                      <w:szCs w:val="21"/>
                      <w:highlight w:val="none"/>
                      <w:vertAlign w:val="superscript"/>
                      <w:lang w:val="en-US" w:eastAsia="zh-CN" w:bidi="ar-SA"/>
                    </w:rPr>
                    <w:t>3</w:t>
                  </w:r>
                  <w:r>
                    <w:rPr>
                      <w:rFonts w:hint="eastAsia" w:cs="Times New Roman"/>
                      <w:color w:val="auto"/>
                      <w:spacing w:val="0"/>
                      <w:kern w:val="2"/>
                      <w:sz w:val="21"/>
                      <w:szCs w:val="21"/>
                      <w:highlight w:val="none"/>
                      <w:vertAlign w:val="baseline"/>
                      <w:lang w:val="en-US" w:eastAsia="zh-CN" w:bidi="ar-SA"/>
                    </w:rPr>
                    <w:t>，</w:t>
                  </w:r>
                  <w:r>
                    <w:rPr>
                      <w:rFonts w:hint="eastAsia" w:ascii="Times New Roman" w:hAnsi="Times New Roman" w:eastAsia="宋体" w:cs="Times New Roman"/>
                      <w:color w:val="auto"/>
                      <w:spacing w:val="0"/>
                      <w:kern w:val="2"/>
                      <w:sz w:val="21"/>
                      <w:szCs w:val="21"/>
                      <w:highlight w:val="none"/>
                      <w:lang w:val="en-US" w:eastAsia="zh-CN" w:bidi="ar-SA"/>
                    </w:rPr>
                    <w:t>洗车废水经</w:t>
                  </w:r>
                  <w:r>
                    <w:rPr>
                      <w:rFonts w:hint="default" w:ascii="Times New Roman" w:hAnsi="Times New Roman" w:eastAsia="宋体" w:cs="Times New Roman"/>
                      <w:color w:val="auto"/>
                      <w:spacing w:val="0"/>
                      <w:kern w:val="2"/>
                      <w:sz w:val="21"/>
                      <w:szCs w:val="21"/>
                      <w:highlight w:val="none"/>
                      <w:lang w:val="en-US" w:eastAsia="zh-CN" w:bidi="ar-SA"/>
                    </w:rPr>
                    <w:t>沉淀池沉淀后，回用至洗车工序，循环使用，不排放</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eastAsia" w:cs="Times New Roman"/>
                      <w:color w:val="auto"/>
                      <w:spacing w:val="0"/>
                      <w:sz w:val="21"/>
                      <w:szCs w:val="21"/>
                      <w:highlight w:val="none"/>
                      <w:lang w:val="en-US" w:eastAsia="zh-CN"/>
                    </w:rPr>
                    <w:t>初期雨水</w:t>
                  </w:r>
                </w:p>
              </w:tc>
              <w:tc>
                <w:tcPr>
                  <w:tcW w:w="31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pacing w:val="0"/>
                      <w:kern w:val="2"/>
                      <w:sz w:val="21"/>
                      <w:szCs w:val="21"/>
                      <w:highlight w:val="none"/>
                      <w:lang w:val="en-US" w:eastAsia="zh-CN" w:bidi="ar-SA"/>
                    </w:rPr>
                    <w:t>设置</w:t>
                  </w:r>
                  <w:r>
                    <w:rPr>
                      <w:rFonts w:hint="eastAsia" w:cs="Times New Roman"/>
                      <w:color w:val="auto"/>
                      <w:spacing w:val="0"/>
                      <w:sz w:val="21"/>
                      <w:szCs w:val="21"/>
                      <w:highlight w:val="none"/>
                      <w:lang w:val="en-US" w:eastAsia="zh-CN"/>
                    </w:rPr>
                    <w:t>1座350m</w:t>
                  </w:r>
                  <w:r>
                    <w:rPr>
                      <w:rFonts w:hint="eastAsia" w:cs="Times New Roman"/>
                      <w:color w:val="auto"/>
                      <w:spacing w:val="0"/>
                      <w:sz w:val="21"/>
                      <w:szCs w:val="21"/>
                      <w:highlight w:val="none"/>
                      <w:vertAlign w:val="superscript"/>
                      <w:lang w:val="en-US" w:eastAsia="zh-CN"/>
                    </w:rPr>
                    <w:t>3</w:t>
                  </w:r>
                  <w:r>
                    <w:rPr>
                      <w:rFonts w:hint="eastAsia" w:cs="Times New Roman"/>
                      <w:color w:val="auto"/>
                      <w:spacing w:val="0"/>
                      <w:sz w:val="21"/>
                      <w:szCs w:val="21"/>
                      <w:highlight w:val="none"/>
                      <w:vertAlign w:val="baseline"/>
                      <w:lang w:val="en-US" w:eastAsia="zh-CN"/>
                    </w:rPr>
                    <w:t>雨水收集池，雨水经沉淀后回用于厂区洒水抑尘</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固体废物</w:t>
                  </w:r>
                </w:p>
              </w:tc>
              <w:tc>
                <w:tcPr>
                  <w:tcW w:w="823" w:type="pct"/>
                  <w:tcBorders>
                    <w:tl2br w:val="nil"/>
                    <w:tr2bl w:val="nil"/>
                  </w:tcBorders>
                  <w:noWrap w:val="0"/>
                  <w:vAlign w:val="center"/>
                </w:tcPr>
                <w:p>
                  <w:pPr>
                    <w:keepNext w:val="0"/>
                    <w:keepLines w:val="0"/>
                    <w:pageBreakBefore w:val="0"/>
                    <w:kinsoku/>
                    <w:wordWrap/>
                    <w:overflowPunct/>
                    <w:topLinePunct w:val="0"/>
                    <w:bidi w:val="0"/>
                    <w:adjustRightInd w:val="0"/>
                    <w:snapToGrid w:val="0"/>
                    <w:ind w:left="-42" w:leftChars="-20" w:right="-42" w:rightChars="-20"/>
                    <w:jc w:val="center"/>
                    <w:textAlignment w:val="auto"/>
                    <w:rPr>
                      <w:rFonts w:hint="default" w:cs="Times New Roman"/>
                      <w:b w:val="0"/>
                      <w:bCs w:val="0"/>
                      <w:color w:val="auto"/>
                      <w:sz w:val="21"/>
                      <w:szCs w:val="21"/>
                      <w:highlight w:val="none"/>
                      <w:shd w:val="clear" w:color="auto" w:fill="auto"/>
                      <w:lang w:val="en-US" w:eastAsia="zh-CN"/>
                    </w:rPr>
                  </w:pPr>
                  <w:r>
                    <w:rPr>
                      <w:rFonts w:hint="eastAsia" w:ascii="Times New Roman" w:hAnsi="Times New Roman" w:cs="Times New Roman"/>
                      <w:b w:val="0"/>
                      <w:bCs w:val="0"/>
                      <w:color w:val="auto"/>
                      <w:sz w:val="21"/>
                      <w:szCs w:val="21"/>
                      <w:highlight w:val="none"/>
                      <w:shd w:val="clear" w:color="auto" w:fill="auto"/>
                      <w:lang w:val="en-US" w:eastAsia="zh-CN"/>
                    </w:rPr>
                    <w:t>除尘灰</w:t>
                  </w:r>
                </w:p>
              </w:tc>
              <w:tc>
                <w:tcPr>
                  <w:tcW w:w="3178"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收集后作为原料回用于生产工序</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废除尘布袋</w:t>
                  </w:r>
                </w:p>
              </w:tc>
              <w:tc>
                <w:tcPr>
                  <w:tcW w:w="31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集中收集后由厂家回收综合利用</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p>
              </w:tc>
              <w:tc>
                <w:tcPr>
                  <w:tcW w:w="823" w:type="pct"/>
                  <w:tcBorders>
                    <w:tl2br w:val="nil"/>
                    <w:tr2bl w:val="nil"/>
                  </w:tcBorders>
                  <w:noWrap w:val="0"/>
                  <w:vAlign w:val="center"/>
                </w:tcPr>
                <w:p>
                  <w:pPr>
                    <w:keepNext w:val="0"/>
                    <w:keepLines w:val="0"/>
                    <w:pageBreakBefore w:val="0"/>
                    <w:kinsoku/>
                    <w:wordWrap/>
                    <w:overflowPunct/>
                    <w:topLinePunct w:val="0"/>
                    <w:bidi w:val="0"/>
                    <w:adjustRightInd w:val="0"/>
                    <w:snapToGrid w:val="0"/>
                    <w:ind w:left="-42" w:leftChars="-20" w:right="-42" w:rightChars="-20"/>
                    <w:jc w:val="center"/>
                    <w:textAlignment w:val="auto"/>
                    <w:rPr>
                      <w:rFonts w:hint="eastAsia" w:ascii="Times New Roman" w:hAnsi="Times New Roman" w:cs="Times New Roman"/>
                      <w:b w:val="0"/>
                      <w:bCs w:val="0"/>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lang w:val="en-US" w:eastAsia="zh-CN"/>
                    </w:rPr>
                    <w:t>废包装材料</w:t>
                  </w:r>
                </w:p>
              </w:tc>
              <w:tc>
                <w:tcPr>
                  <w:tcW w:w="3178"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eastAsia" w:cs="Times New Roman"/>
                      <w:b w:val="0"/>
                      <w:bCs w:val="0"/>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集中收集后外售废品收购站综合利用</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p>
              </w:tc>
              <w:tc>
                <w:tcPr>
                  <w:tcW w:w="823" w:type="pct"/>
                  <w:tcBorders>
                    <w:tl2br w:val="nil"/>
                    <w:tr2bl w:val="nil"/>
                  </w:tcBorders>
                  <w:noWrap w:val="0"/>
                  <w:vAlign w:val="center"/>
                </w:tcPr>
                <w:p>
                  <w:pPr>
                    <w:keepNext w:val="0"/>
                    <w:keepLines w:val="0"/>
                    <w:pageBreakBefore w:val="0"/>
                    <w:kinsoku/>
                    <w:wordWrap/>
                    <w:overflowPunct/>
                    <w:topLinePunct w:val="0"/>
                    <w:bidi w:val="0"/>
                    <w:adjustRightInd w:val="0"/>
                    <w:snapToGrid w:val="0"/>
                    <w:ind w:left="-42" w:leftChars="-20" w:right="-42" w:rightChars="-20"/>
                    <w:jc w:val="center"/>
                    <w:textAlignment w:val="auto"/>
                    <w:rPr>
                      <w:rFonts w:hint="eastAsia" w:ascii="Times New Roman" w:hAnsi="Times New Roman" w:cs="Times New Roman"/>
                      <w:b w:val="0"/>
                      <w:bCs w:val="0"/>
                      <w:color w:val="auto"/>
                      <w:sz w:val="21"/>
                      <w:szCs w:val="21"/>
                      <w:highlight w:val="none"/>
                      <w:shd w:val="clear" w:color="auto" w:fill="auto"/>
                      <w:lang w:val="en-US" w:eastAsia="zh-CN"/>
                    </w:rPr>
                  </w:pPr>
                  <w:r>
                    <w:rPr>
                      <w:rFonts w:hint="eastAsia" w:cs="Times New Roman"/>
                      <w:color w:val="auto"/>
                      <w:sz w:val="21"/>
                      <w:szCs w:val="21"/>
                      <w:highlight w:val="none"/>
                      <w:lang w:val="en-US" w:eastAsia="zh-CN"/>
                    </w:rPr>
                    <w:t>磁选废屑</w:t>
                  </w:r>
                </w:p>
              </w:tc>
              <w:tc>
                <w:tcPr>
                  <w:tcW w:w="3178"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eastAsia" w:cs="Times New Roman"/>
                      <w:b w:val="0"/>
                      <w:bCs w:val="0"/>
                      <w:color w:val="auto"/>
                      <w:sz w:val="21"/>
                      <w:szCs w:val="21"/>
                      <w:highlight w:val="none"/>
                      <w:lang w:val="en-US" w:eastAsia="zh-CN"/>
                    </w:rPr>
                  </w:pPr>
                  <w:r>
                    <w:rPr>
                      <w:rFonts w:hint="eastAsia" w:cs="Times New Roman"/>
                      <w:color w:val="auto"/>
                      <w:spacing w:val="0"/>
                      <w:kern w:val="2"/>
                      <w:sz w:val="21"/>
                      <w:szCs w:val="21"/>
                      <w:highlight w:val="none"/>
                      <w:lang w:val="en-US" w:eastAsia="zh-CN" w:bidi="ar-SA"/>
                    </w:rPr>
                    <w:t>集中收集后外售废品收购站综合利用</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default" w:ascii="Times New Roman" w:hAnsi="Times New Roman" w:cs="Times New Roman"/>
                      <w:b w:val="0"/>
                      <w:bCs w:val="0"/>
                      <w:color w:val="auto"/>
                      <w:sz w:val="21"/>
                      <w:szCs w:val="21"/>
                      <w:highlight w:val="none"/>
                      <w:shd w:val="clear" w:color="auto" w:fill="auto"/>
                      <w:lang w:val="en-US" w:eastAsia="zh-CN"/>
                    </w:rPr>
                    <w:t>废矿物油</w:t>
                  </w:r>
                </w:p>
              </w:tc>
              <w:tc>
                <w:tcPr>
                  <w:tcW w:w="3178" w:type="pct"/>
                  <w:vMerge w:val="restar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cs="Times New Roman"/>
                      <w:b w:val="0"/>
                      <w:bCs w:val="0"/>
                      <w:color w:val="auto"/>
                      <w:sz w:val="21"/>
                      <w:szCs w:val="21"/>
                      <w:highlight w:val="none"/>
                      <w:shd w:val="clear" w:color="auto" w:fill="auto"/>
                    </w:rPr>
                  </w:pPr>
                  <w:r>
                    <w:rPr>
                      <w:rFonts w:hint="eastAsia" w:cs="Times New Roman"/>
                      <w:color w:val="auto"/>
                      <w:spacing w:val="0"/>
                      <w:sz w:val="21"/>
                      <w:szCs w:val="21"/>
                      <w:highlight w:val="none"/>
                      <w:lang w:val="en-US" w:eastAsia="zh-CN"/>
                    </w:rPr>
                    <w:t>设置1座10m</w:t>
                  </w:r>
                  <w:r>
                    <w:rPr>
                      <w:rFonts w:hint="eastAsia" w:cs="Times New Roman"/>
                      <w:color w:val="auto"/>
                      <w:spacing w:val="0"/>
                      <w:sz w:val="21"/>
                      <w:szCs w:val="21"/>
                      <w:highlight w:val="none"/>
                      <w:vertAlign w:val="superscript"/>
                      <w:lang w:val="en-US" w:eastAsia="zh-CN"/>
                    </w:rPr>
                    <w:t>2</w:t>
                  </w:r>
                  <w:r>
                    <w:rPr>
                      <w:rFonts w:hint="eastAsia" w:cs="Times New Roman"/>
                      <w:color w:val="auto"/>
                      <w:spacing w:val="0"/>
                      <w:sz w:val="21"/>
                      <w:szCs w:val="21"/>
                      <w:highlight w:val="none"/>
                      <w:vertAlign w:val="baseline"/>
                      <w:lang w:val="en-US" w:eastAsia="zh-CN"/>
                    </w:rPr>
                    <w:t>危废贮存点，</w:t>
                  </w:r>
                  <w:r>
                    <w:rPr>
                      <w:rFonts w:hint="eastAsia" w:cs="Times New Roman"/>
                      <w:color w:val="auto"/>
                      <w:kern w:val="0"/>
                      <w:sz w:val="21"/>
                      <w:szCs w:val="21"/>
                      <w:highlight w:val="none"/>
                      <w:lang w:val="en-US" w:eastAsia="zh-CN"/>
                    </w:rPr>
                    <w:t>检测废液由专用废液桶收集，与废矿物油、废油桶</w:t>
                  </w:r>
                  <w:r>
                    <w:rPr>
                      <w:rFonts w:hint="eastAsia" w:ascii="Times New Roman" w:hAnsi="Times New Roman" w:eastAsia="宋体" w:cs="Times New Roman"/>
                      <w:color w:val="auto"/>
                      <w:kern w:val="0"/>
                      <w:sz w:val="21"/>
                      <w:szCs w:val="21"/>
                      <w:highlight w:val="none"/>
                      <w:lang w:val="en-US" w:eastAsia="zh-CN"/>
                    </w:rPr>
                    <w:t>分区贮存</w:t>
                  </w:r>
                  <w:r>
                    <w:rPr>
                      <w:rFonts w:hint="eastAsia" w:cs="Times New Roman"/>
                      <w:color w:val="auto"/>
                      <w:kern w:val="0"/>
                      <w:sz w:val="21"/>
                      <w:szCs w:val="21"/>
                      <w:highlight w:val="none"/>
                      <w:lang w:val="en-US" w:eastAsia="zh-CN"/>
                    </w:rPr>
                    <w:t>于</w:t>
                  </w:r>
                  <w:r>
                    <w:rPr>
                      <w:rFonts w:hint="eastAsia" w:cs="Times New Roman"/>
                      <w:color w:val="auto"/>
                      <w:kern w:val="0"/>
                      <w:sz w:val="21"/>
                      <w:szCs w:val="21"/>
                      <w:highlight w:val="none"/>
                      <w:lang w:eastAsia="zh-CN"/>
                    </w:rPr>
                    <w:t>危废贮存点</w:t>
                  </w:r>
                  <w:r>
                    <w:rPr>
                      <w:rFonts w:hint="default" w:ascii="Times New Roman" w:hAnsi="Times New Roman" w:eastAsia="宋体" w:cs="Times New Roman"/>
                      <w:color w:val="auto"/>
                      <w:kern w:val="0"/>
                      <w:sz w:val="21"/>
                      <w:szCs w:val="21"/>
                      <w:highlight w:val="none"/>
                    </w:rPr>
                    <w:t>内，定期交由有资质的单位处置</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default" w:ascii="Times New Roman" w:hAnsi="Times New Roman" w:cs="Times New Roman"/>
                      <w:b w:val="0"/>
                      <w:bCs w:val="0"/>
                      <w:color w:val="auto"/>
                      <w:sz w:val="21"/>
                      <w:szCs w:val="21"/>
                      <w:highlight w:val="none"/>
                      <w:shd w:val="clear" w:color="auto" w:fill="auto"/>
                      <w:lang w:val="en-US" w:eastAsia="zh-CN"/>
                    </w:rPr>
                    <w:t>废油桶</w:t>
                  </w:r>
                </w:p>
              </w:tc>
              <w:tc>
                <w:tcPr>
                  <w:tcW w:w="3178"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cs="Times New Roman"/>
                      <w:b w:val="0"/>
                      <w:bCs w:val="0"/>
                      <w:color w:val="auto"/>
                      <w:spacing w:val="4"/>
                      <w:sz w:val="21"/>
                      <w:szCs w:val="21"/>
                      <w:highlight w:val="none"/>
                      <w:shd w:val="clear" w:color="auto" w:fill="auto"/>
                    </w:rPr>
                  </w:pP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pacing w:val="4"/>
                      <w:sz w:val="21"/>
                      <w:szCs w:val="21"/>
                      <w:highlight w:val="none"/>
                      <w:shd w:val="clear" w:color="auto" w:fill="auto"/>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检测废液</w:t>
                  </w:r>
                </w:p>
              </w:tc>
              <w:tc>
                <w:tcPr>
                  <w:tcW w:w="3178"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cs="Times New Roman"/>
                      <w:b w:val="0"/>
                      <w:bCs w:val="0"/>
                      <w:color w:val="auto"/>
                      <w:spacing w:val="4"/>
                      <w:sz w:val="21"/>
                      <w:szCs w:val="21"/>
                      <w:highlight w:val="none"/>
                      <w:shd w:val="clear" w:color="auto" w:fill="auto"/>
                    </w:rPr>
                  </w:pP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823"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lang w:val="en-US" w:eastAsia="zh-CN"/>
                    </w:rPr>
                  </w:pPr>
                  <w:r>
                    <w:rPr>
                      <w:rFonts w:hint="default" w:ascii="Times New Roman" w:hAnsi="Times New Roman" w:cs="Times New Roman"/>
                      <w:b w:val="0"/>
                      <w:bCs w:val="0"/>
                      <w:color w:val="auto"/>
                      <w:sz w:val="21"/>
                      <w:szCs w:val="21"/>
                      <w:highlight w:val="none"/>
                      <w:shd w:val="clear" w:color="auto" w:fill="auto"/>
                      <w:lang w:val="en-US" w:eastAsia="zh-CN"/>
                    </w:rPr>
                    <w:t>生活垃圾</w:t>
                  </w:r>
                </w:p>
              </w:tc>
              <w:tc>
                <w:tcPr>
                  <w:tcW w:w="3178"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cs="Times New Roman"/>
                      <w:b w:val="0"/>
                      <w:bCs w:val="0"/>
                      <w:color w:val="auto"/>
                      <w:spacing w:val="4"/>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厂内及办公室设垃圾收集箱，由环卫部门统一处理</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噪声</w:t>
                  </w:r>
                </w:p>
              </w:tc>
              <w:tc>
                <w:tcPr>
                  <w:tcW w:w="823"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生产设备</w:t>
                  </w:r>
                </w:p>
              </w:tc>
              <w:tc>
                <w:tcPr>
                  <w:tcW w:w="3178"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Cs/>
                      <w:color w:val="auto"/>
                      <w:spacing w:val="0"/>
                      <w:sz w:val="21"/>
                      <w:szCs w:val="21"/>
                      <w:highlight w:val="none"/>
                    </w:rPr>
                    <w:t>选用低噪声设备，高噪音设备做基础减振、柔性连接，厂房隔声等，保持设备运行良好；车辆限速行驶，减少鸣笛</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r>
                    <w:rPr>
                      <w:rFonts w:hint="eastAsia" w:cs="Times New Roman"/>
                      <w:b w:val="0"/>
                      <w:bCs w:val="0"/>
                      <w:color w:val="auto"/>
                      <w:sz w:val="21"/>
                      <w:szCs w:val="21"/>
                      <w:highlight w:val="none"/>
                      <w:shd w:val="clear" w:color="auto" w:fil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49" w:type="pct"/>
                  <w:vMerge w:val="continue"/>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shd w:val="clear" w:color="auto" w:fill="auto"/>
                    </w:rPr>
                  </w:pPr>
                </w:p>
              </w:tc>
              <w:tc>
                <w:tcPr>
                  <w:tcW w:w="299"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生态</w:t>
                  </w:r>
                </w:p>
              </w:tc>
              <w:tc>
                <w:tcPr>
                  <w:tcW w:w="823"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绿化</w:t>
                  </w:r>
                </w:p>
              </w:tc>
              <w:tc>
                <w:tcPr>
                  <w:tcW w:w="3178"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cs="Times New Roman"/>
                      <w:bCs/>
                      <w:color w:val="auto"/>
                      <w:spacing w:val="0"/>
                      <w:sz w:val="21"/>
                      <w:szCs w:val="21"/>
                      <w:highlight w:val="none"/>
                    </w:rPr>
                  </w:pPr>
                  <w:r>
                    <w:rPr>
                      <w:rFonts w:hint="eastAsia" w:cs="Times New Roman"/>
                      <w:bCs/>
                      <w:color w:val="auto"/>
                      <w:sz w:val="21"/>
                      <w:szCs w:val="21"/>
                      <w:highlight w:val="none"/>
                      <w:lang w:val="en-US" w:eastAsia="zh-CN"/>
                    </w:rPr>
                    <w:t>厂区绿化，降低噪声污染，厂区绿化面积500</w:t>
                  </w:r>
                  <w:r>
                    <w:rPr>
                      <w:rFonts w:hint="eastAsia" w:cs="Times New Roman"/>
                      <w:color w:val="auto"/>
                      <w:spacing w:val="0"/>
                      <w:sz w:val="21"/>
                      <w:szCs w:val="21"/>
                      <w:highlight w:val="none"/>
                      <w:lang w:val="en-US" w:eastAsia="zh-CN"/>
                    </w:rPr>
                    <w:t>m</w:t>
                  </w:r>
                  <w:r>
                    <w:rPr>
                      <w:rFonts w:hint="eastAsia" w:cs="Times New Roman"/>
                      <w:color w:val="auto"/>
                      <w:spacing w:val="0"/>
                      <w:sz w:val="21"/>
                      <w:szCs w:val="21"/>
                      <w:highlight w:val="none"/>
                      <w:vertAlign w:val="superscript"/>
                      <w:lang w:val="en-US" w:eastAsia="zh-CN"/>
                    </w:rPr>
                    <w:t>2</w:t>
                  </w:r>
                </w:p>
              </w:tc>
              <w:tc>
                <w:tcPr>
                  <w:tcW w:w="350" w:type="pct"/>
                  <w:tcBorders>
                    <w:tl2br w:val="nil"/>
                    <w:tr2bl w:val="nil"/>
                  </w:tcBorders>
                  <w:noWrap w:val="0"/>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新建</w:t>
                  </w:r>
                </w:p>
              </w:tc>
            </w:tr>
          </w:tbl>
          <w:p>
            <w:pPr>
              <w:spacing w:line="480" w:lineRule="exact"/>
              <w:ind w:firstLine="480" w:firstLineChars="200"/>
              <w:rPr>
                <w:rFonts w:hint="eastAsia"/>
                <w:color w:val="auto"/>
                <w:sz w:val="24"/>
                <w:szCs w:val="24"/>
                <w:highlight w:val="none"/>
              </w:rPr>
            </w:pPr>
            <w:r>
              <w:rPr>
                <w:rFonts w:hint="eastAsia"/>
                <w:color w:val="auto"/>
                <w:sz w:val="24"/>
                <w:szCs w:val="24"/>
                <w:highlight w:val="none"/>
              </w:rPr>
              <w:t>原料及成品周转能力分析：</w:t>
            </w:r>
          </w:p>
          <w:p>
            <w:pPr>
              <w:spacing w:line="480" w:lineRule="exact"/>
              <w:ind w:firstLine="480"/>
              <w:rPr>
                <w:color w:val="auto"/>
                <w:sz w:val="24"/>
                <w:szCs w:val="24"/>
                <w:highlight w:val="none"/>
              </w:rPr>
            </w:pPr>
            <w:r>
              <w:rPr>
                <w:rFonts w:hint="eastAsia"/>
                <w:color w:val="auto"/>
                <w:sz w:val="24"/>
                <w:szCs w:val="24"/>
                <w:highlight w:val="none"/>
              </w:rPr>
              <w:t>①原料库</w:t>
            </w:r>
          </w:p>
          <w:p>
            <w:pPr>
              <w:spacing w:line="480" w:lineRule="exact"/>
              <w:ind w:firstLine="480" w:firstLineChars="200"/>
              <w:rPr>
                <w:rFonts w:hint="eastAsia"/>
                <w:color w:val="auto"/>
                <w:sz w:val="24"/>
                <w:szCs w:val="24"/>
                <w:highlight w:val="none"/>
              </w:rPr>
            </w:pPr>
            <w:r>
              <w:rPr>
                <w:rFonts w:hint="eastAsia"/>
                <w:color w:val="auto"/>
                <w:sz w:val="24"/>
                <w:szCs w:val="24"/>
                <w:highlight w:val="none"/>
              </w:rPr>
              <w:t>本项目所用原料煤矸石进入</w:t>
            </w:r>
            <w:r>
              <w:rPr>
                <w:rFonts w:hint="eastAsia" w:ascii="Times New Roman" w:eastAsia="宋体"/>
                <w:color w:val="auto"/>
                <w:sz w:val="24"/>
                <w:szCs w:val="24"/>
                <w:highlight w:val="none"/>
                <w:lang w:val="en-US" w:eastAsia="zh-CN"/>
              </w:rPr>
              <w:t>生产车间1层南侧原料堆放区</w:t>
            </w:r>
            <w:r>
              <w:rPr>
                <w:rFonts w:hint="eastAsia"/>
                <w:color w:val="auto"/>
                <w:sz w:val="24"/>
                <w:szCs w:val="24"/>
                <w:highlight w:val="none"/>
              </w:rPr>
              <w:t>进行贮存，</w:t>
            </w:r>
            <w:r>
              <w:rPr>
                <w:rFonts w:hint="eastAsia" w:ascii="Times New Roman" w:eastAsia="宋体"/>
                <w:color w:val="auto"/>
                <w:sz w:val="24"/>
                <w:szCs w:val="24"/>
                <w:highlight w:val="none"/>
                <w:lang w:val="en-US" w:eastAsia="zh-CN"/>
              </w:rPr>
              <w:t>煤矸石堆放区</w:t>
            </w:r>
            <w:r>
              <w:rPr>
                <w:rFonts w:hint="eastAsia"/>
                <w:color w:val="auto"/>
                <w:sz w:val="24"/>
                <w:szCs w:val="24"/>
                <w:highlight w:val="none"/>
              </w:rPr>
              <w:t>面积约2000m</w:t>
            </w:r>
            <w:r>
              <w:rPr>
                <w:rFonts w:hint="eastAsia"/>
                <w:color w:val="auto"/>
                <w:sz w:val="24"/>
                <w:szCs w:val="24"/>
                <w:highlight w:val="none"/>
                <w:vertAlign w:val="superscript"/>
              </w:rPr>
              <w:t>2</w:t>
            </w:r>
            <w:bookmarkStart w:id="7" w:name="OLE_LINK124"/>
            <w:r>
              <w:rPr>
                <w:rFonts w:hint="eastAsia"/>
                <w:color w:val="auto"/>
                <w:sz w:val="24"/>
                <w:szCs w:val="24"/>
                <w:highlight w:val="none"/>
              </w:rPr>
              <w:t>，物料平均堆高</w:t>
            </w:r>
            <w:r>
              <w:rPr>
                <w:rFonts w:hint="eastAsia" w:ascii="Times New Roman" w:eastAsia="宋体"/>
                <w:color w:val="auto"/>
                <w:sz w:val="24"/>
                <w:szCs w:val="24"/>
                <w:highlight w:val="none"/>
                <w:lang w:val="en-US" w:eastAsia="zh-CN"/>
              </w:rPr>
              <w:t>4</w:t>
            </w:r>
            <w:r>
              <w:rPr>
                <w:rFonts w:hint="eastAsia"/>
                <w:color w:val="auto"/>
                <w:sz w:val="24"/>
                <w:szCs w:val="24"/>
                <w:highlight w:val="none"/>
              </w:rPr>
              <w:t>m，有效堆存面积按分区面积的80%计算，</w:t>
            </w:r>
            <w:bookmarkEnd w:id="7"/>
            <w:r>
              <w:rPr>
                <w:rFonts w:hint="eastAsia"/>
                <w:color w:val="auto"/>
                <w:sz w:val="24"/>
                <w:szCs w:val="24"/>
                <w:highlight w:val="none"/>
              </w:rPr>
              <w:t>则煤矸石</w:t>
            </w:r>
            <w:r>
              <w:rPr>
                <w:rFonts w:hint="eastAsia" w:ascii="Times New Roman" w:eastAsia="宋体"/>
                <w:color w:val="auto"/>
                <w:sz w:val="24"/>
                <w:szCs w:val="24"/>
                <w:highlight w:val="none"/>
                <w:lang w:val="en-US" w:eastAsia="zh-CN"/>
              </w:rPr>
              <w:t>堆放</w:t>
            </w:r>
            <w:r>
              <w:rPr>
                <w:rFonts w:hint="eastAsia"/>
                <w:color w:val="auto"/>
                <w:sz w:val="24"/>
                <w:szCs w:val="24"/>
                <w:highlight w:val="none"/>
              </w:rPr>
              <w:t>区有效堆存容积约</w:t>
            </w:r>
            <w:r>
              <w:rPr>
                <w:rFonts w:hint="eastAsia" w:ascii="Times New Roman" w:eastAsia="宋体"/>
                <w:color w:val="auto"/>
                <w:sz w:val="24"/>
                <w:szCs w:val="24"/>
                <w:highlight w:val="none"/>
                <w:lang w:val="en-US" w:eastAsia="zh-CN"/>
              </w:rPr>
              <w:t>64</w:t>
            </w:r>
            <w:r>
              <w:rPr>
                <w:rFonts w:hint="eastAsia"/>
                <w:color w:val="auto"/>
                <w:sz w:val="24"/>
                <w:szCs w:val="24"/>
                <w:highlight w:val="none"/>
              </w:rPr>
              <w:t>00m</w:t>
            </w:r>
            <w:r>
              <w:rPr>
                <w:rFonts w:hint="eastAsia"/>
                <w:color w:val="auto"/>
                <w:sz w:val="24"/>
                <w:szCs w:val="24"/>
                <w:highlight w:val="none"/>
                <w:vertAlign w:val="superscript"/>
              </w:rPr>
              <w:t>3</w:t>
            </w:r>
            <w:r>
              <w:rPr>
                <w:rFonts w:hint="eastAsia"/>
                <w:color w:val="auto"/>
                <w:sz w:val="24"/>
                <w:szCs w:val="24"/>
                <w:highlight w:val="none"/>
              </w:rPr>
              <w:t>。煤矸石</w:t>
            </w:r>
            <w:bookmarkStart w:id="8" w:name="OLE_LINK126"/>
            <w:bookmarkStart w:id="9" w:name="OLE_LINK125"/>
            <w:r>
              <w:rPr>
                <w:rFonts w:hint="eastAsia"/>
                <w:color w:val="auto"/>
                <w:sz w:val="24"/>
                <w:szCs w:val="24"/>
                <w:highlight w:val="none"/>
              </w:rPr>
              <w:t>堆积密度为1.7t/m</w:t>
            </w:r>
            <w:r>
              <w:rPr>
                <w:rFonts w:hint="eastAsia"/>
                <w:color w:val="auto"/>
                <w:sz w:val="24"/>
                <w:szCs w:val="24"/>
                <w:highlight w:val="none"/>
                <w:vertAlign w:val="superscript"/>
              </w:rPr>
              <w:t>3</w:t>
            </w:r>
            <w:r>
              <w:rPr>
                <w:rFonts w:hint="eastAsia"/>
                <w:color w:val="auto"/>
                <w:sz w:val="24"/>
                <w:szCs w:val="24"/>
                <w:highlight w:val="none"/>
              </w:rPr>
              <w:t>，最大储存量预计</w:t>
            </w:r>
            <w:r>
              <w:rPr>
                <w:rFonts w:hint="eastAsia" w:ascii="Times New Roman" w:eastAsia="宋体"/>
                <w:color w:val="auto"/>
                <w:sz w:val="24"/>
                <w:szCs w:val="24"/>
                <w:highlight w:val="none"/>
                <w:lang w:val="en-US" w:eastAsia="zh-CN"/>
              </w:rPr>
              <w:t>10880</w:t>
            </w:r>
            <w:r>
              <w:rPr>
                <w:rFonts w:hint="eastAsia"/>
                <w:color w:val="auto"/>
                <w:sz w:val="24"/>
                <w:szCs w:val="24"/>
                <w:highlight w:val="none"/>
              </w:rPr>
              <w:t>t，年煤矸石用量</w:t>
            </w:r>
            <w:r>
              <w:rPr>
                <w:rFonts w:hint="eastAsia" w:ascii="Times New Roman" w:eastAsia="宋体"/>
                <w:color w:val="auto"/>
                <w:sz w:val="24"/>
                <w:szCs w:val="24"/>
                <w:highlight w:val="none"/>
                <w:lang w:val="en-US" w:eastAsia="zh-CN"/>
              </w:rPr>
              <w:t>150</w:t>
            </w:r>
            <w:r>
              <w:rPr>
                <w:rFonts w:hint="eastAsia"/>
                <w:color w:val="auto"/>
                <w:sz w:val="24"/>
                <w:szCs w:val="24"/>
                <w:highlight w:val="none"/>
              </w:rPr>
              <w:t>万t，可满足企业</w:t>
            </w:r>
            <w:r>
              <w:rPr>
                <w:rFonts w:hint="eastAsia" w:ascii="Times New Roman" w:eastAsia="宋体"/>
                <w:color w:val="auto"/>
                <w:sz w:val="24"/>
                <w:szCs w:val="24"/>
                <w:highlight w:val="none"/>
                <w:lang w:val="en-US" w:eastAsia="zh-CN"/>
              </w:rPr>
              <w:t>2-3</w:t>
            </w:r>
            <w:r>
              <w:rPr>
                <w:rFonts w:hint="eastAsia"/>
                <w:color w:val="auto"/>
                <w:sz w:val="24"/>
                <w:szCs w:val="24"/>
                <w:highlight w:val="none"/>
              </w:rPr>
              <w:t>天的原料储存量。</w:t>
            </w:r>
            <w:bookmarkEnd w:id="8"/>
            <w:bookmarkEnd w:id="9"/>
          </w:p>
          <w:p>
            <w:pPr>
              <w:spacing w:line="480" w:lineRule="exact"/>
              <w:ind w:firstLine="480" w:firstLineChars="200"/>
              <w:rPr>
                <w:rFonts w:hint="eastAsia"/>
                <w:color w:val="auto"/>
                <w:sz w:val="24"/>
                <w:szCs w:val="24"/>
                <w:highlight w:val="none"/>
              </w:rPr>
            </w:pPr>
            <w:r>
              <w:rPr>
                <w:rFonts w:hint="eastAsia"/>
                <w:color w:val="auto"/>
                <w:sz w:val="24"/>
                <w:szCs w:val="24"/>
                <w:highlight w:val="none"/>
              </w:rPr>
              <w:t>②成品库</w:t>
            </w:r>
          </w:p>
          <w:p>
            <w:pPr>
              <w:spacing w:line="480" w:lineRule="exact"/>
              <w:ind w:firstLine="480" w:firstLineChars="200"/>
              <w:rPr>
                <w:rFonts w:hint="eastAsia"/>
                <w:b/>
                <w:color w:val="auto"/>
                <w:sz w:val="24"/>
                <w:highlight w:val="none"/>
                <w:lang w:val="en-US" w:eastAsia="zh-CN"/>
              </w:rPr>
            </w:pPr>
            <w:r>
              <w:rPr>
                <w:rFonts w:hint="eastAsia"/>
                <w:color w:val="auto"/>
                <w:sz w:val="24"/>
                <w:szCs w:val="24"/>
                <w:highlight w:val="none"/>
              </w:rPr>
              <w:t>项目设一个</w:t>
            </w:r>
            <w:r>
              <w:rPr>
                <w:rFonts w:hint="eastAsia" w:ascii="Times New Roman" w:eastAsia="宋体"/>
                <w:color w:val="auto"/>
                <w:sz w:val="24"/>
                <w:szCs w:val="24"/>
                <w:highlight w:val="none"/>
                <w:lang w:val="en-US" w:eastAsia="zh-CN"/>
              </w:rPr>
              <w:t>30</w:t>
            </w:r>
            <w:r>
              <w:rPr>
                <w:color w:val="auto"/>
                <w:sz w:val="24"/>
                <w:szCs w:val="24"/>
                <w:highlight w:val="none"/>
              </w:rPr>
              <w:t>00m</w:t>
            </w:r>
            <w:r>
              <w:rPr>
                <w:color w:val="auto"/>
                <w:sz w:val="24"/>
                <w:szCs w:val="24"/>
                <w:highlight w:val="none"/>
                <w:vertAlign w:val="superscript"/>
              </w:rPr>
              <w:t>2</w:t>
            </w:r>
            <w:r>
              <w:rPr>
                <w:rFonts w:hint="eastAsia"/>
                <w:color w:val="auto"/>
                <w:sz w:val="24"/>
                <w:szCs w:val="24"/>
                <w:highlight w:val="none"/>
              </w:rPr>
              <w:t>成品库，成品</w:t>
            </w:r>
            <w:r>
              <w:rPr>
                <w:rFonts w:hint="eastAsia" w:ascii="Times New Roman" w:eastAsia="宋体"/>
                <w:color w:val="auto"/>
                <w:sz w:val="24"/>
                <w:szCs w:val="24"/>
                <w:highlight w:val="none"/>
                <w:lang w:val="en-US" w:eastAsia="zh-CN"/>
              </w:rPr>
              <w:t>堆放区</w:t>
            </w:r>
            <w:r>
              <w:rPr>
                <w:rFonts w:hint="eastAsia"/>
                <w:color w:val="auto"/>
                <w:sz w:val="24"/>
                <w:szCs w:val="24"/>
                <w:highlight w:val="none"/>
              </w:rPr>
              <w:t>物料平均堆高</w:t>
            </w:r>
            <w:r>
              <w:rPr>
                <w:rFonts w:hint="eastAsia" w:ascii="Times New Roman" w:eastAsia="宋体"/>
                <w:color w:val="auto"/>
                <w:sz w:val="24"/>
                <w:szCs w:val="24"/>
                <w:highlight w:val="none"/>
                <w:lang w:val="en-US" w:eastAsia="zh-CN"/>
              </w:rPr>
              <w:t>4</w:t>
            </w:r>
            <w:r>
              <w:rPr>
                <w:color w:val="auto"/>
                <w:sz w:val="24"/>
                <w:szCs w:val="24"/>
                <w:highlight w:val="none"/>
              </w:rPr>
              <w:t>m</w:t>
            </w:r>
            <w:r>
              <w:rPr>
                <w:rFonts w:hint="eastAsia"/>
                <w:color w:val="auto"/>
                <w:sz w:val="24"/>
                <w:szCs w:val="24"/>
                <w:highlight w:val="none"/>
              </w:rPr>
              <w:t>，有效堆存面积按分区面积的</w:t>
            </w:r>
            <w:r>
              <w:rPr>
                <w:color w:val="auto"/>
                <w:sz w:val="24"/>
                <w:szCs w:val="24"/>
                <w:highlight w:val="none"/>
              </w:rPr>
              <w:t>80%</w:t>
            </w:r>
            <w:r>
              <w:rPr>
                <w:rFonts w:hint="eastAsia"/>
                <w:color w:val="auto"/>
                <w:sz w:val="24"/>
                <w:szCs w:val="24"/>
                <w:highlight w:val="none"/>
              </w:rPr>
              <w:t>计算</w:t>
            </w:r>
            <w:r>
              <w:rPr>
                <w:rFonts w:hint="eastAsia"/>
                <w:color w:val="auto"/>
                <w:spacing w:val="-1"/>
                <w:sz w:val="24"/>
                <w:szCs w:val="24"/>
                <w:highlight w:val="none"/>
              </w:rPr>
              <w:t>，</w:t>
            </w:r>
            <w:r>
              <w:rPr>
                <w:rFonts w:hint="eastAsia"/>
                <w:color w:val="auto"/>
                <w:sz w:val="24"/>
                <w:szCs w:val="24"/>
                <w:highlight w:val="none"/>
              </w:rPr>
              <w:t>堆积密度为</w:t>
            </w:r>
            <w:r>
              <w:rPr>
                <w:rFonts w:hint="eastAsia" w:ascii="Times New Roman" w:eastAsia="宋体"/>
                <w:color w:val="auto"/>
                <w:sz w:val="24"/>
                <w:szCs w:val="24"/>
                <w:highlight w:val="none"/>
                <w:lang w:val="en-US" w:eastAsia="zh-CN"/>
              </w:rPr>
              <w:t>1</w:t>
            </w:r>
            <w:r>
              <w:rPr>
                <w:rFonts w:hint="eastAsia"/>
                <w:color w:val="auto"/>
                <w:sz w:val="24"/>
                <w:szCs w:val="24"/>
                <w:highlight w:val="none"/>
              </w:rPr>
              <w:t>t</w:t>
            </w:r>
            <w:r>
              <w:rPr>
                <w:color w:val="auto"/>
                <w:sz w:val="24"/>
                <w:szCs w:val="24"/>
                <w:highlight w:val="none"/>
              </w:rPr>
              <w:t>/m</w:t>
            </w:r>
            <w:r>
              <w:rPr>
                <w:color w:val="auto"/>
                <w:sz w:val="24"/>
                <w:szCs w:val="24"/>
                <w:highlight w:val="none"/>
                <w:vertAlign w:val="superscript"/>
              </w:rPr>
              <w:t>3</w:t>
            </w:r>
            <w:r>
              <w:rPr>
                <w:rFonts w:hint="eastAsia"/>
                <w:color w:val="auto"/>
                <w:sz w:val="24"/>
                <w:szCs w:val="24"/>
                <w:highlight w:val="none"/>
              </w:rPr>
              <w:t>，最大储存量预计</w:t>
            </w:r>
            <w:r>
              <w:rPr>
                <w:rFonts w:hint="eastAsia" w:ascii="Times New Roman" w:eastAsia="宋体"/>
                <w:color w:val="auto"/>
                <w:sz w:val="24"/>
                <w:szCs w:val="24"/>
                <w:highlight w:val="none"/>
                <w:lang w:val="en-US" w:eastAsia="zh-CN"/>
              </w:rPr>
              <w:t>9600t</w:t>
            </w:r>
            <w:r>
              <w:rPr>
                <w:rFonts w:hint="eastAsia"/>
                <w:color w:val="auto"/>
                <w:sz w:val="24"/>
                <w:szCs w:val="24"/>
                <w:highlight w:val="none"/>
              </w:rPr>
              <w:t>，成品</w:t>
            </w:r>
            <w:r>
              <w:rPr>
                <w:rFonts w:hint="eastAsia" w:ascii="Times New Roman" w:eastAsia="宋体"/>
                <w:color w:val="auto"/>
                <w:sz w:val="24"/>
                <w:szCs w:val="24"/>
                <w:highlight w:val="none"/>
                <w:lang w:val="en-US" w:eastAsia="zh-CN"/>
              </w:rPr>
              <w:t>堆放区主要堆放袋装有机肥料</w:t>
            </w:r>
            <w:r>
              <w:rPr>
                <w:rFonts w:hint="eastAsia"/>
                <w:color w:val="auto"/>
                <w:sz w:val="24"/>
                <w:szCs w:val="24"/>
                <w:highlight w:val="none"/>
              </w:rPr>
              <w:t>，年堆存量约</w:t>
            </w:r>
            <w:r>
              <w:rPr>
                <w:rFonts w:hint="eastAsia" w:ascii="Times New Roman" w:eastAsia="宋体"/>
                <w:color w:val="auto"/>
                <w:sz w:val="24"/>
                <w:szCs w:val="24"/>
                <w:highlight w:val="none"/>
                <w:lang w:val="en-US" w:eastAsia="zh-CN"/>
              </w:rPr>
              <w:t>960000</w:t>
            </w:r>
            <w:r>
              <w:rPr>
                <w:color w:val="auto"/>
                <w:sz w:val="24"/>
                <w:szCs w:val="24"/>
                <w:highlight w:val="none"/>
              </w:rPr>
              <w:t>t</w:t>
            </w:r>
            <w:r>
              <w:rPr>
                <w:rFonts w:hint="eastAsia"/>
                <w:color w:val="auto"/>
                <w:sz w:val="24"/>
                <w:szCs w:val="24"/>
                <w:highlight w:val="none"/>
              </w:rPr>
              <w:t>，可满足企业</w:t>
            </w:r>
            <w:r>
              <w:rPr>
                <w:rFonts w:hint="eastAsia" w:ascii="Times New Roman" w:eastAsia="宋体"/>
                <w:color w:val="auto"/>
                <w:sz w:val="24"/>
                <w:szCs w:val="24"/>
                <w:highlight w:val="none"/>
                <w:lang w:val="en-US" w:eastAsia="zh-CN"/>
              </w:rPr>
              <w:t>3</w:t>
            </w:r>
            <w:r>
              <w:rPr>
                <w:rFonts w:hint="eastAsia"/>
                <w:color w:val="auto"/>
                <w:sz w:val="24"/>
                <w:szCs w:val="24"/>
                <w:highlight w:val="none"/>
              </w:rPr>
              <w:t>天的成品储存量。</w:t>
            </w:r>
          </w:p>
          <w:p>
            <w:pPr>
              <w:adjustRightInd w:val="0"/>
              <w:snapToGrid w:val="0"/>
              <w:spacing w:line="480" w:lineRule="exact"/>
              <w:ind w:firstLine="482" w:firstLineChars="200"/>
              <w:rPr>
                <w:rFonts w:hint="default"/>
                <w:b/>
                <w:color w:val="auto"/>
                <w:sz w:val="24"/>
                <w:highlight w:val="none"/>
                <w:lang w:val="en-US" w:eastAsia="zh-CN"/>
              </w:rPr>
            </w:pPr>
            <w:r>
              <w:rPr>
                <w:rFonts w:hint="eastAsia"/>
                <w:b/>
                <w:color w:val="auto"/>
                <w:sz w:val="24"/>
                <w:highlight w:val="none"/>
                <w:lang w:val="en-US" w:eastAsia="zh-CN"/>
              </w:rPr>
              <w:t>二、主要产品及产能</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本项目</w:t>
            </w:r>
            <w:r>
              <w:rPr>
                <w:rFonts w:hint="eastAsia" w:ascii="Times New Roman" w:hAnsi="Times New Roman" w:eastAsia="宋体" w:cs="Times New Roman"/>
                <w:bCs/>
                <w:color w:val="auto"/>
                <w:spacing w:val="0"/>
                <w:sz w:val="24"/>
                <w:szCs w:val="24"/>
                <w:highlight w:val="none"/>
                <w:lang w:val="en-US" w:eastAsia="zh-CN"/>
              </w:rPr>
              <w:t>产品方案见表2-</w:t>
            </w:r>
            <w:r>
              <w:rPr>
                <w:rFonts w:hint="eastAsia" w:cs="Times New Roman"/>
                <w:bCs/>
                <w:color w:val="auto"/>
                <w:spacing w:val="0"/>
                <w:sz w:val="24"/>
                <w:szCs w:val="24"/>
                <w:highlight w:val="none"/>
                <w:lang w:val="en-US" w:eastAsia="zh-CN"/>
              </w:rPr>
              <w:t>2</w:t>
            </w:r>
            <w:r>
              <w:rPr>
                <w:rFonts w:hint="eastAsia" w:ascii="Times New Roman" w:hAnsi="Times New Roman" w:eastAsia="宋体" w:cs="Times New Roman"/>
                <w:bCs/>
                <w:color w:val="auto"/>
                <w:spacing w:val="0"/>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黑体" w:cs="Times New Roman"/>
                <w:iCs/>
                <w:snapToGrid w:val="0"/>
                <w:color w:val="auto"/>
                <w:spacing w:val="0"/>
                <w:kern w:val="0"/>
                <w:sz w:val="21"/>
                <w:szCs w:val="20"/>
                <w:highlight w:val="none"/>
                <w:lang w:val="en-US" w:eastAsia="zh-CN" w:bidi="ar-SA"/>
              </w:rPr>
            </w:pPr>
            <w:r>
              <w:rPr>
                <w:rFonts w:hint="default" w:ascii="Times New Roman" w:hAnsi="Times New Roman" w:eastAsia="宋体" w:cs="Times New Roman"/>
                <w:b/>
                <w:bCs/>
                <w:iCs/>
                <w:snapToGrid w:val="0"/>
                <w:color w:val="auto"/>
                <w:spacing w:val="0"/>
                <w:kern w:val="0"/>
                <w:sz w:val="21"/>
                <w:szCs w:val="20"/>
                <w:highlight w:val="none"/>
                <w:lang w:val="en-US" w:eastAsia="zh-CN" w:bidi="ar-SA"/>
              </w:rPr>
              <w:t>表2-2  产品方案表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4"/>
              <w:gridCol w:w="1868"/>
              <w:gridCol w:w="1777"/>
              <w:gridCol w:w="956"/>
              <w:gridCol w:w="29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rPr>
                  </w:pPr>
                  <w:r>
                    <w:rPr>
                      <w:rFonts w:hint="default" w:ascii="Times New Roman" w:hAnsi="Times New Roman" w:eastAsia="宋体" w:cs="Times New Roman"/>
                      <w:b/>
                      <w:bCs/>
                      <w:color w:val="auto"/>
                      <w:spacing w:val="0"/>
                      <w:w w:val="100"/>
                      <w:kern w:val="0"/>
                      <w:sz w:val="21"/>
                      <w:szCs w:val="21"/>
                      <w:highlight w:val="none"/>
                    </w:rPr>
                    <w:t>序号</w:t>
                  </w:r>
                </w:p>
              </w:tc>
              <w:tc>
                <w:tcPr>
                  <w:tcW w:w="11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kern w:val="0"/>
                      <w:sz w:val="21"/>
                      <w:szCs w:val="21"/>
                      <w:highlight w:val="none"/>
                      <w:lang w:val="en-US" w:eastAsia="zh-CN"/>
                    </w:rPr>
                  </w:pPr>
                  <w:r>
                    <w:rPr>
                      <w:rFonts w:hint="eastAsia" w:ascii="Times New Roman" w:hAnsi="Times New Roman" w:eastAsia="宋体" w:cs="Times New Roman"/>
                      <w:b/>
                      <w:bCs/>
                      <w:color w:val="auto"/>
                      <w:spacing w:val="0"/>
                      <w:w w:val="100"/>
                      <w:kern w:val="0"/>
                      <w:sz w:val="21"/>
                      <w:szCs w:val="21"/>
                      <w:highlight w:val="none"/>
                      <w:lang w:val="en-US" w:eastAsia="zh-CN"/>
                    </w:rPr>
                    <w:t>产品</w:t>
                  </w:r>
                  <w:r>
                    <w:rPr>
                      <w:rFonts w:hint="default" w:ascii="Times New Roman" w:hAnsi="Times New Roman" w:eastAsia="宋体" w:cs="Times New Roman"/>
                      <w:b/>
                      <w:bCs/>
                      <w:color w:val="auto"/>
                      <w:spacing w:val="0"/>
                      <w:w w:val="100"/>
                      <w:kern w:val="0"/>
                      <w:sz w:val="21"/>
                      <w:szCs w:val="21"/>
                      <w:highlight w:val="none"/>
                    </w:rPr>
                    <w:t>名称</w:t>
                  </w:r>
                </w:p>
              </w:tc>
              <w:tc>
                <w:tcPr>
                  <w:tcW w:w="10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lang w:val="en-US" w:eastAsia="zh-CN"/>
                    </w:rPr>
                  </w:pPr>
                  <w:r>
                    <w:rPr>
                      <w:rFonts w:hint="eastAsia" w:cs="Times New Roman"/>
                      <w:b/>
                      <w:bCs/>
                      <w:color w:val="auto"/>
                      <w:spacing w:val="0"/>
                      <w:w w:val="100"/>
                      <w:kern w:val="0"/>
                      <w:sz w:val="21"/>
                      <w:szCs w:val="21"/>
                      <w:highlight w:val="none"/>
                      <w:lang w:val="en-US" w:eastAsia="zh-CN"/>
                    </w:rPr>
                    <w:t>年产量</w:t>
                  </w:r>
                </w:p>
              </w:tc>
              <w:tc>
                <w:tcPr>
                  <w:tcW w:w="57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kern w:val="0"/>
                      <w:sz w:val="21"/>
                      <w:szCs w:val="21"/>
                      <w:highlight w:val="none"/>
                      <w:lang w:val="en-US" w:eastAsia="zh-CN"/>
                    </w:rPr>
                  </w:pPr>
                  <w:r>
                    <w:rPr>
                      <w:rFonts w:hint="default"/>
                      <w:b/>
                      <w:bCs/>
                      <w:color w:val="auto"/>
                      <w:highlight w:val="none"/>
                    </w:rPr>
                    <w:t>单位</w:t>
                  </w:r>
                </w:p>
              </w:tc>
              <w:tc>
                <w:tcPr>
                  <w:tcW w:w="176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pacing w:val="0"/>
                      <w:w w:val="100"/>
                      <w:kern w:val="0"/>
                      <w:sz w:val="21"/>
                      <w:szCs w:val="21"/>
                      <w:highlight w:val="none"/>
                      <w:lang w:val="en-US" w:eastAsia="zh-CN"/>
                    </w:rPr>
                  </w:pPr>
                  <w:r>
                    <w:rPr>
                      <w:rFonts w:hint="eastAsia"/>
                      <w:b/>
                      <w:bCs/>
                      <w:color w:val="auto"/>
                      <w:highlight w:val="none"/>
                      <w:lang w:val="en-US" w:eastAsia="zh-CN"/>
                    </w:rPr>
                    <w:t>规格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7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0"/>
                      <w:w w:val="100"/>
                      <w:kern w:val="0"/>
                      <w:sz w:val="21"/>
                      <w:szCs w:val="21"/>
                      <w:highlight w:val="none"/>
                      <w:lang w:val="en-US" w:eastAsia="zh-CN"/>
                    </w:rPr>
                  </w:pPr>
                  <w:r>
                    <w:rPr>
                      <w:rFonts w:hint="eastAsia" w:ascii="Times New Roman" w:hAnsi="Times New Roman" w:eastAsia="宋体" w:cs="Times New Roman"/>
                      <w:color w:val="auto"/>
                      <w:spacing w:val="0"/>
                      <w:w w:val="100"/>
                      <w:kern w:val="0"/>
                      <w:sz w:val="21"/>
                      <w:szCs w:val="21"/>
                      <w:highlight w:val="none"/>
                      <w:lang w:val="en-US" w:eastAsia="zh-CN"/>
                    </w:rPr>
                    <w:t>1</w:t>
                  </w:r>
                </w:p>
              </w:tc>
              <w:tc>
                <w:tcPr>
                  <w:tcW w:w="112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生物有机肥</w:t>
                  </w:r>
                </w:p>
              </w:tc>
              <w:tc>
                <w:tcPr>
                  <w:tcW w:w="1067"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150</w:t>
                  </w:r>
                </w:p>
              </w:tc>
              <w:tc>
                <w:tcPr>
                  <w:tcW w:w="57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万t/a</w:t>
                  </w:r>
                </w:p>
              </w:tc>
              <w:tc>
                <w:tcPr>
                  <w:tcW w:w="176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default" w:ascii="Times New Roman" w:hAnsi="Times New Roman" w:eastAsia="宋体" w:cs="Times New Roman"/>
                      <w:color w:val="auto"/>
                      <w:spacing w:val="0"/>
                      <w:w w:val="100"/>
                      <w:kern w:val="0"/>
                      <w:sz w:val="21"/>
                      <w:szCs w:val="21"/>
                      <w:highlight w:val="none"/>
                      <w:lang w:val="en-US" w:eastAsia="zh-CN" w:bidi="ar-SA"/>
                    </w:rPr>
                    <w:t>3.5mm-4.0mm</w:t>
                  </w:r>
                  <w:r>
                    <w:rPr>
                      <w:rFonts w:hint="eastAsia" w:cs="Times New Roman"/>
                      <w:color w:val="auto"/>
                      <w:spacing w:val="0"/>
                      <w:w w:val="100"/>
                      <w:kern w:val="0"/>
                      <w:sz w:val="21"/>
                      <w:szCs w:val="21"/>
                      <w:highlight w:val="none"/>
                      <w:lang w:val="en-US" w:eastAsia="zh-CN" w:bidi="ar-SA"/>
                    </w:rPr>
                    <w:t>，圆柱状颗粒</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本项目为生物有机肥是以煤矸石为原料，通过破碎、筛分、粉磨工序形成合格粒径的物料，进行磁选后筛出金属废屑等，进入发酵工序，发酵完成后进入造粒、包装工序，制造出成品为颗粒状有机肥料，属于煤矸石磁化工艺复合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b w:val="0"/>
                <w:bCs/>
                <w:color w:val="auto"/>
                <w:sz w:val="24"/>
                <w:highlight w:val="none"/>
                <w:lang w:val="en-US" w:eastAsia="zh-CN"/>
              </w:rPr>
            </w:pPr>
            <w:r>
              <w:rPr>
                <w:rFonts w:hint="eastAsia"/>
                <w:b w:val="0"/>
                <w:bCs/>
                <w:color w:val="auto"/>
                <w:sz w:val="24"/>
                <w:highlight w:val="none"/>
                <w:lang w:val="en-US" w:eastAsia="zh-CN"/>
              </w:rPr>
              <w:t>根据调查目前山西省内已有相类似项目，山西易颢璟环保科技有限公司煤研石制有机肥项目位于太原市古交市嘉乐泉乡嘉乐泉村，项目建成后可年产生物质有机肥42.24万吨。古交市行政审批服务管理局于2023年9月18日予以项目备案，项目代码为2309-140181-89-01-599097。2024年3月7日，已取得太原市行政审批服务管理局《关于山西易颢璟环保科技有限公司煤研石制有机肥项目环境影响报告表的批复》（并审环评〔2024〕6号），项目已建成并开始投入生产。该项目成品有机肥已满足《有机肥料》（NY/T 525-2021）中重金属限量要求，具体见附件6。</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磁化复合肥一种充满科技含量的新型肥料，融合了磁性与营养元素，为农业种植带来了革命性的变革。它的原理在于巧妙地结合了电磁学与肥料学的原理，将磁性载体与氮、磷、钾及 微量元素等通过一定比例混合、造粒，经过磁场处理后使肥料保持一定“剩磁”的新型复合肥料。“剩磁”是反映物质剩余磁化强度的指标，单位为T（特斯拉）。磁化肥料对于土壤和作物的影响主要是通过“剩磁”的作用来实现。可作磁性载体的原料很多，如煤矸石、热电厂粉煤灰、硫铁矿烧渣、选铁尾矿等工业废弃物及精铁粉和永磁材料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磁化煤矸石肥料的产品功效原理如下：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1.</w:t>
            </w:r>
            <w:r>
              <w:rPr>
                <w:rFonts w:hint="eastAsia"/>
                <w:b w:val="0"/>
                <w:bCs/>
                <w:color w:val="auto"/>
                <w:sz w:val="24"/>
                <w:highlight w:val="none"/>
                <w:lang w:val="en-US" w:eastAsia="zh-CN"/>
              </w:rPr>
              <w:fldChar w:fldCharType="begin"/>
            </w:r>
            <w:r>
              <w:rPr>
                <w:rFonts w:hint="eastAsia"/>
                <w:b w:val="0"/>
                <w:bCs/>
                <w:color w:val="auto"/>
                <w:sz w:val="24"/>
                <w:highlight w:val="none"/>
                <w:lang w:val="en-US" w:eastAsia="zh-CN"/>
              </w:rPr>
              <w:instrText xml:space="preserve"> HYPERLINK "https://baike.baidu.com/item/%E6%9E%81%E5%8C%96%E4%BD%9C%E7%94%A8/2060519?fromModule=lemma_inlink" \t "_blank" </w:instrText>
            </w:r>
            <w:r>
              <w:rPr>
                <w:rFonts w:hint="eastAsia"/>
                <w:b w:val="0"/>
                <w:bCs/>
                <w:color w:val="auto"/>
                <w:sz w:val="24"/>
                <w:highlight w:val="none"/>
                <w:lang w:val="en-US" w:eastAsia="zh-CN"/>
              </w:rPr>
              <w:fldChar w:fldCharType="separate"/>
            </w:r>
            <w:r>
              <w:rPr>
                <w:rFonts w:hint="eastAsia"/>
                <w:b w:val="0"/>
                <w:bCs/>
                <w:color w:val="auto"/>
                <w:sz w:val="24"/>
                <w:highlight w:val="none"/>
                <w:lang w:val="en-US" w:eastAsia="zh-CN"/>
              </w:rPr>
              <w:t>极化作用</w:t>
            </w:r>
            <w:r>
              <w:rPr>
                <w:rFonts w:hint="eastAsia"/>
                <w:b w:val="0"/>
                <w:bCs/>
                <w:color w:val="auto"/>
                <w:sz w:val="24"/>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磁性物质具有磁极性，即物质可以具有南北两个磁极。在斩断磁铁后，仍然存在两个磁极N级和S极。单个磁极不能存在，必须相对存在。此外，磁铁的磁极间存在相互作用，同名磁极相互排斥，异名磁极相互吸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磁化肥料极性对肥料功效的影响主要基于以下原理：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（1）磁场作用：磁化复合肥中的磁性成分在磁场的作用下，能够产生微弱的电流，这种电流可以刺激土壤中的微生物活跃性，促进微生物的分解活动，从而有利于养分的释放。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（2）营养元素：磁化复合肥中的营养元素在磁场的作用下，其极性会发生变化，这有利于营养元素的离子化，使其更易于被植物根系吸收。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（3）土壤环境：磁化复合肥中的营养元素可以调整土壤的酸碱度、改良土壤团粒结构和提高土壤肥力，从而改善土壤环境，增强土壤保水能力和保持养分的能力。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（4）植物生长：磁性成分能够激活植物体内的酶活性，加速植物的新陈代谢过程，提高光合作用的效率，促进植物的生长和发育。</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因此，通过磁化复合肥的应用，可以提高农作物的产量和品质，同时改善土壤环境，促进植物生长。</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2.磁滞效应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磁滞效应，是一种物理现象，发生在磁性材料被磁化或磁畴结构改变时。当磁场改变方向时，磁畴的磁化方向并不会立即跟随磁场变化，而是会有一定的滞后。这种效应是由于磁畴内部的磁矩需要克服磁畴壁的摩擦力以改变方向，这个过程需要一定的时间。磁滞效应是磁性材料的重要性质之一，与磁性材料的磁畴结构和微观磁矩动力学有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在磁化肥料中，磁场引起肥料中盐类分子或离子的磁性力偶的</w:t>
            </w:r>
            <w:r>
              <w:rPr>
                <w:rFonts w:hint="eastAsia"/>
                <w:b w:val="0"/>
                <w:bCs/>
                <w:color w:val="auto"/>
                <w:sz w:val="24"/>
                <w:highlight w:val="none"/>
                <w:lang w:val="en-US" w:eastAsia="zh-CN"/>
              </w:rPr>
              <w:fldChar w:fldCharType="begin"/>
            </w:r>
            <w:r>
              <w:rPr>
                <w:rFonts w:hint="eastAsia"/>
                <w:b w:val="0"/>
                <w:bCs/>
                <w:color w:val="auto"/>
                <w:sz w:val="24"/>
                <w:highlight w:val="none"/>
                <w:lang w:val="en-US" w:eastAsia="zh-CN"/>
              </w:rPr>
              <w:instrText xml:space="preserve"> HYPERLINK "https://baike.baidu.com/item/%E7%A3%81%E6%BB%9E%E6%95%88%E5%BA%94/5873292?fromModule=lemma_inlink" \t "_blank" </w:instrText>
            </w:r>
            <w:r>
              <w:rPr>
                <w:rFonts w:hint="eastAsia"/>
                <w:b w:val="0"/>
                <w:bCs/>
                <w:color w:val="auto"/>
                <w:sz w:val="24"/>
                <w:highlight w:val="none"/>
                <w:lang w:val="en-US" w:eastAsia="zh-CN"/>
              </w:rPr>
              <w:fldChar w:fldCharType="separate"/>
            </w:r>
            <w:r>
              <w:rPr>
                <w:rFonts w:hint="eastAsia"/>
                <w:b w:val="0"/>
                <w:bCs/>
                <w:color w:val="auto"/>
                <w:sz w:val="24"/>
                <w:highlight w:val="none"/>
                <w:lang w:val="en-US" w:eastAsia="zh-CN"/>
              </w:rPr>
              <w:t>磁滞效应</w:t>
            </w:r>
            <w:r>
              <w:rPr>
                <w:rFonts w:hint="eastAsia"/>
                <w:b w:val="0"/>
                <w:bCs/>
                <w:color w:val="auto"/>
                <w:sz w:val="24"/>
                <w:highlight w:val="none"/>
                <w:lang w:val="en-US" w:eastAsia="zh-CN"/>
              </w:rPr>
              <w:fldChar w:fldCharType="end"/>
            </w:r>
            <w:r>
              <w:rPr>
                <w:rFonts w:hint="eastAsia"/>
                <w:b w:val="0"/>
                <w:bCs/>
                <w:color w:val="auto"/>
                <w:sz w:val="24"/>
                <w:highlight w:val="none"/>
                <w:lang w:val="en-US" w:eastAsia="zh-CN"/>
              </w:rPr>
              <w:t>，因而改变了盐类在水中的</w:t>
            </w:r>
            <w:r>
              <w:rPr>
                <w:rFonts w:hint="eastAsia"/>
                <w:b w:val="0"/>
                <w:bCs/>
                <w:color w:val="auto"/>
                <w:sz w:val="24"/>
                <w:highlight w:val="none"/>
                <w:lang w:val="en-US" w:eastAsia="zh-CN"/>
              </w:rPr>
              <w:fldChar w:fldCharType="begin"/>
            </w:r>
            <w:r>
              <w:rPr>
                <w:rFonts w:hint="eastAsia"/>
                <w:b w:val="0"/>
                <w:bCs/>
                <w:color w:val="auto"/>
                <w:sz w:val="24"/>
                <w:highlight w:val="none"/>
                <w:lang w:val="en-US" w:eastAsia="zh-CN"/>
              </w:rPr>
              <w:instrText xml:space="preserve"> HYPERLINK "https://baike.baidu.com/item/%E6%BA%B6%E8%A7%A3%E6%80%A7/1134279?fromModule=lemma_inlink" \t "_blank" </w:instrText>
            </w:r>
            <w:r>
              <w:rPr>
                <w:rFonts w:hint="eastAsia"/>
                <w:b w:val="0"/>
                <w:bCs/>
                <w:color w:val="auto"/>
                <w:sz w:val="24"/>
                <w:highlight w:val="none"/>
                <w:lang w:val="en-US" w:eastAsia="zh-CN"/>
              </w:rPr>
              <w:fldChar w:fldCharType="separate"/>
            </w:r>
            <w:r>
              <w:rPr>
                <w:rFonts w:hint="eastAsia"/>
                <w:b w:val="0"/>
                <w:bCs/>
                <w:color w:val="auto"/>
                <w:sz w:val="24"/>
                <w:highlight w:val="none"/>
                <w:lang w:val="en-US" w:eastAsia="zh-CN"/>
              </w:rPr>
              <w:t>溶解性</w:t>
            </w:r>
            <w:r>
              <w:rPr>
                <w:rFonts w:hint="eastAsia"/>
                <w:b w:val="0"/>
                <w:bCs/>
                <w:color w:val="auto"/>
                <w:sz w:val="24"/>
                <w:highlight w:val="none"/>
                <w:lang w:val="en-US" w:eastAsia="zh-CN"/>
              </w:rPr>
              <w:fldChar w:fldCharType="end"/>
            </w:r>
            <w:r>
              <w:rPr>
                <w:rFonts w:hint="eastAsia"/>
                <w:b w:val="0"/>
                <w:bCs/>
                <w:color w:val="auto"/>
                <w:sz w:val="24"/>
                <w:highlight w:val="none"/>
                <w:lang w:val="en-US" w:eastAsia="zh-CN"/>
              </w:rPr>
              <w:t>，同时使盐类分子相互间的亲和性（结晶性）消失，防止大晶体的结晶，从而提升肥料的吸收效率，促进农作物的生长。通过施加适当的磁场，可以改变土壤中磁畴的结构和磁化方向，进而影响土壤中矿质元素和养分的分布和可利用性。这种影响可以有助于提高农作物的产量和质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3.</w:t>
            </w:r>
            <w:r>
              <w:rPr>
                <w:rFonts w:hint="eastAsia"/>
                <w:b w:val="0"/>
                <w:bCs/>
                <w:color w:val="auto"/>
                <w:sz w:val="24"/>
                <w:highlight w:val="none"/>
                <w:lang w:val="en-US" w:eastAsia="zh-CN"/>
              </w:rPr>
              <w:fldChar w:fldCharType="begin"/>
            </w:r>
            <w:r>
              <w:rPr>
                <w:rFonts w:hint="eastAsia"/>
                <w:b w:val="0"/>
                <w:bCs/>
                <w:color w:val="auto"/>
                <w:sz w:val="24"/>
                <w:highlight w:val="none"/>
                <w:lang w:val="en-US" w:eastAsia="zh-CN"/>
              </w:rPr>
              <w:instrText xml:space="preserve"> HYPERLINK "https://baike.baidu.com/item/%E7%A3%81%E5%8A%9B%E7%9F%A9/10760985?fromModule=lemma_inlink" \t "_blank" </w:instrText>
            </w:r>
            <w:r>
              <w:rPr>
                <w:rFonts w:hint="eastAsia"/>
                <w:b w:val="0"/>
                <w:bCs/>
                <w:color w:val="auto"/>
                <w:sz w:val="24"/>
                <w:highlight w:val="none"/>
                <w:lang w:val="en-US" w:eastAsia="zh-CN"/>
              </w:rPr>
              <w:fldChar w:fldCharType="separate"/>
            </w:r>
            <w:r>
              <w:rPr>
                <w:rFonts w:hint="eastAsia"/>
                <w:b w:val="0"/>
                <w:bCs/>
                <w:color w:val="auto"/>
                <w:sz w:val="24"/>
                <w:highlight w:val="none"/>
                <w:lang w:val="en-US" w:eastAsia="zh-CN"/>
              </w:rPr>
              <w:t>磁力矩</w:t>
            </w:r>
            <w:r>
              <w:rPr>
                <w:rFonts w:hint="eastAsia"/>
                <w:b w:val="0"/>
                <w:bCs/>
                <w:color w:val="auto"/>
                <w:sz w:val="24"/>
                <w:highlight w:val="none"/>
                <w:lang w:val="en-US" w:eastAsia="zh-CN"/>
              </w:rPr>
              <w:fldChar w:fldCharType="end"/>
            </w:r>
            <w:r>
              <w:rPr>
                <w:rFonts w:hint="eastAsia"/>
                <w:b w:val="0"/>
                <w:bCs/>
                <w:color w:val="auto"/>
                <w:sz w:val="24"/>
                <w:highlight w:val="none"/>
                <w:lang w:val="en-US" w:eastAsia="zh-CN"/>
              </w:rPr>
              <w:t>作用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磁力矩是指磁场对通电导体产生的力矩，其大小等于磁场强度、电流强度和导体有效长度三者的乘积。磁力矩在磁性肥料中的作用主要体现在以下几个方面：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（1）磁性肥料中的磁力矩可以增加土壤中的磁能，从而促进土壤中微生物的繁殖和活动，提高土壤肥力和养分利用率。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（2）磁力矩还可以影响植物的生理功能，促进植物根系发育和养分吸收，提高植物的抗逆性和产量。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（3）在农业生产中，磁力矩还可以配合其他农业技术手段，如合理密植、灌溉、施肥等，提高农业生产效益。</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综上所述，磁化复合肥作为磁力学与肥料学的交叉学科产物，在复合肥的基础上增加了磁力学的影响效应，使肥料具有更高的活性和更好的效果。磁化复合肥的肥效主要通过3方面实现。一是肥料中含有的氮磷钾营养元素。二是磁化肥料中的“剩磁”作用（极化作用、磁滞效应、磁力矩作用）。土壤作物系统是一个包含着各种离子转移合成、水分子迁移、酶及微生物作用的有机无机复合体系，磁场通过对体系中的电子传递、偶极子定向、酶及微生物中金属磁性的作用等而产生土壤及生物磁学效应。土壤在适宜外加磁场强度中，经过一定时间处理，可以调节改善土壤的理化性状。另外，在适宜的外加磁场影响下，对农作物种子发芽、生长、光合作用及干物质积累有良好作用。三是磁性载体本身含有对作物生长有益的元素，如煤矸石中锌、铜、钼、硼等微量元素含量高于土壤中的含量，SiO2的含量在2%～15%之间，其硅释放速度比土壤高2.0～11.0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磁化复合肥的优点首先体现在提高农作物产量上。它利用磁场作用，促进了农作物根系对养分和水分的吸收效率。这一过程中，磁性成分犹如自然的磁力泵，将土壤中的营养元素和水分源源不断地输送到植物体内，为作物生长提供充足的养分和水分。如此一来，作物的产量得以显著提升，为农民带来了丰收的喜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除了提高产量，磁化复合肥还有改善土壤环境的神奇功效。它所含的营养元素能够调整土壤酸碱度，改善土壤结构，提高土壤肥力。经过一段时间的施用，你会发现土壤变得更加疏松、肥沃，充满了生机与活力。这得益于磁化复合肥对土壤生态环境的积极影响，它为作物的生长创造了一个更加适宜的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此外，磁化复合肥还能促进植物生长。其磁性成分具有激活植物体内酶活性的作用，通过加速植物新陈代谢过程，提高光合作用的效率。这意味着植物能够更好地吸收阳光、二氧化碳，释放氧气，茁壮成长。这一优势使得作物生长周期缩短、品质提高，对于提高农业生产效益具有重要意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因而，煤矸石磁化复合肥作为一种新型的农业用肥具有科技含量高，产品功效好，且实现煤矸石资源化利用的特点。煤矸石磁化复合肥为煤矸石的资源化利用提供了一个全新的应用方向。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本项目成品生物有机肥出厂前必须进行出厂检验，检验合格后方可出厂。本项目成品有机肥料检验执行技术指标见表2-3和表2-4。</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黑体" w:cs="Times New Roman"/>
                <w:iCs/>
                <w:snapToGrid w:val="0"/>
                <w:color w:val="auto"/>
                <w:spacing w:val="0"/>
                <w:kern w:val="0"/>
                <w:sz w:val="21"/>
                <w:szCs w:val="20"/>
                <w:highlight w:val="none"/>
                <w:lang w:val="en-US" w:eastAsia="zh-CN" w:bidi="ar-SA"/>
              </w:rPr>
            </w:pPr>
            <w:r>
              <w:rPr>
                <w:rFonts w:hint="default" w:ascii="Times New Roman" w:hAnsi="Times New Roman" w:eastAsia="宋体" w:cs="Times New Roman"/>
                <w:b/>
                <w:bCs/>
                <w:iCs/>
                <w:snapToGrid w:val="0"/>
                <w:color w:val="auto"/>
                <w:spacing w:val="0"/>
                <w:kern w:val="0"/>
                <w:sz w:val="21"/>
                <w:szCs w:val="20"/>
                <w:highlight w:val="none"/>
                <w:lang w:val="en-US" w:eastAsia="zh-CN" w:bidi="ar-SA"/>
              </w:rPr>
              <w:t>表2-</w:t>
            </w:r>
            <w:r>
              <w:rPr>
                <w:rFonts w:hint="eastAsia" w:cs="Times New Roman"/>
                <w:b/>
                <w:bCs/>
                <w:iCs/>
                <w:snapToGrid w:val="0"/>
                <w:color w:val="auto"/>
                <w:spacing w:val="0"/>
                <w:kern w:val="0"/>
                <w:sz w:val="21"/>
                <w:szCs w:val="20"/>
                <w:highlight w:val="none"/>
                <w:lang w:val="en-US" w:eastAsia="zh-CN" w:bidi="ar-SA"/>
              </w:rPr>
              <w:t>3</w:t>
            </w:r>
            <w:r>
              <w:rPr>
                <w:rFonts w:hint="default" w:ascii="Times New Roman" w:hAnsi="Times New Roman" w:eastAsia="宋体" w:cs="Times New Roman"/>
                <w:b/>
                <w:bCs/>
                <w:iCs/>
                <w:snapToGrid w:val="0"/>
                <w:color w:val="auto"/>
                <w:spacing w:val="0"/>
                <w:kern w:val="0"/>
                <w:sz w:val="21"/>
                <w:szCs w:val="20"/>
                <w:highlight w:val="none"/>
                <w:lang w:val="en-US" w:eastAsia="zh-CN" w:bidi="ar-SA"/>
              </w:rPr>
              <w:t xml:space="preserve">  产品</w:t>
            </w:r>
            <w:r>
              <w:rPr>
                <w:rFonts w:hint="eastAsia" w:cs="Times New Roman"/>
                <w:b/>
                <w:bCs/>
                <w:iCs/>
                <w:snapToGrid w:val="0"/>
                <w:color w:val="auto"/>
                <w:spacing w:val="0"/>
                <w:kern w:val="0"/>
                <w:sz w:val="21"/>
                <w:szCs w:val="20"/>
                <w:highlight w:val="none"/>
                <w:lang w:val="en-US" w:eastAsia="zh-CN" w:bidi="ar-SA"/>
              </w:rPr>
              <w:t>技术指标要求</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4"/>
              <w:gridCol w:w="4515"/>
              <w:gridCol w:w="1379"/>
              <w:gridCol w:w="17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rPr>
                  </w:pPr>
                  <w:r>
                    <w:rPr>
                      <w:rFonts w:hint="default" w:ascii="Times New Roman" w:hAnsi="Times New Roman" w:eastAsia="宋体" w:cs="Times New Roman"/>
                      <w:b/>
                      <w:bCs/>
                      <w:color w:val="auto"/>
                      <w:spacing w:val="0"/>
                      <w:w w:val="100"/>
                      <w:kern w:val="0"/>
                      <w:sz w:val="21"/>
                      <w:szCs w:val="21"/>
                      <w:highlight w:val="none"/>
                    </w:rPr>
                    <w:t>序号</w:t>
                  </w:r>
                </w:p>
              </w:tc>
              <w:tc>
                <w:tcPr>
                  <w:tcW w:w="27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lang w:val="en-US" w:eastAsia="zh-CN"/>
                    </w:rPr>
                  </w:pPr>
                  <w:r>
                    <w:rPr>
                      <w:rFonts w:hint="eastAsia" w:cs="Times New Roman"/>
                      <w:b/>
                      <w:bCs/>
                      <w:color w:val="auto"/>
                      <w:spacing w:val="0"/>
                      <w:w w:val="100"/>
                      <w:kern w:val="0"/>
                      <w:sz w:val="21"/>
                      <w:szCs w:val="21"/>
                      <w:highlight w:val="none"/>
                      <w:lang w:val="en-US" w:eastAsia="zh-CN"/>
                    </w:rPr>
                    <w:t>项目</w:t>
                  </w:r>
                </w:p>
              </w:tc>
              <w:tc>
                <w:tcPr>
                  <w:tcW w:w="82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pacing w:val="0"/>
                      <w:w w:val="100"/>
                      <w:kern w:val="0"/>
                      <w:sz w:val="21"/>
                      <w:szCs w:val="21"/>
                      <w:highlight w:val="none"/>
                      <w:lang w:val="en-US" w:eastAsia="zh-CN"/>
                    </w:rPr>
                  </w:pPr>
                  <w:r>
                    <w:rPr>
                      <w:rFonts w:hint="eastAsia"/>
                      <w:b/>
                      <w:bCs/>
                      <w:color w:val="auto"/>
                      <w:highlight w:val="none"/>
                      <w:lang w:val="en-US" w:eastAsia="zh-CN"/>
                    </w:rPr>
                    <w:t>指标</w:t>
                  </w:r>
                </w:p>
              </w:tc>
              <w:tc>
                <w:tcPr>
                  <w:tcW w:w="102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kern w:val="0"/>
                      <w:sz w:val="21"/>
                      <w:szCs w:val="21"/>
                      <w:highlight w:val="none"/>
                      <w:lang w:val="en-US" w:eastAsia="zh-CN"/>
                    </w:rPr>
                  </w:pPr>
                  <w:r>
                    <w:rPr>
                      <w:rFonts w:hint="eastAsia" w:cs="Times New Roman"/>
                      <w:b/>
                      <w:bCs/>
                      <w:color w:val="auto"/>
                      <w:spacing w:val="0"/>
                      <w:w w:val="100"/>
                      <w:kern w:val="0"/>
                      <w:sz w:val="21"/>
                      <w:szCs w:val="21"/>
                      <w:highlight w:val="no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0"/>
                      <w:w w:val="100"/>
                      <w:kern w:val="0"/>
                      <w:sz w:val="21"/>
                      <w:szCs w:val="21"/>
                      <w:highlight w:val="none"/>
                      <w:lang w:val="en-US" w:eastAsia="zh-CN"/>
                    </w:rPr>
                  </w:pPr>
                  <w:r>
                    <w:rPr>
                      <w:rFonts w:hint="eastAsia" w:ascii="Times New Roman" w:hAnsi="Times New Roman" w:eastAsia="宋体" w:cs="Times New Roman"/>
                      <w:color w:val="auto"/>
                      <w:spacing w:val="0"/>
                      <w:w w:val="100"/>
                      <w:kern w:val="0"/>
                      <w:sz w:val="21"/>
                      <w:szCs w:val="21"/>
                      <w:highlight w:val="none"/>
                      <w:lang w:val="en-US" w:eastAsia="zh-CN"/>
                    </w:rPr>
                    <w:t>1</w:t>
                  </w:r>
                </w:p>
              </w:tc>
              <w:tc>
                <w:tcPr>
                  <w:tcW w:w="27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有机质的质量分数（以烘干基计），%</w:t>
                  </w:r>
                </w:p>
              </w:tc>
              <w:tc>
                <w:tcPr>
                  <w:tcW w:w="8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≥30</w:t>
                  </w:r>
                </w:p>
              </w:tc>
              <w:tc>
                <w:tcPr>
                  <w:tcW w:w="102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default" w:ascii="Times New Roman" w:hAnsi="Times New Roman" w:eastAsia="宋体" w:cs="Times New Roman"/>
                      <w:color w:val="auto"/>
                      <w:spacing w:val="0"/>
                      <w:w w:val="100"/>
                      <w:kern w:val="0"/>
                      <w:sz w:val="21"/>
                      <w:szCs w:val="21"/>
                      <w:highlight w:val="none"/>
                      <w:lang w:val="en-US" w:eastAsia="zh-CN" w:bidi="ar-SA"/>
                    </w:rPr>
                    <w:t>《有机肥料》NY/T525-2021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2</w:t>
                  </w:r>
                </w:p>
              </w:tc>
              <w:tc>
                <w:tcPr>
                  <w:tcW w:w="27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总养分（N+P</w:t>
                  </w:r>
                  <w:r>
                    <w:rPr>
                      <w:rFonts w:hint="eastAsia" w:cs="Times New Roman"/>
                      <w:color w:val="auto"/>
                      <w:spacing w:val="0"/>
                      <w:w w:val="100"/>
                      <w:kern w:val="0"/>
                      <w:sz w:val="21"/>
                      <w:szCs w:val="21"/>
                      <w:highlight w:val="none"/>
                      <w:vertAlign w:val="subscript"/>
                      <w:lang w:val="en-US" w:eastAsia="zh-CN"/>
                    </w:rPr>
                    <w:t>2</w:t>
                  </w:r>
                  <w:r>
                    <w:rPr>
                      <w:rFonts w:hint="eastAsia" w:cs="Times New Roman"/>
                      <w:color w:val="auto"/>
                      <w:spacing w:val="0"/>
                      <w:w w:val="100"/>
                      <w:kern w:val="0"/>
                      <w:sz w:val="21"/>
                      <w:szCs w:val="21"/>
                      <w:highlight w:val="none"/>
                      <w:lang w:val="en-US" w:eastAsia="zh-CN"/>
                    </w:rPr>
                    <w:t>O</w:t>
                  </w:r>
                  <w:r>
                    <w:rPr>
                      <w:rFonts w:hint="eastAsia" w:cs="Times New Roman"/>
                      <w:color w:val="auto"/>
                      <w:spacing w:val="0"/>
                      <w:w w:val="100"/>
                      <w:kern w:val="0"/>
                      <w:sz w:val="21"/>
                      <w:szCs w:val="21"/>
                      <w:highlight w:val="none"/>
                      <w:vertAlign w:val="subscript"/>
                      <w:lang w:val="en-US" w:eastAsia="zh-CN"/>
                    </w:rPr>
                    <w:t>5</w:t>
                  </w:r>
                  <w:r>
                    <w:rPr>
                      <w:rFonts w:hint="eastAsia" w:cs="Times New Roman"/>
                      <w:color w:val="auto"/>
                      <w:spacing w:val="0"/>
                      <w:w w:val="100"/>
                      <w:kern w:val="0"/>
                      <w:sz w:val="21"/>
                      <w:szCs w:val="21"/>
                      <w:highlight w:val="none"/>
                      <w:lang w:val="en-US" w:eastAsia="zh-CN"/>
                    </w:rPr>
                    <w:t>+K</w:t>
                  </w:r>
                  <w:r>
                    <w:rPr>
                      <w:rFonts w:hint="eastAsia" w:cs="Times New Roman"/>
                      <w:color w:val="auto"/>
                      <w:spacing w:val="0"/>
                      <w:w w:val="100"/>
                      <w:kern w:val="0"/>
                      <w:sz w:val="21"/>
                      <w:szCs w:val="21"/>
                      <w:highlight w:val="none"/>
                      <w:vertAlign w:val="subscript"/>
                      <w:lang w:val="en-US" w:eastAsia="zh-CN"/>
                    </w:rPr>
                    <w:t>2</w:t>
                  </w:r>
                  <w:r>
                    <w:rPr>
                      <w:rFonts w:hint="eastAsia" w:cs="Times New Roman"/>
                      <w:color w:val="auto"/>
                      <w:spacing w:val="0"/>
                      <w:w w:val="100"/>
                      <w:kern w:val="0"/>
                      <w:sz w:val="21"/>
                      <w:szCs w:val="21"/>
                      <w:highlight w:val="none"/>
                      <w:lang w:val="en-US" w:eastAsia="zh-CN"/>
                    </w:rPr>
                    <w:t>O）的质分数（以烘基计） ，%</w:t>
                  </w:r>
                </w:p>
              </w:tc>
              <w:tc>
                <w:tcPr>
                  <w:tcW w:w="8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≥4.0</w:t>
                  </w:r>
                </w:p>
              </w:tc>
              <w:tc>
                <w:tcPr>
                  <w:tcW w:w="102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3</w:t>
                  </w:r>
                </w:p>
              </w:tc>
              <w:tc>
                <w:tcPr>
                  <w:tcW w:w="27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水分（鲜样）的质量分数，%</w:t>
                  </w:r>
                </w:p>
              </w:tc>
              <w:tc>
                <w:tcPr>
                  <w:tcW w:w="8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≤30</w:t>
                  </w:r>
                </w:p>
              </w:tc>
              <w:tc>
                <w:tcPr>
                  <w:tcW w:w="102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4</w:t>
                  </w:r>
                </w:p>
              </w:tc>
              <w:tc>
                <w:tcPr>
                  <w:tcW w:w="27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酸碱度（pH）</w:t>
                  </w:r>
                </w:p>
              </w:tc>
              <w:tc>
                <w:tcPr>
                  <w:tcW w:w="8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5.5~8.5</w:t>
                  </w:r>
                </w:p>
              </w:tc>
              <w:tc>
                <w:tcPr>
                  <w:tcW w:w="102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5</w:t>
                  </w:r>
                </w:p>
              </w:tc>
              <w:tc>
                <w:tcPr>
                  <w:tcW w:w="27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种子发芽指数（GI），%</w:t>
                  </w:r>
                </w:p>
              </w:tc>
              <w:tc>
                <w:tcPr>
                  <w:tcW w:w="8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≥70</w:t>
                  </w:r>
                </w:p>
              </w:tc>
              <w:tc>
                <w:tcPr>
                  <w:tcW w:w="102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6</w:t>
                  </w:r>
                </w:p>
              </w:tc>
              <w:tc>
                <w:tcPr>
                  <w:tcW w:w="271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机械杂质的质量分数，%</w:t>
                  </w:r>
                </w:p>
              </w:tc>
              <w:tc>
                <w:tcPr>
                  <w:tcW w:w="8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≤0.5</w:t>
                  </w:r>
                </w:p>
              </w:tc>
              <w:tc>
                <w:tcPr>
                  <w:tcW w:w="102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baseline"/>
              <w:rPr>
                <w:rFonts w:hint="default" w:ascii="Times New Roman" w:hAnsi="Times New Roman" w:eastAsia="黑体" w:cs="Times New Roman"/>
                <w:iCs/>
                <w:snapToGrid w:val="0"/>
                <w:color w:val="auto"/>
                <w:spacing w:val="0"/>
                <w:kern w:val="0"/>
                <w:sz w:val="21"/>
                <w:szCs w:val="20"/>
                <w:highlight w:val="none"/>
                <w:lang w:val="en-US" w:eastAsia="zh-CN" w:bidi="ar-SA"/>
              </w:rPr>
            </w:pPr>
            <w:r>
              <w:rPr>
                <w:rFonts w:hint="default" w:ascii="Times New Roman" w:hAnsi="Times New Roman" w:eastAsia="宋体" w:cs="Times New Roman"/>
                <w:b/>
                <w:bCs/>
                <w:iCs/>
                <w:snapToGrid w:val="0"/>
                <w:color w:val="auto"/>
                <w:spacing w:val="0"/>
                <w:kern w:val="0"/>
                <w:sz w:val="21"/>
                <w:szCs w:val="20"/>
                <w:highlight w:val="none"/>
                <w:lang w:val="en-US" w:eastAsia="zh-CN" w:bidi="ar-SA"/>
              </w:rPr>
              <w:t>表2-</w:t>
            </w:r>
            <w:r>
              <w:rPr>
                <w:rFonts w:hint="eastAsia" w:cs="Times New Roman"/>
                <w:b/>
                <w:bCs/>
                <w:iCs/>
                <w:snapToGrid w:val="0"/>
                <w:color w:val="auto"/>
                <w:spacing w:val="0"/>
                <w:kern w:val="0"/>
                <w:sz w:val="21"/>
                <w:szCs w:val="20"/>
                <w:highlight w:val="none"/>
                <w:lang w:val="en-US" w:eastAsia="zh-CN" w:bidi="ar-SA"/>
              </w:rPr>
              <w:t>4</w:t>
            </w:r>
            <w:r>
              <w:rPr>
                <w:rFonts w:hint="default" w:ascii="Times New Roman" w:hAnsi="Times New Roman" w:eastAsia="宋体" w:cs="Times New Roman"/>
                <w:b/>
                <w:bCs/>
                <w:iCs/>
                <w:snapToGrid w:val="0"/>
                <w:color w:val="auto"/>
                <w:spacing w:val="0"/>
                <w:kern w:val="0"/>
                <w:sz w:val="21"/>
                <w:szCs w:val="20"/>
                <w:highlight w:val="none"/>
                <w:lang w:val="en-US" w:eastAsia="zh-CN" w:bidi="ar-SA"/>
              </w:rPr>
              <w:t xml:space="preserve">  </w:t>
            </w:r>
            <w:r>
              <w:rPr>
                <w:rFonts w:hint="eastAsia" w:cs="Times New Roman"/>
                <w:b/>
                <w:bCs/>
                <w:iCs/>
                <w:snapToGrid w:val="0"/>
                <w:color w:val="auto"/>
                <w:spacing w:val="0"/>
                <w:kern w:val="0"/>
                <w:sz w:val="21"/>
                <w:szCs w:val="20"/>
                <w:highlight w:val="none"/>
                <w:lang w:val="en-US" w:eastAsia="zh-CN" w:bidi="ar-SA"/>
              </w:rPr>
              <w:t>有机肥料限量指标要求及检测方法</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13"/>
              <w:gridCol w:w="3147"/>
              <w:gridCol w:w="1395"/>
              <w:gridCol w:w="30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rPr>
                  </w:pPr>
                  <w:r>
                    <w:rPr>
                      <w:rFonts w:hint="default" w:ascii="Times New Roman" w:hAnsi="Times New Roman" w:eastAsia="宋体" w:cs="Times New Roman"/>
                      <w:b/>
                      <w:bCs/>
                      <w:color w:val="auto"/>
                      <w:spacing w:val="0"/>
                      <w:w w:val="100"/>
                      <w:kern w:val="0"/>
                      <w:sz w:val="21"/>
                      <w:szCs w:val="21"/>
                      <w:highlight w:val="none"/>
                    </w:rPr>
                    <w:t>序号</w:t>
                  </w:r>
                </w:p>
              </w:tc>
              <w:tc>
                <w:tcPr>
                  <w:tcW w:w="18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b/>
                      <w:bCs/>
                      <w:color w:val="auto"/>
                      <w:spacing w:val="0"/>
                      <w:w w:val="100"/>
                      <w:kern w:val="0"/>
                      <w:sz w:val="21"/>
                      <w:szCs w:val="21"/>
                      <w:highlight w:val="none"/>
                      <w:lang w:val="en-US" w:eastAsia="zh-CN"/>
                    </w:rPr>
                  </w:pPr>
                  <w:r>
                    <w:rPr>
                      <w:rFonts w:hint="eastAsia" w:cs="Times New Roman"/>
                      <w:b/>
                      <w:bCs/>
                      <w:color w:val="auto"/>
                      <w:spacing w:val="0"/>
                      <w:w w:val="100"/>
                      <w:kern w:val="0"/>
                      <w:sz w:val="21"/>
                      <w:szCs w:val="21"/>
                      <w:highlight w:val="none"/>
                      <w:lang w:val="en-US" w:eastAsia="zh-CN"/>
                    </w:rPr>
                    <w:t>项目</w:t>
                  </w:r>
                </w:p>
              </w:tc>
              <w:tc>
                <w:tcPr>
                  <w:tcW w:w="83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pacing w:val="0"/>
                      <w:w w:val="100"/>
                      <w:kern w:val="0"/>
                      <w:sz w:val="21"/>
                      <w:szCs w:val="21"/>
                      <w:highlight w:val="none"/>
                      <w:lang w:val="en-US" w:eastAsia="zh-CN"/>
                    </w:rPr>
                  </w:pPr>
                  <w:r>
                    <w:rPr>
                      <w:rFonts w:hint="eastAsia"/>
                      <w:b/>
                      <w:bCs/>
                      <w:color w:val="auto"/>
                      <w:highlight w:val="none"/>
                      <w:lang w:val="en-US" w:eastAsia="zh-CN"/>
                    </w:rPr>
                    <w:t>指标</w:t>
                  </w:r>
                </w:p>
              </w:tc>
              <w:tc>
                <w:tcPr>
                  <w:tcW w:w="184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kern w:val="0"/>
                      <w:sz w:val="21"/>
                      <w:szCs w:val="21"/>
                      <w:highlight w:val="none"/>
                      <w:lang w:val="en-US" w:eastAsia="zh-CN"/>
                    </w:rPr>
                  </w:pPr>
                  <w:r>
                    <w:rPr>
                      <w:rFonts w:hint="eastAsia" w:cs="Times New Roman"/>
                      <w:b/>
                      <w:bCs/>
                      <w:color w:val="auto"/>
                      <w:spacing w:val="0"/>
                      <w:w w:val="100"/>
                      <w:kern w:val="0"/>
                      <w:sz w:val="21"/>
                      <w:szCs w:val="21"/>
                      <w:highlight w:val="no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0"/>
                      <w:w w:val="100"/>
                      <w:kern w:val="0"/>
                      <w:sz w:val="21"/>
                      <w:szCs w:val="21"/>
                      <w:highlight w:val="none"/>
                      <w:lang w:val="en-US" w:eastAsia="zh-CN"/>
                    </w:rPr>
                  </w:pPr>
                  <w:r>
                    <w:rPr>
                      <w:rFonts w:hint="eastAsia" w:ascii="Times New Roman" w:hAnsi="Times New Roman" w:eastAsia="宋体" w:cs="Times New Roman"/>
                      <w:color w:val="auto"/>
                      <w:spacing w:val="0"/>
                      <w:w w:val="100"/>
                      <w:kern w:val="0"/>
                      <w:sz w:val="21"/>
                      <w:szCs w:val="21"/>
                      <w:highlight w:val="none"/>
                      <w:lang w:val="en-US" w:eastAsia="zh-CN"/>
                    </w:rPr>
                    <w:t>1</w:t>
                  </w:r>
                </w:p>
              </w:tc>
              <w:tc>
                <w:tcPr>
                  <w:tcW w:w="18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总砷，mg/kg</w:t>
                  </w:r>
                </w:p>
              </w:tc>
              <w:tc>
                <w:tcPr>
                  <w:tcW w:w="8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≤15</w:t>
                  </w:r>
                </w:p>
              </w:tc>
              <w:tc>
                <w:tcPr>
                  <w:tcW w:w="1842"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r>
                    <w:rPr>
                      <w:rFonts w:hint="eastAsia" w:cs="Times New Roman"/>
                      <w:color w:val="auto"/>
                      <w:spacing w:val="0"/>
                      <w:w w:val="100"/>
                      <w:kern w:val="0"/>
                      <w:sz w:val="21"/>
                      <w:szCs w:val="21"/>
                      <w:highlight w:val="none"/>
                      <w:lang w:val="en-US" w:eastAsia="zh-CN" w:bidi="ar-SA"/>
                    </w:rPr>
                    <w:t>按照NY/Y1978的规定执行。</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bidi="ar-SA"/>
                    </w:rPr>
                  </w:pPr>
                  <w:r>
                    <w:rPr>
                      <w:rFonts w:hint="eastAsia" w:cs="Times New Roman"/>
                      <w:color w:val="auto"/>
                      <w:spacing w:val="0"/>
                      <w:w w:val="100"/>
                      <w:kern w:val="0"/>
                      <w:sz w:val="21"/>
                      <w:szCs w:val="21"/>
                      <w:highlight w:val="none"/>
                      <w:lang w:val="en-US" w:eastAsia="zh-CN" w:bidi="ar-SA"/>
                    </w:rPr>
                    <w:t>已烘干基计算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2</w:t>
                  </w:r>
                </w:p>
              </w:tc>
              <w:tc>
                <w:tcPr>
                  <w:tcW w:w="18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总汞，mg/kg</w:t>
                  </w:r>
                </w:p>
              </w:tc>
              <w:tc>
                <w:tcPr>
                  <w:tcW w:w="8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≤2</w:t>
                  </w:r>
                </w:p>
              </w:tc>
              <w:tc>
                <w:tcPr>
                  <w:tcW w:w="18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3</w:t>
                  </w:r>
                </w:p>
              </w:tc>
              <w:tc>
                <w:tcPr>
                  <w:tcW w:w="18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总铅，mg/kg</w:t>
                  </w:r>
                </w:p>
              </w:tc>
              <w:tc>
                <w:tcPr>
                  <w:tcW w:w="8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≤50</w:t>
                  </w:r>
                </w:p>
              </w:tc>
              <w:tc>
                <w:tcPr>
                  <w:tcW w:w="18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4</w:t>
                  </w:r>
                </w:p>
              </w:tc>
              <w:tc>
                <w:tcPr>
                  <w:tcW w:w="18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总镉，mg/kg</w:t>
                  </w:r>
                </w:p>
              </w:tc>
              <w:tc>
                <w:tcPr>
                  <w:tcW w:w="8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≤3</w:t>
                  </w:r>
                </w:p>
              </w:tc>
              <w:tc>
                <w:tcPr>
                  <w:tcW w:w="18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5</w:t>
                  </w:r>
                </w:p>
              </w:tc>
              <w:tc>
                <w:tcPr>
                  <w:tcW w:w="18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总铬，mg/kg</w:t>
                  </w:r>
                </w:p>
              </w:tc>
              <w:tc>
                <w:tcPr>
                  <w:tcW w:w="8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≤150</w:t>
                  </w:r>
                </w:p>
              </w:tc>
              <w:tc>
                <w:tcPr>
                  <w:tcW w:w="1842"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6</w:t>
                  </w:r>
                </w:p>
              </w:tc>
              <w:tc>
                <w:tcPr>
                  <w:tcW w:w="18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粪大肠菌群，个/g</w:t>
                  </w:r>
                </w:p>
              </w:tc>
              <w:tc>
                <w:tcPr>
                  <w:tcW w:w="8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≤100</w:t>
                  </w:r>
                </w:p>
              </w:tc>
              <w:tc>
                <w:tcPr>
                  <w:tcW w:w="18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bidi="ar-SA"/>
                    </w:rPr>
                  </w:pPr>
                  <w:r>
                    <w:rPr>
                      <w:rFonts w:hint="eastAsia" w:cs="Times New Roman"/>
                      <w:color w:val="auto"/>
                      <w:spacing w:val="0"/>
                      <w:w w:val="100"/>
                      <w:kern w:val="0"/>
                      <w:sz w:val="21"/>
                      <w:szCs w:val="21"/>
                      <w:highlight w:val="none"/>
                      <w:lang w:val="en-US" w:eastAsia="zh-CN" w:bidi="ar-SA"/>
                    </w:rPr>
                    <w:t>按照GB/T 19524.1的规定执行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7</w:t>
                  </w:r>
                </w:p>
              </w:tc>
              <w:tc>
                <w:tcPr>
                  <w:tcW w:w="18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蛔虫卵死亡率，%</w:t>
                  </w:r>
                </w:p>
              </w:tc>
              <w:tc>
                <w:tcPr>
                  <w:tcW w:w="83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s="Times New Roman"/>
                      <w:color w:val="auto"/>
                      <w:spacing w:val="0"/>
                      <w:w w:val="100"/>
                      <w:kern w:val="0"/>
                      <w:sz w:val="21"/>
                      <w:szCs w:val="21"/>
                      <w:highlight w:val="none"/>
                      <w:lang w:val="en-US" w:eastAsia="zh-CN"/>
                    </w:rPr>
                  </w:pPr>
                  <w:r>
                    <w:rPr>
                      <w:rFonts w:hint="eastAsia" w:cs="Times New Roman"/>
                      <w:color w:val="auto"/>
                      <w:spacing w:val="0"/>
                      <w:w w:val="100"/>
                      <w:kern w:val="0"/>
                      <w:sz w:val="21"/>
                      <w:szCs w:val="21"/>
                      <w:highlight w:val="none"/>
                      <w:lang w:val="en-US" w:eastAsia="zh-CN"/>
                    </w:rPr>
                    <w:t>≥95</w:t>
                  </w:r>
                </w:p>
              </w:tc>
              <w:tc>
                <w:tcPr>
                  <w:tcW w:w="1842"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ar-SA"/>
                    </w:rPr>
                  </w:pPr>
                  <w:r>
                    <w:rPr>
                      <w:rFonts w:hint="eastAsia" w:cs="Times New Roman"/>
                      <w:color w:val="auto"/>
                      <w:spacing w:val="0"/>
                      <w:w w:val="100"/>
                      <w:kern w:val="0"/>
                      <w:sz w:val="21"/>
                      <w:szCs w:val="21"/>
                      <w:highlight w:val="none"/>
                      <w:lang w:val="en-US" w:eastAsia="zh-CN" w:bidi="ar-SA"/>
                    </w:rPr>
                    <w:t>按照GB/T 19524.2的规定执行</w:t>
                  </w:r>
                </w:p>
              </w:tc>
            </w:tr>
          </w:tbl>
          <w:p>
            <w:pPr>
              <w:adjustRightInd w:val="0"/>
              <w:snapToGrid w:val="0"/>
              <w:spacing w:line="480" w:lineRule="exact"/>
              <w:ind w:firstLine="482" w:firstLineChars="200"/>
              <w:rPr>
                <w:rFonts w:hint="eastAsia"/>
                <w:b/>
                <w:color w:val="auto"/>
                <w:sz w:val="24"/>
                <w:highlight w:val="none"/>
                <w:lang w:val="en-US" w:eastAsia="zh-CN"/>
              </w:rPr>
            </w:pPr>
            <w:r>
              <w:rPr>
                <w:rFonts w:hint="eastAsia"/>
                <w:b/>
                <w:color w:val="auto"/>
                <w:sz w:val="24"/>
                <w:highlight w:val="none"/>
                <w:lang w:val="en-US" w:eastAsia="zh-CN"/>
              </w:rPr>
              <w:t>三、主要生产设备</w:t>
            </w:r>
          </w:p>
          <w:p>
            <w:pPr>
              <w:adjustRightInd w:val="0"/>
              <w:snapToGrid w:val="0"/>
              <w:spacing w:line="480" w:lineRule="exact"/>
              <w:ind w:firstLine="480" w:firstLineChars="200"/>
              <w:rPr>
                <w:rFonts w:hint="eastAsia"/>
                <w:b w:val="0"/>
                <w:bCs/>
                <w:color w:val="auto"/>
                <w:sz w:val="24"/>
                <w:highlight w:val="none"/>
                <w:lang w:val="en-US" w:eastAsia="zh-CN"/>
              </w:rPr>
            </w:pPr>
            <w:r>
              <w:rPr>
                <w:rFonts w:hint="eastAsia"/>
                <w:b w:val="0"/>
                <w:bCs/>
                <w:color w:val="auto"/>
                <w:sz w:val="24"/>
                <w:highlight w:val="none"/>
                <w:lang w:val="en-US" w:eastAsia="zh-CN"/>
              </w:rPr>
              <w:t>本项目主要设备见下表。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2-</w:t>
            </w:r>
            <w:r>
              <w:rPr>
                <w:rFonts w:hint="eastAsia" w:cs="Times New Roman"/>
                <w:b/>
                <w:bCs w:val="0"/>
                <w:color w:val="auto"/>
                <w:sz w:val="21"/>
                <w:szCs w:val="21"/>
                <w:highlight w:val="none"/>
                <w:lang w:val="en-US" w:eastAsia="zh-CN"/>
              </w:rPr>
              <w:t>5</w:t>
            </w:r>
            <w:r>
              <w:rPr>
                <w:rFonts w:hint="default" w:ascii="Times New Roman" w:hAnsi="Times New Roman" w:eastAsia="宋体" w:cs="Times New Roman"/>
                <w:b/>
                <w:bCs w:val="0"/>
                <w:color w:val="auto"/>
                <w:sz w:val="21"/>
                <w:szCs w:val="21"/>
                <w:highlight w:val="none"/>
              </w:rPr>
              <w:t xml:space="preserve">  主要</w:t>
            </w:r>
            <w:r>
              <w:rPr>
                <w:rFonts w:hint="eastAsia" w:cs="Times New Roman"/>
                <w:b/>
                <w:bCs w:val="0"/>
                <w:color w:val="auto"/>
                <w:sz w:val="21"/>
                <w:szCs w:val="21"/>
                <w:highlight w:val="none"/>
                <w:lang w:val="en-US" w:eastAsia="zh-CN"/>
              </w:rPr>
              <w:t>生产设备</w:t>
            </w:r>
            <w:r>
              <w:rPr>
                <w:rFonts w:hint="default" w:ascii="Times New Roman" w:hAnsi="Times New Roman" w:eastAsia="宋体" w:cs="Times New Roman"/>
                <w:b/>
                <w:bCs w:val="0"/>
                <w:color w:val="auto"/>
                <w:sz w:val="21"/>
                <w:szCs w:val="21"/>
                <w:highlight w:val="none"/>
              </w:rPr>
              <w:t>表</w:t>
            </w:r>
          </w:p>
          <w:tbl>
            <w:tblPr>
              <w:tblStyle w:val="29"/>
              <w:tblW w:w="5000" w:type="pct"/>
              <w:tblInd w:w="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868"/>
              <w:gridCol w:w="2476"/>
              <w:gridCol w:w="754"/>
              <w:gridCol w:w="651"/>
              <w:gridCol w:w="2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序号</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名称</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型号及规格</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单位</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数量</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有机肥料生产线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给料机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ZGC-0826</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kern w:val="2"/>
                      <w:sz w:val="21"/>
                      <w:szCs w:val="21"/>
                      <w:highlight w:val="none"/>
                      <w:vertAlign w:val="baseline"/>
                      <w:lang w:val="en-US" w:eastAsia="zh-CN" w:bidi="ar-SA"/>
                    </w:rPr>
                    <w:t>处理能力</w:t>
                  </w:r>
                  <w:r>
                    <w:rPr>
                      <w:rFonts w:hint="eastAsia" w:cs="Times New Roman"/>
                      <w:b w:val="0"/>
                      <w:bCs/>
                      <w:color w:val="auto"/>
                      <w:kern w:val="2"/>
                      <w:sz w:val="21"/>
                      <w:szCs w:val="21"/>
                      <w:highlight w:val="none"/>
                      <w:vertAlign w:val="baseline"/>
                      <w:lang w:val="en-US" w:eastAsia="zh-CN" w:bidi="ar-SA"/>
                    </w:rPr>
                    <w:t>15</w:t>
                  </w:r>
                  <w:r>
                    <w:rPr>
                      <w:rFonts w:hint="default" w:ascii="Times New Roman" w:hAnsi="Times New Roman" w:cs="Times New Roman"/>
                      <w:b w:val="0"/>
                      <w:bCs/>
                      <w:color w:val="auto"/>
                      <w:kern w:val="2"/>
                      <w:sz w:val="21"/>
                      <w:szCs w:val="21"/>
                      <w:highlight w:val="none"/>
                      <w:vertAlign w:val="baseline"/>
                      <w:lang w:val="en-US" w:eastAsia="zh-CN" w:bidi="ar-SA"/>
                    </w:rPr>
                    <w:t>0t/h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进料仓</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sz w:val="21"/>
                      <w:szCs w:val="21"/>
                      <w:highlight w:val="none"/>
                      <w:vertAlign w:val="baseline"/>
                      <w:lang w:val="en-US" w:eastAsia="zh-CN"/>
                    </w:rPr>
                    <w:t>钢板结构</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3</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bCs w:val="0"/>
                      <w:color w:val="auto"/>
                      <w:kern w:val="0"/>
                      <w:sz w:val="21"/>
                      <w:szCs w:val="21"/>
                      <w:highlight w:val="none"/>
                      <w:lang w:val="en-US" w:eastAsia="zh-CN"/>
                    </w:rPr>
                    <w:t>振动筛</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2YKR-3075</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1</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kern w:val="2"/>
                      <w:sz w:val="21"/>
                      <w:szCs w:val="21"/>
                      <w:highlight w:val="none"/>
                      <w:vertAlign w:val="baseline"/>
                      <w:lang w:val="en-US" w:eastAsia="zh-CN" w:bidi="ar-SA"/>
                    </w:rPr>
                    <w:t>处理能力</w:t>
                  </w:r>
                  <w:r>
                    <w:rPr>
                      <w:rFonts w:hint="eastAsia" w:cs="Times New Roman"/>
                      <w:bCs w:val="0"/>
                      <w:color w:val="auto"/>
                      <w:kern w:val="0"/>
                      <w:sz w:val="21"/>
                      <w:szCs w:val="21"/>
                      <w:highlight w:val="none"/>
                      <w:lang w:val="en-US" w:eastAsia="zh-CN" w:bidi="ar-SA"/>
                    </w:rPr>
                    <w:t>400</w:t>
                  </w:r>
                  <w:r>
                    <w:rPr>
                      <w:rFonts w:hint="default" w:ascii="Times New Roman" w:hAnsi="Times New Roman" w:cs="Times New Roman"/>
                      <w:b w:val="0"/>
                      <w:bCs/>
                      <w:color w:val="auto"/>
                      <w:kern w:val="2"/>
                      <w:sz w:val="21"/>
                      <w:szCs w:val="21"/>
                      <w:highlight w:val="none"/>
                      <w:vertAlign w:val="baseline"/>
                      <w:lang w:val="en-US" w:eastAsia="zh-CN" w:bidi="ar-SA"/>
                    </w:rPr>
                    <w:t>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4</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锤式破碎机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Cs w:val="0"/>
                      <w:color w:val="auto"/>
                      <w:kern w:val="0"/>
                      <w:sz w:val="21"/>
                      <w:szCs w:val="21"/>
                      <w:highlight w:val="none"/>
                      <w:lang w:val="en-US" w:eastAsia="zh-CN"/>
                    </w:rPr>
                    <w:t>PCB-1600*2000</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kern w:val="2"/>
                      <w:sz w:val="21"/>
                      <w:szCs w:val="21"/>
                      <w:highlight w:val="none"/>
                      <w:vertAlign w:val="baseline"/>
                      <w:lang w:val="en-US" w:eastAsia="zh-CN" w:bidi="ar-SA"/>
                    </w:rPr>
                    <w:t>处理能力</w:t>
                  </w:r>
                  <w:r>
                    <w:rPr>
                      <w:rFonts w:hint="eastAsia" w:cs="Times New Roman"/>
                      <w:bCs w:val="0"/>
                      <w:color w:val="auto"/>
                      <w:kern w:val="0"/>
                      <w:sz w:val="21"/>
                      <w:szCs w:val="21"/>
                      <w:highlight w:val="none"/>
                      <w:lang w:val="en-US" w:eastAsia="zh-CN" w:bidi="ar-SA"/>
                    </w:rPr>
                    <w:t>26</w:t>
                  </w:r>
                  <w:r>
                    <w:rPr>
                      <w:rFonts w:hint="default" w:ascii="Times New Roman" w:hAnsi="Times New Roman" w:eastAsia="宋体" w:cs="Times New Roman"/>
                      <w:bCs w:val="0"/>
                      <w:color w:val="auto"/>
                      <w:kern w:val="0"/>
                      <w:sz w:val="21"/>
                      <w:szCs w:val="21"/>
                      <w:highlight w:val="none"/>
                      <w:lang w:val="en-US" w:eastAsia="zh-CN" w:bidi="ar-SA"/>
                    </w:rPr>
                    <w:t>0</w:t>
                  </w:r>
                  <w:r>
                    <w:rPr>
                      <w:rFonts w:hint="default" w:ascii="Times New Roman" w:hAnsi="Times New Roman" w:cs="Times New Roman"/>
                      <w:b w:val="0"/>
                      <w:bCs/>
                      <w:color w:val="auto"/>
                      <w:kern w:val="2"/>
                      <w:sz w:val="21"/>
                      <w:szCs w:val="21"/>
                      <w:highlight w:val="none"/>
                      <w:vertAlign w:val="baseline"/>
                      <w:lang w:val="en-US" w:eastAsia="zh-CN" w:bidi="ar-SA"/>
                    </w:rPr>
                    <w:t>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球磨机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Cs w:val="0"/>
                      <w:color w:val="auto"/>
                      <w:kern w:val="0"/>
                      <w:sz w:val="21"/>
                      <w:szCs w:val="21"/>
                      <w:highlight w:val="none"/>
                      <w:lang w:val="en-US" w:eastAsia="zh-CN"/>
                    </w:rPr>
                  </w:pPr>
                  <w:r>
                    <w:rPr>
                      <w:rFonts w:hint="eastAsia" w:cs="Times New Roman"/>
                      <w:b w:val="0"/>
                      <w:bCs/>
                      <w:color w:val="auto"/>
                      <w:kern w:val="2"/>
                      <w:sz w:val="21"/>
                      <w:szCs w:val="21"/>
                      <w:highlight w:val="none"/>
                      <w:vertAlign w:val="baseline"/>
                      <w:lang w:val="en-US" w:eastAsia="zh-CN" w:bidi="ar-SA"/>
                    </w:rPr>
                    <w: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kern w:val="2"/>
                      <w:sz w:val="21"/>
                      <w:szCs w:val="21"/>
                      <w:highlight w:val="none"/>
                      <w:vertAlign w:val="baseline"/>
                      <w:lang w:val="en-US" w:eastAsia="zh-CN" w:bidi="ar-SA"/>
                    </w:rPr>
                    <w:t>处理能力330t/h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皮带输送机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Cs w:val="0"/>
                      <w:color w:val="auto"/>
                      <w:kern w:val="0"/>
                      <w:sz w:val="21"/>
                      <w:szCs w:val="21"/>
                      <w:highlight w:val="none"/>
                      <w:lang w:val="en-US" w:eastAsia="zh-CN"/>
                    </w:rPr>
                  </w:pPr>
                  <w:r>
                    <w:rPr>
                      <w:rFonts w:hint="eastAsia" w:cs="Times New Roman"/>
                      <w:b w:val="0"/>
                      <w:bCs/>
                      <w:color w:val="auto"/>
                      <w:sz w:val="21"/>
                      <w:szCs w:val="21"/>
                      <w:highlight w:val="none"/>
                      <w:vertAlign w:val="baseline"/>
                      <w:lang w:val="en-US" w:eastAsia="zh-CN"/>
                    </w:rPr>
                    <w:t>B1600mm</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全封闭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7</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搅拌混合机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kern w:val="2"/>
                      <w:sz w:val="21"/>
                      <w:szCs w:val="21"/>
                      <w:highlight w:val="none"/>
                      <w:vertAlign w:val="baseline"/>
                      <w:lang w:val="en-US" w:eastAsia="zh-CN" w:bidi="ar-SA"/>
                    </w:rPr>
                    <w:t>双桨叶式</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kern w:val="2"/>
                      <w:sz w:val="21"/>
                      <w:szCs w:val="21"/>
                      <w:highlight w:val="none"/>
                      <w:vertAlign w:val="baseline"/>
                      <w:lang w:val="en-US" w:eastAsia="zh-CN" w:bidi="ar-SA"/>
                    </w:rPr>
                    <w:t>3</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加水搅拌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8</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提升机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kern w:val="2"/>
                      <w:sz w:val="21"/>
                      <w:szCs w:val="21"/>
                      <w:highlight w:val="none"/>
                      <w:vertAlign w:val="baseline"/>
                      <w:lang w:val="en-US" w:eastAsia="zh-CN" w:bidi="ar-SA"/>
                    </w:rPr>
                    <w:t>全封闭式</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9</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顶升输送机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5</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10</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color w:val="auto"/>
                      <w:kern w:val="0"/>
                      <w:sz w:val="21"/>
                      <w:szCs w:val="21"/>
                      <w:highlight w:val="none"/>
                      <w:lang w:val="en-US" w:eastAsia="zh-CN" w:bidi="ar"/>
                    </w:rPr>
                    <w:t>永磁式磁能机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default" w:cs="Times New Roman"/>
                      <w:b w:val="0"/>
                      <w:bCs/>
                      <w:color w:val="auto"/>
                      <w:sz w:val="21"/>
                      <w:szCs w:val="21"/>
                      <w:highlight w:val="none"/>
                      <w:vertAlign w:val="baseline"/>
                      <w:lang w:val="en-US" w:eastAsia="zh-CN"/>
                    </w:rPr>
                    <w:t>磁场强度：≥1500Gs</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1</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11</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挤压成型机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kern w:val="2"/>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成型压力：≥100MPa</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12</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双层</w:t>
                  </w:r>
                  <w:r>
                    <w:rPr>
                      <w:rFonts w:hint="eastAsia" w:cs="Times New Roman"/>
                      <w:color w:val="auto"/>
                      <w:kern w:val="0"/>
                      <w:sz w:val="21"/>
                      <w:szCs w:val="21"/>
                      <w:highlight w:val="none"/>
                      <w:lang w:val="en-US" w:eastAsia="zh-CN" w:bidi="ar"/>
                    </w:rPr>
                    <w:t>筛分机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双层筛网</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default" w:ascii="Times New Roman" w:hAnsi="Times New Roman" w:cs="Times New Roman"/>
                      <w:b w:val="0"/>
                      <w:bCs/>
                      <w:color w:val="auto"/>
                      <w:kern w:val="2"/>
                      <w:sz w:val="21"/>
                      <w:szCs w:val="21"/>
                      <w:highlight w:val="none"/>
                      <w:vertAlign w:val="baseline"/>
                      <w:lang w:val="en-US" w:eastAsia="zh-CN" w:bidi="ar-SA"/>
                    </w:rPr>
                    <w:t>处理能力</w:t>
                  </w:r>
                  <w:r>
                    <w:rPr>
                      <w:rFonts w:hint="eastAsia" w:cs="Times New Roman"/>
                      <w:bCs w:val="0"/>
                      <w:color w:val="auto"/>
                      <w:kern w:val="0"/>
                      <w:sz w:val="21"/>
                      <w:szCs w:val="21"/>
                      <w:highlight w:val="none"/>
                      <w:lang w:val="en-US" w:eastAsia="zh-CN" w:bidi="ar-SA"/>
                    </w:rPr>
                    <w:t>400</w:t>
                  </w:r>
                  <w:r>
                    <w:rPr>
                      <w:rFonts w:hint="default" w:ascii="Times New Roman" w:hAnsi="Times New Roman" w:cs="Times New Roman"/>
                      <w:b w:val="0"/>
                      <w:bCs/>
                      <w:color w:val="auto"/>
                      <w:kern w:val="2"/>
                      <w:sz w:val="21"/>
                      <w:szCs w:val="21"/>
                      <w:highlight w:val="none"/>
                      <w:vertAlign w:val="baseline"/>
                      <w:lang w:val="en-US" w:eastAsia="zh-CN" w:bidi="ar-SA"/>
                    </w:rPr>
                    <w:t>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13</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计量装袋机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14</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码垛机器人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全自动</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15</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发酵罐</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直径5m，高15m，500t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60</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常温常压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16</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缓冲料仓</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5</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17</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螺旋输送机</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18</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粉料仓</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直径6m，高10m</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个</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煤矸石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分析化验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可见分光光度计</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套</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0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用于检测煤矸石和成品有机肥料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2</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气相色谱仪</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3</w:t>
                  </w:r>
                </w:p>
              </w:tc>
              <w:tc>
                <w:tcPr>
                  <w:tcW w:w="11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default" w:cs="Times New Roman"/>
                      <w:b w:val="0"/>
                      <w:bCs/>
                      <w:color w:val="auto"/>
                      <w:sz w:val="21"/>
                      <w:szCs w:val="21"/>
                      <w:highlight w:val="none"/>
                      <w:vertAlign w:val="baseline"/>
                      <w:lang w:val="en-US" w:eastAsia="zh-CN"/>
                    </w:rPr>
                    <w:t>液相色谱仪</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w:t>
                  </w:r>
                </w:p>
              </w:tc>
              <w:tc>
                <w:tcPr>
                  <w:tcW w:w="4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台</w:t>
                  </w:r>
                </w:p>
              </w:tc>
              <w:tc>
                <w:tcPr>
                  <w:tcW w:w="3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p>
              </w:tc>
              <w:tc>
                <w:tcPr>
                  <w:tcW w:w="120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b w:val="0"/>
                      <w:bCs/>
                      <w:color w:val="auto"/>
                      <w:sz w:val="21"/>
                      <w:szCs w:val="21"/>
                      <w:highlight w:val="none"/>
                      <w:vertAlign w:val="baseline"/>
                      <w:lang w:val="en-US" w:eastAsia="zh-CN"/>
                    </w:rPr>
                  </w:pPr>
                </w:p>
              </w:tc>
            </w:tr>
          </w:tbl>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b w:val="0"/>
                <w:bCs/>
                <w:color w:val="auto"/>
                <w:spacing w:val="0"/>
                <w:sz w:val="24"/>
                <w:szCs w:val="24"/>
                <w:highlight w:val="none"/>
                <w:lang w:val="en-US" w:eastAsia="zh-CN"/>
              </w:rPr>
            </w:pPr>
            <w:r>
              <w:rPr>
                <w:rFonts w:hint="eastAsia" w:cs="Times New Roman"/>
                <w:b w:val="0"/>
                <w:bCs/>
                <w:color w:val="auto"/>
                <w:spacing w:val="0"/>
                <w:sz w:val="24"/>
                <w:szCs w:val="24"/>
                <w:highlight w:val="none"/>
                <w:lang w:val="en-US" w:eastAsia="zh-CN"/>
              </w:rPr>
              <w:t>主要生产设备配置与设计生产能力匹配性分析：</w:t>
            </w:r>
          </w:p>
          <w:p>
            <w:pPr>
              <w:adjustRightInd w:val="0"/>
              <w:snapToGrid w:val="0"/>
              <w:spacing w:line="480" w:lineRule="exact"/>
              <w:ind w:firstLine="480" w:firstLineChars="200"/>
              <w:rPr>
                <w:rFonts w:hint="eastAsia"/>
                <w:b/>
                <w:color w:val="auto"/>
                <w:sz w:val="24"/>
                <w:highlight w:val="none"/>
                <w:lang w:val="en-US" w:eastAsia="zh-CN"/>
              </w:rPr>
            </w:pPr>
            <w:r>
              <w:rPr>
                <w:rFonts w:hint="eastAsia" w:cs="Times New Roman"/>
                <w:b w:val="0"/>
                <w:bCs/>
                <w:color w:val="auto"/>
                <w:spacing w:val="0"/>
                <w:sz w:val="24"/>
                <w:szCs w:val="24"/>
                <w:highlight w:val="none"/>
                <w:lang w:val="en-US" w:eastAsia="zh-CN"/>
              </w:rPr>
              <w:t>根据上述生产能力及设计工作制度，本项目单台锤式破碎机处理能力为260t/h，则年处理能力为260t/h×2×16h/d×300d=249.6万t/a；</w:t>
            </w:r>
            <w:r>
              <w:rPr>
                <w:rFonts w:hint="default" w:cs="Times New Roman"/>
                <w:b w:val="0"/>
                <w:bCs/>
                <w:color w:val="auto"/>
                <w:spacing w:val="0"/>
                <w:sz w:val="24"/>
                <w:szCs w:val="24"/>
                <w:highlight w:val="none"/>
                <w:lang w:val="en-US" w:eastAsia="zh-CN"/>
              </w:rPr>
              <w:t>球磨机</w:t>
            </w:r>
            <w:r>
              <w:rPr>
                <w:rFonts w:hint="eastAsia" w:cs="Times New Roman"/>
                <w:b w:val="0"/>
                <w:bCs/>
                <w:color w:val="auto"/>
                <w:spacing w:val="0"/>
                <w:sz w:val="24"/>
                <w:szCs w:val="24"/>
                <w:highlight w:val="none"/>
                <w:lang w:val="en-US" w:eastAsia="zh-CN"/>
              </w:rPr>
              <w:t>处理能力为330t/h，则年处理能力为330t/h×16h/d×300d=158.4万t/a；振动筛处理能力为400t/h，则年处理能力为400t/h×16h/d×300d=192万t/a，综上所述，本项目主要生产设备可以满足本项目的设计生产能力（年处理150万吨煤矸石）。</w:t>
            </w:r>
          </w:p>
          <w:p>
            <w:pPr>
              <w:adjustRightInd w:val="0"/>
              <w:snapToGrid w:val="0"/>
              <w:spacing w:line="480" w:lineRule="exact"/>
              <w:ind w:firstLine="482" w:firstLineChars="200"/>
              <w:rPr>
                <w:rFonts w:hint="eastAsia"/>
                <w:b/>
                <w:color w:val="auto"/>
                <w:sz w:val="24"/>
                <w:highlight w:val="none"/>
                <w:lang w:val="en-US" w:eastAsia="zh-CN"/>
              </w:rPr>
            </w:pPr>
            <w:r>
              <w:rPr>
                <w:rFonts w:hint="eastAsia"/>
                <w:b/>
                <w:color w:val="auto"/>
                <w:sz w:val="24"/>
                <w:highlight w:val="none"/>
                <w:lang w:val="en-US" w:eastAsia="zh-CN"/>
              </w:rPr>
              <w:t>四、原辅材料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bCs/>
                <w:color w:val="auto"/>
                <w:sz w:val="24"/>
                <w:highlight w:val="none"/>
                <w:lang w:val="en-US" w:eastAsia="zh-CN"/>
              </w:rPr>
            </w:pPr>
            <w:r>
              <w:rPr>
                <w:rFonts w:hint="eastAsia"/>
                <w:color w:val="auto"/>
                <w:sz w:val="24"/>
                <w:highlight w:val="none"/>
              </w:rPr>
              <w:t>本项目原料为煤矸石，进场原料煤矸石粒径≤</w:t>
            </w:r>
            <w:r>
              <w:rPr>
                <w:rFonts w:hint="eastAsia"/>
                <w:color w:val="auto"/>
                <w:sz w:val="24"/>
                <w:highlight w:val="none"/>
                <w:lang w:val="en-US" w:eastAsia="zh-CN"/>
              </w:rPr>
              <w:t>3</w:t>
            </w:r>
            <w:r>
              <w:rPr>
                <w:rFonts w:hint="eastAsia" w:ascii="Times New Roman" w:eastAsia="宋体"/>
                <w:color w:val="auto"/>
                <w:sz w:val="24"/>
                <w:highlight w:val="none"/>
                <w:lang w:val="en-US" w:eastAsia="zh-CN"/>
              </w:rPr>
              <w:t>0</w:t>
            </w:r>
            <w:r>
              <w:rPr>
                <w:rFonts w:hint="eastAsia"/>
                <w:color w:val="auto"/>
                <w:sz w:val="24"/>
                <w:highlight w:val="none"/>
              </w:rPr>
              <w:t>0mm，主要来源为</w:t>
            </w:r>
            <w:r>
              <w:rPr>
                <w:color w:val="auto"/>
                <w:sz w:val="24"/>
                <w:highlight w:val="none"/>
              </w:rPr>
              <w:t>潞安集团余吾</w:t>
            </w:r>
            <w:r>
              <w:rPr>
                <w:rFonts w:hint="eastAsia" w:ascii="Times New Roman" w:hAnsi="Times New Roman" w:eastAsia="宋体" w:cs="Times New Roman"/>
                <w:color w:val="auto"/>
                <w:sz w:val="24"/>
                <w:highlight w:val="none"/>
                <w:lang w:val="en-US" w:eastAsia="zh-CN"/>
              </w:rPr>
              <w:t>煤业洗煤厂</w:t>
            </w:r>
            <w:r>
              <w:rPr>
                <w:rFonts w:hint="eastAsia"/>
                <w:color w:val="auto"/>
                <w:sz w:val="24"/>
                <w:highlight w:val="none"/>
              </w:rPr>
              <w:t>，煤矸石</w:t>
            </w:r>
            <w:r>
              <w:rPr>
                <w:rFonts w:hint="eastAsia"/>
                <w:color w:val="auto"/>
                <w:sz w:val="24"/>
                <w:highlight w:val="none"/>
                <w:lang w:val="en-US" w:eastAsia="zh-CN"/>
              </w:rPr>
              <w:t>通过破碎筛分粉磨工序后进入磁化处理，磁化后的煤矸石</w:t>
            </w:r>
            <w:r>
              <w:rPr>
                <w:rFonts w:hint="eastAsia"/>
                <w:color w:val="auto"/>
                <w:sz w:val="24"/>
                <w:highlight w:val="none"/>
              </w:rPr>
              <w:t>必须检测重金属、放射性等安全指标</w:t>
            </w:r>
            <w:r>
              <w:rPr>
                <w:rFonts w:hint="eastAsia"/>
                <w:bCs/>
                <w:color w:val="auto"/>
                <w:sz w:val="24"/>
                <w:highlight w:val="none"/>
                <w:lang w:val="en-US" w:eastAsia="zh-CN"/>
              </w:rPr>
              <w:t>，重金属含量（参照成品限量指标提前控制），放射性核素限量需符合《建筑材料放射性核素限量》（GB 6566-2010）标准，本项目原辅料消耗情况见下表。</w:t>
            </w:r>
          </w:p>
          <w:p>
            <w:pPr>
              <w:pStyle w:val="94"/>
              <w:keepNext w:val="0"/>
              <w:keepLines w:val="0"/>
              <w:pageBreakBefore w:val="0"/>
              <w:widowControl w:val="0"/>
              <w:kinsoku/>
              <w:wordWrap/>
              <w:overflowPunct/>
              <w:topLinePunct w:val="0"/>
              <w:autoSpaceDE/>
              <w:autoSpaceDN/>
              <w:bidi w:val="0"/>
              <w:adjustRightInd/>
              <w:snapToGrid/>
              <w:spacing w:before="157" w:beforeLines="50" w:line="240" w:lineRule="auto"/>
              <w:ind w:left="0" w:rightChars="0" w:firstLine="0" w:firstLineChars="0"/>
              <w:textAlignment w:val="auto"/>
              <w:rPr>
                <w:rFonts w:hint="default" w:ascii="Times New Roman" w:hAnsi="Times New Roman" w:eastAsia="宋体" w:cs="Times New Roman"/>
                <w:b/>
                <w:bCs/>
                <w:color w:val="auto"/>
                <w:highlight w:val="none"/>
                <w:shd w:val="clear" w:color="auto" w:fill="auto"/>
              </w:rPr>
            </w:pPr>
            <w:r>
              <w:rPr>
                <w:rFonts w:hint="default" w:ascii="Times New Roman" w:hAnsi="Times New Roman" w:eastAsia="宋体" w:cs="Times New Roman"/>
                <w:b/>
                <w:bCs/>
                <w:color w:val="auto"/>
                <w:highlight w:val="none"/>
                <w:shd w:val="clear" w:color="auto" w:fill="auto"/>
              </w:rPr>
              <w:t>表2-</w:t>
            </w:r>
            <w:r>
              <w:rPr>
                <w:rFonts w:hint="eastAsia" w:ascii="Times New Roman" w:hAnsi="Times New Roman" w:eastAsia="宋体" w:cs="Times New Roman"/>
                <w:b/>
                <w:bCs/>
                <w:color w:val="auto"/>
                <w:highlight w:val="none"/>
                <w:shd w:val="clear" w:color="auto" w:fill="auto"/>
                <w:lang w:val="en-US" w:eastAsia="zh-CN"/>
              </w:rPr>
              <w:t>6</w:t>
            </w:r>
            <w:r>
              <w:rPr>
                <w:rFonts w:hint="default" w:ascii="Times New Roman" w:hAnsi="Times New Roman" w:eastAsia="宋体" w:cs="Times New Roman"/>
                <w:b/>
                <w:bCs/>
                <w:color w:val="auto"/>
                <w:highlight w:val="none"/>
                <w:shd w:val="clear" w:color="auto" w:fill="auto"/>
              </w:rPr>
              <w:t xml:space="preserve">  本项目原辅材料消耗一览表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812"/>
              <w:gridCol w:w="1454"/>
              <w:gridCol w:w="1454"/>
              <w:gridCol w:w="1396"/>
              <w:gridCol w:w="1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序号</w:t>
                  </w:r>
                </w:p>
              </w:tc>
              <w:tc>
                <w:tcPr>
                  <w:tcW w:w="10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名称</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ascii="Times New Roman" w:hAnsi="Times New Roman" w:eastAsia="宋体" w:cs="Times New Roman"/>
                      <w:b/>
                      <w:bCs/>
                      <w:color w:val="auto"/>
                      <w:sz w:val="21"/>
                      <w:szCs w:val="21"/>
                      <w:highlight w:val="none"/>
                      <w:shd w:val="clear" w:color="auto" w:fill="auto"/>
                      <w:lang w:val="en-US" w:eastAsia="zh-CN"/>
                    </w:rPr>
                    <w:t>年用量</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形态</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最大存储量</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eastAsia"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0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煤矸石</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cs="Times New Roman"/>
                      <w:b w:val="0"/>
                      <w:bCs w:val="0"/>
                      <w:color w:val="auto"/>
                      <w:kern w:val="0"/>
                      <w:sz w:val="21"/>
                      <w:szCs w:val="21"/>
                      <w:highlight w:val="none"/>
                      <w:shd w:val="clear" w:color="auto" w:fill="auto"/>
                      <w:lang w:val="en-US" w:eastAsia="zh-CN"/>
                    </w:rPr>
                    <w:t>1500000</w:t>
                  </w:r>
                  <w:r>
                    <w:rPr>
                      <w:rFonts w:hint="eastAsia" w:ascii="Times New Roman" w:hAnsi="Times New Roman" w:eastAsia="宋体" w:cs="Times New Roman"/>
                      <w:b w:val="0"/>
                      <w:bCs w:val="0"/>
                      <w:color w:val="auto"/>
                      <w:sz w:val="21"/>
                      <w:szCs w:val="21"/>
                      <w:highlight w:val="none"/>
                      <w:shd w:val="clear" w:color="auto" w:fill="auto"/>
                      <w:lang w:val="en-US" w:eastAsia="zh-CN"/>
                    </w:rPr>
                    <w:t>t</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固态，块状</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ascii="Times New Roman" w:eastAsia="宋体"/>
                      <w:color w:val="auto"/>
                      <w:sz w:val="21"/>
                      <w:szCs w:val="21"/>
                      <w:highlight w:val="none"/>
                      <w:lang w:val="en-US" w:eastAsia="zh-CN"/>
                    </w:rPr>
                    <w:t>10880</w:t>
                  </w:r>
                  <w:r>
                    <w:rPr>
                      <w:rFonts w:hint="eastAsia" w:ascii="Times New Roman" w:hAnsi="Times New Roman" w:eastAsia="宋体" w:cs="Times New Roman"/>
                      <w:b w:val="0"/>
                      <w:bCs w:val="0"/>
                      <w:color w:val="auto"/>
                      <w:sz w:val="21"/>
                      <w:szCs w:val="21"/>
                      <w:highlight w:val="none"/>
                      <w:shd w:val="clear" w:color="auto" w:fill="auto"/>
                      <w:lang w:val="en-US" w:eastAsia="zh-CN"/>
                    </w:rPr>
                    <w:t>t</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散装，</w:t>
                  </w:r>
                  <w:r>
                    <w:rPr>
                      <w:rFonts w:hint="eastAsia" w:ascii="Times New Roman" w:hAnsi="Times New Roman" w:eastAsia="宋体" w:cs="Times New Roman"/>
                      <w:color w:val="auto"/>
                      <w:kern w:val="0"/>
                      <w:sz w:val="21"/>
                      <w:szCs w:val="21"/>
                      <w:highlight w:val="none"/>
                      <w:shd w:val="clear" w:color="auto" w:fill="auto"/>
                      <w:lang w:val="en-US" w:eastAsia="zh-CN"/>
                    </w:rPr>
                    <w:t>全封闭</w:t>
                  </w:r>
                  <w:r>
                    <w:rPr>
                      <w:rFonts w:hint="eastAsia" w:cs="Times New Roman"/>
                      <w:color w:val="auto"/>
                      <w:kern w:val="0"/>
                      <w:sz w:val="21"/>
                      <w:szCs w:val="21"/>
                      <w:highlight w:val="none"/>
                      <w:shd w:val="clear" w:color="auto" w:fill="auto"/>
                      <w:lang w:val="en-US" w:eastAsia="zh-CN"/>
                    </w:rPr>
                    <w:t>生产车间内</w:t>
                  </w:r>
                  <w:r>
                    <w:rPr>
                      <w:rFonts w:hint="eastAsia" w:ascii="Times New Roman" w:hAnsi="Times New Roman" w:eastAsia="宋体" w:cs="Times New Roman"/>
                      <w:color w:val="auto"/>
                      <w:kern w:val="0"/>
                      <w:sz w:val="21"/>
                      <w:szCs w:val="21"/>
                      <w:highlight w:val="none"/>
                      <w:shd w:val="clear" w:color="auto" w:fill="auto"/>
                      <w:lang w:val="en-US" w:eastAsia="zh-CN"/>
                    </w:rPr>
                    <w:t>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p>
              </w:tc>
              <w:tc>
                <w:tcPr>
                  <w:tcW w:w="10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有机酸（黄腐酸、海藻酸）</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cs="Times New Roman"/>
                      <w:b w:val="0"/>
                      <w:bCs w:val="0"/>
                      <w:color w:val="auto"/>
                      <w:kern w:val="0"/>
                      <w:sz w:val="21"/>
                      <w:szCs w:val="21"/>
                      <w:highlight w:val="none"/>
                      <w:shd w:val="clear" w:color="auto" w:fill="auto"/>
                      <w:lang w:val="en-US" w:eastAsia="zh-CN"/>
                    </w:rPr>
                    <w:t>8000</w:t>
                  </w:r>
                  <w:r>
                    <w:rPr>
                      <w:rFonts w:hint="eastAsia" w:ascii="Times New Roman" w:hAnsi="Times New Roman" w:eastAsia="宋体" w:cs="Times New Roman"/>
                      <w:b w:val="0"/>
                      <w:bCs w:val="0"/>
                      <w:color w:val="auto"/>
                      <w:sz w:val="21"/>
                      <w:szCs w:val="21"/>
                      <w:highlight w:val="none"/>
                      <w:shd w:val="clear" w:color="auto" w:fill="auto"/>
                      <w:lang w:val="en-US" w:eastAsia="zh-CN"/>
                    </w:rPr>
                    <w:t>t</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液态</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50t</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桶装，</w:t>
                  </w:r>
                  <w:r>
                    <w:rPr>
                      <w:rFonts w:hint="eastAsia" w:ascii="Times New Roman" w:hAnsi="Times New Roman" w:eastAsia="宋体" w:cs="Times New Roman"/>
                      <w:color w:val="auto"/>
                      <w:kern w:val="0"/>
                      <w:sz w:val="21"/>
                      <w:szCs w:val="21"/>
                      <w:highlight w:val="none"/>
                      <w:shd w:val="clear" w:color="auto" w:fill="auto"/>
                      <w:lang w:val="en-US" w:eastAsia="zh-CN"/>
                    </w:rPr>
                    <w:t>全封闭</w:t>
                  </w:r>
                  <w:r>
                    <w:rPr>
                      <w:rFonts w:hint="eastAsia" w:cs="Times New Roman"/>
                      <w:color w:val="auto"/>
                      <w:kern w:val="0"/>
                      <w:sz w:val="21"/>
                      <w:szCs w:val="21"/>
                      <w:highlight w:val="none"/>
                      <w:shd w:val="clear" w:color="auto" w:fill="auto"/>
                      <w:lang w:val="en-US" w:eastAsia="zh-CN"/>
                    </w:rPr>
                    <w:t>生产车间内</w:t>
                  </w:r>
                  <w:r>
                    <w:rPr>
                      <w:rFonts w:hint="eastAsia" w:ascii="Times New Roman" w:hAnsi="Times New Roman" w:eastAsia="宋体" w:cs="Times New Roman"/>
                      <w:color w:val="auto"/>
                      <w:kern w:val="0"/>
                      <w:sz w:val="21"/>
                      <w:szCs w:val="21"/>
                      <w:highlight w:val="none"/>
                      <w:shd w:val="clear" w:color="auto" w:fill="auto"/>
                      <w:lang w:val="en-US" w:eastAsia="zh-CN"/>
                    </w:rPr>
                    <w:t>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10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微生物菌剂（固氮菌、磷钾细菌、芽孢杆菌）</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cs="Times New Roman"/>
                      <w:b w:val="0"/>
                      <w:bCs w:val="0"/>
                      <w:color w:val="auto"/>
                      <w:kern w:val="0"/>
                      <w:sz w:val="21"/>
                      <w:szCs w:val="21"/>
                      <w:highlight w:val="none"/>
                      <w:shd w:val="clear" w:color="auto" w:fill="auto"/>
                      <w:lang w:val="en-US" w:eastAsia="zh-CN"/>
                    </w:rPr>
                    <w:t>2000</w:t>
                  </w:r>
                  <w:r>
                    <w:rPr>
                      <w:rFonts w:hint="eastAsia" w:ascii="Times New Roman" w:hAnsi="Times New Roman" w:eastAsia="宋体" w:cs="Times New Roman"/>
                      <w:b w:val="0"/>
                      <w:bCs w:val="0"/>
                      <w:color w:val="auto"/>
                      <w:sz w:val="21"/>
                      <w:szCs w:val="21"/>
                      <w:highlight w:val="none"/>
                      <w:shd w:val="clear" w:color="auto" w:fill="auto"/>
                      <w:lang w:val="en-US" w:eastAsia="zh-CN"/>
                    </w:rPr>
                    <w:t>t</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固态，粉末</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20t</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袋装，</w:t>
                  </w:r>
                  <w:r>
                    <w:rPr>
                      <w:rFonts w:hint="eastAsia" w:ascii="Times New Roman" w:hAnsi="Times New Roman" w:eastAsia="宋体" w:cs="Times New Roman"/>
                      <w:color w:val="auto"/>
                      <w:kern w:val="0"/>
                      <w:sz w:val="21"/>
                      <w:szCs w:val="21"/>
                      <w:highlight w:val="none"/>
                      <w:shd w:val="clear" w:color="auto" w:fill="auto"/>
                      <w:lang w:val="en-US" w:eastAsia="zh-CN"/>
                    </w:rPr>
                    <w:t>全封闭</w:t>
                  </w:r>
                  <w:r>
                    <w:rPr>
                      <w:rFonts w:hint="eastAsia" w:cs="Times New Roman"/>
                      <w:color w:val="auto"/>
                      <w:kern w:val="0"/>
                      <w:sz w:val="21"/>
                      <w:szCs w:val="21"/>
                      <w:highlight w:val="none"/>
                      <w:shd w:val="clear" w:color="auto" w:fill="auto"/>
                      <w:lang w:val="en-US" w:eastAsia="zh-CN"/>
                    </w:rPr>
                    <w:t>生产车间内</w:t>
                  </w:r>
                  <w:r>
                    <w:rPr>
                      <w:rFonts w:hint="eastAsia" w:ascii="Times New Roman" w:hAnsi="Times New Roman" w:eastAsia="宋体" w:cs="Times New Roman"/>
                      <w:color w:val="auto"/>
                      <w:kern w:val="0"/>
                      <w:sz w:val="21"/>
                      <w:szCs w:val="21"/>
                      <w:highlight w:val="none"/>
                      <w:shd w:val="clear" w:color="auto" w:fill="auto"/>
                      <w:lang w:val="en-US" w:eastAsia="zh-CN"/>
                    </w:rPr>
                    <w:t>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w:t>
                  </w:r>
                </w:p>
              </w:tc>
              <w:tc>
                <w:tcPr>
                  <w:tcW w:w="10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含氮有机物（豆类）</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cs="Times New Roman"/>
                      <w:b w:val="0"/>
                      <w:bCs w:val="0"/>
                      <w:color w:val="auto"/>
                      <w:kern w:val="0"/>
                      <w:sz w:val="21"/>
                      <w:szCs w:val="21"/>
                      <w:highlight w:val="none"/>
                      <w:shd w:val="clear" w:color="auto" w:fill="auto"/>
                      <w:lang w:val="en-US" w:eastAsia="zh-CN"/>
                    </w:rPr>
                    <w:t>20000</w:t>
                  </w:r>
                  <w:r>
                    <w:rPr>
                      <w:rFonts w:hint="eastAsia" w:ascii="Times New Roman" w:hAnsi="Times New Roman" w:eastAsia="宋体" w:cs="Times New Roman"/>
                      <w:b w:val="0"/>
                      <w:bCs w:val="0"/>
                      <w:color w:val="auto"/>
                      <w:sz w:val="21"/>
                      <w:szCs w:val="21"/>
                      <w:highlight w:val="none"/>
                      <w:shd w:val="clear" w:color="auto" w:fill="auto"/>
                      <w:lang w:val="en-US" w:eastAsia="zh-CN"/>
                    </w:rPr>
                    <w:t>t</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固态，粉末</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50t</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袋装，</w:t>
                  </w:r>
                  <w:r>
                    <w:rPr>
                      <w:rFonts w:hint="eastAsia" w:ascii="Times New Roman" w:hAnsi="Times New Roman" w:eastAsia="宋体" w:cs="Times New Roman"/>
                      <w:color w:val="auto"/>
                      <w:kern w:val="0"/>
                      <w:sz w:val="21"/>
                      <w:szCs w:val="21"/>
                      <w:highlight w:val="none"/>
                      <w:shd w:val="clear" w:color="auto" w:fill="auto"/>
                      <w:lang w:val="en-US" w:eastAsia="zh-CN"/>
                    </w:rPr>
                    <w:t>全封闭</w:t>
                  </w:r>
                  <w:r>
                    <w:rPr>
                      <w:rFonts w:hint="eastAsia" w:cs="Times New Roman"/>
                      <w:color w:val="auto"/>
                      <w:kern w:val="0"/>
                      <w:sz w:val="21"/>
                      <w:szCs w:val="21"/>
                      <w:highlight w:val="none"/>
                      <w:shd w:val="clear" w:color="auto" w:fill="auto"/>
                      <w:lang w:val="en-US" w:eastAsia="zh-CN"/>
                    </w:rPr>
                    <w:t>生产车间内</w:t>
                  </w:r>
                  <w:r>
                    <w:rPr>
                      <w:rFonts w:hint="eastAsia" w:ascii="Times New Roman" w:hAnsi="Times New Roman" w:eastAsia="宋体" w:cs="Times New Roman"/>
                      <w:color w:val="auto"/>
                      <w:kern w:val="0"/>
                      <w:sz w:val="21"/>
                      <w:szCs w:val="21"/>
                      <w:highlight w:val="none"/>
                      <w:shd w:val="clear" w:color="auto" w:fill="auto"/>
                      <w:lang w:val="en-US" w:eastAsia="zh-CN"/>
                    </w:rPr>
                    <w:t>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w:t>
                  </w:r>
                </w:p>
              </w:tc>
              <w:tc>
                <w:tcPr>
                  <w:tcW w:w="10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生物酶（纤维素酶、蛋白酶）</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highlight w:val="none"/>
                      <w:shd w:val="clear" w:color="auto" w:fill="auto"/>
                      <w:lang w:val="en-US" w:eastAsia="zh-CN"/>
                    </w:rPr>
                  </w:pPr>
                  <w:r>
                    <w:rPr>
                      <w:rFonts w:hint="eastAsia" w:cs="Times New Roman"/>
                      <w:b w:val="0"/>
                      <w:bCs w:val="0"/>
                      <w:color w:val="auto"/>
                      <w:kern w:val="0"/>
                      <w:sz w:val="21"/>
                      <w:szCs w:val="21"/>
                      <w:highlight w:val="none"/>
                      <w:shd w:val="clear" w:color="auto" w:fill="auto"/>
                      <w:lang w:val="en-US" w:eastAsia="zh-CN"/>
                    </w:rPr>
                    <w:t>2000</w:t>
                  </w:r>
                  <w:r>
                    <w:rPr>
                      <w:rFonts w:hint="eastAsia" w:ascii="Times New Roman" w:hAnsi="Times New Roman" w:eastAsia="宋体" w:cs="Times New Roman"/>
                      <w:b w:val="0"/>
                      <w:bCs w:val="0"/>
                      <w:color w:val="auto"/>
                      <w:sz w:val="21"/>
                      <w:szCs w:val="21"/>
                      <w:highlight w:val="none"/>
                      <w:shd w:val="clear" w:color="auto" w:fill="auto"/>
                      <w:lang w:val="en-US" w:eastAsia="zh-CN"/>
                    </w:rPr>
                    <w:t>t</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液态</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20t</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桶装，</w:t>
                  </w:r>
                  <w:r>
                    <w:rPr>
                      <w:rFonts w:hint="eastAsia" w:ascii="Times New Roman" w:hAnsi="Times New Roman" w:eastAsia="宋体" w:cs="Times New Roman"/>
                      <w:color w:val="auto"/>
                      <w:kern w:val="0"/>
                      <w:sz w:val="21"/>
                      <w:szCs w:val="21"/>
                      <w:highlight w:val="none"/>
                      <w:shd w:val="clear" w:color="auto" w:fill="auto"/>
                      <w:lang w:val="en-US" w:eastAsia="zh-CN"/>
                    </w:rPr>
                    <w:t>全封闭</w:t>
                  </w:r>
                  <w:r>
                    <w:rPr>
                      <w:rFonts w:hint="eastAsia" w:cs="Times New Roman"/>
                      <w:color w:val="auto"/>
                      <w:kern w:val="0"/>
                      <w:sz w:val="21"/>
                      <w:szCs w:val="21"/>
                      <w:highlight w:val="none"/>
                      <w:shd w:val="clear" w:color="auto" w:fill="auto"/>
                      <w:lang w:val="en-US" w:eastAsia="zh-CN"/>
                    </w:rPr>
                    <w:t>生产车间内</w:t>
                  </w:r>
                  <w:r>
                    <w:rPr>
                      <w:rFonts w:hint="eastAsia" w:ascii="Times New Roman" w:hAnsi="Times New Roman" w:eastAsia="宋体" w:cs="Times New Roman"/>
                      <w:color w:val="auto"/>
                      <w:kern w:val="0"/>
                      <w:sz w:val="21"/>
                      <w:szCs w:val="21"/>
                      <w:highlight w:val="none"/>
                      <w:shd w:val="clear" w:color="auto" w:fill="auto"/>
                      <w:lang w:val="en-US" w:eastAsia="zh-CN"/>
                    </w:rPr>
                    <w:t>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w:t>
                  </w:r>
                </w:p>
              </w:tc>
              <w:tc>
                <w:tcPr>
                  <w:tcW w:w="10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水</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b w:val="0"/>
                      <w:bCs w:val="0"/>
                      <w:color w:val="auto"/>
                      <w:kern w:val="0"/>
                      <w:sz w:val="21"/>
                      <w:szCs w:val="21"/>
                      <w:highlight w:val="none"/>
                      <w:shd w:val="clear" w:color="auto" w:fill="auto"/>
                      <w:lang w:val="en-US" w:eastAsia="zh-CN"/>
                    </w:rPr>
                  </w:pPr>
                  <w:r>
                    <w:rPr>
                      <w:rFonts w:hint="eastAsia" w:cs="Times New Roman"/>
                      <w:b w:val="0"/>
                      <w:bCs w:val="0"/>
                      <w:color w:val="auto"/>
                      <w:kern w:val="0"/>
                      <w:sz w:val="21"/>
                      <w:szCs w:val="21"/>
                      <w:highlight w:val="none"/>
                      <w:shd w:val="clear" w:color="auto" w:fill="auto"/>
                      <w:lang w:val="en-US" w:eastAsia="zh-CN"/>
                    </w:rPr>
                    <w:t>240000</w:t>
                  </w:r>
                  <w:r>
                    <w:rPr>
                      <w:rFonts w:hint="eastAsia" w:ascii="Times New Roman" w:hAnsi="Times New Roman" w:eastAsia="宋体" w:cs="Times New Roman"/>
                      <w:b w:val="0"/>
                      <w:bCs w:val="0"/>
                      <w:color w:val="auto"/>
                      <w:sz w:val="21"/>
                      <w:szCs w:val="21"/>
                      <w:highlight w:val="none"/>
                      <w:shd w:val="clear" w:color="auto" w:fill="auto"/>
                      <w:lang w:val="en-US" w:eastAsia="zh-CN"/>
                    </w:rPr>
                    <w:t>t</w:t>
                  </w:r>
                </w:p>
              </w:tc>
              <w:tc>
                <w:tcPr>
                  <w:tcW w:w="8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w:t>
                  </w:r>
                </w:p>
              </w:tc>
              <w:tc>
                <w:tcPr>
                  <w:tcW w:w="8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w:t>
                  </w:r>
                </w:p>
              </w:tc>
              <w:tc>
                <w:tcPr>
                  <w:tcW w:w="92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由园区供水管网提供</w:t>
                  </w:r>
                </w:p>
              </w:tc>
            </w:tr>
          </w:tbl>
          <w:p>
            <w:pPr>
              <w:adjustRightInd w:val="0"/>
              <w:snapToGrid w:val="0"/>
              <w:spacing w:line="480" w:lineRule="exact"/>
              <w:ind w:firstLine="480" w:firstLineChars="200"/>
              <w:rPr>
                <w:rFonts w:hint="eastAsia"/>
                <w:b w:val="0"/>
                <w:bCs/>
                <w:color w:val="auto"/>
                <w:sz w:val="24"/>
                <w:highlight w:val="none"/>
                <w:lang w:val="en-US" w:eastAsia="zh-CN"/>
              </w:rPr>
            </w:pPr>
            <w:r>
              <w:rPr>
                <w:rFonts w:hint="eastAsia"/>
                <w:b w:val="0"/>
                <w:bCs/>
                <w:color w:val="auto"/>
                <w:sz w:val="24"/>
                <w:highlight w:val="none"/>
                <w:lang w:val="en-US" w:eastAsia="zh-CN"/>
              </w:rPr>
              <w:t>煤矸石其</w:t>
            </w:r>
            <w:r>
              <w:rPr>
                <w:rFonts w:hint="eastAsia" w:ascii="Times New Roman" w:eastAsia="宋体"/>
                <w:color w:val="auto"/>
                <w:sz w:val="24"/>
                <w:szCs w:val="24"/>
                <w:highlight w:val="none"/>
                <w:lang w:val="en-US" w:eastAsia="zh-CN"/>
              </w:rPr>
              <w:t>主要成分为</w:t>
            </w:r>
            <w:r>
              <w:rPr>
                <w:rFonts w:hint="default"/>
                <w:color w:val="auto"/>
                <w:sz w:val="24"/>
                <w:szCs w:val="24"/>
                <w:highlight w:val="none"/>
              </w:rPr>
              <w:t>SiO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color w:val="auto"/>
                <w:sz w:val="24"/>
                <w:szCs w:val="24"/>
                <w:highlight w:val="none"/>
              </w:rPr>
              <w:t>AI</w:t>
            </w:r>
            <w:r>
              <w:rPr>
                <w:rFonts w:hint="default"/>
                <w:color w:val="auto"/>
                <w:sz w:val="24"/>
                <w:szCs w:val="24"/>
                <w:highlight w:val="none"/>
                <w:vertAlign w:val="subscript"/>
              </w:rPr>
              <w:t>2</w:t>
            </w:r>
            <w:r>
              <w:rPr>
                <w:rFonts w:hint="default"/>
                <w:color w:val="auto"/>
                <w:sz w:val="24"/>
                <w:szCs w:val="24"/>
                <w:highlight w:val="none"/>
              </w:rPr>
              <w:t>O</w:t>
            </w:r>
            <w:r>
              <w:rPr>
                <w:rFonts w:hint="default"/>
                <w:color w:val="auto"/>
                <w:sz w:val="24"/>
                <w:szCs w:val="24"/>
                <w:highlight w:val="none"/>
                <w:vertAlign w:val="subscript"/>
              </w:rPr>
              <w:t>3</w:t>
            </w:r>
            <w:r>
              <w:rPr>
                <w:rFonts w:hint="eastAsia"/>
                <w:color w:val="auto"/>
                <w:sz w:val="24"/>
                <w:szCs w:val="24"/>
                <w:highlight w:val="none"/>
                <w:vertAlign w:val="baseline"/>
                <w:lang w:eastAsia="zh-CN"/>
              </w:rPr>
              <w:t>、</w:t>
            </w:r>
            <w:r>
              <w:rPr>
                <w:rFonts w:hint="default"/>
                <w:color w:val="auto"/>
                <w:sz w:val="24"/>
                <w:szCs w:val="24"/>
                <w:highlight w:val="none"/>
              </w:rPr>
              <w:t>K</w:t>
            </w:r>
            <w:r>
              <w:rPr>
                <w:rFonts w:hint="default"/>
                <w:color w:val="auto"/>
                <w:sz w:val="24"/>
                <w:szCs w:val="24"/>
                <w:highlight w:val="none"/>
                <w:vertAlign w:val="subscript"/>
              </w:rPr>
              <w:t>2</w:t>
            </w:r>
            <w:r>
              <w:rPr>
                <w:rFonts w:hint="default"/>
                <w:color w:val="auto"/>
                <w:sz w:val="24"/>
                <w:szCs w:val="24"/>
                <w:highlight w:val="none"/>
              </w:rPr>
              <w:t>O</w:t>
            </w:r>
            <w:r>
              <w:rPr>
                <w:rFonts w:hint="eastAsia"/>
                <w:color w:val="auto"/>
                <w:sz w:val="24"/>
                <w:szCs w:val="24"/>
                <w:highlight w:val="none"/>
                <w:vertAlign w:val="baseline"/>
                <w:lang w:eastAsia="zh-CN"/>
              </w:rPr>
              <w:t>、</w:t>
            </w:r>
            <w:r>
              <w:rPr>
                <w:rFonts w:hint="default"/>
                <w:color w:val="auto"/>
                <w:sz w:val="24"/>
                <w:szCs w:val="24"/>
                <w:highlight w:val="none"/>
              </w:rPr>
              <w:t>Fe</w:t>
            </w:r>
            <w:r>
              <w:rPr>
                <w:rFonts w:hint="default"/>
                <w:color w:val="auto"/>
                <w:sz w:val="24"/>
                <w:szCs w:val="24"/>
                <w:highlight w:val="none"/>
                <w:vertAlign w:val="subscript"/>
              </w:rPr>
              <w:t>2</w:t>
            </w:r>
            <w:r>
              <w:rPr>
                <w:rFonts w:hint="default"/>
                <w:color w:val="auto"/>
                <w:sz w:val="24"/>
                <w:szCs w:val="24"/>
                <w:highlight w:val="none"/>
              </w:rPr>
              <w:t>O</w:t>
            </w:r>
            <w:r>
              <w:rPr>
                <w:rFonts w:hint="default"/>
                <w:color w:val="auto"/>
                <w:sz w:val="24"/>
                <w:szCs w:val="24"/>
                <w:highlight w:val="none"/>
                <w:vertAlign w:val="subscript"/>
              </w:rPr>
              <w:t>3</w:t>
            </w:r>
            <w:r>
              <w:rPr>
                <w:rFonts w:hint="eastAsia"/>
                <w:color w:val="auto"/>
                <w:sz w:val="24"/>
                <w:szCs w:val="24"/>
                <w:highlight w:val="none"/>
                <w:vertAlign w:val="baseline"/>
                <w:lang w:eastAsia="zh-CN"/>
              </w:rPr>
              <w:t>、</w:t>
            </w:r>
            <w:r>
              <w:rPr>
                <w:rFonts w:hint="eastAsia" w:ascii="Times New Roman" w:eastAsia="宋体"/>
                <w:color w:val="auto"/>
                <w:sz w:val="24"/>
                <w:szCs w:val="24"/>
                <w:highlight w:val="none"/>
                <w:lang w:val="en-US" w:eastAsia="zh-CN"/>
              </w:rPr>
              <w:t>TiO</w:t>
            </w:r>
            <w:r>
              <w:rPr>
                <w:rFonts w:hint="eastAsia" w:ascii="Times New Roman" w:eastAsia="宋体"/>
                <w:color w:val="auto"/>
                <w:sz w:val="24"/>
                <w:szCs w:val="24"/>
                <w:highlight w:val="none"/>
                <w:vertAlign w:val="subscript"/>
                <w:lang w:val="en-US" w:eastAsia="zh-CN"/>
              </w:rPr>
              <w:t>2</w:t>
            </w:r>
            <w:r>
              <w:rPr>
                <w:rFonts w:hint="eastAsia"/>
                <w:color w:val="auto"/>
                <w:sz w:val="24"/>
                <w:szCs w:val="24"/>
                <w:highlight w:val="none"/>
                <w:vertAlign w:val="baseline"/>
                <w:lang w:eastAsia="zh-CN"/>
              </w:rPr>
              <w:t>、</w:t>
            </w:r>
            <w:r>
              <w:rPr>
                <w:rFonts w:hint="eastAsia" w:ascii="Times New Roman" w:eastAsia="宋体"/>
                <w:color w:val="auto"/>
                <w:sz w:val="24"/>
                <w:szCs w:val="24"/>
                <w:highlight w:val="none"/>
                <w:lang w:val="en-US" w:eastAsia="zh-CN"/>
              </w:rPr>
              <w:t>MgO</w:t>
            </w:r>
            <w:r>
              <w:rPr>
                <w:rFonts w:hint="eastAsia"/>
                <w:color w:val="auto"/>
                <w:sz w:val="24"/>
                <w:szCs w:val="24"/>
                <w:highlight w:val="none"/>
                <w:lang w:val="en-US" w:eastAsia="zh-CN"/>
              </w:rPr>
              <w:t>、</w:t>
            </w:r>
            <w:r>
              <w:rPr>
                <w:rFonts w:hint="default"/>
                <w:color w:val="auto"/>
                <w:sz w:val="24"/>
                <w:szCs w:val="24"/>
                <w:highlight w:val="none"/>
              </w:rPr>
              <w:t>CaO</w:t>
            </w:r>
            <w:r>
              <w:rPr>
                <w:rFonts w:hint="eastAsia"/>
                <w:color w:val="auto"/>
                <w:sz w:val="24"/>
                <w:szCs w:val="24"/>
                <w:highlight w:val="none"/>
                <w:vertAlign w:val="baseline"/>
                <w:lang w:eastAsia="zh-CN"/>
              </w:rPr>
              <w:t>、</w:t>
            </w:r>
            <w:r>
              <w:rPr>
                <w:rFonts w:hint="default"/>
                <w:color w:val="auto"/>
                <w:sz w:val="24"/>
                <w:szCs w:val="24"/>
                <w:highlight w:val="none"/>
              </w:rPr>
              <w:t>Na</w:t>
            </w:r>
            <w:r>
              <w:rPr>
                <w:rFonts w:hint="default"/>
                <w:color w:val="auto"/>
                <w:sz w:val="24"/>
                <w:szCs w:val="24"/>
                <w:highlight w:val="none"/>
                <w:vertAlign w:val="subscript"/>
              </w:rPr>
              <w:t>2</w:t>
            </w:r>
            <w:r>
              <w:rPr>
                <w:rFonts w:hint="default"/>
                <w:color w:val="auto"/>
                <w:sz w:val="24"/>
                <w:szCs w:val="24"/>
                <w:highlight w:val="none"/>
              </w:rPr>
              <w:t>O</w:t>
            </w:r>
            <w:r>
              <w:rPr>
                <w:rFonts w:hint="eastAsia"/>
                <w:color w:val="auto"/>
                <w:sz w:val="24"/>
                <w:szCs w:val="24"/>
                <w:highlight w:val="none"/>
                <w:vertAlign w:val="baseline"/>
                <w:lang w:eastAsia="zh-CN"/>
              </w:rPr>
              <w:t>、</w:t>
            </w:r>
            <w:r>
              <w:rPr>
                <w:rFonts w:hint="eastAsia" w:ascii="Times New Roman" w:eastAsia="宋体"/>
                <w:color w:val="auto"/>
                <w:sz w:val="24"/>
                <w:szCs w:val="24"/>
                <w:highlight w:val="none"/>
                <w:lang w:val="en-US" w:eastAsia="zh-CN"/>
              </w:rPr>
              <w:t>P</w:t>
            </w:r>
            <w:r>
              <w:rPr>
                <w:rFonts w:hint="eastAsia" w:ascii="Times New Roman" w:eastAsia="宋体"/>
                <w:color w:val="auto"/>
                <w:sz w:val="24"/>
                <w:szCs w:val="24"/>
                <w:highlight w:val="none"/>
                <w:vertAlign w:val="subscript"/>
                <w:lang w:val="en-US" w:eastAsia="zh-CN"/>
              </w:rPr>
              <w:t>2</w:t>
            </w:r>
            <w:r>
              <w:rPr>
                <w:rFonts w:hint="eastAsia" w:ascii="Times New Roman" w:eastAsia="宋体"/>
                <w:color w:val="auto"/>
                <w:sz w:val="24"/>
                <w:szCs w:val="24"/>
                <w:highlight w:val="none"/>
                <w:lang w:val="en-US" w:eastAsia="zh-CN"/>
              </w:rPr>
              <w:t>O</w:t>
            </w:r>
            <w:r>
              <w:rPr>
                <w:rFonts w:hint="eastAsia" w:ascii="Times New Roman" w:hAnsi="Times New Roman" w:eastAsia="宋体" w:cs="Times New Roman"/>
                <w:color w:val="auto"/>
                <w:sz w:val="24"/>
                <w:szCs w:val="24"/>
                <w:highlight w:val="none"/>
                <w:vertAlign w:val="subscript"/>
                <w:lang w:val="en-US" w:eastAsia="zh-CN"/>
              </w:rPr>
              <w:t>5</w:t>
            </w:r>
            <w:r>
              <w:rPr>
                <w:rFonts w:hint="eastAsia"/>
                <w:color w:val="auto"/>
                <w:sz w:val="24"/>
                <w:szCs w:val="24"/>
                <w:highlight w:val="none"/>
                <w:vertAlign w:val="baseline"/>
                <w:lang w:val="en-US" w:eastAsia="zh-CN"/>
              </w:rPr>
              <w:t>等</w:t>
            </w:r>
            <w:r>
              <w:rPr>
                <w:rFonts w:hint="eastAsia"/>
                <w:b w:val="0"/>
                <w:bCs/>
                <w:color w:val="auto"/>
                <w:sz w:val="24"/>
                <w:szCs w:val="24"/>
                <w:highlight w:val="none"/>
                <w:lang w:val="en-US" w:eastAsia="zh-CN"/>
              </w:rPr>
              <w:t>。</w:t>
            </w:r>
          </w:p>
          <w:p>
            <w:pPr>
              <w:adjustRightInd w:val="0"/>
              <w:snapToGrid w:val="0"/>
              <w:spacing w:line="480" w:lineRule="exact"/>
              <w:ind w:firstLine="480" w:firstLineChars="200"/>
              <w:rPr>
                <w:rFonts w:hint="eastAsia"/>
                <w:b w:val="0"/>
                <w:bCs/>
                <w:color w:val="auto"/>
                <w:sz w:val="24"/>
                <w:highlight w:val="none"/>
                <w:lang w:val="en-US" w:eastAsia="zh-CN"/>
              </w:rPr>
            </w:pPr>
            <w:r>
              <w:rPr>
                <w:rFonts w:hint="eastAsia"/>
                <w:b w:val="0"/>
                <w:bCs/>
                <w:color w:val="auto"/>
                <w:sz w:val="24"/>
                <w:highlight w:val="none"/>
                <w:lang w:val="en-US" w:eastAsia="zh-CN"/>
              </w:rPr>
              <w:t>有机酸和生物酶为液体，投加方式为搅拌机内喷雾投加。含氮有机物和菌剂为固态粉末，投加方式为直接投加，物料输送和投加时做加湿处理，在输送皮带和加料口设有喷雾装置。</w:t>
            </w:r>
          </w:p>
          <w:p>
            <w:pPr>
              <w:adjustRightInd w:val="0"/>
              <w:snapToGrid w:val="0"/>
              <w:spacing w:line="480" w:lineRule="exact"/>
              <w:ind w:firstLine="480" w:firstLineChars="200"/>
              <w:rPr>
                <w:rFonts w:hint="eastAsia"/>
                <w:b w:val="0"/>
                <w:bCs/>
                <w:color w:val="auto"/>
                <w:sz w:val="24"/>
                <w:highlight w:val="none"/>
                <w:lang w:val="en-US" w:eastAsia="zh-CN"/>
              </w:rPr>
            </w:pPr>
            <w:r>
              <w:rPr>
                <w:rFonts w:hint="eastAsia"/>
                <w:b w:val="0"/>
                <w:bCs/>
                <w:color w:val="auto"/>
                <w:sz w:val="24"/>
                <w:highlight w:val="none"/>
                <w:lang w:val="en-US" w:eastAsia="zh-CN"/>
              </w:rPr>
              <w:t>本项目原辅料配比情况见下表。</w:t>
            </w:r>
          </w:p>
          <w:p>
            <w:pPr>
              <w:pStyle w:val="94"/>
              <w:keepNext w:val="0"/>
              <w:keepLines w:val="0"/>
              <w:pageBreakBefore w:val="0"/>
              <w:widowControl w:val="0"/>
              <w:kinsoku/>
              <w:wordWrap/>
              <w:overflowPunct/>
              <w:topLinePunct w:val="0"/>
              <w:autoSpaceDE/>
              <w:autoSpaceDN/>
              <w:bidi w:val="0"/>
              <w:adjustRightInd/>
              <w:snapToGrid/>
              <w:spacing w:before="157" w:beforeLines="50" w:line="240" w:lineRule="auto"/>
              <w:ind w:left="0" w:rightChars="0" w:firstLine="0" w:firstLineChars="0"/>
              <w:jc w:val="center"/>
              <w:textAlignment w:val="auto"/>
              <w:rPr>
                <w:rFonts w:hint="default" w:ascii="Times New Roman" w:hAnsi="Times New Roman" w:eastAsia="宋体" w:cs="Times New Roman"/>
                <w:b/>
                <w:bCs/>
                <w:color w:val="auto"/>
                <w:highlight w:val="none"/>
                <w:shd w:val="clear" w:color="auto" w:fill="auto"/>
              </w:rPr>
            </w:pPr>
            <w:r>
              <w:rPr>
                <w:rFonts w:hint="default" w:ascii="Times New Roman" w:hAnsi="Times New Roman" w:eastAsia="宋体" w:cs="Times New Roman"/>
                <w:b/>
                <w:bCs/>
                <w:color w:val="auto"/>
                <w:highlight w:val="none"/>
                <w:shd w:val="clear" w:color="auto" w:fill="auto"/>
              </w:rPr>
              <w:t>表2-</w:t>
            </w:r>
            <w:r>
              <w:rPr>
                <w:rFonts w:hint="eastAsia" w:ascii="Times New Roman" w:hAnsi="Times New Roman" w:eastAsia="宋体" w:cs="Times New Roman"/>
                <w:b/>
                <w:bCs/>
                <w:color w:val="auto"/>
                <w:highlight w:val="none"/>
                <w:shd w:val="clear" w:color="auto" w:fill="auto"/>
                <w:lang w:val="en-US" w:eastAsia="zh-CN"/>
              </w:rPr>
              <w:t>7</w:t>
            </w:r>
            <w:r>
              <w:rPr>
                <w:rFonts w:hint="default" w:ascii="Times New Roman" w:hAnsi="Times New Roman" w:eastAsia="宋体" w:cs="Times New Roman"/>
                <w:b/>
                <w:bCs/>
                <w:color w:val="auto"/>
                <w:highlight w:val="none"/>
                <w:shd w:val="clear" w:color="auto" w:fill="auto"/>
              </w:rPr>
              <w:t xml:space="preserve">  本项目原辅材料消耗一览表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879"/>
              <w:gridCol w:w="3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序号</w:t>
                  </w:r>
                </w:p>
              </w:tc>
              <w:tc>
                <w:tcPr>
                  <w:tcW w:w="23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名称</w:t>
                  </w:r>
                </w:p>
              </w:tc>
              <w:tc>
                <w:tcPr>
                  <w:tcW w:w="1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ascii="Times New Roman" w:hAnsi="Times New Roman" w:eastAsia="宋体" w:cs="Times New Roman"/>
                      <w:b/>
                      <w:bCs/>
                      <w:color w:val="auto"/>
                      <w:sz w:val="21"/>
                      <w:szCs w:val="21"/>
                      <w:highlight w:val="none"/>
                      <w:shd w:val="clear" w:color="auto" w:fill="auto"/>
                      <w:lang w:val="en-US" w:eastAsia="zh-CN"/>
                    </w:rPr>
                    <w:t>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3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煤矸石</w:t>
                  </w:r>
                </w:p>
              </w:tc>
              <w:tc>
                <w:tcPr>
                  <w:tcW w:w="1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p>
              </w:tc>
              <w:tc>
                <w:tcPr>
                  <w:tcW w:w="23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有机酸</w:t>
                  </w:r>
                </w:p>
              </w:tc>
              <w:tc>
                <w:tcPr>
                  <w:tcW w:w="1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23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微生物菌剂</w:t>
                  </w:r>
                </w:p>
              </w:tc>
              <w:tc>
                <w:tcPr>
                  <w:tcW w:w="1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w:t>
                  </w:r>
                </w:p>
              </w:tc>
              <w:tc>
                <w:tcPr>
                  <w:tcW w:w="23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含氮有机物</w:t>
                  </w:r>
                </w:p>
              </w:tc>
              <w:tc>
                <w:tcPr>
                  <w:tcW w:w="1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w:t>
                  </w:r>
                </w:p>
              </w:tc>
              <w:tc>
                <w:tcPr>
                  <w:tcW w:w="233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生物酶</w:t>
                  </w:r>
                </w:p>
              </w:tc>
              <w:tc>
                <w:tcPr>
                  <w:tcW w:w="186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rPr>
                    <w:t>0.2</w:t>
                  </w:r>
                </w:p>
              </w:tc>
            </w:tr>
          </w:tbl>
          <w:p>
            <w:pPr>
              <w:adjustRightInd w:val="0"/>
              <w:snapToGrid w:val="0"/>
              <w:spacing w:line="480" w:lineRule="exact"/>
              <w:ind w:firstLine="480" w:firstLineChars="200"/>
              <w:rPr>
                <w:rFonts w:hint="eastAsia"/>
                <w:b w:val="0"/>
                <w:bCs/>
                <w:color w:val="auto"/>
                <w:sz w:val="24"/>
                <w:highlight w:val="none"/>
                <w:lang w:val="en-US" w:eastAsia="zh-CN"/>
              </w:rPr>
            </w:pPr>
          </w:p>
          <w:p>
            <w:pPr>
              <w:adjustRightInd w:val="0"/>
              <w:snapToGrid w:val="0"/>
              <w:spacing w:line="480" w:lineRule="exact"/>
              <w:ind w:firstLine="480" w:firstLineChars="200"/>
              <w:rPr>
                <w:rFonts w:hint="eastAsia"/>
                <w:b w:val="0"/>
                <w:bCs/>
                <w:color w:val="auto"/>
                <w:sz w:val="24"/>
                <w:highlight w:val="none"/>
                <w:lang w:val="en-US" w:eastAsia="zh-CN"/>
              </w:rPr>
            </w:pPr>
            <w:r>
              <w:rPr>
                <w:rFonts w:hint="eastAsia"/>
                <w:b w:val="0"/>
                <w:bCs/>
                <w:color w:val="auto"/>
                <w:sz w:val="24"/>
                <w:highlight w:val="none"/>
                <w:lang w:val="en-US" w:eastAsia="zh-CN"/>
              </w:rPr>
              <w:t>本项目物料平衡分析：</w:t>
            </w:r>
          </w:p>
          <w:p>
            <w:pPr>
              <w:pStyle w:val="94"/>
              <w:keepNext w:val="0"/>
              <w:keepLines w:val="0"/>
              <w:pageBreakBefore w:val="0"/>
              <w:widowControl w:val="0"/>
              <w:kinsoku/>
              <w:wordWrap/>
              <w:overflowPunct/>
              <w:topLinePunct w:val="0"/>
              <w:autoSpaceDE/>
              <w:autoSpaceDN/>
              <w:bidi w:val="0"/>
              <w:adjustRightInd/>
              <w:snapToGrid/>
              <w:spacing w:line="240" w:lineRule="auto"/>
              <w:ind w:left="0" w:rightChars="0" w:firstLine="0" w:firstLineChars="0"/>
              <w:textAlignment w:val="auto"/>
              <w:rPr>
                <w:rFonts w:hint="default" w:ascii="Times New Roman" w:hAnsi="Times New Roman" w:eastAsia="宋体" w:cs="Times New Roman"/>
                <w:b/>
                <w:bCs/>
                <w:color w:val="auto"/>
                <w:highlight w:val="none"/>
                <w:shd w:val="clear" w:color="auto" w:fill="auto"/>
              </w:rPr>
            </w:pPr>
            <w:r>
              <w:rPr>
                <w:rFonts w:hint="default" w:ascii="Times New Roman" w:hAnsi="Times New Roman" w:eastAsia="宋体" w:cs="Times New Roman"/>
                <w:b/>
                <w:bCs/>
                <w:color w:val="auto"/>
                <w:highlight w:val="none"/>
                <w:shd w:val="clear" w:color="auto" w:fill="auto"/>
              </w:rPr>
              <w:t>表2-</w:t>
            </w:r>
            <w:r>
              <w:rPr>
                <w:rFonts w:hint="eastAsia" w:ascii="Times New Roman" w:hAnsi="Times New Roman" w:eastAsia="宋体" w:cs="Times New Roman"/>
                <w:b/>
                <w:bCs/>
                <w:color w:val="auto"/>
                <w:highlight w:val="none"/>
                <w:shd w:val="clear" w:color="auto" w:fill="auto"/>
                <w:lang w:val="en-US" w:eastAsia="zh-CN"/>
              </w:rPr>
              <w:t>8</w:t>
            </w:r>
            <w:r>
              <w:rPr>
                <w:rFonts w:hint="default" w:ascii="Times New Roman" w:hAnsi="Times New Roman" w:eastAsia="宋体" w:cs="Times New Roman"/>
                <w:b/>
                <w:bCs/>
                <w:color w:val="auto"/>
                <w:highlight w:val="none"/>
                <w:shd w:val="clear" w:color="auto" w:fill="auto"/>
              </w:rPr>
              <w:t xml:space="preserve">  本项目</w:t>
            </w:r>
            <w:r>
              <w:rPr>
                <w:rFonts w:hint="eastAsia" w:ascii="Times New Roman" w:hAnsi="Times New Roman" w:eastAsia="宋体" w:cs="Times New Roman"/>
                <w:b/>
                <w:bCs/>
                <w:color w:val="auto"/>
                <w:highlight w:val="none"/>
                <w:shd w:val="clear" w:color="auto" w:fill="auto"/>
                <w:lang w:val="en-US" w:eastAsia="zh-CN"/>
              </w:rPr>
              <w:t>物料平衡</w:t>
            </w:r>
            <w:r>
              <w:rPr>
                <w:rFonts w:hint="default" w:ascii="Times New Roman" w:hAnsi="Times New Roman" w:eastAsia="宋体" w:cs="Times New Roman"/>
                <w:b/>
                <w:bCs/>
                <w:color w:val="auto"/>
                <w:highlight w:val="none"/>
                <w:shd w:val="clear" w:color="auto" w:fill="auto"/>
              </w:rPr>
              <w:t>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1850"/>
              <w:gridCol w:w="2136"/>
              <w:gridCol w:w="2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投入</w:t>
                  </w:r>
                </w:p>
              </w:tc>
              <w:tc>
                <w:tcPr>
                  <w:tcW w:w="2556"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eastAsia"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default"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名称</w:t>
                  </w:r>
                </w:p>
              </w:tc>
              <w:tc>
                <w:tcPr>
                  <w:tcW w:w="11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eastAsia" w:ascii="Times New Roman" w:hAnsi="Times New Roman" w:eastAsia="宋体" w:cs="Times New Roman"/>
                      <w:b/>
                      <w:bCs/>
                      <w:color w:val="auto"/>
                      <w:sz w:val="21"/>
                      <w:szCs w:val="21"/>
                      <w:highlight w:val="none"/>
                      <w:shd w:val="clear" w:color="auto" w:fill="auto"/>
                      <w:lang w:val="en-US" w:eastAsia="zh-CN"/>
                    </w:rPr>
                  </w:pPr>
                  <w:r>
                    <w:rPr>
                      <w:rFonts w:hint="eastAsia" w:ascii="Times New Roman" w:hAnsi="Times New Roman" w:eastAsia="宋体" w:cs="Times New Roman"/>
                      <w:b/>
                      <w:bCs/>
                      <w:color w:val="auto"/>
                      <w:sz w:val="21"/>
                      <w:szCs w:val="21"/>
                      <w:highlight w:val="none"/>
                      <w:shd w:val="clear" w:color="auto" w:fill="auto"/>
                      <w:lang w:val="en-US" w:eastAsia="zh-CN"/>
                    </w:rPr>
                    <w:t>年用量（t）</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eastAsia"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名称</w:t>
                  </w:r>
                </w:p>
              </w:tc>
              <w:tc>
                <w:tcPr>
                  <w:tcW w:w="12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63" w:leftChars="-30" w:right="-63" w:rightChars="-30"/>
                    <w:jc w:val="center"/>
                    <w:textAlignment w:val="auto"/>
                    <w:rPr>
                      <w:rFonts w:hint="eastAsia" w:cs="Times New Roman"/>
                      <w:b/>
                      <w:bCs/>
                      <w:color w:val="auto"/>
                      <w:sz w:val="21"/>
                      <w:szCs w:val="21"/>
                      <w:highlight w:val="none"/>
                      <w:shd w:val="clear" w:color="auto" w:fill="auto"/>
                      <w:lang w:val="en-US" w:eastAsia="zh-CN"/>
                    </w:rPr>
                  </w:pPr>
                  <w:r>
                    <w:rPr>
                      <w:rFonts w:hint="eastAsia" w:cs="Times New Roman"/>
                      <w:b/>
                      <w:bCs/>
                      <w:color w:val="auto"/>
                      <w:sz w:val="21"/>
                      <w:szCs w:val="21"/>
                      <w:highlight w:val="none"/>
                      <w:shd w:val="clear" w:color="auto" w:fill="auto"/>
                      <w:lang w:val="en-US" w:eastAsia="zh-CN"/>
                    </w:rPr>
                    <w:t>产生</w:t>
                  </w:r>
                  <w:r>
                    <w:rPr>
                      <w:rFonts w:hint="eastAsia" w:ascii="Times New Roman" w:hAnsi="Times New Roman" w:eastAsia="宋体" w:cs="Times New Roman"/>
                      <w:b/>
                      <w:bCs/>
                      <w:color w:val="auto"/>
                      <w:sz w:val="21"/>
                      <w:szCs w:val="21"/>
                      <w:highlight w:val="none"/>
                      <w:shd w:val="clear" w:color="auto" w:fill="auto"/>
                      <w:lang w:val="en-US" w:eastAsia="zh-CN"/>
                    </w:rPr>
                    <w:t>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煤矸石</w:t>
                  </w:r>
                </w:p>
              </w:tc>
              <w:tc>
                <w:tcPr>
                  <w:tcW w:w="11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1500000</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生物有机肥料</w:t>
                  </w:r>
                </w:p>
              </w:tc>
              <w:tc>
                <w:tcPr>
                  <w:tcW w:w="12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1500000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有机酸</w:t>
                  </w:r>
                </w:p>
              </w:tc>
              <w:tc>
                <w:tcPr>
                  <w:tcW w:w="11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8000</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颗粒物</w:t>
                  </w:r>
                </w:p>
              </w:tc>
              <w:tc>
                <w:tcPr>
                  <w:tcW w:w="12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5.142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微生物菌剂</w:t>
                  </w:r>
                </w:p>
              </w:tc>
              <w:tc>
                <w:tcPr>
                  <w:tcW w:w="11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2000</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除尘灰</w:t>
                  </w:r>
                </w:p>
              </w:tc>
              <w:tc>
                <w:tcPr>
                  <w:tcW w:w="12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含氮有机物</w:t>
                  </w:r>
                </w:p>
              </w:tc>
              <w:tc>
                <w:tcPr>
                  <w:tcW w:w="11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20000</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磁选废屑</w:t>
                  </w:r>
                </w:p>
              </w:tc>
              <w:tc>
                <w:tcPr>
                  <w:tcW w:w="12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生物酶</w:t>
                  </w:r>
                </w:p>
              </w:tc>
              <w:tc>
                <w:tcPr>
                  <w:tcW w:w="11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2000</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产品中水分</w:t>
                  </w:r>
                </w:p>
              </w:tc>
              <w:tc>
                <w:tcPr>
                  <w:tcW w:w="12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240000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水</w:t>
                  </w:r>
                </w:p>
              </w:tc>
              <w:tc>
                <w:tcPr>
                  <w:tcW w:w="11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240000</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损耗</w:t>
                  </w:r>
                </w:p>
              </w:tc>
              <w:tc>
                <w:tcPr>
                  <w:tcW w:w="1273" w:type="pct"/>
                  <w:tcBorders>
                    <w:tl2br w:val="nil"/>
                    <w:tr2bl w:val="nil"/>
                  </w:tcBorders>
                  <w:noWrap w:val="0"/>
                  <w:vAlign w:val="center"/>
                </w:tcPr>
                <w:p>
                  <w:pPr>
                    <w:keepNext w:val="0"/>
                    <w:keepLines w:val="0"/>
                    <w:widowControl/>
                    <w:suppressLineNumbers w:val="0"/>
                    <w:jc w:val="center"/>
                    <w:textAlignment w:val="center"/>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29992.858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合计</w:t>
                  </w:r>
                </w:p>
              </w:tc>
              <w:tc>
                <w:tcPr>
                  <w:tcW w:w="11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21"/>
                      <w:szCs w:val="21"/>
                      <w:highlight w:val="none"/>
                      <w:shd w:val="clear" w:color="auto" w:fill="auto"/>
                      <w:lang w:val="en-US" w:eastAsia="zh-CN"/>
                    </w:rPr>
                    <w:t>1772000</w:t>
                  </w:r>
                </w:p>
              </w:tc>
              <w:tc>
                <w:tcPr>
                  <w:tcW w:w="12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合计</w:t>
                  </w:r>
                </w:p>
              </w:tc>
              <w:tc>
                <w:tcPr>
                  <w:tcW w:w="1273"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center"/>
                    <w:textAlignment w:val="auto"/>
                    <w:rPr>
                      <w:rFonts w:hint="eastAsia" w:ascii="Times New Roman" w:hAnsi="Times New Roman" w:eastAsia="宋体" w:cs="Times New Roman"/>
                      <w:color w:val="auto"/>
                      <w:kern w:val="0"/>
                      <w:sz w:val="21"/>
                      <w:szCs w:val="21"/>
                      <w:highlight w:val="none"/>
                      <w:shd w:val="clear" w:color="auto" w:fill="auto"/>
                      <w:lang w:val="en-US" w:eastAsia="zh-CN" w:bidi="ar-SA"/>
                    </w:rPr>
                  </w:pPr>
                  <w:r>
                    <w:rPr>
                      <w:rFonts w:hint="eastAsia" w:cs="Times New Roman"/>
                      <w:color w:val="auto"/>
                      <w:kern w:val="0"/>
                      <w:sz w:val="21"/>
                      <w:szCs w:val="21"/>
                      <w:highlight w:val="none"/>
                      <w:shd w:val="clear" w:color="auto" w:fill="auto"/>
                      <w:lang w:val="en-US" w:eastAsia="zh-CN"/>
                    </w:rPr>
                    <w:t>1772000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left="-63" w:leftChars="-30" w:right="-63" w:rightChars="-30"/>
                    <w:jc w:val="left"/>
                    <w:textAlignment w:val="auto"/>
                    <w:rPr>
                      <w:rFonts w:hint="default" w:cs="Times New Roman"/>
                      <w:color w:val="auto"/>
                      <w:kern w:val="0"/>
                      <w:sz w:val="21"/>
                      <w:szCs w:val="21"/>
                      <w:highlight w:val="none"/>
                      <w:shd w:val="clear" w:color="auto" w:fill="auto"/>
                      <w:lang w:val="en-US" w:eastAsia="zh-CN"/>
                    </w:rPr>
                  </w:pPr>
                  <w:r>
                    <w:rPr>
                      <w:rFonts w:hint="eastAsia" w:cs="Times New Roman"/>
                      <w:color w:val="auto"/>
                      <w:kern w:val="0"/>
                      <w:sz w:val="18"/>
                      <w:szCs w:val="18"/>
                      <w:highlight w:val="none"/>
                      <w:shd w:val="clear" w:color="auto" w:fill="auto"/>
                      <w:lang w:val="en-US" w:eastAsia="zh-CN"/>
                    </w:rPr>
                    <w:t>损耗为生产过程中物料转运、发酵等工艺以水蒸气、二氧化碳、氨气等以及少量粉尘的形式散失到空气中。</w:t>
                  </w:r>
                </w:p>
              </w:tc>
            </w:tr>
          </w:tbl>
          <w:p>
            <w:pPr>
              <w:adjustRightInd w:val="0"/>
              <w:snapToGrid w:val="0"/>
              <w:spacing w:line="480" w:lineRule="exact"/>
              <w:ind w:firstLine="482" w:firstLineChars="200"/>
              <w:rPr>
                <w:rFonts w:hint="default" w:eastAsia="宋体"/>
                <w:b/>
                <w:color w:val="auto"/>
                <w:sz w:val="24"/>
                <w:highlight w:val="none"/>
                <w:lang w:val="en-US" w:eastAsia="zh-CN"/>
              </w:rPr>
            </w:pPr>
            <w:r>
              <w:rPr>
                <w:rFonts w:hint="eastAsia"/>
                <w:b/>
                <w:color w:val="auto"/>
                <w:sz w:val="24"/>
                <w:highlight w:val="none"/>
                <w:lang w:val="en-US" w:eastAsia="zh-CN"/>
              </w:rPr>
              <w:t>五、劳动定员及工作制度</w:t>
            </w:r>
          </w:p>
          <w:p>
            <w:pPr>
              <w:adjustRightInd w:val="0"/>
              <w:snapToGrid w:val="0"/>
              <w:spacing w:line="480" w:lineRule="exact"/>
              <w:ind w:firstLine="480" w:firstLineChars="200"/>
              <w:rPr>
                <w:rFonts w:hint="default"/>
                <w:color w:val="auto"/>
                <w:sz w:val="24"/>
                <w:highlight w:val="none"/>
                <w:lang w:val="en-US" w:eastAsia="zh-CN"/>
              </w:rPr>
            </w:pPr>
            <w:r>
              <w:rPr>
                <w:rFonts w:hint="eastAsia"/>
                <w:color w:val="auto"/>
                <w:sz w:val="24"/>
                <w:highlight w:val="none"/>
                <w:lang w:val="en-US" w:eastAsia="zh-CN"/>
              </w:rPr>
              <w:t>劳动定员：本项目劳动定员为20人。</w:t>
            </w:r>
          </w:p>
          <w:p>
            <w:pPr>
              <w:adjustRightInd w:val="0"/>
              <w:snapToGrid w:val="0"/>
              <w:spacing w:line="480" w:lineRule="exact"/>
              <w:ind w:firstLine="480" w:firstLineChars="200"/>
              <w:rPr>
                <w:rFonts w:hint="default"/>
                <w:color w:val="auto"/>
                <w:sz w:val="24"/>
                <w:highlight w:val="none"/>
                <w:lang w:val="en-US" w:eastAsia="zh-CN"/>
              </w:rPr>
            </w:pPr>
            <w:r>
              <w:rPr>
                <w:rFonts w:hint="eastAsia"/>
                <w:color w:val="auto"/>
                <w:sz w:val="24"/>
                <w:highlight w:val="none"/>
                <w:lang w:val="en-US" w:eastAsia="zh-CN"/>
              </w:rPr>
              <w:t>工作制度：8h/班，2班制，年工作300d，年工作时间为4800h/a</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发酵工序年工作300d，24h，年工作7200</w:t>
            </w:r>
            <w:r>
              <w:rPr>
                <w:rFonts w:hint="eastAsia"/>
                <w:color w:val="auto"/>
                <w:sz w:val="24"/>
                <w:highlight w:val="none"/>
                <w:lang w:val="en-US" w:eastAsia="zh-CN"/>
              </w:rPr>
              <w:t>h/a</w:t>
            </w:r>
            <w:r>
              <w:rPr>
                <w:rFonts w:hint="eastAsia" w:ascii="Times New Roman" w:hAnsi="Times New Roman" w:cs="Times New Roman"/>
                <w:color w:val="auto"/>
                <w:sz w:val="24"/>
                <w:highlight w:val="none"/>
                <w:lang w:val="en-US" w:eastAsia="zh-CN"/>
              </w:rPr>
              <w:t>。</w:t>
            </w:r>
          </w:p>
          <w:p>
            <w:pPr>
              <w:adjustRightInd w:val="0"/>
              <w:snapToGrid w:val="0"/>
              <w:spacing w:line="480" w:lineRule="exact"/>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六、建设地点</w:t>
            </w:r>
          </w:p>
          <w:p>
            <w:pPr>
              <w:adjustRightInd w:val="0"/>
              <w:snapToGrid w:val="0"/>
              <w:spacing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山西省长治市屯留区余吾镇南街村东侧225m处，占地面积为23267m2，项目北侧为空地，东侧为山西晨瑞晟石灰有限公司，南侧为道路，隔道路外为山西中科惠安化工有限公司，西侧为道路，隔道路225m处为南街村。</w:t>
            </w:r>
          </w:p>
          <w:p>
            <w:pPr>
              <w:adjustRightInd w:val="0"/>
              <w:snapToGrid w:val="0"/>
              <w:spacing w:line="480" w:lineRule="exact"/>
              <w:ind w:firstLine="480" w:firstLineChars="200"/>
              <w:rPr>
                <w:rFonts w:hint="eastAsia" w:eastAsia="宋体"/>
                <w:b w:val="0"/>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项目地理位置图见附图1，</w:t>
            </w:r>
            <w:r>
              <w:rPr>
                <w:rFonts w:hint="default" w:ascii="Times New Roman Regular" w:hAnsi="Times New Roman Regular" w:cs="Times New Roman Regular"/>
                <w:color w:val="auto"/>
                <w:sz w:val="24"/>
                <w:highlight w:val="none"/>
              </w:rPr>
              <w:t>项目四邻关系</w:t>
            </w:r>
            <w:r>
              <w:rPr>
                <w:rFonts w:hint="default" w:ascii="Times New Roman Regular" w:hAnsi="Times New Roman Regular" w:cs="Times New Roman Regular"/>
                <w:color w:val="auto"/>
                <w:sz w:val="24"/>
                <w:highlight w:val="none"/>
                <w:lang w:val="en-US" w:eastAsia="zh-CN"/>
              </w:rPr>
              <w:t>及环保目标</w:t>
            </w:r>
            <w:r>
              <w:rPr>
                <w:rFonts w:hint="default" w:ascii="Times New Roman Regular" w:hAnsi="Times New Roman Regular" w:cs="Times New Roman Regular"/>
                <w:color w:val="auto"/>
                <w:sz w:val="24"/>
                <w:highlight w:val="none"/>
              </w:rPr>
              <w:t>图见附图2</w:t>
            </w:r>
            <w:r>
              <w:rPr>
                <w:rFonts w:hint="eastAsia" w:ascii="Times New Roman Regular" w:hAnsi="Times New Roman Regular" w:cs="Times New Roman Regular"/>
                <w:color w:val="auto"/>
                <w:sz w:val="24"/>
                <w:highlight w:val="none"/>
                <w:lang w:eastAsia="zh-CN"/>
              </w:rPr>
              <w:t>。</w:t>
            </w:r>
          </w:p>
          <w:p>
            <w:pPr>
              <w:adjustRightInd w:val="0"/>
              <w:snapToGrid w:val="0"/>
              <w:spacing w:line="480" w:lineRule="exact"/>
              <w:ind w:firstLine="482" w:firstLineChars="200"/>
              <w:rPr>
                <w:b/>
                <w:color w:val="auto"/>
                <w:sz w:val="24"/>
                <w:highlight w:val="none"/>
              </w:rPr>
            </w:pPr>
            <w:r>
              <w:rPr>
                <w:rFonts w:hint="eastAsia"/>
                <w:b/>
                <w:color w:val="auto"/>
                <w:sz w:val="24"/>
                <w:highlight w:val="none"/>
                <w:lang w:val="en-US" w:eastAsia="zh-CN"/>
              </w:rPr>
              <w:t>七、</w:t>
            </w:r>
            <w:r>
              <w:rPr>
                <w:rFonts w:hint="eastAsia"/>
                <w:b/>
                <w:color w:val="auto"/>
                <w:sz w:val="24"/>
                <w:highlight w:val="none"/>
              </w:rPr>
              <w:t>平面布置</w:t>
            </w:r>
          </w:p>
          <w:p>
            <w:pPr>
              <w:adjustRightInd w:val="0"/>
              <w:snapToGrid w:val="0"/>
              <w:spacing w:line="480" w:lineRule="exact"/>
              <w:ind w:firstLine="480" w:firstLineChars="200"/>
              <w:rPr>
                <w:rFonts w:hint="default" w:eastAsia="宋体"/>
                <w:color w:val="auto"/>
                <w:sz w:val="24"/>
                <w:highlight w:val="none"/>
                <w:lang w:val="en-US" w:eastAsia="zh-CN"/>
              </w:rPr>
            </w:pPr>
            <w:r>
              <w:rPr>
                <w:rFonts w:hint="eastAsia"/>
                <w:bCs/>
                <w:color w:val="auto"/>
                <w:sz w:val="24"/>
                <w:highlight w:val="none"/>
                <w:lang w:val="en-US" w:eastAsia="zh-CN"/>
              </w:rPr>
              <w:t>项目建成后厂区主出入口位于厂区南侧，在厂区主入口设置1座磅房及</w:t>
            </w:r>
            <w:r>
              <w:rPr>
                <w:rFonts w:hint="eastAsia" w:ascii="Times New Roman" w:eastAsia="宋体"/>
                <w:bCs/>
                <w:color w:val="auto"/>
                <w:sz w:val="24"/>
                <w:highlight w:val="none"/>
                <w:lang w:val="en-US" w:eastAsia="zh-CN"/>
              </w:rPr>
              <w:t>1座</w:t>
            </w:r>
            <w:r>
              <w:rPr>
                <w:rFonts w:hint="eastAsia"/>
                <w:bCs/>
                <w:color w:val="auto"/>
                <w:sz w:val="24"/>
                <w:highlight w:val="none"/>
                <w:lang w:val="en-US" w:eastAsia="zh-CN"/>
              </w:rPr>
              <w:t>洗车平台。办公出入口位于厂区西侧，在办公出入口设置1座门房。厂区西北侧为停车场，从北往南为办公楼、危废贮存点、配套楼。厂区绿化区域位于配套楼西侧。生产车间位于厂区东侧，为2层建筑，1层设置1条煤矸石制有机肥生产线，设有煤矸石堆放区、成品堆放区、包装区等；2层为库房，用于其他物品的堆放。</w:t>
            </w:r>
            <w:r>
              <w:rPr>
                <w:rFonts w:hint="eastAsia"/>
                <w:color w:val="auto"/>
                <w:sz w:val="24"/>
                <w:highlight w:val="none"/>
                <w:lang w:val="en-US" w:eastAsia="zh-CN"/>
              </w:rPr>
              <w:t>本项目厂区平面布置见附图3、生产车间一层和二层平面布置见</w:t>
            </w:r>
            <w:r>
              <w:rPr>
                <w:rFonts w:hint="eastAsia" w:ascii="Times New Roman" w:eastAsia="宋体"/>
                <w:color w:val="auto"/>
                <w:sz w:val="24"/>
                <w:highlight w:val="none"/>
                <w:lang w:val="en-US" w:eastAsia="zh-CN"/>
              </w:rPr>
              <w:t>附图3</w:t>
            </w:r>
            <w:r>
              <w:rPr>
                <w:rFonts w:hint="eastAsia"/>
                <w:color w:val="auto"/>
                <w:sz w:val="24"/>
                <w:highlight w:val="none"/>
                <w:lang w:val="en-US" w:eastAsia="zh-CN"/>
              </w:rPr>
              <w:t>-1和</w:t>
            </w:r>
            <w:r>
              <w:rPr>
                <w:rFonts w:hint="eastAsia" w:ascii="Times New Roman" w:eastAsia="宋体"/>
                <w:color w:val="auto"/>
                <w:sz w:val="24"/>
                <w:highlight w:val="none"/>
                <w:lang w:val="en-US" w:eastAsia="zh-CN"/>
              </w:rPr>
              <w:t>3-</w:t>
            </w:r>
            <w:r>
              <w:rPr>
                <w:rFonts w:hint="eastAsia"/>
                <w:color w:val="auto"/>
                <w:sz w:val="24"/>
                <w:highlight w:val="none"/>
                <w:lang w:val="en-US" w:eastAsia="zh-CN"/>
              </w:rPr>
              <w:t>2。</w:t>
            </w:r>
          </w:p>
          <w:p>
            <w:pPr>
              <w:adjustRightInd w:val="0"/>
              <w:snapToGrid w:val="0"/>
              <w:spacing w:line="480" w:lineRule="exact"/>
              <w:ind w:firstLine="482" w:firstLineChars="200"/>
              <w:rPr>
                <w:rFonts w:hint="default" w:eastAsia="宋体"/>
                <w:b/>
                <w:bCs/>
                <w:color w:val="auto"/>
                <w:sz w:val="24"/>
                <w:highlight w:val="none"/>
                <w:lang w:val="en-US" w:eastAsia="zh-CN"/>
              </w:rPr>
            </w:pPr>
            <w:r>
              <w:rPr>
                <w:rFonts w:hint="eastAsia"/>
                <w:b/>
                <w:bCs/>
                <w:color w:val="auto"/>
                <w:sz w:val="24"/>
                <w:highlight w:val="none"/>
                <w:lang w:val="en-US" w:eastAsia="zh-CN"/>
              </w:rPr>
              <w:t>八、公辅工程</w:t>
            </w:r>
          </w:p>
          <w:p>
            <w:pPr>
              <w:adjustRightInd w:val="0"/>
              <w:snapToGrid w:val="0"/>
              <w:spacing w:line="480" w:lineRule="exact"/>
              <w:ind w:firstLine="482" w:firstLineChars="200"/>
              <w:rPr>
                <w:rFonts w:hint="default" w:eastAsia="宋体"/>
                <w:b/>
                <w:bCs/>
                <w:color w:val="auto"/>
                <w:sz w:val="24"/>
                <w:highlight w:val="none"/>
                <w:lang w:val="en-US" w:eastAsia="zh-CN"/>
              </w:rPr>
            </w:pPr>
            <w:r>
              <w:rPr>
                <w:rFonts w:hint="eastAsia"/>
                <w:b/>
                <w:bCs/>
                <w:color w:val="auto"/>
                <w:sz w:val="24"/>
                <w:highlight w:val="none"/>
                <w:lang w:val="en-US" w:eastAsia="zh-CN"/>
              </w:rPr>
              <w:t>1.给排水</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rFonts w:hint="eastAsia" w:ascii="Times New Roman" w:hAnsi="Times New Roman" w:cs="Times New Roman"/>
                <w:color w:val="auto"/>
                <w:sz w:val="24"/>
                <w:highlight w:val="none"/>
                <w:lang w:val="en-US" w:eastAsia="zh-CN"/>
              </w:rPr>
              <w:t>给水水源</w:t>
            </w:r>
          </w:p>
          <w:p>
            <w:pPr>
              <w:adjustRightInd w:val="0"/>
              <w:snapToGrid w:val="0"/>
              <w:spacing w:line="480" w:lineRule="exact"/>
              <w:ind w:firstLine="480" w:firstLineChars="200"/>
              <w:rPr>
                <w:rFonts w:hint="eastAsia" w:eastAsia="宋体"/>
                <w:color w:val="auto"/>
                <w:sz w:val="24"/>
                <w:highlight w:val="none"/>
                <w:lang w:eastAsia="zh-CN"/>
              </w:rPr>
            </w:pPr>
            <w:r>
              <w:rPr>
                <w:rFonts w:hint="eastAsia" w:cs="Times New Roman"/>
                <w:color w:val="auto"/>
                <w:sz w:val="24"/>
                <w:highlight w:val="none"/>
                <w:lang w:val="en-US" w:eastAsia="zh-CN"/>
              </w:rPr>
              <w:t>本项目位于屯留县经济技术开发区内，园区供水管网已接入租用场地附近，因此本项目供水由园区供水管网提供，</w:t>
            </w:r>
            <w:r>
              <w:rPr>
                <w:rFonts w:hint="eastAsia" w:ascii="Times New Roman" w:hAnsi="Times New Roman" w:cs="Times New Roman"/>
                <w:color w:val="auto"/>
                <w:sz w:val="24"/>
                <w:highlight w:val="none"/>
                <w:lang w:val="en-US" w:eastAsia="zh-CN"/>
              </w:rPr>
              <w:t>可满足本项目生产、生活用水需求。</w:t>
            </w:r>
          </w:p>
          <w:p>
            <w:pPr>
              <w:adjustRightInd w:val="0"/>
              <w:snapToGrid w:val="0"/>
              <w:spacing w:line="480" w:lineRule="exact"/>
              <w:ind w:firstLine="480" w:firstLineChars="200"/>
              <w:rPr>
                <w:rFonts w:hint="eastAsia"/>
                <w:color w:val="auto"/>
                <w:sz w:val="24"/>
                <w:highlight w:val="none"/>
              </w:rPr>
            </w:pPr>
            <w:r>
              <w:rPr>
                <w:rFonts w:hint="eastAsia"/>
                <w:color w:val="auto"/>
                <w:sz w:val="24"/>
                <w:highlight w:val="none"/>
              </w:rPr>
              <w:t>（2）给水系统</w:t>
            </w:r>
          </w:p>
          <w:p>
            <w:pPr>
              <w:adjustRightInd w:val="0"/>
              <w:snapToGrid w:val="0"/>
              <w:spacing w:line="480" w:lineRule="exact"/>
              <w:ind w:firstLine="480" w:firstLineChars="200"/>
              <w:rPr>
                <w:rFonts w:hint="eastAsia"/>
                <w:color w:val="auto"/>
                <w:sz w:val="24"/>
                <w:highlight w:val="none"/>
              </w:rPr>
            </w:pPr>
            <w:r>
              <w:rPr>
                <w:rFonts w:hint="eastAsia"/>
                <w:color w:val="auto"/>
                <w:sz w:val="24"/>
                <w:highlight w:val="none"/>
              </w:rPr>
              <w:t>本项目用水类型主要为生活用水、</w:t>
            </w:r>
            <w:r>
              <w:rPr>
                <w:rFonts w:hint="eastAsia" w:ascii="Times New Roman" w:hAnsi="Times New Roman" w:eastAsia="宋体" w:cs="Times New Roman"/>
                <w:color w:val="auto"/>
                <w:sz w:val="24"/>
                <w:szCs w:val="21"/>
                <w:highlight w:val="none"/>
                <w:lang w:val="en-US" w:eastAsia="zh-CN"/>
              </w:rPr>
              <w:t>搅拌用水、化验清洗</w:t>
            </w:r>
            <w:r>
              <w:rPr>
                <w:rFonts w:hint="eastAsia" w:cs="Times New Roman"/>
                <w:color w:val="auto"/>
                <w:sz w:val="24"/>
                <w:szCs w:val="21"/>
                <w:highlight w:val="none"/>
                <w:lang w:val="en-US" w:eastAsia="zh-CN"/>
              </w:rPr>
              <w:t>用</w:t>
            </w:r>
            <w:r>
              <w:rPr>
                <w:rFonts w:hint="eastAsia" w:ascii="Times New Roman" w:hAnsi="Times New Roman" w:eastAsia="宋体" w:cs="Times New Roman"/>
                <w:color w:val="auto"/>
                <w:sz w:val="24"/>
                <w:szCs w:val="21"/>
                <w:highlight w:val="none"/>
                <w:lang w:val="en-US" w:eastAsia="zh-CN"/>
              </w:rPr>
              <w:t>水、洗车用水、原料</w:t>
            </w:r>
            <w:r>
              <w:rPr>
                <w:rFonts w:hint="eastAsia" w:cs="Times New Roman"/>
                <w:color w:val="auto"/>
                <w:sz w:val="24"/>
                <w:szCs w:val="21"/>
                <w:highlight w:val="none"/>
                <w:lang w:val="en-US" w:eastAsia="zh-CN"/>
              </w:rPr>
              <w:t>成品</w:t>
            </w:r>
            <w:r>
              <w:rPr>
                <w:rFonts w:hint="eastAsia" w:ascii="Times New Roman" w:hAnsi="Times New Roman" w:eastAsia="宋体" w:cs="Times New Roman"/>
                <w:color w:val="auto"/>
                <w:sz w:val="24"/>
                <w:szCs w:val="21"/>
                <w:highlight w:val="none"/>
                <w:lang w:val="en-US" w:eastAsia="zh-CN"/>
              </w:rPr>
              <w:t>堆放区抑尘用水、车间地坪清洗用水、道路洒水用水</w:t>
            </w:r>
            <w:r>
              <w:rPr>
                <w:rFonts w:hint="eastAsia" w:cs="Times New Roman"/>
                <w:color w:val="auto"/>
                <w:sz w:val="24"/>
                <w:szCs w:val="21"/>
                <w:highlight w:val="none"/>
                <w:lang w:val="en-US" w:eastAsia="zh-CN"/>
              </w:rPr>
              <w:t>、</w:t>
            </w:r>
            <w:r>
              <w:rPr>
                <w:rFonts w:hint="eastAsia" w:ascii="Times New Roman" w:hAnsi="Times New Roman" w:eastAsia="宋体" w:cs="Times New Roman"/>
                <w:color w:val="auto"/>
                <w:sz w:val="24"/>
                <w:szCs w:val="21"/>
                <w:highlight w:val="none"/>
                <w:lang w:val="en-US" w:eastAsia="zh-CN"/>
              </w:rPr>
              <w:t>绿化用水</w:t>
            </w:r>
            <w:r>
              <w:rPr>
                <w:rFonts w:hint="eastAsia" w:cs="Times New Roman"/>
                <w:color w:val="auto"/>
                <w:sz w:val="24"/>
                <w:szCs w:val="21"/>
                <w:highlight w:val="none"/>
                <w:lang w:val="en-US" w:eastAsia="zh-CN"/>
              </w:rPr>
              <w:t>和</w:t>
            </w:r>
            <w:r>
              <w:rPr>
                <w:bCs/>
                <w:color w:val="auto"/>
                <w:sz w:val="24"/>
                <w:szCs w:val="20"/>
                <w:highlight w:val="none"/>
              </w:rPr>
              <w:t>生物除臭</w:t>
            </w:r>
            <w:r>
              <w:rPr>
                <w:rFonts w:hint="eastAsia"/>
                <w:bCs/>
                <w:color w:val="auto"/>
                <w:sz w:val="24"/>
                <w:szCs w:val="20"/>
                <w:highlight w:val="none"/>
                <w:lang w:val="en-US" w:eastAsia="zh-CN"/>
              </w:rPr>
              <w:t>喷淋</w:t>
            </w:r>
            <w:r>
              <w:rPr>
                <w:bCs/>
                <w:color w:val="auto"/>
                <w:sz w:val="24"/>
                <w:szCs w:val="20"/>
                <w:highlight w:val="none"/>
              </w:rPr>
              <w:t>用水</w:t>
            </w:r>
            <w:r>
              <w:rPr>
                <w:rFonts w:hint="eastAsia"/>
                <w:color w:val="auto"/>
                <w:sz w:val="24"/>
                <w:highlight w:val="none"/>
              </w:rPr>
              <w:t>。</w:t>
            </w:r>
          </w:p>
          <w:p>
            <w:pPr>
              <w:adjustRightInd w:val="0"/>
              <w:snapToGrid w:val="0"/>
              <w:spacing w:line="480" w:lineRule="exact"/>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①生活用水</w:t>
            </w:r>
          </w:p>
          <w:p>
            <w:pPr>
              <w:adjustRightInd w:val="0"/>
              <w:snapToGrid w:val="0"/>
              <w:spacing w:line="480" w:lineRule="exact"/>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本项目劳动定员20人，项目不设食堂、宿舍等。因此，项目生活用水主要为职工日常生活用水。职工日常生活用水：</w:t>
            </w:r>
            <w:r>
              <w:rPr>
                <w:rFonts w:hint="eastAsia" w:ascii="Times New Roman" w:hAnsi="Times New Roman" w:cs="Times New Roman"/>
                <w:color w:val="auto"/>
                <w:sz w:val="24"/>
                <w:highlight w:val="none"/>
                <w:lang w:val="en-US" w:eastAsia="zh-CN"/>
              </w:rPr>
              <w:t>参照《山西省用水定额 第4部分：居民生活用水定额》（DB 14/T 1049.4-2021），用水定额按70L/人</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d计，则职工</w:t>
            </w:r>
            <w:r>
              <w:rPr>
                <w:rFonts w:hint="eastAsia" w:cs="Times New Roman"/>
                <w:color w:val="auto"/>
                <w:sz w:val="24"/>
                <w:highlight w:val="none"/>
                <w:lang w:val="en-US" w:eastAsia="zh-CN"/>
              </w:rPr>
              <w:t>生活</w:t>
            </w:r>
            <w:r>
              <w:rPr>
                <w:rFonts w:hint="eastAsia" w:ascii="Times New Roman" w:hAnsi="Times New Roman" w:cs="Times New Roman"/>
                <w:color w:val="auto"/>
                <w:sz w:val="24"/>
                <w:highlight w:val="none"/>
                <w:lang w:val="en-US" w:eastAsia="zh-CN"/>
              </w:rPr>
              <w:t>用水量为</w:t>
            </w:r>
            <w:r>
              <w:rPr>
                <w:rFonts w:hint="eastAsia" w:cs="Times New Roman"/>
                <w:color w:val="auto"/>
                <w:sz w:val="24"/>
                <w:highlight w:val="none"/>
                <w:lang w:val="en-US" w:eastAsia="zh-CN"/>
              </w:rPr>
              <w:t>1.4</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color w:val="auto"/>
                <w:sz w:val="24"/>
                <w:highlight w:val="none"/>
                <w:lang w:val="en-US" w:eastAsia="zh-CN"/>
              </w:rPr>
              <w:t>②</w:t>
            </w:r>
            <w:r>
              <w:rPr>
                <w:rFonts w:hint="eastAsia" w:cs="Times New Roman"/>
                <w:color w:val="auto"/>
                <w:sz w:val="24"/>
                <w:highlight w:val="none"/>
                <w:lang w:val="en-US" w:eastAsia="zh-CN"/>
              </w:rPr>
              <w:t>搅拌用</w:t>
            </w:r>
            <w:r>
              <w:rPr>
                <w:rFonts w:hint="eastAsia" w:ascii="Times New Roman" w:hAnsi="Times New Roman" w:cs="Times New Roman"/>
                <w:color w:val="auto"/>
                <w:sz w:val="24"/>
                <w:highlight w:val="none"/>
                <w:lang w:val="en-US" w:eastAsia="zh-CN"/>
              </w:rPr>
              <w:t>水</w:t>
            </w:r>
          </w:p>
          <w:p>
            <w:pPr>
              <w:adjustRightInd w:val="0"/>
              <w:snapToGrid w:val="0"/>
              <w:spacing w:line="480" w:lineRule="exact"/>
              <w:ind w:firstLine="480" w:firstLineChars="200"/>
              <w:rPr>
                <w:rFonts w:hint="eastAsia"/>
                <w:color w:val="auto"/>
                <w:sz w:val="24"/>
                <w:highlight w:val="none"/>
                <w:lang w:val="en-US" w:eastAsia="zh-CN"/>
              </w:rPr>
            </w:pPr>
            <w:r>
              <w:rPr>
                <w:rFonts w:hint="eastAsia" w:cs="Times New Roman"/>
                <w:color w:val="auto"/>
                <w:sz w:val="24"/>
                <w:highlight w:val="none"/>
                <w:lang w:val="en-US" w:eastAsia="zh-CN"/>
              </w:rPr>
              <w:t>根据建设单位提供的资料</w:t>
            </w: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搅拌用水为50</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h，搅拌工序</w:t>
            </w:r>
            <w:r>
              <w:rPr>
                <w:rFonts w:hint="eastAsia" w:ascii="Times New Roman" w:hAnsi="Times New Roman" w:cs="Times New Roman"/>
                <w:color w:val="auto"/>
                <w:sz w:val="24"/>
                <w:highlight w:val="none"/>
                <w:lang w:val="en-US" w:eastAsia="zh-CN"/>
              </w:rPr>
              <w:t>用水量为</w:t>
            </w:r>
            <w:r>
              <w:rPr>
                <w:rFonts w:hint="eastAsia" w:cs="Times New Roman"/>
                <w:color w:val="auto"/>
                <w:sz w:val="24"/>
                <w:highlight w:val="none"/>
                <w:lang w:val="en-US" w:eastAsia="zh-CN"/>
              </w:rPr>
              <w:t>800</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p>
          <w:p>
            <w:pPr>
              <w:adjustRightInd w:val="0"/>
              <w:snapToGrid w:val="0"/>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③</w:t>
            </w:r>
            <w:r>
              <w:rPr>
                <w:rFonts w:hint="eastAsia" w:ascii="Times New Roman" w:eastAsia="宋体"/>
                <w:color w:val="auto"/>
                <w:sz w:val="24"/>
                <w:highlight w:val="none"/>
                <w:lang w:val="en-US" w:eastAsia="zh-CN"/>
              </w:rPr>
              <w:t>化验清洗</w:t>
            </w:r>
            <w:r>
              <w:rPr>
                <w:rFonts w:hint="eastAsia"/>
                <w:color w:val="auto"/>
                <w:sz w:val="24"/>
                <w:highlight w:val="none"/>
                <w:lang w:val="en-US" w:eastAsia="zh-CN"/>
              </w:rPr>
              <w:t>用</w:t>
            </w:r>
            <w:r>
              <w:rPr>
                <w:rFonts w:hint="eastAsia" w:ascii="Times New Roman" w:eastAsia="宋体"/>
                <w:color w:val="auto"/>
                <w:sz w:val="24"/>
                <w:highlight w:val="none"/>
                <w:lang w:val="en-US" w:eastAsia="zh-CN"/>
              </w:rPr>
              <w:t>水</w:t>
            </w:r>
          </w:p>
          <w:p>
            <w:pPr>
              <w:adjustRightInd w:val="0"/>
              <w:snapToGrid w:val="0"/>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煤矸石入厂前和成品有机肥出厂均要进行分析检测，实验室检测结束后需对容量瓶、试管等仪器进行清洗，清洗采用瓶装纯净水，每次清洗用水约为250mL，每天清洗次数约为40次，则本项目清洗仪器的用水量约为0.01</w:t>
            </w:r>
            <w:r>
              <w:rPr>
                <w:rFonts w:hint="eastAsia" w:ascii="Times New Roman" w:eastAsia="宋体"/>
                <w:color w:val="auto"/>
                <w:sz w:val="24"/>
                <w:highlight w:val="none"/>
                <w:lang w:val="en-US" w:eastAsia="zh-CN"/>
              </w:rPr>
              <w:t>m</w:t>
            </w:r>
            <w:r>
              <w:rPr>
                <w:rFonts w:hint="eastAsia" w:ascii="Times New Roman" w:eastAsia="宋体"/>
                <w:color w:val="auto"/>
                <w:sz w:val="24"/>
                <w:highlight w:val="none"/>
                <w:vertAlign w:val="superscript"/>
                <w:lang w:val="en-US" w:eastAsia="zh-CN"/>
              </w:rPr>
              <w:t>3</w:t>
            </w:r>
            <w:r>
              <w:rPr>
                <w:rFonts w:hint="eastAsia" w:ascii="Times New Roman" w:eastAsia="宋体"/>
                <w:color w:val="auto"/>
                <w:sz w:val="24"/>
                <w:highlight w:val="none"/>
                <w:lang w:val="en-US" w:eastAsia="zh-CN"/>
              </w:rPr>
              <w:t>/</w:t>
            </w:r>
            <w:r>
              <w:rPr>
                <w:rFonts w:hint="eastAsia"/>
                <w:color w:val="auto"/>
                <w:sz w:val="24"/>
                <w:highlight w:val="none"/>
                <w:lang w:val="en-US" w:eastAsia="zh-CN"/>
              </w:rPr>
              <w:t>d。</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④</w:t>
            </w:r>
            <w:r>
              <w:rPr>
                <w:rFonts w:hint="eastAsia" w:ascii="Times New Roman" w:hAnsi="Times New Roman" w:cs="Times New Roman"/>
                <w:color w:val="auto"/>
                <w:sz w:val="24"/>
                <w:highlight w:val="none"/>
                <w:lang w:val="en-US" w:eastAsia="zh-CN"/>
              </w:rPr>
              <w:t>洗车用水</w:t>
            </w:r>
          </w:p>
          <w:p>
            <w:pPr>
              <w:adjustRightInd w:val="0"/>
              <w:snapToGrid w:val="0"/>
              <w:spacing w:line="480" w:lineRule="exact"/>
              <w:ind w:firstLine="480" w:firstLineChars="200"/>
              <w:rPr>
                <w:rFonts w:hint="default"/>
                <w:color w:val="auto"/>
                <w:sz w:val="24"/>
                <w:highlight w:val="none"/>
                <w:lang w:val="en-US" w:eastAsia="zh-CN"/>
              </w:rPr>
            </w:pPr>
            <w:r>
              <w:rPr>
                <w:rFonts w:hint="eastAsia" w:ascii="Times New Roman" w:hAnsi="Times New Roman" w:cs="Times New Roman"/>
                <w:color w:val="auto"/>
                <w:sz w:val="24"/>
                <w:highlight w:val="none"/>
                <w:lang w:val="en-US" w:eastAsia="zh-CN"/>
              </w:rPr>
              <w:t>车辆冲洗用水参照《山西省用水定额》（DB14/T1049-2021），载重汽车循环用水冲洗用水量按40L/（辆·次）计算。本项目汽车载重量按</w:t>
            </w:r>
            <w:r>
              <w:rPr>
                <w:rFonts w:hint="eastAsia" w:cs="Times New Roman"/>
                <w:color w:val="auto"/>
                <w:sz w:val="24"/>
                <w:highlight w:val="none"/>
                <w:lang w:val="en-US" w:eastAsia="zh-CN"/>
              </w:rPr>
              <w:t>40</w:t>
            </w:r>
            <w:r>
              <w:rPr>
                <w:rFonts w:hint="eastAsia" w:ascii="Times New Roman" w:hAnsi="Times New Roman" w:cs="Times New Roman"/>
                <w:color w:val="auto"/>
                <w:sz w:val="24"/>
                <w:highlight w:val="none"/>
                <w:lang w:val="en-US" w:eastAsia="zh-CN"/>
              </w:rPr>
              <w:t>吨计算，</w:t>
            </w:r>
            <w:r>
              <w:rPr>
                <w:rFonts w:hint="eastAsia" w:cs="Times New Roman"/>
                <w:color w:val="auto"/>
                <w:sz w:val="24"/>
                <w:highlight w:val="none"/>
                <w:lang w:val="en-US" w:eastAsia="zh-CN"/>
              </w:rPr>
              <w:t>每天进出车辆约250辆，</w:t>
            </w:r>
            <w:r>
              <w:rPr>
                <w:rFonts w:hint="eastAsia" w:ascii="Times New Roman" w:hAnsi="Times New Roman" w:cs="Times New Roman"/>
                <w:color w:val="auto"/>
                <w:sz w:val="24"/>
                <w:highlight w:val="none"/>
                <w:lang w:val="en-US" w:eastAsia="zh-CN"/>
              </w:rPr>
              <w:t>则本项目洗车用水量</w:t>
            </w:r>
            <w:r>
              <w:rPr>
                <w:rFonts w:hint="eastAsia" w:cs="Times New Roman"/>
                <w:color w:val="auto"/>
                <w:sz w:val="24"/>
                <w:highlight w:val="none"/>
                <w:lang w:val="en-US" w:eastAsia="zh-CN"/>
              </w:rPr>
              <w:t>为10</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洗车水全部循环利用，补水量按用水量20%计，补充新鲜水量为</w:t>
            </w:r>
            <w:r>
              <w:rPr>
                <w:rFonts w:hint="eastAsia"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⑤</w:t>
            </w:r>
            <w:r>
              <w:rPr>
                <w:rFonts w:hint="eastAsia"/>
                <w:color w:val="auto"/>
                <w:sz w:val="24"/>
                <w:highlight w:val="none"/>
                <w:lang w:val="en-US" w:eastAsia="zh-CN"/>
              </w:rPr>
              <w:t>原料堆放区抑尘用水</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color w:val="auto"/>
                <w:sz w:val="24"/>
                <w:highlight w:val="none"/>
              </w:rPr>
              <w:t>喷雾指标</w:t>
            </w:r>
            <w:r>
              <w:rPr>
                <w:rFonts w:hint="eastAsia"/>
                <w:color w:val="auto"/>
                <w:sz w:val="24"/>
                <w:highlight w:val="none"/>
                <w:lang w:val="en-US" w:eastAsia="zh-CN"/>
              </w:rPr>
              <w:t>类比同类型项目，</w:t>
            </w:r>
            <w:r>
              <w:rPr>
                <w:color w:val="auto"/>
                <w:sz w:val="24"/>
                <w:highlight w:val="none"/>
              </w:rPr>
              <w:t>按1.0L/m</w:t>
            </w:r>
            <w:r>
              <w:rPr>
                <w:color w:val="auto"/>
                <w:sz w:val="24"/>
                <w:highlight w:val="none"/>
                <w:vertAlign w:val="superscript"/>
              </w:rPr>
              <w:t>2</w:t>
            </w:r>
            <w:r>
              <w:rPr>
                <w:color w:val="auto"/>
                <w:sz w:val="24"/>
                <w:highlight w:val="none"/>
              </w:rPr>
              <w:t>·次计，一日2次，</w:t>
            </w:r>
            <w:r>
              <w:rPr>
                <w:rFonts w:hint="eastAsia"/>
                <w:color w:val="auto"/>
                <w:sz w:val="24"/>
                <w:highlight w:val="none"/>
                <w:lang w:val="en-US" w:eastAsia="zh-CN"/>
              </w:rPr>
              <w:t>原料</w:t>
            </w:r>
            <w:r>
              <w:rPr>
                <w:rFonts w:hint="eastAsia" w:ascii="Times New Roman" w:eastAsia="宋体"/>
                <w:color w:val="auto"/>
                <w:sz w:val="24"/>
                <w:highlight w:val="none"/>
                <w:lang w:val="en-US" w:eastAsia="zh-CN"/>
              </w:rPr>
              <w:t>堆放区</w:t>
            </w:r>
            <w:r>
              <w:rPr>
                <w:color w:val="auto"/>
                <w:sz w:val="24"/>
                <w:highlight w:val="none"/>
              </w:rPr>
              <w:t>的面积为</w:t>
            </w:r>
            <w:r>
              <w:rPr>
                <w:rFonts w:hint="eastAsia"/>
                <w:color w:val="auto"/>
                <w:sz w:val="24"/>
                <w:highlight w:val="none"/>
                <w:lang w:val="en-US" w:eastAsia="zh-CN"/>
              </w:rPr>
              <w:t>200</w:t>
            </w:r>
            <w:r>
              <w:rPr>
                <w:color w:val="auto"/>
                <w:sz w:val="24"/>
                <w:highlight w:val="none"/>
              </w:rPr>
              <w:t>0m</w:t>
            </w:r>
            <w:r>
              <w:rPr>
                <w:color w:val="auto"/>
                <w:sz w:val="24"/>
                <w:highlight w:val="none"/>
                <w:vertAlign w:val="superscript"/>
              </w:rPr>
              <w:t>2</w:t>
            </w:r>
            <w:r>
              <w:rPr>
                <w:color w:val="auto"/>
                <w:sz w:val="24"/>
                <w:highlight w:val="none"/>
              </w:rPr>
              <w:t>，则</w:t>
            </w:r>
            <w:r>
              <w:rPr>
                <w:rFonts w:hint="eastAsia"/>
                <w:color w:val="auto"/>
                <w:sz w:val="24"/>
                <w:highlight w:val="none"/>
                <w:lang w:val="en-US" w:eastAsia="zh-CN"/>
              </w:rPr>
              <w:t>喷雾抑尘</w:t>
            </w:r>
            <w:r>
              <w:rPr>
                <w:rFonts w:hint="eastAsia"/>
                <w:bCs/>
                <w:color w:val="auto"/>
                <w:sz w:val="24"/>
                <w:highlight w:val="none"/>
                <w:lang w:val="en-US" w:eastAsia="zh-CN"/>
              </w:rPr>
              <w:t>用</w:t>
            </w:r>
            <w:r>
              <w:rPr>
                <w:bCs/>
                <w:color w:val="auto"/>
                <w:sz w:val="24"/>
                <w:highlight w:val="none"/>
              </w:rPr>
              <w:t>水量为</w:t>
            </w:r>
            <w:r>
              <w:rPr>
                <w:rFonts w:hint="eastAsia"/>
                <w:bCs/>
                <w:color w:val="auto"/>
                <w:sz w:val="24"/>
                <w:highlight w:val="none"/>
                <w:lang w:val="en-US" w:eastAsia="zh-CN"/>
              </w:rPr>
              <w:t>4</w:t>
            </w:r>
            <w:r>
              <w:rPr>
                <w:bCs/>
                <w:color w:val="auto"/>
                <w:sz w:val="24"/>
                <w:highlight w:val="none"/>
              </w:rPr>
              <w:t>m</w:t>
            </w:r>
            <w:r>
              <w:rPr>
                <w:bCs/>
                <w:color w:val="auto"/>
                <w:sz w:val="24"/>
                <w:highlight w:val="none"/>
                <w:vertAlign w:val="superscript"/>
              </w:rPr>
              <w:t>3</w:t>
            </w:r>
            <w:r>
              <w:rPr>
                <w:rFonts w:hint="eastAsia"/>
                <w:bCs/>
                <w:color w:val="auto"/>
                <w:sz w:val="24"/>
                <w:highlight w:val="none"/>
                <w:vertAlign w:val="baseline"/>
                <w:lang w:val="en-US" w:eastAsia="zh-CN"/>
              </w:rPr>
              <w:t>/d</w:t>
            </w:r>
            <w:r>
              <w:rPr>
                <w:rFonts w:hint="eastAsia" w:ascii="Times New Roman" w:hAnsi="Times New Roman" w:cs="Times New Roman"/>
                <w:color w:val="auto"/>
                <w:sz w:val="24"/>
                <w:highlight w:val="none"/>
                <w:lang w:val="en-US" w:eastAsia="zh-CN"/>
              </w:rPr>
              <w:t>。</w:t>
            </w:r>
          </w:p>
          <w:p>
            <w:pPr>
              <w:adjustRightInd w:val="0"/>
              <w:snapToGrid w:val="0"/>
              <w:spacing w:line="480" w:lineRule="exact"/>
              <w:ind w:firstLine="480" w:firstLineChars="200"/>
              <w:rPr>
                <w:rFonts w:hint="eastAsia" w:ascii="Times New Roman" w:eastAsia="宋体"/>
                <w:color w:val="auto"/>
                <w:sz w:val="24"/>
                <w:highlight w:val="none"/>
                <w:lang w:val="en-US" w:eastAsia="zh-CN"/>
              </w:rPr>
            </w:pPr>
            <w:r>
              <w:rPr>
                <w:rFonts w:hint="eastAsia" w:ascii="Times New Roman" w:eastAsia="宋体"/>
                <w:color w:val="auto"/>
                <w:sz w:val="24"/>
                <w:highlight w:val="none"/>
                <w:lang w:val="en-US" w:eastAsia="zh-CN"/>
              </w:rPr>
              <w:t>⑥车间地坪清洗用水</w:t>
            </w:r>
          </w:p>
          <w:p>
            <w:pPr>
              <w:adjustRightInd w:val="0"/>
              <w:snapToGrid w:val="0"/>
              <w:spacing w:line="480" w:lineRule="exact"/>
              <w:ind w:firstLine="480" w:firstLineChars="200"/>
              <w:rPr>
                <w:rFonts w:hint="default" w:ascii="Times New Roman" w:eastAsia="宋体"/>
                <w:color w:val="auto"/>
                <w:sz w:val="24"/>
                <w:highlight w:val="none"/>
                <w:lang w:val="en-US" w:eastAsia="zh-CN"/>
              </w:rPr>
            </w:pPr>
            <w:r>
              <w:rPr>
                <w:rFonts w:hint="eastAsia" w:cs="Times New Roman"/>
                <w:b w:val="0"/>
                <w:bCs w:val="0"/>
                <w:color w:val="auto"/>
                <w:sz w:val="24"/>
                <w:szCs w:val="24"/>
                <w:highlight w:val="none"/>
                <w:shd w:val="clear" w:color="auto" w:fill="auto"/>
                <w:lang w:val="en-US" w:eastAsia="zh-CN"/>
              </w:rPr>
              <w:t>本项目</w:t>
            </w:r>
            <w:r>
              <w:rPr>
                <w:rFonts w:hint="eastAsia" w:ascii="Times New Roman" w:eastAsia="宋体"/>
                <w:color w:val="auto"/>
                <w:sz w:val="24"/>
                <w:szCs w:val="24"/>
                <w:highlight w:val="none"/>
                <w:lang w:val="en-US" w:eastAsia="zh-CN"/>
              </w:rPr>
              <w:t>车间</w:t>
            </w:r>
            <w:r>
              <w:rPr>
                <w:rFonts w:hint="eastAsia"/>
                <w:color w:val="auto"/>
                <w:sz w:val="24"/>
                <w:szCs w:val="24"/>
                <w:highlight w:val="none"/>
                <w:lang w:val="en-US" w:eastAsia="zh-CN"/>
              </w:rPr>
              <w:t>地坪冲洗</w:t>
            </w:r>
            <w:r>
              <w:rPr>
                <w:rFonts w:hint="eastAsia" w:cs="Times New Roman"/>
                <w:b w:val="0"/>
                <w:bCs w:val="0"/>
                <w:color w:val="auto"/>
                <w:sz w:val="24"/>
                <w:szCs w:val="24"/>
                <w:highlight w:val="none"/>
                <w:shd w:val="clear" w:color="auto" w:fill="auto"/>
                <w:lang w:val="en-US" w:eastAsia="zh-CN"/>
              </w:rPr>
              <w:t>面积约为5000</w:t>
            </w:r>
            <w:r>
              <w:rPr>
                <w:rFonts w:hint="default" w:ascii="Times New Roman" w:hAnsi="Times New Roman" w:eastAsia="宋体" w:cs="Times New Roman"/>
                <w:b w:val="0"/>
                <w:bCs w:val="0"/>
                <w:color w:val="auto"/>
                <w:sz w:val="24"/>
                <w:szCs w:val="24"/>
                <w:highlight w:val="none"/>
                <w:shd w:val="clear" w:color="auto" w:fill="auto"/>
                <w:lang w:val="en-US" w:eastAsia="zh-CN"/>
              </w:rPr>
              <w:t>m</w:t>
            </w:r>
            <w:r>
              <w:rPr>
                <w:rFonts w:hint="default" w:ascii="Times New Roman" w:hAnsi="Times New Roman" w:eastAsia="宋体" w:cs="Times New Roman"/>
                <w:b w:val="0"/>
                <w:bCs w:val="0"/>
                <w:color w:val="auto"/>
                <w:sz w:val="24"/>
                <w:szCs w:val="24"/>
                <w:highlight w:val="none"/>
                <w:shd w:val="clear" w:color="auto" w:fill="auto"/>
                <w:vertAlign w:val="superscript"/>
                <w:lang w:val="en-US" w:eastAsia="zh-CN"/>
              </w:rPr>
              <w:t>2</w:t>
            </w:r>
            <w:r>
              <w:rPr>
                <w:rFonts w:hint="eastAsia" w:cs="Times New Roman"/>
                <w:b w:val="0"/>
                <w:bCs w:val="0"/>
                <w:color w:val="auto"/>
                <w:sz w:val="24"/>
                <w:szCs w:val="24"/>
                <w:highlight w:val="none"/>
                <w:shd w:val="clear" w:color="auto" w:fill="auto"/>
                <w:vertAlign w:val="baseline"/>
                <w:lang w:val="en-US" w:eastAsia="zh-CN"/>
              </w:rPr>
              <w:t>，用水量按</w:t>
            </w:r>
            <w:r>
              <w:rPr>
                <w:rFonts w:hint="eastAsia"/>
                <w:color w:val="auto"/>
                <w:sz w:val="24"/>
                <w:highlight w:val="none"/>
                <w:lang w:val="en-US" w:eastAsia="zh-CN"/>
              </w:rPr>
              <w:t>1.5</w:t>
            </w:r>
            <w:r>
              <w:rPr>
                <w:color w:val="auto"/>
                <w:sz w:val="24"/>
                <w:highlight w:val="none"/>
              </w:rPr>
              <w:t>L/m</w:t>
            </w:r>
            <w:r>
              <w:rPr>
                <w:color w:val="auto"/>
                <w:sz w:val="24"/>
                <w:highlight w:val="none"/>
                <w:vertAlign w:val="superscript"/>
              </w:rPr>
              <w:t>2</w:t>
            </w:r>
            <w:r>
              <w:rPr>
                <w:color w:val="auto"/>
                <w:sz w:val="24"/>
                <w:highlight w:val="none"/>
              </w:rPr>
              <w:t>·</w:t>
            </w:r>
            <w:r>
              <w:rPr>
                <w:rFonts w:hint="eastAsia"/>
                <w:color w:val="auto"/>
                <w:sz w:val="24"/>
                <w:highlight w:val="none"/>
                <w:lang w:val="en-US" w:eastAsia="zh-CN"/>
              </w:rPr>
              <w:t>d</w:t>
            </w:r>
            <w:r>
              <w:rPr>
                <w:color w:val="auto"/>
                <w:sz w:val="24"/>
                <w:highlight w:val="none"/>
              </w:rPr>
              <w:t>计，则</w:t>
            </w:r>
            <w:r>
              <w:rPr>
                <w:rFonts w:hint="eastAsia" w:ascii="Times New Roman" w:eastAsia="宋体"/>
                <w:color w:val="auto"/>
                <w:sz w:val="24"/>
                <w:szCs w:val="24"/>
                <w:highlight w:val="none"/>
                <w:lang w:val="en-US" w:eastAsia="zh-CN"/>
              </w:rPr>
              <w:t>车间地面清洁用水</w:t>
            </w:r>
            <w:r>
              <w:rPr>
                <w:rFonts w:hint="eastAsia"/>
                <w:color w:val="auto"/>
                <w:sz w:val="24"/>
                <w:szCs w:val="24"/>
                <w:highlight w:val="none"/>
                <w:lang w:val="en-US" w:eastAsia="zh-CN"/>
              </w:rPr>
              <w:t>量</w:t>
            </w:r>
            <w:r>
              <w:rPr>
                <w:bCs/>
                <w:color w:val="auto"/>
                <w:sz w:val="24"/>
                <w:highlight w:val="none"/>
              </w:rPr>
              <w:t>为</w:t>
            </w:r>
            <w:r>
              <w:rPr>
                <w:rFonts w:hint="eastAsia"/>
                <w:bCs/>
                <w:color w:val="auto"/>
                <w:sz w:val="24"/>
                <w:highlight w:val="none"/>
                <w:lang w:val="en-US" w:eastAsia="zh-CN"/>
              </w:rPr>
              <w:t>7.5</w:t>
            </w:r>
            <w:r>
              <w:rPr>
                <w:bCs/>
                <w:color w:val="auto"/>
                <w:sz w:val="24"/>
                <w:highlight w:val="none"/>
              </w:rPr>
              <w:t>m</w:t>
            </w:r>
            <w:r>
              <w:rPr>
                <w:bCs/>
                <w:color w:val="auto"/>
                <w:sz w:val="24"/>
                <w:highlight w:val="none"/>
                <w:vertAlign w:val="superscript"/>
              </w:rPr>
              <w:t>3</w:t>
            </w:r>
            <w:r>
              <w:rPr>
                <w:rFonts w:hint="eastAsia" w:ascii="Times New Roman" w:eastAsia="宋体"/>
                <w:bCs/>
                <w:color w:val="auto"/>
                <w:sz w:val="24"/>
                <w:highlight w:val="none"/>
                <w:vertAlign w:val="baseline"/>
                <w:lang w:val="en-US" w:eastAsia="zh-CN"/>
              </w:rPr>
              <w:t>/d。</w:t>
            </w:r>
          </w:p>
          <w:p>
            <w:pPr>
              <w:adjustRightInd w:val="0"/>
              <w:snapToGrid w:val="0"/>
              <w:spacing w:line="480" w:lineRule="exact"/>
              <w:ind w:firstLine="480" w:firstLineChars="200"/>
              <w:rPr>
                <w:rFonts w:hint="default" w:ascii="Times New Roman" w:eastAsia="宋体"/>
                <w:color w:val="auto"/>
                <w:sz w:val="24"/>
                <w:highlight w:val="none"/>
                <w:lang w:val="en-US" w:eastAsia="zh-CN"/>
              </w:rPr>
            </w:pPr>
            <w:r>
              <w:rPr>
                <w:rFonts w:hint="eastAsia" w:ascii="Times New Roman" w:eastAsia="宋体"/>
                <w:color w:val="auto"/>
                <w:sz w:val="24"/>
                <w:highlight w:val="none"/>
                <w:lang w:val="en-US" w:eastAsia="zh-CN"/>
              </w:rPr>
              <w:t>⑦道路洒水用水</w:t>
            </w:r>
          </w:p>
          <w:p>
            <w:pPr>
              <w:adjustRightInd w:val="0"/>
              <w:snapToGrid w:val="0"/>
              <w:spacing w:line="480" w:lineRule="exact"/>
              <w:ind w:firstLine="480" w:firstLineChars="200"/>
              <w:rPr>
                <w:rFonts w:hint="default" w:ascii="Times New Roman" w:eastAsia="宋体"/>
                <w:color w:val="auto"/>
                <w:sz w:val="24"/>
                <w:highlight w:val="none"/>
                <w:lang w:val="en-US" w:eastAsia="zh-CN"/>
              </w:rPr>
            </w:pPr>
            <w:r>
              <w:rPr>
                <w:rFonts w:hint="eastAsia" w:eastAsia="宋体"/>
                <w:color w:val="auto"/>
                <w:sz w:val="24"/>
                <w:szCs w:val="20"/>
                <w:highlight w:val="none"/>
                <w:lang w:val="en-US" w:eastAsia="zh-CN"/>
              </w:rPr>
              <w:t>本项目厂区</w:t>
            </w:r>
            <w:r>
              <w:rPr>
                <w:rFonts w:eastAsia="宋体"/>
                <w:color w:val="auto"/>
                <w:sz w:val="24"/>
                <w:szCs w:val="20"/>
                <w:highlight w:val="none"/>
              </w:rPr>
              <w:t>道路面积</w:t>
            </w:r>
            <w:r>
              <w:rPr>
                <w:rFonts w:hint="eastAsia" w:eastAsia="宋体"/>
                <w:color w:val="auto"/>
                <w:sz w:val="24"/>
                <w:szCs w:val="20"/>
                <w:highlight w:val="none"/>
                <w:lang w:val="en-US" w:eastAsia="zh-CN"/>
              </w:rPr>
              <w:t>约为</w:t>
            </w:r>
            <w:r>
              <w:rPr>
                <w:rFonts w:eastAsia="宋体"/>
                <w:color w:val="auto"/>
                <w:sz w:val="24"/>
                <w:szCs w:val="20"/>
                <w:highlight w:val="none"/>
              </w:rPr>
              <w:t>500m</w:t>
            </w:r>
            <w:r>
              <w:rPr>
                <w:rFonts w:eastAsia="宋体"/>
                <w:color w:val="auto"/>
                <w:sz w:val="24"/>
                <w:szCs w:val="20"/>
                <w:highlight w:val="none"/>
                <w:vertAlign w:val="superscript"/>
              </w:rPr>
              <w:t>2</w:t>
            </w:r>
            <w:r>
              <w:rPr>
                <w:rFonts w:eastAsia="宋体"/>
                <w:color w:val="auto"/>
                <w:sz w:val="24"/>
                <w:szCs w:val="20"/>
                <w:highlight w:val="none"/>
              </w:rPr>
              <w:t>，道路洒水按0.5L/（m</w:t>
            </w:r>
            <w:r>
              <w:rPr>
                <w:rFonts w:eastAsia="宋体"/>
                <w:color w:val="auto"/>
                <w:sz w:val="24"/>
                <w:szCs w:val="20"/>
                <w:highlight w:val="none"/>
                <w:vertAlign w:val="superscript"/>
              </w:rPr>
              <w:t>2</w:t>
            </w:r>
            <w:r>
              <w:rPr>
                <w:rFonts w:hint="default" w:ascii="Times New Roman" w:hAnsi="Times New Roman" w:eastAsia="宋体" w:cs="Times New Roman"/>
                <w:color w:val="auto"/>
                <w:sz w:val="24"/>
                <w:szCs w:val="20"/>
                <w:highlight w:val="none"/>
                <w:lang w:val="en-US" w:eastAsia="zh-CN"/>
              </w:rPr>
              <w:t>·</w:t>
            </w:r>
            <w:r>
              <w:rPr>
                <w:rFonts w:eastAsia="宋体"/>
                <w:color w:val="auto"/>
                <w:sz w:val="24"/>
                <w:szCs w:val="20"/>
                <w:highlight w:val="none"/>
              </w:rPr>
              <w:t>d），每天2次，洒水量为0.5m</w:t>
            </w:r>
            <w:r>
              <w:rPr>
                <w:rFonts w:eastAsia="宋体"/>
                <w:color w:val="auto"/>
                <w:sz w:val="24"/>
                <w:szCs w:val="20"/>
                <w:highlight w:val="none"/>
                <w:vertAlign w:val="superscript"/>
              </w:rPr>
              <w:t>3</w:t>
            </w:r>
            <w:r>
              <w:rPr>
                <w:rFonts w:eastAsia="宋体"/>
                <w:color w:val="auto"/>
                <w:sz w:val="24"/>
                <w:szCs w:val="20"/>
                <w:highlight w:val="none"/>
              </w:rPr>
              <w:t>/d。</w:t>
            </w:r>
          </w:p>
          <w:p>
            <w:pPr>
              <w:adjustRightInd w:val="0"/>
              <w:snapToGrid w:val="0"/>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⑧绿化用水</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本项目绿化面积约为</w:t>
            </w:r>
            <w:r>
              <w:rPr>
                <w:rFonts w:hint="eastAsia" w:cs="Times New Roman"/>
                <w:color w:val="auto"/>
                <w:sz w:val="24"/>
                <w:highlight w:val="none"/>
                <w:lang w:val="en-US" w:eastAsia="zh-CN"/>
              </w:rPr>
              <w:t>500</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cs="Times New Roman"/>
                <w:color w:val="auto"/>
                <w:sz w:val="24"/>
                <w:highlight w:val="none"/>
                <w:lang w:val="en-US" w:eastAsia="zh-CN"/>
              </w:rPr>
              <w:t>，绿化用水量指标按1.2L/m</w:t>
            </w:r>
            <w:r>
              <w:rPr>
                <w:rFonts w:hint="eastAsia" w:ascii="Times New Roman" w:hAnsi="Times New Roman" w:cs="Times New Roman"/>
                <w:color w:val="auto"/>
                <w:sz w:val="24"/>
                <w:highlight w:val="none"/>
                <w:vertAlign w:val="superscript"/>
                <w:lang w:val="en-US" w:eastAsia="zh-CN"/>
              </w:rPr>
              <w:t>2</w:t>
            </w: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cs="Times New Roman"/>
                <w:color w:val="auto"/>
                <w:sz w:val="24"/>
                <w:highlight w:val="none"/>
                <w:lang w:val="en-US" w:eastAsia="zh-CN"/>
              </w:rPr>
              <w:t>d计，则绿化用水量为</w:t>
            </w:r>
            <w:r>
              <w:rPr>
                <w:rFonts w:hint="eastAsia" w:cs="Times New Roman"/>
                <w:color w:val="auto"/>
                <w:sz w:val="24"/>
                <w:highlight w:val="none"/>
                <w:lang w:val="en-US" w:eastAsia="zh-CN"/>
              </w:rPr>
              <w:t>0.6</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p>
          <w:p>
            <w:pPr>
              <w:pStyle w:val="116"/>
              <w:spacing w:before="60"/>
              <w:ind w:firstLine="480" w:firstLineChars="200"/>
              <w:rPr>
                <w:bCs/>
                <w:color w:val="auto"/>
                <w:sz w:val="24"/>
                <w:szCs w:val="20"/>
                <w:highlight w:val="none"/>
              </w:rPr>
            </w:pPr>
            <w:r>
              <w:rPr>
                <w:rFonts w:hint="default" w:ascii="Times New Roman" w:hAnsi="Times New Roman" w:cs="Times New Roman"/>
                <w:b w:val="0"/>
                <w:bCs w:val="0"/>
                <w:color w:val="auto"/>
                <w:sz w:val="24"/>
                <w:szCs w:val="24"/>
                <w:highlight w:val="none"/>
                <w:lang w:val="en-US" w:eastAsia="zh-CN"/>
              </w:rPr>
              <w:t>⑨</w:t>
            </w:r>
            <w:r>
              <w:rPr>
                <w:bCs/>
                <w:color w:val="auto"/>
                <w:sz w:val="24"/>
                <w:szCs w:val="20"/>
                <w:highlight w:val="none"/>
              </w:rPr>
              <w:t>生物除臭</w:t>
            </w:r>
            <w:r>
              <w:rPr>
                <w:rFonts w:hint="eastAsia"/>
                <w:bCs/>
                <w:color w:val="auto"/>
                <w:sz w:val="24"/>
                <w:szCs w:val="20"/>
                <w:highlight w:val="none"/>
                <w:lang w:val="en-US" w:eastAsia="zh-CN"/>
              </w:rPr>
              <w:t>喷淋</w:t>
            </w:r>
            <w:r>
              <w:rPr>
                <w:bCs/>
                <w:color w:val="auto"/>
                <w:sz w:val="24"/>
                <w:szCs w:val="20"/>
                <w:highlight w:val="none"/>
              </w:rPr>
              <w:t>用水</w:t>
            </w:r>
          </w:p>
          <w:p>
            <w:pPr>
              <w:pStyle w:val="2"/>
              <w:keepNext/>
              <w:keepLines w:val="0"/>
              <w:pageBreakBefore w:val="0"/>
              <w:widowControl w:val="0"/>
              <w:kinsoku/>
              <w:wordWrap/>
              <w:overflowPunct w:val="0"/>
              <w:topLinePunct w:val="0"/>
              <w:autoSpaceDE/>
              <w:autoSpaceDN/>
              <w:bidi w:val="0"/>
              <w:adjustRightInd/>
              <w:snapToGrid/>
              <w:spacing w:before="0" w:after="0" w:line="480" w:lineRule="exact"/>
              <w:ind w:lef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0"/>
                <w:highlight w:val="none"/>
              </w:rPr>
              <w:t>废气设置生物滤塔喷淋除臭</w:t>
            </w:r>
            <w:r>
              <w:rPr>
                <w:rFonts w:hint="eastAsia" w:eastAsia="宋体" w:cs="Times New Roman"/>
                <w:b w:val="0"/>
                <w:bCs w:val="0"/>
                <w:color w:val="auto"/>
                <w:sz w:val="24"/>
                <w:szCs w:val="20"/>
                <w:highlight w:val="none"/>
                <w:lang w:eastAsia="zh-CN"/>
              </w:rPr>
              <w:t>，</w:t>
            </w:r>
            <w:r>
              <w:rPr>
                <w:rFonts w:hint="eastAsia" w:eastAsia="宋体" w:cs="Times New Roman"/>
                <w:b w:val="0"/>
                <w:bCs w:val="0"/>
                <w:color w:val="auto"/>
                <w:sz w:val="24"/>
                <w:szCs w:val="20"/>
                <w:highlight w:val="none"/>
                <w:lang w:val="en-US" w:eastAsia="zh-CN"/>
              </w:rPr>
              <w:t>每天运行24h</w:t>
            </w:r>
            <w:r>
              <w:rPr>
                <w:rFonts w:hint="default" w:ascii="Times New Roman" w:hAnsi="Times New Roman" w:eastAsia="宋体" w:cs="Times New Roman"/>
                <w:b w:val="0"/>
                <w:bCs w:val="0"/>
                <w:color w:val="auto"/>
                <w:sz w:val="24"/>
                <w:szCs w:val="20"/>
                <w:highlight w:val="none"/>
              </w:rPr>
              <w:t>，喷淋用水量</w:t>
            </w:r>
            <w:r>
              <w:rPr>
                <w:rFonts w:hint="eastAsia" w:ascii="Times New Roman" w:hAnsi="Times New Roman" w:eastAsia="宋体" w:cs="Times New Roman"/>
                <w:b w:val="0"/>
                <w:bCs w:val="0"/>
                <w:color w:val="auto"/>
                <w:sz w:val="24"/>
                <w:szCs w:val="20"/>
                <w:highlight w:val="none"/>
                <w:lang w:val="en-US" w:eastAsia="zh-CN"/>
              </w:rPr>
              <w:t>8</w:t>
            </w:r>
            <w:r>
              <w:rPr>
                <w:rFonts w:hint="default" w:ascii="Times New Roman" w:hAnsi="Times New Roman" w:eastAsia="宋体" w:cs="Times New Roman"/>
                <w:b w:val="0"/>
                <w:bCs w:val="0"/>
                <w:color w:val="auto"/>
                <w:sz w:val="24"/>
                <w:szCs w:val="20"/>
                <w:highlight w:val="none"/>
              </w:rPr>
              <w:t>m</w:t>
            </w:r>
            <w:r>
              <w:rPr>
                <w:rFonts w:hint="default" w:ascii="Times New Roman" w:hAnsi="Times New Roman" w:eastAsia="宋体" w:cs="Times New Roman"/>
                <w:b w:val="0"/>
                <w:bCs w:val="0"/>
                <w:color w:val="auto"/>
                <w:sz w:val="24"/>
                <w:szCs w:val="20"/>
                <w:highlight w:val="none"/>
                <w:vertAlign w:val="superscript"/>
              </w:rPr>
              <w:t>3</w:t>
            </w:r>
            <w:r>
              <w:rPr>
                <w:rFonts w:hint="default" w:ascii="Times New Roman" w:hAnsi="Times New Roman" w:eastAsia="宋体" w:cs="Times New Roman"/>
                <w:b w:val="0"/>
                <w:bCs w:val="0"/>
                <w:color w:val="auto"/>
                <w:sz w:val="24"/>
                <w:szCs w:val="20"/>
                <w:highlight w:val="none"/>
              </w:rPr>
              <w:t>/h（1</w:t>
            </w:r>
            <w:r>
              <w:rPr>
                <w:rFonts w:hint="eastAsia" w:ascii="Times New Roman" w:hAnsi="Times New Roman" w:eastAsia="宋体" w:cs="Times New Roman"/>
                <w:b w:val="0"/>
                <w:bCs w:val="0"/>
                <w:color w:val="auto"/>
                <w:sz w:val="24"/>
                <w:szCs w:val="20"/>
                <w:highlight w:val="none"/>
                <w:lang w:val="en-US" w:eastAsia="zh-CN"/>
              </w:rPr>
              <w:t>92</w:t>
            </w:r>
            <w:r>
              <w:rPr>
                <w:rFonts w:hint="default" w:ascii="Times New Roman" w:hAnsi="Times New Roman" w:eastAsia="宋体" w:cs="Times New Roman"/>
                <w:b w:val="0"/>
                <w:bCs w:val="0"/>
                <w:color w:val="auto"/>
                <w:sz w:val="24"/>
                <w:szCs w:val="20"/>
                <w:highlight w:val="none"/>
              </w:rPr>
              <w:t>m</w:t>
            </w:r>
            <w:r>
              <w:rPr>
                <w:rFonts w:hint="default" w:ascii="Times New Roman" w:hAnsi="Times New Roman" w:eastAsia="宋体" w:cs="Times New Roman"/>
                <w:b w:val="0"/>
                <w:bCs w:val="0"/>
                <w:color w:val="auto"/>
                <w:sz w:val="24"/>
                <w:szCs w:val="20"/>
                <w:highlight w:val="none"/>
                <w:vertAlign w:val="superscript"/>
              </w:rPr>
              <w:t>3</w:t>
            </w:r>
            <w:r>
              <w:rPr>
                <w:rFonts w:hint="default" w:ascii="Times New Roman" w:hAnsi="Times New Roman" w:eastAsia="宋体" w:cs="Times New Roman"/>
                <w:b w:val="0"/>
                <w:bCs w:val="0"/>
                <w:color w:val="auto"/>
                <w:sz w:val="24"/>
                <w:szCs w:val="20"/>
                <w:highlight w:val="none"/>
              </w:rPr>
              <w:t>/d），喷淋用水循环使用，补充新鲜水量</w:t>
            </w:r>
            <w:r>
              <w:rPr>
                <w:rFonts w:hint="eastAsia" w:eastAsia="宋体" w:cs="Times New Roman"/>
                <w:b w:val="0"/>
                <w:bCs w:val="0"/>
                <w:color w:val="auto"/>
                <w:sz w:val="24"/>
                <w:szCs w:val="20"/>
                <w:highlight w:val="none"/>
                <w:lang w:val="en-US" w:eastAsia="zh-CN"/>
              </w:rPr>
              <w:t>约</w:t>
            </w:r>
            <w:r>
              <w:rPr>
                <w:rFonts w:hint="eastAsia" w:ascii="Times New Roman" w:hAnsi="Times New Roman" w:eastAsia="宋体" w:cs="Times New Roman"/>
                <w:b w:val="0"/>
                <w:bCs w:val="0"/>
                <w:color w:val="auto"/>
                <w:sz w:val="24"/>
                <w:szCs w:val="20"/>
                <w:highlight w:val="none"/>
                <w:lang w:val="en-US" w:eastAsia="zh-CN"/>
              </w:rPr>
              <w:t>19.2</w:t>
            </w:r>
            <w:r>
              <w:rPr>
                <w:rFonts w:hint="default" w:ascii="Times New Roman" w:hAnsi="Times New Roman" w:eastAsia="宋体" w:cs="Times New Roman"/>
                <w:b w:val="0"/>
                <w:bCs w:val="0"/>
                <w:color w:val="auto"/>
                <w:sz w:val="24"/>
                <w:szCs w:val="20"/>
                <w:highlight w:val="none"/>
              </w:rPr>
              <w:t>m</w:t>
            </w:r>
            <w:r>
              <w:rPr>
                <w:rFonts w:hint="default" w:ascii="Times New Roman" w:hAnsi="Times New Roman" w:eastAsia="宋体" w:cs="Times New Roman"/>
                <w:b w:val="0"/>
                <w:bCs w:val="0"/>
                <w:color w:val="auto"/>
                <w:sz w:val="24"/>
                <w:szCs w:val="20"/>
                <w:highlight w:val="none"/>
                <w:vertAlign w:val="superscript"/>
              </w:rPr>
              <w:t>3</w:t>
            </w:r>
            <w:r>
              <w:rPr>
                <w:rFonts w:hint="default" w:ascii="Times New Roman" w:hAnsi="Times New Roman" w:eastAsia="宋体" w:cs="Times New Roman"/>
                <w:b w:val="0"/>
                <w:bCs w:val="0"/>
                <w:color w:val="auto"/>
                <w:sz w:val="24"/>
                <w:szCs w:val="20"/>
                <w:highlight w:val="none"/>
              </w:rPr>
              <w:t>/d，定期更换喷淋液用于</w:t>
            </w:r>
            <w:r>
              <w:rPr>
                <w:rFonts w:hint="eastAsia" w:eastAsia="宋体" w:cs="Times New Roman"/>
                <w:b w:val="0"/>
                <w:bCs w:val="0"/>
                <w:color w:val="auto"/>
                <w:sz w:val="24"/>
                <w:szCs w:val="20"/>
                <w:highlight w:val="none"/>
                <w:lang w:val="en-US" w:eastAsia="zh-CN"/>
              </w:rPr>
              <w:t>搅拌用</w:t>
            </w:r>
            <w:r>
              <w:rPr>
                <w:rFonts w:hint="default" w:ascii="Times New Roman" w:hAnsi="Times New Roman" w:eastAsia="宋体" w:cs="Times New Roman"/>
                <w:b w:val="0"/>
                <w:bCs w:val="0"/>
                <w:color w:val="auto"/>
                <w:sz w:val="24"/>
                <w:szCs w:val="20"/>
                <w:highlight w:val="none"/>
              </w:rPr>
              <w:t>水。</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（2）排水系统</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ascii="Times New Roman" w:eastAsia="宋体"/>
                <w:color w:val="auto"/>
                <w:sz w:val="24"/>
                <w:highlight w:val="none"/>
                <w:lang w:val="en-US" w:eastAsia="zh-CN"/>
              </w:rPr>
              <w:t>①</w:t>
            </w:r>
            <w:r>
              <w:rPr>
                <w:rFonts w:hint="eastAsia" w:ascii="Times New Roman" w:hAnsi="Times New Roman" w:cs="Times New Roman"/>
                <w:color w:val="auto"/>
                <w:sz w:val="24"/>
                <w:highlight w:val="none"/>
                <w:lang w:val="en-US" w:eastAsia="zh-CN"/>
              </w:rPr>
              <w:t>生活污水</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职工生活污水按用水量的80%计，则项目生活污水</w:t>
            </w:r>
            <w:r>
              <w:rPr>
                <w:rFonts w:hint="eastAsia" w:cs="Times New Roman"/>
                <w:color w:val="auto"/>
                <w:sz w:val="24"/>
                <w:highlight w:val="none"/>
                <w:lang w:val="en-US" w:eastAsia="zh-CN"/>
              </w:rPr>
              <w:t>排放量</w:t>
            </w:r>
            <w:r>
              <w:rPr>
                <w:rFonts w:hint="eastAsia" w:ascii="Times New Roman" w:hAnsi="Times New Roman" w:cs="Times New Roman"/>
                <w:color w:val="auto"/>
                <w:sz w:val="24"/>
                <w:highlight w:val="none"/>
                <w:lang w:val="en-US" w:eastAsia="zh-CN"/>
              </w:rPr>
              <w:t>为</w:t>
            </w:r>
            <w:r>
              <w:rPr>
                <w:rFonts w:hint="eastAsia" w:cs="Times New Roman"/>
                <w:color w:val="auto"/>
                <w:sz w:val="24"/>
                <w:highlight w:val="none"/>
                <w:lang w:val="en-US" w:eastAsia="zh-CN"/>
              </w:rPr>
              <w:t>1.12</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/d；本项目职工生活污水主要为职工日常洗漱废水，水质简单，</w:t>
            </w:r>
            <w:r>
              <w:rPr>
                <w:rFonts w:hint="eastAsia" w:cs="Times New Roman"/>
                <w:color w:val="auto"/>
                <w:sz w:val="24"/>
                <w:highlight w:val="none"/>
                <w:lang w:val="en-US" w:eastAsia="zh-CN"/>
              </w:rPr>
              <w:t>经化粪池处理后排入园区生活污水管网，最终进入园区污水处理站处理</w:t>
            </w:r>
            <w:r>
              <w:rPr>
                <w:rFonts w:hint="eastAsia" w:ascii="Times New Roman" w:hAnsi="Times New Roman" w:cs="Times New Roman"/>
                <w:color w:val="auto"/>
                <w:sz w:val="24"/>
                <w:highlight w:val="none"/>
                <w:lang w:val="en-US" w:eastAsia="zh-CN"/>
              </w:rPr>
              <w:t>。</w:t>
            </w:r>
          </w:p>
          <w:p>
            <w:pPr>
              <w:adjustRightInd w:val="0"/>
              <w:snapToGrid w:val="0"/>
              <w:spacing w:line="480" w:lineRule="exact"/>
              <w:ind w:firstLine="480" w:firstLineChars="200"/>
              <w:rPr>
                <w:rFonts w:hint="eastAsia" w:cs="Times New Roman"/>
                <w:color w:val="auto"/>
                <w:sz w:val="24"/>
                <w:highlight w:val="none"/>
                <w:lang w:val="en-US" w:eastAsia="zh-CN"/>
              </w:rPr>
            </w:pPr>
            <w:r>
              <w:rPr>
                <w:rFonts w:hint="eastAsia" w:ascii="Times New Roman" w:eastAsia="宋体"/>
                <w:color w:val="auto"/>
                <w:sz w:val="24"/>
                <w:highlight w:val="none"/>
                <w:lang w:val="en-US" w:eastAsia="zh-CN"/>
              </w:rPr>
              <w:t>②</w:t>
            </w:r>
            <w:r>
              <w:rPr>
                <w:rFonts w:hint="eastAsia" w:cs="Times New Roman"/>
                <w:color w:val="auto"/>
                <w:sz w:val="24"/>
                <w:highlight w:val="none"/>
                <w:lang w:val="en-US" w:eastAsia="zh-CN"/>
              </w:rPr>
              <w:t>化验分析清洗废水</w:t>
            </w:r>
          </w:p>
          <w:p>
            <w:pPr>
              <w:adjustRightInd w:val="0"/>
              <w:snapToGrid w:val="0"/>
              <w:spacing w:line="480" w:lineRule="exact"/>
              <w:ind w:firstLine="480" w:firstLineChars="200"/>
              <w:rPr>
                <w:rFonts w:hint="eastAsia"/>
                <w:color w:val="auto"/>
                <w:sz w:val="24"/>
                <w:highlight w:val="none"/>
                <w:lang w:val="en-US" w:eastAsia="zh-CN"/>
              </w:rPr>
            </w:pPr>
            <w:r>
              <w:rPr>
                <w:rFonts w:hint="eastAsia" w:ascii="Times New Roman" w:eastAsia="宋体"/>
                <w:color w:val="auto"/>
                <w:sz w:val="24"/>
                <w:highlight w:val="none"/>
                <w:lang w:val="en-US" w:eastAsia="zh-CN"/>
              </w:rPr>
              <w:t>仪器清洗废水产生量约为</w:t>
            </w:r>
            <w:r>
              <w:rPr>
                <w:rFonts w:hint="eastAsia"/>
                <w:color w:val="auto"/>
                <w:sz w:val="24"/>
                <w:highlight w:val="none"/>
                <w:lang w:val="en-US" w:eastAsia="zh-CN"/>
              </w:rPr>
              <w:t>0.01</w:t>
            </w:r>
            <w:r>
              <w:rPr>
                <w:rFonts w:hint="eastAsia" w:ascii="Times New Roman" w:eastAsia="宋体"/>
                <w:color w:val="auto"/>
                <w:sz w:val="24"/>
                <w:highlight w:val="none"/>
                <w:lang w:val="en-US" w:eastAsia="zh-CN"/>
              </w:rPr>
              <w:t>m</w:t>
            </w:r>
            <w:r>
              <w:rPr>
                <w:rFonts w:hint="eastAsia" w:ascii="Times New Roman" w:eastAsia="宋体"/>
                <w:color w:val="auto"/>
                <w:sz w:val="24"/>
                <w:highlight w:val="none"/>
                <w:vertAlign w:val="superscript"/>
                <w:lang w:val="en-US" w:eastAsia="zh-CN"/>
              </w:rPr>
              <w:t>3</w:t>
            </w:r>
            <w:r>
              <w:rPr>
                <w:rFonts w:hint="eastAsia" w:ascii="Times New Roman" w:eastAsia="宋体"/>
                <w:color w:val="auto"/>
                <w:sz w:val="24"/>
                <w:highlight w:val="none"/>
                <w:lang w:val="en-US" w:eastAsia="zh-CN"/>
              </w:rPr>
              <w:t>/d，作为危险废物处置。检测仪器清洗废水统一由专用废液收集桶收集后暂存危废贮存点，定期交由有资质单位处置。</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③</w:t>
            </w:r>
            <w:r>
              <w:rPr>
                <w:rFonts w:hint="eastAsia" w:ascii="Times New Roman" w:hAnsi="Times New Roman" w:cs="Times New Roman"/>
                <w:color w:val="auto"/>
                <w:sz w:val="24"/>
                <w:highlight w:val="none"/>
                <w:lang w:val="en-US" w:eastAsia="zh-CN"/>
              </w:rPr>
              <w:t>洗车废水</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经洗车平台沉淀池沉淀后循环使用，不外排。</w:t>
            </w:r>
          </w:p>
          <w:p>
            <w:pPr>
              <w:adjustRightInd w:val="0"/>
              <w:snapToGrid w:val="0"/>
              <w:spacing w:line="48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④地坪清洗废水</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ascii="Times New Roman" w:eastAsia="宋体"/>
                <w:color w:val="auto"/>
                <w:sz w:val="24"/>
                <w:highlight w:val="none"/>
                <w:lang w:val="en-US" w:eastAsia="zh-CN"/>
              </w:rPr>
              <w:t>产污系数按0.8计算</w:t>
            </w:r>
            <w:r>
              <w:rPr>
                <w:rFonts w:hint="eastAsia" w:cs="Times New Roman"/>
                <w:color w:val="auto"/>
                <w:sz w:val="24"/>
                <w:highlight w:val="none"/>
                <w:lang w:val="en-US" w:eastAsia="zh-CN"/>
              </w:rPr>
              <w:t>，则地坪清洗废水产生量为6</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，用于搅拌用水</w:t>
            </w:r>
            <w:r>
              <w:rPr>
                <w:rFonts w:hint="eastAsia" w:ascii="Times New Roman" w:hAnsi="Times New Roman" w:cs="Times New Roman"/>
                <w:color w:val="auto"/>
                <w:sz w:val="24"/>
                <w:highlight w:val="none"/>
                <w:lang w:val="en-US" w:eastAsia="zh-CN"/>
              </w:rPr>
              <w:t>。</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项目</w:t>
            </w:r>
            <w:r>
              <w:rPr>
                <w:rFonts w:hint="eastAsia" w:ascii="Times New Roman" w:hAnsi="Times New Roman" w:cs="Times New Roman"/>
                <w:color w:val="auto"/>
                <w:sz w:val="24"/>
                <w:highlight w:val="none"/>
                <w:lang w:val="en-US" w:eastAsia="zh-CN"/>
              </w:rPr>
              <w:t>用水及废水产生量明细详见表2-</w:t>
            </w:r>
            <w:r>
              <w:rPr>
                <w:rFonts w:hint="eastAsia" w:cs="Times New Roman"/>
                <w:color w:val="auto"/>
                <w:sz w:val="24"/>
                <w:highlight w:val="none"/>
                <w:lang w:val="en-US" w:eastAsia="zh-CN"/>
              </w:rPr>
              <w:t>8</w:t>
            </w:r>
            <w:r>
              <w:rPr>
                <w:rFonts w:hint="eastAsia" w:ascii="Times New Roman" w:hAnsi="Times New Roman" w:cs="Times New Roman"/>
                <w:color w:val="auto"/>
                <w:sz w:val="24"/>
                <w:highlight w:val="none"/>
                <w:lang w:val="en-US" w:eastAsia="zh-CN"/>
              </w:rPr>
              <w:t>，水平衡图见图2-1。</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p>
          <w:p>
            <w:pPr>
              <w:pStyle w:val="94"/>
              <w:keepNext w:val="0"/>
              <w:keepLines w:val="0"/>
              <w:pageBreakBefore w:val="0"/>
              <w:widowControl w:val="0"/>
              <w:kinsoku/>
              <w:wordWrap/>
              <w:overflowPunct/>
              <w:topLinePunct w:val="0"/>
              <w:autoSpaceDE/>
              <w:autoSpaceDN/>
              <w:bidi w:val="0"/>
              <w:adjustRightInd/>
              <w:snapToGrid w:val="0"/>
              <w:spacing w:line="480" w:lineRule="exact"/>
              <w:ind w:left="0" w:rightChars="0" w:firstLine="0" w:firstLineChars="0"/>
              <w:textAlignment w:val="auto"/>
              <w:rPr>
                <w:rFonts w:hint="eastAsia"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rPr>
              <w:t>表2-</w:t>
            </w:r>
            <w:r>
              <w:rPr>
                <w:rFonts w:hint="eastAsia" w:ascii="Times New Roman" w:hAnsi="Times New Roman" w:eastAsia="宋体" w:cs="Times New Roman"/>
                <w:b/>
                <w:bCs/>
                <w:color w:val="auto"/>
                <w:highlight w:val="none"/>
                <w:shd w:val="clear" w:color="auto" w:fill="auto"/>
                <w:lang w:val="en-US" w:eastAsia="zh-CN"/>
              </w:rPr>
              <w:t>8  水平衡分析</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260"/>
              <w:gridCol w:w="1562"/>
              <w:gridCol w:w="1463"/>
              <w:gridCol w:w="1610"/>
              <w:gridCol w:w="142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用水类型</w:t>
                  </w:r>
                </w:p>
              </w:tc>
              <w:tc>
                <w:tcPr>
                  <w:tcW w:w="181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用水</w:t>
                  </w:r>
                  <w:r>
                    <w:rPr>
                      <w:rFonts w:hint="default" w:ascii="Times New Roman" w:hAnsi="Times New Roman" w:eastAsia="宋体" w:cs="Times New Roman"/>
                      <w:b/>
                      <w:bCs/>
                      <w:color w:val="auto"/>
                      <w:szCs w:val="21"/>
                      <w:highlight w:val="none"/>
                    </w:rPr>
                    <w:t>指标</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新鲜水用水量</w:t>
                  </w:r>
                  <w:r>
                    <w:rPr>
                      <w:rFonts w:hint="default" w:ascii="Times New Roman" w:hAnsi="Times New Roman" w:cs="Times New Roman"/>
                      <w:b/>
                      <w:bCs/>
                      <w:color w:val="auto"/>
                      <w:sz w:val="21"/>
                      <w:szCs w:val="21"/>
                      <w:highlight w:val="none"/>
                    </w:rPr>
                    <w:t>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/d</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cs="Times New Roman"/>
                      <w:b/>
                      <w:bCs/>
                      <w:color w:val="auto"/>
                      <w:sz w:val="21"/>
                      <w:szCs w:val="21"/>
                      <w:highlight w:val="none"/>
                    </w:rPr>
                    <w:t>废水产生量m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/d</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职工生活用水</w:t>
                  </w:r>
                </w:p>
              </w:tc>
              <w:tc>
                <w:tcPr>
                  <w:tcW w:w="9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7</w:t>
                  </w:r>
                  <w:r>
                    <w:rPr>
                      <w:color w:val="auto"/>
                      <w:szCs w:val="21"/>
                      <w:highlight w:val="none"/>
                    </w:rPr>
                    <w:t>0L/人·d</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20人</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1.4</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搅拌用水</w:t>
                  </w:r>
                </w:p>
              </w:tc>
              <w:tc>
                <w:tcPr>
                  <w:tcW w:w="9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w:t>
                  </w:r>
                  <w:r>
                    <w:rPr>
                      <w:rFonts w:hint="default" w:cs="Times New Roman"/>
                      <w:color w:val="auto"/>
                      <w:szCs w:val="21"/>
                      <w:highlight w:val="none"/>
                      <w:lang w:val="en-US" w:eastAsia="zh-CN"/>
                    </w:rPr>
                    <w:t>0m</w:t>
                  </w:r>
                  <w:r>
                    <w:rPr>
                      <w:rFonts w:hint="default" w:cs="Times New Roman"/>
                      <w:color w:val="auto"/>
                      <w:szCs w:val="21"/>
                      <w:highlight w:val="none"/>
                      <w:vertAlign w:val="superscript"/>
                      <w:lang w:val="en-US" w:eastAsia="zh-CN"/>
                    </w:rPr>
                    <w:t>3</w:t>
                  </w:r>
                  <w:r>
                    <w:rPr>
                      <w:rFonts w:hint="default" w:cs="Times New Roman"/>
                      <w:color w:val="auto"/>
                      <w:szCs w:val="21"/>
                      <w:highlight w:val="none"/>
                      <w:lang w:val="en-US" w:eastAsia="zh-CN"/>
                    </w:rPr>
                    <w:t>/</w:t>
                  </w:r>
                  <w:r>
                    <w:rPr>
                      <w:rFonts w:hint="eastAsia" w:cs="Times New Roman"/>
                      <w:color w:val="auto"/>
                      <w:szCs w:val="21"/>
                      <w:highlight w:val="none"/>
                      <w:lang w:val="en-US" w:eastAsia="zh-CN"/>
                    </w:rPr>
                    <w:t>h</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16h</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800</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化验清洗用水</w:t>
                  </w:r>
                </w:p>
              </w:tc>
              <w:tc>
                <w:tcPr>
                  <w:tcW w:w="9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ascii="Times New Roman" w:eastAsia="宋体"/>
                      <w:color w:val="auto"/>
                      <w:sz w:val="21"/>
                      <w:szCs w:val="18"/>
                      <w:highlight w:val="none"/>
                      <w:lang w:val="en-US" w:eastAsia="zh-CN"/>
                    </w:rPr>
                    <w:t>250mL</w:t>
                  </w:r>
                  <w:r>
                    <w:rPr>
                      <w:rFonts w:hint="default" w:ascii="Times New Roman" w:hAnsi="Times New Roman" w:cs="Times New Roman"/>
                      <w:color w:val="auto"/>
                      <w:sz w:val="21"/>
                      <w:szCs w:val="18"/>
                      <w:highlight w:val="none"/>
                      <w:lang w:val="en-US" w:eastAsia="zh-CN"/>
                    </w:rPr>
                    <w:t>·</w:t>
                  </w:r>
                  <w:r>
                    <w:rPr>
                      <w:rFonts w:hint="eastAsia"/>
                      <w:color w:val="auto"/>
                      <w:sz w:val="21"/>
                      <w:szCs w:val="18"/>
                      <w:highlight w:val="none"/>
                      <w:lang w:val="en-US" w:eastAsia="zh-CN"/>
                    </w:rPr>
                    <w:t>次</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40次</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0.01</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洗车用水</w:t>
                  </w:r>
                </w:p>
              </w:tc>
              <w:tc>
                <w:tcPr>
                  <w:tcW w:w="9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highlight w:val="none"/>
                      <w:lang w:val="en-US" w:eastAsia="zh-CN"/>
                    </w:rPr>
                  </w:pPr>
                  <w:r>
                    <w:rPr>
                      <w:rFonts w:hint="eastAsia"/>
                      <w:color w:val="auto"/>
                      <w:szCs w:val="21"/>
                      <w:highlight w:val="none"/>
                      <w:lang w:val="en-US" w:eastAsia="zh-CN"/>
                    </w:rPr>
                    <w:t>4</w:t>
                  </w:r>
                  <w:r>
                    <w:rPr>
                      <w:color w:val="auto"/>
                      <w:szCs w:val="21"/>
                      <w:highlight w:val="none"/>
                    </w:rPr>
                    <w:t>0L/</w:t>
                  </w:r>
                  <w:r>
                    <w:rPr>
                      <w:rFonts w:hint="eastAsia"/>
                      <w:color w:val="auto"/>
                      <w:szCs w:val="21"/>
                      <w:highlight w:val="none"/>
                      <w:lang w:eastAsia="zh-CN"/>
                    </w:rPr>
                    <w:t>（</w:t>
                  </w:r>
                  <w:r>
                    <w:rPr>
                      <w:color w:val="auto"/>
                      <w:szCs w:val="21"/>
                      <w:highlight w:val="none"/>
                    </w:rPr>
                    <w:t>辆·次</w:t>
                  </w:r>
                  <w:r>
                    <w:rPr>
                      <w:rFonts w:hint="eastAsia"/>
                      <w:color w:val="auto"/>
                      <w:szCs w:val="21"/>
                      <w:highlight w:val="none"/>
                      <w:lang w:eastAsia="zh-CN"/>
                    </w:rPr>
                    <w:t>）</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250辆</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2</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原料堆放区抑尘用水</w:t>
                  </w:r>
                </w:p>
              </w:tc>
              <w:tc>
                <w:tcPr>
                  <w:tcW w:w="9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w:t>
                  </w:r>
                  <w:r>
                    <w:rPr>
                      <w:color w:val="auto"/>
                      <w:sz w:val="21"/>
                      <w:szCs w:val="21"/>
                      <w:highlight w:val="none"/>
                    </w:rPr>
                    <w:t>.0L/m</w:t>
                  </w:r>
                  <w:r>
                    <w:rPr>
                      <w:color w:val="auto"/>
                      <w:sz w:val="21"/>
                      <w:szCs w:val="21"/>
                      <w:highlight w:val="none"/>
                      <w:vertAlign w:val="superscript"/>
                    </w:rPr>
                    <w:t>2</w:t>
                  </w:r>
                  <w:r>
                    <w:rPr>
                      <w:color w:val="auto"/>
                      <w:sz w:val="21"/>
                      <w:szCs w:val="21"/>
                      <w:highlight w:val="none"/>
                    </w:rPr>
                    <w:t>·d</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eastAsia="宋体"/>
                      <w:bCs/>
                      <w:color w:val="auto"/>
                      <w:sz w:val="21"/>
                      <w:szCs w:val="21"/>
                      <w:highlight w:val="none"/>
                      <w:lang w:val="en-US" w:eastAsia="zh-CN"/>
                    </w:rPr>
                  </w:pPr>
                  <w:r>
                    <w:rPr>
                      <w:rFonts w:hint="eastAsia"/>
                      <w:color w:val="auto"/>
                      <w:sz w:val="21"/>
                      <w:szCs w:val="21"/>
                      <w:highlight w:val="none"/>
                      <w:lang w:val="en-US" w:eastAsia="zh-CN"/>
                    </w:rPr>
                    <w:t>2</w:t>
                  </w:r>
                  <w:r>
                    <w:rPr>
                      <w:rFonts w:hint="eastAsia" w:ascii="Times New Roman" w:eastAsia="宋体"/>
                      <w:color w:val="auto"/>
                      <w:sz w:val="21"/>
                      <w:szCs w:val="21"/>
                      <w:highlight w:val="none"/>
                      <w:lang w:val="en-US" w:eastAsia="zh-CN"/>
                    </w:rPr>
                    <w:t>00</w:t>
                  </w:r>
                  <w:r>
                    <w:rPr>
                      <w:color w:val="auto"/>
                      <w:sz w:val="21"/>
                      <w:szCs w:val="21"/>
                      <w:highlight w:val="none"/>
                    </w:rPr>
                    <w:t>0m</w:t>
                  </w:r>
                  <w:r>
                    <w:rPr>
                      <w:color w:val="auto"/>
                      <w:sz w:val="21"/>
                      <w:szCs w:val="21"/>
                      <w:highlight w:val="none"/>
                      <w:vertAlign w:val="superscript"/>
                    </w:rPr>
                    <w:t>2</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4</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ascii="Times New Roman" w:eastAsia="宋体"/>
                      <w:color w:val="auto"/>
                      <w:sz w:val="21"/>
                      <w:szCs w:val="21"/>
                      <w:highlight w:val="none"/>
                      <w:lang w:val="en-US" w:eastAsia="zh-CN"/>
                    </w:rPr>
                    <w:t>车间</w:t>
                  </w:r>
                  <w:r>
                    <w:rPr>
                      <w:rFonts w:hint="eastAsia"/>
                      <w:color w:val="auto"/>
                      <w:sz w:val="21"/>
                      <w:szCs w:val="21"/>
                      <w:highlight w:val="none"/>
                      <w:lang w:val="en-US" w:eastAsia="zh-CN"/>
                    </w:rPr>
                    <w:t>地坪</w:t>
                  </w:r>
                  <w:r>
                    <w:rPr>
                      <w:rFonts w:hint="eastAsia" w:ascii="Times New Roman" w:eastAsia="宋体"/>
                      <w:color w:val="auto"/>
                      <w:sz w:val="21"/>
                      <w:szCs w:val="21"/>
                      <w:highlight w:val="none"/>
                      <w:lang w:val="en-US" w:eastAsia="zh-CN"/>
                    </w:rPr>
                    <w:t>清洁用水</w:t>
                  </w:r>
                </w:p>
              </w:tc>
              <w:tc>
                <w:tcPr>
                  <w:tcW w:w="9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1</w:t>
                  </w:r>
                  <w:r>
                    <w:rPr>
                      <w:color w:val="auto"/>
                      <w:sz w:val="21"/>
                      <w:szCs w:val="21"/>
                      <w:highlight w:val="none"/>
                    </w:rPr>
                    <w:t>.</w:t>
                  </w:r>
                  <w:r>
                    <w:rPr>
                      <w:rFonts w:hint="eastAsia"/>
                      <w:color w:val="auto"/>
                      <w:sz w:val="21"/>
                      <w:szCs w:val="21"/>
                      <w:highlight w:val="none"/>
                      <w:lang w:val="en-US" w:eastAsia="zh-CN"/>
                    </w:rPr>
                    <w:t>5</w:t>
                  </w:r>
                  <w:r>
                    <w:rPr>
                      <w:color w:val="auto"/>
                      <w:sz w:val="21"/>
                      <w:szCs w:val="21"/>
                      <w:highlight w:val="none"/>
                    </w:rPr>
                    <w:t>L/m</w:t>
                  </w:r>
                  <w:r>
                    <w:rPr>
                      <w:color w:val="auto"/>
                      <w:sz w:val="21"/>
                      <w:szCs w:val="21"/>
                      <w:highlight w:val="none"/>
                      <w:vertAlign w:val="superscript"/>
                    </w:rPr>
                    <w:t>2</w:t>
                  </w:r>
                  <w:r>
                    <w:rPr>
                      <w:color w:val="auto"/>
                      <w:sz w:val="21"/>
                      <w:szCs w:val="21"/>
                      <w:highlight w:val="none"/>
                    </w:rPr>
                    <w:t>·d</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s="Times New Roman"/>
                      <w:b w:val="0"/>
                      <w:bCs w:val="0"/>
                      <w:color w:val="auto"/>
                      <w:sz w:val="21"/>
                      <w:szCs w:val="21"/>
                      <w:highlight w:val="none"/>
                      <w:shd w:val="clear" w:color="auto" w:fill="auto"/>
                      <w:lang w:val="en-US" w:eastAsia="zh-CN"/>
                    </w:rPr>
                    <w:t>5000</w:t>
                  </w:r>
                  <w:r>
                    <w:rPr>
                      <w:rFonts w:hint="default" w:ascii="Times New Roman" w:hAnsi="Times New Roman" w:eastAsia="宋体" w:cs="Times New Roman"/>
                      <w:b w:val="0"/>
                      <w:bCs w:val="0"/>
                      <w:color w:val="auto"/>
                      <w:sz w:val="21"/>
                      <w:szCs w:val="21"/>
                      <w:highlight w:val="none"/>
                      <w:shd w:val="clear" w:color="auto" w:fill="auto"/>
                      <w:lang w:val="en-US" w:eastAsia="zh-CN"/>
                    </w:rPr>
                    <w:t>m</w:t>
                  </w:r>
                  <w:r>
                    <w:rPr>
                      <w:rFonts w:hint="default" w:ascii="Times New Roman" w:hAnsi="Times New Roman" w:eastAsia="宋体" w:cs="Times New Roman"/>
                      <w:b w:val="0"/>
                      <w:bCs w:val="0"/>
                      <w:color w:val="auto"/>
                      <w:sz w:val="21"/>
                      <w:szCs w:val="21"/>
                      <w:highlight w:val="none"/>
                      <w:shd w:val="clear" w:color="auto" w:fill="auto"/>
                      <w:vertAlign w:val="superscript"/>
                      <w:lang w:val="en-US" w:eastAsia="zh-CN"/>
                    </w:rPr>
                    <w:t>2</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7.5</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ascii="Times New Roman" w:eastAsia="宋体"/>
                      <w:color w:val="auto"/>
                      <w:sz w:val="21"/>
                      <w:szCs w:val="21"/>
                      <w:highlight w:val="none"/>
                      <w:lang w:val="en-US" w:eastAsia="zh-CN"/>
                    </w:rPr>
                    <w:t>道路洒水用水</w:t>
                  </w:r>
                </w:p>
              </w:tc>
              <w:tc>
                <w:tcPr>
                  <w:tcW w:w="9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highlight w:val="none"/>
                      <w:lang w:val="en-US" w:eastAsia="zh-CN"/>
                    </w:rPr>
                  </w:pPr>
                  <w:r>
                    <w:rPr>
                      <w:rFonts w:hint="eastAsia" w:ascii="Times New Roman" w:eastAsia="宋体"/>
                      <w:color w:val="auto"/>
                      <w:sz w:val="21"/>
                      <w:szCs w:val="21"/>
                      <w:highlight w:val="none"/>
                      <w:lang w:val="en-US" w:eastAsia="zh-CN"/>
                    </w:rPr>
                    <w:t>1</w:t>
                  </w:r>
                  <w:r>
                    <w:rPr>
                      <w:color w:val="auto"/>
                      <w:sz w:val="21"/>
                      <w:szCs w:val="21"/>
                      <w:highlight w:val="none"/>
                    </w:rPr>
                    <w:t>.0L/m</w:t>
                  </w:r>
                  <w:r>
                    <w:rPr>
                      <w:color w:val="auto"/>
                      <w:sz w:val="21"/>
                      <w:szCs w:val="21"/>
                      <w:highlight w:val="none"/>
                      <w:vertAlign w:val="superscript"/>
                    </w:rPr>
                    <w:t>2</w:t>
                  </w:r>
                  <w:r>
                    <w:rPr>
                      <w:color w:val="auto"/>
                      <w:sz w:val="21"/>
                      <w:szCs w:val="21"/>
                      <w:highlight w:val="none"/>
                    </w:rPr>
                    <w:t>·d</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Cs w:val="21"/>
                      <w:highlight w:val="none"/>
                      <w:lang w:val="en-US" w:eastAsia="zh-CN"/>
                    </w:rPr>
                  </w:pPr>
                  <w:r>
                    <w:rPr>
                      <w:rFonts w:eastAsia="宋体"/>
                      <w:color w:val="auto"/>
                      <w:sz w:val="21"/>
                      <w:szCs w:val="16"/>
                      <w:highlight w:val="none"/>
                    </w:rPr>
                    <w:t>500m</w:t>
                  </w:r>
                  <w:r>
                    <w:rPr>
                      <w:rFonts w:eastAsia="宋体"/>
                      <w:color w:val="auto"/>
                      <w:sz w:val="21"/>
                      <w:szCs w:val="16"/>
                      <w:highlight w:val="none"/>
                      <w:vertAlign w:val="superscript"/>
                    </w:rPr>
                    <w:t>2</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0.5</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olor w:val="auto"/>
                      <w:sz w:val="21"/>
                      <w:szCs w:val="21"/>
                      <w:highlight w:val="none"/>
                      <w:lang w:val="en-US" w:eastAsia="zh-CN"/>
                    </w:rPr>
                    <w:t>绿化用水</w:t>
                  </w:r>
                </w:p>
              </w:tc>
              <w:tc>
                <w:tcPr>
                  <w:tcW w:w="9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color w:val="auto"/>
                      <w:sz w:val="21"/>
                      <w:szCs w:val="21"/>
                      <w:highlight w:val="none"/>
                    </w:rPr>
                    <w:t>1.</w:t>
                  </w:r>
                  <w:r>
                    <w:rPr>
                      <w:rFonts w:hint="eastAsia"/>
                      <w:color w:val="auto"/>
                      <w:sz w:val="21"/>
                      <w:szCs w:val="21"/>
                      <w:highlight w:val="none"/>
                      <w:lang w:val="en-US" w:eastAsia="zh-CN"/>
                    </w:rPr>
                    <w:t>2</w:t>
                  </w:r>
                  <w:r>
                    <w:rPr>
                      <w:color w:val="auto"/>
                      <w:sz w:val="21"/>
                      <w:szCs w:val="21"/>
                      <w:highlight w:val="none"/>
                    </w:rPr>
                    <w:t>L/m</w:t>
                  </w:r>
                  <w:r>
                    <w:rPr>
                      <w:color w:val="auto"/>
                      <w:sz w:val="21"/>
                      <w:szCs w:val="21"/>
                      <w:highlight w:val="none"/>
                      <w:vertAlign w:val="superscript"/>
                    </w:rPr>
                    <w:t>2</w:t>
                  </w:r>
                  <w:r>
                    <w:rPr>
                      <w:color w:val="auto"/>
                      <w:sz w:val="21"/>
                      <w:szCs w:val="21"/>
                      <w:highlight w:val="none"/>
                    </w:rPr>
                    <w:t>·d</w:t>
                  </w:r>
                </w:p>
              </w:tc>
              <w:tc>
                <w:tcPr>
                  <w:tcW w:w="8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500</w:t>
                  </w:r>
                  <w:r>
                    <w:rPr>
                      <w:color w:val="auto"/>
                      <w:sz w:val="21"/>
                      <w:szCs w:val="21"/>
                      <w:highlight w:val="none"/>
                    </w:rPr>
                    <w:t>m</w:t>
                  </w:r>
                  <w:r>
                    <w:rPr>
                      <w:color w:val="auto"/>
                      <w:sz w:val="21"/>
                      <w:szCs w:val="21"/>
                      <w:highlight w:val="none"/>
                      <w:vertAlign w:val="superscript"/>
                    </w:rPr>
                    <w:t>2</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0.6</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eastAsia="宋体"/>
                      <w:color w:val="auto"/>
                      <w:sz w:val="21"/>
                      <w:szCs w:val="21"/>
                      <w:highlight w:val="none"/>
                      <w:lang w:val="en-US" w:eastAsia="zh-CN"/>
                    </w:rPr>
                  </w:pPr>
                  <w:r>
                    <w:rPr>
                      <w:rFonts w:hint="eastAsia"/>
                      <w:color w:val="auto"/>
                      <w:sz w:val="21"/>
                      <w:szCs w:val="21"/>
                      <w:highlight w:val="none"/>
                      <w:lang w:val="en-US" w:eastAsia="zh-CN"/>
                    </w:rPr>
                    <w:t>生物除臭喷淋用水</w:t>
                  </w:r>
                </w:p>
              </w:tc>
              <w:tc>
                <w:tcPr>
                  <w:tcW w:w="181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ascii="Times New Roman" w:hAnsi="Times New Roman" w:eastAsia="宋体" w:cs="Times New Roman"/>
                      <w:b w:val="0"/>
                      <w:bCs w:val="0"/>
                      <w:color w:val="auto"/>
                      <w:sz w:val="21"/>
                      <w:szCs w:val="16"/>
                      <w:highlight w:val="none"/>
                      <w:lang w:val="en-US" w:eastAsia="zh-CN"/>
                    </w:rPr>
                    <w:t>19.2</w:t>
                  </w:r>
                  <w:r>
                    <w:rPr>
                      <w:rFonts w:hint="default" w:ascii="Times New Roman" w:hAnsi="Times New Roman" w:eastAsia="宋体" w:cs="Times New Roman"/>
                      <w:b w:val="0"/>
                      <w:bCs w:val="0"/>
                      <w:color w:val="auto"/>
                      <w:sz w:val="21"/>
                      <w:szCs w:val="16"/>
                      <w:highlight w:val="none"/>
                    </w:rPr>
                    <w:t>m</w:t>
                  </w:r>
                  <w:r>
                    <w:rPr>
                      <w:rFonts w:hint="default" w:ascii="Times New Roman" w:hAnsi="Times New Roman" w:eastAsia="宋体" w:cs="Times New Roman"/>
                      <w:b w:val="0"/>
                      <w:bCs w:val="0"/>
                      <w:color w:val="auto"/>
                      <w:sz w:val="21"/>
                      <w:szCs w:val="16"/>
                      <w:highlight w:val="none"/>
                      <w:vertAlign w:val="superscript"/>
                    </w:rPr>
                    <w:t>3</w:t>
                  </w:r>
                  <w:r>
                    <w:rPr>
                      <w:rFonts w:hint="default" w:ascii="Times New Roman" w:hAnsi="Times New Roman" w:eastAsia="宋体" w:cs="Times New Roman"/>
                      <w:b w:val="0"/>
                      <w:bCs w:val="0"/>
                      <w:color w:val="auto"/>
                      <w:sz w:val="21"/>
                      <w:szCs w:val="16"/>
                      <w:highlight w:val="none"/>
                    </w:rPr>
                    <w:t>/d</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ascii="Times New Roman" w:hAnsi="Times New Roman" w:eastAsia="宋体" w:cs="Times New Roman"/>
                      <w:b w:val="0"/>
                      <w:bCs w:val="0"/>
                      <w:color w:val="auto"/>
                      <w:sz w:val="21"/>
                      <w:szCs w:val="16"/>
                      <w:highlight w:val="none"/>
                      <w:lang w:val="en-US" w:eastAsia="zh-CN"/>
                    </w:rPr>
                    <w:t>19.2</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合计</w:t>
                  </w:r>
                </w:p>
              </w:tc>
              <w:tc>
                <w:tcPr>
                  <w:tcW w:w="181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非采暖期</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835.21</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7.13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35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p>
              </w:tc>
              <w:tc>
                <w:tcPr>
                  <w:tcW w:w="181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采暖期</w:t>
                  </w:r>
                </w:p>
              </w:tc>
              <w:tc>
                <w:tcPr>
                  <w:tcW w:w="9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834.61</w:t>
                  </w:r>
                </w:p>
              </w:tc>
              <w:tc>
                <w:tcPr>
                  <w:tcW w:w="8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注：搅拌用水含有6m</w:t>
                  </w:r>
                  <w:r>
                    <w:rPr>
                      <w:rFonts w:hint="eastAsia" w:cs="Times New Roman"/>
                      <w:color w:val="auto"/>
                      <w:szCs w:val="21"/>
                      <w:highlight w:val="none"/>
                      <w:vertAlign w:val="superscript"/>
                      <w:lang w:val="en-US" w:eastAsia="zh-CN"/>
                    </w:rPr>
                    <w:t>3</w:t>
                  </w:r>
                  <w:r>
                    <w:rPr>
                      <w:rFonts w:hint="eastAsia" w:cs="Times New Roman"/>
                      <w:color w:val="auto"/>
                      <w:szCs w:val="21"/>
                      <w:highlight w:val="none"/>
                      <w:lang w:val="en-US" w:eastAsia="zh-CN"/>
                    </w:rPr>
                    <w:t>/d的中水。</w:t>
                  </w:r>
                </w:p>
              </w:tc>
            </w:tr>
          </w:tbl>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r>
              <w:rPr>
                <w:color w:val="auto"/>
                <w:sz w:val="24"/>
                <w:highlight w:val="none"/>
              </w:rPr>
              <mc:AlternateContent>
                <mc:Choice Requires="wpg">
                  <w:drawing>
                    <wp:anchor distT="0" distB="0" distL="114300" distR="114300" simplePos="0" relativeHeight="251662336" behindDoc="0" locked="0" layoutInCell="1" allowOverlap="1">
                      <wp:simplePos x="0" y="0"/>
                      <wp:positionH relativeFrom="column">
                        <wp:posOffset>465455</wp:posOffset>
                      </wp:positionH>
                      <wp:positionV relativeFrom="paragraph">
                        <wp:posOffset>41910</wp:posOffset>
                      </wp:positionV>
                      <wp:extent cx="4728845" cy="4992370"/>
                      <wp:effectExtent l="0" t="0" r="0" b="17780"/>
                      <wp:wrapNone/>
                      <wp:docPr id="237" name="组合 237"/>
                      <wp:cNvGraphicFramePr/>
                      <a:graphic xmlns:a="http://schemas.openxmlformats.org/drawingml/2006/main">
                        <a:graphicData uri="http://schemas.microsoft.com/office/word/2010/wordprocessingGroup">
                          <wpg:wgp>
                            <wpg:cNvGrpSpPr/>
                            <wpg:grpSpPr>
                              <a:xfrm>
                                <a:off x="0" y="0"/>
                                <a:ext cx="4728845" cy="4992370"/>
                                <a:chOff x="8514" y="606286"/>
                                <a:chExt cx="7447" cy="7862"/>
                              </a:xfrm>
                            </wpg:grpSpPr>
                            <wps:wsp>
                              <wps:cNvPr id="132" name="矩形 132"/>
                              <wps:cNvSpPr/>
                              <wps:spPr>
                                <a:xfrm>
                                  <a:off x="8526" y="609098"/>
                                  <a:ext cx="1234" cy="628"/>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default"/>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非采暖期</w:t>
                                    </w:r>
                                    <w:r>
                                      <w:rPr>
                                        <w:rFonts w:hint="eastAsia" w:cs="Times New Roman"/>
                                        <w:color w:val="000000" w:themeColor="text1"/>
                                        <w:sz w:val="18"/>
                                        <w:szCs w:val="18"/>
                                        <w:highlight w:val="none"/>
                                        <w:lang w:val="en-US" w:eastAsia="zh-CN"/>
                                        <w14:textFill>
                                          <w14:solidFill>
                                            <w14:schemeClr w14:val="tx1"/>
                                          </w14:solidFill>
                                        </w14:textFill>
                                      </w:rPr>
                                      <w:t>829.21</w:t>
                                    </w:r>
                                  </w:p>
                                  <w:p>
                                    <w:pPr>
                                      <w:jc w:val="center"/>
                                      <w:rPr>
                                        <w:rFonts w:hint="eastAsia"/>
                                        <w:b w:val="0"/>
                                        <w:bCs w:val="0"/>
                                        <w:color w:val="000000" w:themeColor="text1"/>
                                        <w:sz w:val="18"/>
                                        <w:szCs w:val="18"/>
                                        <w:lang w:val="en-US" w:eastAsia="zh-CN"/>
                                        <w14:textFill>
                                          <w14:solidFill>
                                            <w14:schemeClr w14:val="tx1"/>
                                          </w14:solidFill>
                                        </w14:textFill>
                                      </w:rPr>
                                    </w:pPr>
                                  </w:p>
                                  <w:p>
                                    <w:pPr>
                                      <w:jc w:val="center"/>
                                      <w:rPr>
                                        <w:rFonts w:hint="default"/>
                                        <w:b w:val="0"/>
                                        <w:bCs w:val="0"/>
                                        <w:color w:val="000000" w:themeColor="text1"/>
                                        <w:sz w:val="18"/>
                                        <w:szCs w:val="1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直接箭头连接符 133"/>
                              <wps:cNvCnPr/>
                              <wps:spPr>
                                <a:xfrm flipV="1">
                                  <a:off x="8581" y="609680"/>
                                  <a:ext cx="1137" cy="1"/>
                                </a:xfrm>
                                <a:prstGeom prst="straightConnector1">
                                  <a:avLst/>
                                </a:prstGeom>
                                <a:ln w="6350">
                                  <a:solidFill>
                                    <a:schemeClr val="tx1"/>
                                  </a:solidFill>
                                  <a:headEnd type="none"/>
                                  <a:tailEnd type="none" w="med" len="med"/>
                                </a:ln>
                              </wps:spPr>
                              <wps:style>
                                <a:lnRef idx="1">
                                  <a:schemeClr val="accent1"/>
                                </a:lnRef>
                                <a:fillRef idx="0">
                                  <a:schemeClr val="accent1"/>
                                </a:fillRef>
                                <a:effectRef idx="0">
                                  <a:schemeClr val="accent1"/>
                                </a:effectRef>
                                <a:fontRef idx="minor">
                                  <a:schemeClr val="tx1"/>
                                </a:fontRef>
                              </wps:style>
                              <wps:bodyPr/>
                            </wps:wsp>
                            <wps:wsp>
                              <wps:cNvPr id="134" name="直接箭头连接符 134"/>
                              <wps:cNvCnPr/>
                              <wps:spPr>
                                <a:xfrm>
                                  <a:off x="9719" y="607038"/>
                                  <a:ext cx="575" cy="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 name="直接连接符 135"/>
                              <wps:cNvCnPr/>
                              <wps:spPr>
                                <a:xfrm flipH="1">
                                  <a:off x="9708" y="607038"/>
                                  <a:ext cx="11" cy="6898"/>
                                </a:xfrm>
                                <a:prstGeom prst="line">
                                  <a:avLst/>
                                </a:prstGeom>
                                <a:ln w="63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37" name="直接箭头连接符 137"/>
                              <wps:cNvCnPr>
                                <a:endCxn id="146" idx="1"/>
                              </wps:cNvCnPr>
                              <wps:spPr>
                                <a:xfrm flipV="1">
                                  <a:off x="9734" y="607838"/>
                                  <a:ext cx="684" cy="4"/>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8" name="直接箭头连接符 138"/>
                              <wps:cNvCnPr/>
                              <wps:spPr>
                                <a:xfrm>
                                  <a:off x="9729" y="609504"/>
                                  <a:ext cx="575" cy="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1" name="直接箭头连接符 141"/>
                              <wps:cNvCnPr/>
                              <wps:spPr>
                                <a:xfrm>
                                  <a:off x="9714" y="610584"/>
                                  <a:ext cx="575" cy="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 name="直接箭头连接符 143"/>
                              <wps:cNvCnPr/>
                              <wps:spPr>
                                <a:xfrm>
                                  <a:off x="9729" y="611389"/>
                                  <a:ext cx="575" cy="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4" name="直接箭头连接符 144"/>
                              <wps:cNvCnPr/>
                              <wps:spPr>
                                <a:xfrm>
                                  <a:off x="9721" y="613085"/>
                                  <a:ext cx="575" cy="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5" name="矩形 145"/>
                              <wps:cNvSpPr/>
                              <wps:spPr>
                                <a:xfrm>
                                  <a:off x="10300" y="606761"/>
                                  <a:ext cx="1266"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矩形 146"/>
                              <wps:cNvSpPr/>
                              <wps:spPr>
                                <a:xfrm>
                                  <a:off x="10418" y="607625"/>
                                  <a:ext cx="1163"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搅拌用水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2" name="矩形 152"/>
                              <wps:cNvSpPr/>
                              <wps:spPr>
                                <a:xfrm>
                                  <a:off x="10316" y="612910"/>
                                  <a:ext cx="1266"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绿化用水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矩形 151"/>
                              <wps:cNvSpPr/>
                              <wps:spPr>
                                <a:xfrm>
                                  <a:off x="10310" y="612045"/>
                                  <a:ext cx="1262"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道路洒水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150"/>
                              <wps:cNvSpPr/>
                              <wps:spPr>
                                <a:xfrm>
                                  <a:off x="10325" y="611167"/>
                                  <a:ext cx="1750"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车间地坪清洁用水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矩形 149"/>
                              <wps:cNvSpPr/>
                              <wps:spPr>
                                <a:xfrm>
                                  <a:off x="10305" y="609277"/>
                                  <a:ext cx="1266"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洗车用水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 name="矩形 148"/>
                              <wps:cNvSpPr/>
                              <wps:spPr>
                                <a:xfrm>
                                  <a:off x="10295" y="610322"/>
                                  <a:ext cx="1799"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原料堆放抑尘用水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52"/>
                              <wps:cNvCnPr/>
                              <wps:spPr>
                                <a:xfrm>
                                  <a:off x="9719" y="612272"/>
                                  <a:ext cx="575" cy="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0" name="直接箭头连接符 160"/>
                              <wps:cNvCnPr/>
                              <wps:spPr>
                                <a:xfrm>
                                  <a:off x="11574" y="607008"/>
                                  <a:ext cx="737" cy="4"/>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2" name="矩形 162"/>
                              <wps:cNvSpPr/>
                              <wps:spPr>
                                <a:xfrm>
                                  <a:off x="12305" y="606791"/>
                                  <a:ext cx="1436"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园区污水管网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直接箭头连接符 166"/>
                              <wps:cNvCnPr/>
                              <wps:spPr>
                                <a:xfrm>
                                  <a:off x="13739" y="606988"/>
                                  <a:ext cx="737" cy="4"/>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5" name="矩形 165"/>
                              <wps:cNvSpPr/>
                              <wps:spPr>
                                <a:xfrm>
                                  <a:off x="14390" y="606751"/>
                                  <a:ext cx="1571" cy="42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园区污水处理站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9" name="矩形 169"/>
                              <wps:cNvSpPr/>
                              <wps:spPr>
                                <a:xfrm>
                                  <a:off x="9665" y="606676"/>
                                  <a:ext cx="614"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矩形 170"/>
                              <wps:cNvSpPr/>
                              <wps:spPr>
                                <a:xfrm>
                                  <a:off x="11505" y="606646"/>
                                  <a:ext cx="79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曲线连接符 171"/>
                              <wps:cNvCnPr/>
                              <wps:spPr>
                                <a:xfrm flipV="1">
                                  <a:off x="10921" y="606538"/>
                                  <a:ext cx="410" cy="210"/>
                                </a:xfrm>
                                <a:prstGeom prst="curvedConnector3">
                                  <a:avLst>
                                    <a:gd name="adj1" fmla="val 33170"/>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2" name="矩形 172"/>
                              <wps:cNvSpPr/>
                              <wps:spPr>
                                <a:xfrm>
                                  <a:off x="11210" y="606286"/>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0.28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3" name="矩形 173"/>
                              <wps:cNvSpPr/>
                              <wps:spPr>
                                <a:xfrm>
                                  <a:off x="9548" y="607456"/>
                                  <a:ext cx="980"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794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 name="曲线连接符 175"/>
                              <wps:cNvCnPr/>
                              <wps:spPr>
                                <a:xfrm flipV="1">
                                  <a:off x="10906" y="607412"/>
                                  <a:ext cx="410" cy="210"/>
                                </a:xfrm>
                                <a:prstGeom prst="curvedConnector3">
                                  <a:avLst>
                                    <a:gd name="adj1" fmla="val 33170"/>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4" name="矩形 174"/>
                              <wps:cNvSpPr/>
                              <wps:spPr>
                                <a:xfrm>
                                  <a:off x="11153" y="607182"/>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800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 name="曲线连接符 176"/>
                              <wps:cNvCnPr/>
                              <wps:spPr>
                                <a:xfrm flipV="1">
                                  <a:off x="10855" y="609066"/>
                                  <a:ext cx="410" cy="210"/>
                                </a:xfrm>
                                <a:prstGeom prst="curvedConnector3">
                                  <a:avLst>
                                    <a:gd name="adj1" fmla="val 33170"/>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2" name="曲线连接符 182"/>
                              <wps:cNvCnPr/>
                              <wps:spPr>
                                <a:xfrm flipV="1">
                                  <a:off x="11096" y="610112"/>
                                  <a:ext cx="410" cy="210"/>
                                </a:xfrm>
                                <a:prstGeom prst="curvedConnector3">
                                  <a:avLst>
                                    <a:gd name="adj1" fmla="val 33170"/>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1" name="矩形 181"/>
                              <wps:cNvSpPr/>
                              <wps:spPr>
                                <a:xfrm>
                                  <a:off x="11315" y="609860"/>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4</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 name="曲线连接符 183"/>
                              <wps:cNvCnPr/>
                              <wps:spPr>
                                <a:xfrm flipV="1">
                                  <a:off x="11056" y="610962"/>
                                  <a:ext cx="410" cy="210"/>
                                </a:xfrm>
                                <a:prstGeom prst="curvedConnector3">
                                  <a:avLst>
                                    <a:gd name="adj1" fmla="val 33170"/>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4" name="曲线连接符 184"/>
                              <wps:cNvCnPr/>
                              <wps:spPr>
                                <a:xfrm flipV="1">
                                  <a:off x="10911" y="611826"/>
                                  <a:ext cx="410" cy="210"/>
                                </a:xfrm>
                                <a:prstGeom prst="curvedConnector3">
                                  <a:avLst>
                                    <a:gd name="adj1" fmla="val 33170"/>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5" name="曲线连接符 185"/>
                              <wps:cNvCnPr/>
                              <wps:spPr>
                                <a:xfrm flipV="1">
                                  <a:off x="10941" y="612690"/>
                                  <a:ext cx="410" cy="210"/>
                                </a:xfrm>
                                <a:prstGeom prst="curvedConnector3">
                                  <a:avLst>
                                    <a:gd name="adj1" fmla="val 33170"/>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6" name="矩形 186"/>
                              <wps:cNvSpPr/>
                              <wps:spPr>
                                <a:xfrm>
                                  <a:off x="9615" y="609162"/>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 name="矩形 187"/>
                              <wps:cNvSpPr/>
                              <wps:spPr>
                                <a:xfrm>
                                  <a:off x="9590" y="610242"/>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 name="矩形 188"/>
                              <wps:cNvSpPr/>
                              <wps:spPr>
                                <a:xfrm>
                                  <a:off x="9605" y="611037"/>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7.5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矩形 190"/>
                              <wps:cNvSpPr/>
                              <wps:spPr>
                                <a:xfrm>
                                  <a:off x="9595" y="612703"/>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矩形 189"/>
                              <wps:cNvSpPr/>
                              <wps:spPr>
                                <a:xfrm>
                                  <a:off x="9565" y="611889"/>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1" name="肘形连接符 191"/>
                              <wps:cNvCnPr/>
                              <wps:spPr>
                                <a:xfrm flipH="1">
                                  <a:off x="10876" y="609485"/>
                                  <a:ext cx="705" cy="469"/>
                                </a:xfrm>
                                <a:prstGeom prst="bentConnector3">
                                  <a:avLst>
                                    <a:gd name="adj1" fmla="val -109219"/>
                                  </a:avLst>
                                </a:prstGeom>
                                <a:ln w="63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92" name="直接箭头连接符 192"/>
                              <wps:cNvCnPr/>
                              <wps:spPr>
                                <a:xfrm flipV="1">
                                  <a:off x="10885" y="609699"/>
                                  <a:ext cx="2" cy="254"/>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3" name="矩形 193"/>
                              <wps:cNvSpPr/>
                              <wps:spPr>
                                <a:xfrm>
                                  <a:off x="12138" y="609468"/>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4.0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矩形 203"/>
                              <wps:cNvSpPr/>
                              <wps:spPr>
                                <a:xfrm>
                                  <a:off x="11078" y="608815"/>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4" name="矩形 204"/>
                              <wps:cNvSpPr/>
                              <wps:spPr>
                                <a:xfrm>
                                  <a:off x="11242" y="610730"/>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4" name="矩形 214"/>
                              <wps:cNvSpPr/>
                              <wps:spPr>
                                <a:xfrm>
                                  <a:off x="12286" y="611048"/>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6</w:t>
                                    </w:r>
                                    <w:r>
                                      <w:rPr>
                                        <w:rFonts w:hint="eastAsia" w:ascii="Times New Roman" w:eastAsia="宋体"/>
                                        <w:b w:val="0"/>
                                        <w:bCs w:val="0"/>
                                        <w:color w:val="000000" w:themeColor="text1"/>
                                        <w:sz w:val="18"/>
                                        <w:szCs w:val="18"/>
                                        <w:lang w:val="en-US" w:eastAsia="zh-CN"/>
                                        <w14:textFill>
                                          <w14:solidFill>
                                            <w14:schemeClr w14:val="tx1"/>
                                          </w14:solidFill>
                                        </w14:textFill>
                                      </w:rPr>
                                      <w:t>.0</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矩形 216"/>
                              <wps:cNvSpPr/>
                              <wps:spPr>
                                <a:xfrm>
                                  <a:off x="11187" y="612485"/>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5" name="矩形 215"/>
                              <wps:cNvSpPr/>
                              <wps:spPr>
                                <a:xfrm>
                                  <a:off x="11132" y="611553"/>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8" name="任意多边形 218"/>
                              <wps:cNvSpPr/>
                              <wps:spPr>
                                <a:xfrm>
                                  <a:off x="11598" y="607813"/>
                                  <a:ext cx="2393" cy="3593"/>
                                </a:xfrm>
                                <a:custGeom>
                                  <a:avLst/>
                                  <a:gdLst>
                                    <a:gd name="connsiteX0" fmla="*/ 483 w 2393"/>
                                    <a:gd name="connsiteY0" fmla="*/ 3593 h 3593"/>
                                    <a:gd name="connsiteX1" fmla="*/ 2393 w 2393"/>
                                    <a:gd name="connsiteY1" fmla="*/ 3588 h 3593"/>
                                    <a:gd name="connsiteX2" fmla="*/ 2393 w 2393"/>
                                    <a:gd name="connsiteY2" fmla="*/ 0 h 3593"/>
                                    <a:gd name="connsiteX3" fmla="*/ 0 w 2393"/>
                                    <a:gd name="connsiteY3" fmla="*/ 0 h 3593"/>
                                  </a:gdLst>
                                  <a:ahLst/>
                                  <a:cxnLst>
                                    <a:cxn ang="0">
                                      <a:pos x="connsiteX0" y="connsiteY0"/>
                                    </a:cxn>
                                    <a:cxn ang="0">
                                      <a:pos x="connsiteX1" y="connsiteY1"/>
                                    </a:cxn>
                                    <a:cxn ang="0">
                                      <a:pos x="connsiteX2" y="connsiteY2"/>
                                    </a:cxn>
                                    <a:cxn ang="0">
                                      <a:pos x="connsiteX3" y="connsiteY3"/>
                                    </a:cxn>
                                  </a:cxnLst>
                                  <a:rect l="l" t="t" r="r" b="b"/>
                                  <a:pathLst>
                                    <a:path w="2393" h="3593">
                                      <a:moveTo>
                                        <a:pt x="483" y="3593"/>
                                      </a:moveTo>
                                      <a:lnTo>
                                        <a:pt x="2393" y="3588"/>
                                      </a:lnTo>
                                      <a:lnTo>
                                        <a:pt x="2393" y="0"/>
                                      </a:lnTo>
                                      <a:lnTo>
                                        <a:pt x="0" y="0"/>
                                      </a:lnTo>
                                    </a:path>
                                  </a:pathLst>
                                </a:custGeom>
                                <a:noFill/>
                                <a:ln w="6350">
                                  <a:solidFill>
                                    <a:schemeClr val="tx1"/>
                                  </a:solidFill>
                                  <a:headEnd type="none"/>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rtlCol="0" fromWordArt="0" anchor="ctr" anchorCtr="0" compatLnSpc="1">
                                <a:noAutofit/>
                              </wps:bodyPr>
                            </wps:wsp>
                            <wps:wsp>
                              <wps:cNvPr id="219" name="矩形 219"/>
                              <wps:cNvSpPr/>
                              <wps:spPr>
                                <a:xfrm>
                                  <a:off x="8514" y="609640"/>
                                  <a:ext cx="1234" cy="628"/>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val="0"/>
                                      <w:snapToGrid w:val="0"/>
                                      <w:jc w:val="center"/>
                                      <w:textAlignment w:val="auto"/>
                                      <w:rPr>
                                        <w:rFonts w:hint="default"/>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采暖期</w:t>
                                    </w:r>
                                    <w:r>
                                      <w:rPr>
                                        <w:rFonts w:hint="eastAsia" w:cs="Times New Roman"/>
                                        <w:color w:val="000000" w:themeColor="text1"/>
                                        <w:sz w:val="18"/>
                                        <w:szCs w:val="18"/>
                                        <w:highlight w:val="none"/>
                                        <w:lang w:val="en-US" w:eastAsia="zh-CN"/>
                                        <w14:textFill>
                                          <w14:solidFill>
                                            <w14:schemeClr w14:val="tx1"/>
                                          </w14:solidFill>
                                        </w14:textFill>
                                      </w:rPr>
                                      <w:t>828.61</w:t>
                                    </w:r>
                                  </w:p>
                                  <w:p>
                                    <w:pPr>
                                      <w:jc w:val="center"/>
                                      <w:rPr>
                                        <w:rFonts w:hint="eastAsia"/>
                                        <w:b w:val="0"/>
                                        <w:bCs w:val="0"/>
                                        <w:color w:val="000000" w:themeColor="text1"/>
                                        <w:sz w:val="18"/>
                                        <w:szCs w:val="18"/>
                                        <w:lang w:val="en-US" w:eastAsia="zh-CN"/>
                                        <w14:textFill>
                                          <w14:solidFill>
                                            <w14:schemeClr w14:val="tx1"/>
                                          </w14:solidFill>
                                        </w14:textFill>
                                      </w:rPr>
                                    </w:pPr>
                                  </w:p>
                                  <w:p>
                                    <w:pPr>
                                      <w:jc w:val="center"/>
                                      <w:rPr>
                                        <w:rFonts w:hint="default"/>
                                        <w:b w:val="0"/>
                                        <w:bCs w:val="0"/>
                                        <w:color w:val="000000" w:themeColor="text1"/>
                                        <w:sz w:val="18"/>
                                        <w:szCs w:val="18"/>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直接箭头连接符 53"/>
                              <wps:cNvCnPr/>
                              <wps:spPr>
                                <a:xfrm>
                                  <a:off x="9731" y="608671"/>
                                  <a:ext cx="575" cy="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 name="矩形 121"/>
                              <wps:cNvSpPr/>
                              <wps:spPr>
                                <a:xfrm>
                                  <a:off x="10322" y="608489"/>
                                  <a:ext cx="1415"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化验清洗用水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矩形 155"/>
                              <wps:cNvSpPr/>
                              <wps:spPr>
                                <a:xfrm>
                                  <a:off x="9627" y="608303"/>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直接箭头连接符 156"/>
                              <wps:cNvCnPr/>
                              <wps:spPr>
                                <a:xfrm>
                                  <a:off x="11748" y="608679"/>
                                  <a:ext cx="693" cy="7"/>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7" name="矩形 157"/>
                              <wps:cNvSpPr/>
                              <wps:spPr>
                                <a:xfrm>
                                  <a:off x="11645" y="608281"/>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4" name="矩形 154"/>
                              <wps:cNvSpPr/>
                              <wps:spPr>
                                <a:xfrm>
                                  <a:off x="12372" y="608449"/>
                                  <a:ext cx="1404" cy="426"/>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作为危废处置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直接箭头连接符 232"/>
                              <wps:cNvCnPr/>
                              <wps:spPr>
                                <a:xfrm>
                                  <a:off x="9732" y="613935"/>
                                  <a:ext cx="575" cy="0"/>
                                </a:xfrm>
                                <a:prstGeom prst="straightConnector1">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3" name="矩形 233"/>
                              <wps:cNvSpPr/>
                              <wps:spPr>
                                <a:xfrm>
                                  <a:off x="9628" y="613539"/>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19.2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4" name="矩形 234"/>
                              <wps:cNvSpPr/>
                              <wps:spPr>
                                <a:xfrm>
                                  <a:off x="10328" y="613722"/>
                                  <a:ext cx="1781" cy="4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生物除臭喷淋补水水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5" name="曲线连接符 235"/>
                              <wps:cNvCnPr/>
                              <wps:spPr>
                                <a:xfrm flipV="1">
                                  <a:off x="11179" y="613515"/>
                                  <a:ext cx="410" cy="210"/>
                                </a:xfrm>
                                <a:prstGeom prst="curvedConnector3">
                                  <a:avLst>
                                    <a:gd name="adj1" fmla="val 33170"/>
                                  </a:avLst>
                                </a:prstGeom>
                                <a:ln w="6350">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 name="矩形 236"/>
                              <wps:cNvSpPr/>
                              <wps:spPr>
                                <a:xfrm>
                                  <a:off x="11380" y="613273"/>
                                  <a:ext cx="743" cy="386"/>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19.2</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6.65pt;margin-top:3.3pt;height:393.1pt;width:372.35pt;z-index:251662336;mso-width-relative:page;mso-height-relative:page;" coordorigin="8514,606286" coordsize="7447,7862" o:gfxdata="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">
                      <o:lock v:ext="edit" aspectratio="f"/>
                      <v:rect id="_x0000_s1026" o:spid="_x0000_s1026" o:spt="1" style="position:absolute;left:8526;top:609098;height:628;width:1234;v-text-anchor:middle;" filled="f" stroked="f" coordsize="21600,21600" o:gfxdata="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vNju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default"/>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非采暖期</w:t>
                              </w:r>
                              <w:r>
                                <w:rPr>
                                  <w:rFonts w:hint="eastAsia" w:cs="Times New Roman"/>
                                  <w:color w:val="000000" w:themeColor="text1"/>
                                  <w:sz w:val="18"/>
                                  <w:szCs w:val="18"/>
                                  <w:highlight w:val="none"/>
                                  <w:lang w:val="en-US" w:eastAsia="zh-CN"/>
                                  <w14:textFill>
                                    <w14:solidFill>
                                      <w14:schemeClr w14:val="tx1"/>
                                    </w14:solidFill>
                                  </w14:textFill>
                                </w:rPr>
                                <w:t>829.21</w:t>
                              </w:r>
                            </w:p>
                            <w:p>
                              <w:pPr>
                                <w:jc w:val="center"/>
                                <w:rPr>
                                  <w:rFonts w:hint="eastAsia"/>
                                  <w:b w:val="0"/>
                                  <w:bCs w:val="0"/>
                                  <w:color w:val="000000" w:themeColor="text1"/>
                                  <w:sz w:val="18"/>
                                  <w:szCs w:val="18"/>
                                  <w:lang w:val="en-US" w:eastAsia="zh-CN"/>
                                  <w14:textFill>
                                    <w14:solidFill>
                                      <w14:schemeClr w14:val="tx1"/>
                                    </w14:solidFill>
                                  </w14:textFill>
                                </w:rPr>
                              </w:pPr>
                            </w:p>
                            <w:p>
                              <w:pPr>
                                <w:jc w:val="center"/>
                                <w:rPr>
                                  <w:rFonts w:hint="default"/>
                                  <w:b w:val="0"/>
                                  <w:bCs w:val="0"/>
                                  <w:color w:val="000000" w:themeColor="text1"/>
                                  <w:sz w:val="18"/>
                                  <w:szCs w:val="18"/>
                                  <w:lang w:val="en-US" w:eastAsia="zh-CN"/>
                                  <w14:textFill>
                                    <w14:solidFill>
                                      <w14:schemeClr w14:val="tx1"/>
                                    </w14:solidFill>
                                  </w14:textFill>
                                </w:rPr>
                              </w:pPr>
                            </w:p>
                          </w:txbxContent>
                        </v:textbox>
                      </v:rect>
                      <v:shape id="_x0000_s1026" o:spid="_x0000_s1026" o:spt="32" type="#_x0000_t32" style="position:absolute;left:8581;top:609680;flip:y;height:1;width:1137;" filled="f" stroked="t" coordsize="21600,21600" o:gfxdata="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i/R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shape>
                      <v:shape id="_x0000_s1026" o:spid="_x0000_s1026" o:spt="32" type="#_x0000_t32" style="position:absolute;left:9719;top:607038;height:0;width:575;" filled="f" stroked="t" coordsize="21600,21600" o:gfxdata="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X5EW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line id="_x0000_s1026" o:spid="_x0000_s1026" o:spt="20" style="position:absolute;left:9708;top:607038;flip:x;height:6898;width:11;" filled="f" stroked="t" coordsize="21600,21600" o:gfxdata="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618y8AAAA&#10;3AAAAA8AAAAAAAAAAQAgAAAAIgAAAGRycy9kb3ducmV2LnhtbFBLAQIUABQAAAAIAIdO4kAzLwWe&#10;OwAAADkAAAAQAAAAAAAAAAEAIAAAAAsBAABkcnMvc2hhcGV4bWwueG1sUEsFBgAAAAAGAAYAWwEA&#10;ALUDAAAAAA==&#10;">
                        <v:fill on="f" focussize="0,0"/>
                        <v:stroke weight="0.5pt" color="#000000 [3213]" miterlimit="8" joinstyle="miter"/>
                        <v:imagedata o:title=""/>
                        <o:lock v:ext="edit" aspectratio="f"/>
                      </v:line>
                      <v:shape id="_x0000_s1026" o:spid="_x0000_s1026" o:spt="32" type="#_x0000_t32" style="position:absolute;left:9734;top:607838;flip:y;height:4;width:684;" filled="f" stroked="t" coordsize="21600,21600" o:gfxdata="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Xiw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9729;top:609504;height:0;width:575;" filled="f" stroked="t" coordsize="21600,21600" o:gfxdata="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u5A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32" type="#_x0000_t32" style="position:absolute;left:9714;top:610584;height:0;width:575;" filled="f" stroked="t" coordsize="21600,21600" o:gfxdata="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ZjSg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32" type="#_x0000_t32" style="position:absolute;left:9729;top:611389;height:0;width:575;" filled="f" stroked="t" coordsize="21600,21600" o:gfxdata="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4D0y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32" type="#_x0000_t32" style="position:absolute;left:9721;top:613085;height:0;width:575;" filled="f" stroked="t" coordsize="21600,21600" o:gfxdata="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GXO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_x0000_s1026" o:spid="_x0000_s1026" o:spt="1" style="position:absolute;left:10300;top:606761;height:426;width:1266;v-text-anchor:middle;" filled="f" stroked="t" coordsize="21600,21600" o:gfxdata="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LHg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生活用水</w:t>
                              </w:r>
                            </w:p>
                          </w:txbxContent>
                        </v:textbox>
                      </v:rect>
                      <v:rect id="_x0000_s1026" o:spid="_x0000_s1026" o:spt="1" style="position:absolute;left:10418;top:607625;height:426;width:1163;v-text-anchor:middle;" filled="f" stroked="t" coordsize="21600,21600" o:gfxdata="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i+X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搅拌用水</w:t>
                              </w:r>
                            </w:p>
                          </w:txbxContent>
                        </v:textbox>
                      </v:rect>
                      <v:rect id="_x0000_s1026" o:spid="_x0000_s1026" o:spt="1" style="position:absolute;left:10316;top:612910;height:426;width:1266;v-text-anchor:middle;" filled="f" stroked="t" coordsize="21600,21600" o:gfxdata="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0v0m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绿化用水</w:t>
                              </w:r>
                            </w:p>
                          </w:txbxContent>
                        </v:textbox>
                      </v:rect>
                      <v:rect id="_x0000_s1026" o:spid="_x0000_s1026" o:spt="1" style="position:absolute;left:10310;top:612045;height:426;width:1262;v-text-anchor:middle;" filled="f" stroked="t" coordsize="21600,21600" o:gfxdata="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mIT6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道路洒水</w:t>
                              </w:r>
                            </w:p>
                          </w:txbxContent>
                        </v:textbox>
                      </v:rect>
                      <v:rect id="_x0000_s1026" o:spid="_x0000_s1026" o:spt="1" style="position:absolute;left:10325;top:611167;height:426;width:1750;v-text-anchor:middle;" filled="f" stroked="t" coordsize="21600,21600" o:gfxdata="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qhKW/&#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车间地坪清洁用水</w:t>
                              </w:r>
                            </w:p>
                          </w:txbxContent>
                        </v:textbox>
                      </v:rect>
                      <v:rect id="_x0000_s1026" o:spid="_x0000_s1026" o:spt="1" style="position:absolute;left:10305;top:609277;height:426;width:1266;v-text-anchor:middle;" filled="f" stroked="t" coordsize="21600,21600" o:gfxdata="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m75b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洗车用水</w:t>
                              </w:r>
                            </w:p>
                          </w:txbxContent>
                        </v:textbox>
                      </v:rect>
                      <v:rect id="_x0000_s1026" o:spid="_x0000_s1026" o:spt="1" style="position:absolute;left:10295;top:610322;height:426;width:1799;v-text-anchor:middle;" filled="f" stroked="t" coordsize="21600,21600" o:gfxdata="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FHn6/&#10;AAAA3A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textbox>
                          <w:txbxContent>
                            <w:p>
                              <w:pPr>
                                <w:jc w:val="both"/>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原料堆放抑尘用水</w:t>
                              </w:r>
                            </w:p>
                          </w:txbxContent>
                        </v:textbox>
                      </v:rect>
                      <v:shape id="_x0000_s1026" o:spid="_x0000_s1026" o:spt="32" type="#_x0000_t32" style="position:absolute;left:9719;top:612272;height:0;width:575;" filled="f" stroked="t" coordsize="21600,21600" o:gfxdata="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i4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32" type="#_x0000_t32" style="position:absolute;left:11574;top:607008;height:4;width:737;" filled="f" stroked="t" coordsize="21600,21600" o:gfxdata="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81b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rect id="_x0000_s1026" o:spid="_x0000_s1026" o:spt="1" style="position:absolute;left:12305;top:606791;height:426;width:1436;v-text-anchor:middle;" filled="f" stroked="t" coordsize="21600,21600" o:gfxdata="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h19L4A&#10;AADc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园区污水管网</w:t>
                              </w:r>
                            </w:p>
                          </w:txbxContent>
                        </v:textbox>
                      </v:rect>
                      <v:shape id="_x0000_s1026" o:spid="_x0000_s1026" o:spt="32" type="#_x0000_t32" style="position:absolute;left:13739;top:606988;height:4;width:737;" filled="f" stroked="t" coordsize="21600,21600" o:gfxdata="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rwtL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_x0000_s1026" o:spid="_x0000_s1026" o:spt="1" style="position:absolute;left:14390;top:606751;height:426;width:1571;v-text-anchor:middle;" filled="f" stroked="f" coordsize="21600,21600" o:gfxdata="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89YFStwAAANw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园区污水处理站</w:t>
                              </w:r>
                            </w:p>
                          </w:txbxContent>
                        </v:textbox>
                      </v:rect>
                      <v:rect id="_x0000_s1026" o:spid="_x0000_s1026" o:spt="1" style="position:absolute;left:9665;top:606676;height:386;width:614;v-text-anchor:middle;" filled="f" stroked="f" coordsize="21600,21600" o:gfxdata="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24i1e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1.4</w:t>
                              </w:r>
                            </w:p>
                          </w:txbxContent>
                        </v:textbox>
                      </v:rect>
                      <v:rect id="_x0000_s1026" o:spid="_x0000_s1026" o:spt="1" style="position:absolute;left:11505;top:606646;height:386;width:793;v-text-anchor:middle;" filled="f" stroked="f" coordsize="21600,21600" o:gfxdata="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u0F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1.12</w:t>
                              </w:r>
                            </w:p>
                          </w:txbxContent>
                        </v:textbox>
                      </v:rect>
                      <v:shape id="_x0000_s1026" o:spid="_x0000_s1026" o:spt="38" type="#_x0000_t38" style="position:absolute;left:10921;top:606538;flip:y;height:210;width:410;" filled="f" stroked="t" coordsize="21600,21600" o:gfxdata="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zv+ugAAANwA&#10;AAAPAAAAAAAAAAEAIAAAACIAAABkcnMvZG93bnJldi54bWxQSwECFAAUAAAACACHTuJAMy8FnjsA&#10;AAA5AAAAEAAAAAAAAAABACAAAAAJAQAAZHJzL3NoYXBleG1sLnhtbFBLBQYAAAAABgAGAFsBAACz&#10;AwAAAAA=&#10;" adj="7165">
                        <v:fill on="f" focussize="0,0"/>
                        <v:stroke weight="0.5pt" color="#000000 [3213]" miterlimit="8" joinstyle="miter" endarrow="block"/>
                        <v:imagedata o:title=""/>
                        <o:lock v:ext="edit" aspectratio="f"/>
                      </v:shape>
                      <v:rect id="_x0000_s1026" o:spid="_x0000_s1026" o:spt="1" style="position:absolute;left:11210;top:606286;height:386;width:743;v-text-anchor:middle;" filled="f" stroked="f" coordsize="21600,21600" o:gfxdata="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Fj/u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0.28</w:t>
                              </w:r>
                            </w:p>
                          </w:txbxContent>
                        </v:textbox>
                      </v:rect>
                      <v:rect id="_x0000_s1026" o:spid="_x0000_s1026" o:spt="1" style="position:absolute;left:9548;top:607456;height:386;width:980;v-text-anchor:middle;" filled="f" stroked="f" coordsize="21600,21600" o:gfxdata="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kqYL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794</w:t>
                              </w:r>
                            </w:p>
                          </w:txbxContent>
                        </v:textbox>
                      </v:rect>
                      <v:shape id="_x0000_s1026" o:spid="_x0000_s1026" o:spt="38" type="#_x0000_t38" style="position:absolute;left:10906;top:607412;flip:y;height:210;width:410;" filled="f" stroked="t" coordsize="21600,21600" o:gfxdata="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3UPf25AAAA3AAA&#10;AA8AAAAAAAAAAQAgAAAAIgAAAGRycy9kb3ducmV2LnhtbFBLAQIUABQAAAAIAIdO4kAzLwWeOwAA&#10;ADkAAAAQAAAAAAAAAAEAIAAAAAgBAABkcnMvc2hhcGV4bWwueG1sUEsFBgAAAAAGAAYAWwEAALID&#10;AAAAAA==&#10;" adj="7165">
                        <v:fill on="f" focussize="0,0"/>
                        <v:stroke weight="0.5pt" color="#000000 [3213]" miterlimit="8" joinstyle="miter" endarrow="block"/>
                        <v:imagedata o:title=""/>
                        <o:lock v:ext="edit" aspectratio="f"/>
                      </v:shape>
                      <v:rect id="_x0000_s1026" o:spid="_x0000_s1026" o:spt="1" style="position:absolute;left:11153;top:607182;height:386;width:743;v-text-anchor:middle;" filled="f" stroked="f" coordsize="21600,21600" o:gfxdata="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mCyFL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800</w:t>
                              </w:r>
                            </w:p>
                          </w:txbxContent>
                        </v:textbox>
                      </v:rect>
                      <v:shape id="_x0000_s1026" o:spid="_x0000_s1026" o:spt="38" type="#_x0000_t38" style="position:absolute;left:10855;top:609066;flip:y;height:210;width:410;" filled="f" stroked="t" coordsize="21600,21600" o:gfxdata="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0Go4q5AAAA3AAA&#10;AA8AAAAAAAAAAQAgAAAAIgAAAGRycy9kb3ducmV2LnhtbFBLAQIUABQAAAAIAIdO4kAzLwWeOwAA&#10;ADkAAAAQAAAAAAAAAAEAIAAAAAgBAABkcnMvc2hhcGV4bWwueG1sUEsFBgAAAAAGAAYAWwEAALID&#10;AAAAAA==&#10;" adj="7165">
                        <v:fill on="f" focussize="0,0"/>
                        <v:stroke weight="0.5pt" color="#000000 [3213]" miterlimit="8" joinstyle="miter" endarrow="block"/>
                        <v:imagedata o:title=""/>
                        <o:lock v:ext="edit" aspectratio="f"/>
                      </v:shape>
                      <v:shape id="_x0000_s1026" o:spid="_x0000_s1026" o:spt="38" type="#_x0000_t38" style="position:absolute;left:11096;top:610112;flip:y;height:210;width:410;" filled="f" stroked="t" coordsize="21600,21600" o:gfxdata="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o1a65AAAA3AAA&#10;AA8AAAAAAAAAAQAgAAAAIgAAAGRycy9kb3ducmV2LnhtbFBLAQIUABQAAAAIAIdO4kAzLwWeOwAA&#10;ADkAAAAQAAAAAAAAAAEAIAAAAAgBAABkcnMvc2hhcGV4bWwueG1sUEsFBgAAAAAGAAYAWwEAALID&#10;AAAAAA==&#10;" adj="7165">
                        <v:fill on="f" focussize="0,0"/>
                        <v:stroke weight="0.5pt" color="#000000 [3213]" miterlimit="8" joinstyle="miter" endarrow="block"/>
                        <v:imagedata o:title=""/>
                        <o:lock v:ext="edit" aspectratio="f"/>
                      </v:shape>
                      <v:rect id="_x0000_s1026" o:spid="_x0000_s1026" o:spt="1" style="position:absolute;left:11315;top:609860;height:386;width:743;v-text-anchor:middle;" filled="f" stroked="f" coordsize="21600,21600" o:gfxdata="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8Jhq7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4</w:t>
                              </w:r>
                            </w:p>
                            <w:p>
                              <w:pPr>
                                <w:rPr>
                                  <w:rFonts w:hint="default"/>
                                  <w:lang w:val="en-US" w:eastAsia="zh-CN"/>
                                </w:rPr>
                              </w:pPr>
                            </w:p>
                          </w:txbxContent>
                        </v:textbox>
                      </v:rect>
                      <v:shape id="_x0000_s1026" o:spid="_x0000_s1026" o:spt="38" type="#_x0000_t38" style="position:absolute;left:11056;top:610962;flip:y;height:210;width:410;" filled="f" stroked="t" coordsize="21600,21600" o:gfxdata="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kcDW5AAAA3AAA&#10;AA8AAAAAAAAAAQAgAAAAIgAAAGRycy9kb3ducmV2LnhtbFBLAQIUABQAAAAIAIdO4kAzLwWeOwAA&#10;ADkAAAAQAAAAAAAAAAEAIAAAAAgBAABkcnMvc2hhcGV4bWwueG1sUEsFBgAAAAAGAAYAWwEAALID&#10;AAAAAA==&#10;" adj="7165">
                        <v:fill on="f" focussize="0,0"/>
                        <v:stroke weight="0.5pt" color="#000000 [3213]" miterlimit="8" joinstyle="miter" endarrow="block"/>
                        <v:imagedata o:title=""/>
                        <o:lock v:ext="edit" aspectratio="f"/>
                      </v:shape>
                      <v:shape id="_x0000_s1026" o:spid="_x0000_s1026" o:spt="38" type="#_x0000_t38" style="position:absolute;left:10911;top:611826;flip:y;height:210;width:410;" filled="f" stroked="t" coordsize="21600,21600" o:gfxdata="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N6EG5AAAA3AAA&#10;AA8AAAAAAAAAAQAgAAAAIgAAAGRycy9kb3ducmV2LnhtbFBLAQIUABQAAAAIAIdO4kAzLwWeOwAA&#10;ADkAAAAQAAAAAAAAAAEAIAAAAAgBAABkcnMvc2hhcGV4bWwueG1sUEsFBgAAAAAGAAYAWwEAALID&#10;AAAAAA==&#10;" adj="7165">
                        <v:fill on="f" focussize="0,0"/>
                        <v:stroke weight="0.5pt" color="#000000 [3213]" miterlimit="8" joinstyle="miter" endarrow="block"/>
                        <v:imagedata o:title=""/>
                        <o:lock v:ext="edit" aspectratio="f"/>
                      </v:shape>
                      <v:shape id="_x0000_s1026" o:spid="_x0000_s1026" o:spt="38" type="#_x0000_t38" style="position:absolute;left:10941;top:612690;flip:y;height:210;width:410;" filled="f" stroked="t" coordsize="21600,21600" o:gfxdata="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BTdq5AAAA3AAA&#10;AA8AAAAAAAAAAQAgAAAAIgAAAGRycy9kb3ducmV2LnhtbFBLAQIUABQAAAAIAIdO4kAzLwWeOwAA&#10;ADkAAAAQAAAAAAAAAAEAIAAAAAgBAABkcnMvc2hhcGV4bWwueG1sUEsFBgAAAAAGAAYAWwEAALID&#10;AAAAAA==&#10;" adj="7165">
                        <v:fill on="f" focussize="0,0"/>
                        <v:stroke weight="0.5pt" color="#000000 [3213]" miterlimit="8" joinstyle="miter" endarrow="block"/>
                        <v:imagedata o:title=""/>
                        <o:lock v:ext="edit" aspectratio="f"/>
                      </v:shape>
                      <v:rect id="_x0000_s1026" o:spid="_x0000_s1026" o:spt="1" style="position:absolute;left:9615;top:609162;height:386;width:743;v-text-anchor:middle;" filled="f" stroked="f" coordsize="21600,21600" o:gfxdata="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8K/nftwAAANw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2</w:t>
                              </w:r>
                            </w:p>
                          </w:txbxContent>
                        </v:textbox>
                      </v:rect>
                      <v:rect id="_x0000_s1026" o:spid="_x0000_s1026" o:spt="1" style="position:absolute;left:9590;top:610242;height:386;width:743;v-text-anchor:middle;" filled="f" stroked="f" coordsize="21600,21600" o:gfxdata="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nXES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4</w:t>
                              </w:r>
                            </w:p>
                          </w:txbxContent>
                        </v:textbox>
                      </v:rect>
                      <v:rect id="_x0000_s1026" o:spid="_x0000_s1026" o:spt="1" style="position:absolute;left:9605;top:611037;height:386;width:743;v-text-anchor:middle;" filled="f" stroked="f" coordsize="21600,21600" o:gfxdata="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jINr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7.5</w:t>
                              </w:r>
                            </w:p>
                          </w:txbxContent>
                        </v:textbox>
                      </v:rect>
                      <v:rect id="_x0000_s1026" o:spid="_x0000_s1026" o:spt="1" style="position:absolute;left:9595;top:612703;height:386;width:743;v-text-anchor:middle;" filled="f" stroked="f" coordsize="21600,21600" o:gfxdata="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dS7b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0.6</w:t>
                              </w:r>
                            </w:p>
                          </w:txbxContent>
                        </v:textbox>
                      </v:rect>
                      <v:rect id="_x0000_s1026" o:spid="_x0000_s1026" o:spt="1" style="position:absolute;left:9565;top:611889;height:386;width:743;v-text-anchor:middle;" filled="f" stroked="f" coordsize="21600,21600" o:gfxdata="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tG2ttwAAANw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0.5</w:t>
                              </w:r>
                            </w:p>
                          </w:txbxContent>
                        </v:textbox>
                      </v:rect>
                      <v:shape id="_x0000_s1026" o:spid="_x0000_s1026" o:spt="34" type="#_x0000_t34" style="position:absolute;left:10876;top:609485;flip:x;height:469;width:705;" filled="f" stroked="t" coordsize="21600,21600" o:gfxdata="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tPbvQAA&#10;ANwAAAAPAAAAAAAAAAEAIAAAACIAAABkcnMvZG93bnJldi54bWxQSwECFAAUAAAACACHTuJAMy8F&#10;njsAAAA5AAAAEAAAAAAAAAABACAAAAAMAQAAZHJzL3NoYXBleG1sLnhtbFBLBQYAAAAABgAGAFsB&#10;AAC2AwAAAAA=&#10;" adj="-23591">
                        <v:fill on="f" focussize="0,0"/>
                        <v:stroke weight="0.5pt" color="#000000 [3213]" miterlimit="8" joinstyle="miter"/>
                        <v:imagedata o:title=""/>
                        <o:lock v:ext="edit" aspectratio="f"/>
                      </v:shape>
                      <v:shape id="_x0000_s1026" o:spid="_x0000_s1026" o:spt="32" type="#_x0000_t32" style="position:absolute;left:10885;top:609699;flip:y;height:254;width:2;" filled="f" stroked="t" coordsize="21600,21600" o:gfxdata="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kHmO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rect id="_x0000_s1026" o:spid="_x0000_s1026" o:spt="1" style="position:absolute;left:12138;top:609468;height:386;width:743;v-text-anchor:middle;" filled="f" stroked="f" coordsize="21600,21600" o:gfxdata="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XMmr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4.0</w:t>
                              </w:r>
                            </w:p>
                          </w:txbxContent>
                        </v:textbox>
                      </v:rect>
                      <v:rect id="_x0000_s1026" o:spid="_x0000_s1026" o:spt="1" style="position:absolute;left:11078;top:608815;height:386;width:743;v-text-anchor:middle;" filled="f" stroked="f" coordsize="21600,21600" o:gfxdata="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qjhh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2</w:t>
                              </w:r>
                            </w:p>
                          </w:txbxContent>
                        </v:textbox>
                      </v:rect>
                      <v:rect id="_x0000_s1026" o:spid="_x0000_s1026" o:spt="1" style="position:absolute;left:11242;top:610730;height:386;width:743;v-text-anchor:middle;" filled="f" stroked="f" coordsize="21600,21600" o:gfxdata="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Q6AV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1.5</w:t>
                              </w:r>
                            </w:p>
                          </w:txbxContent>
                        </v:textbox>
                      </v:rect>
                      <v:rect id="_x0000_s1026" o:spid="_x0000_s1026" o:spt="1" style="position:absolute;left:12286;top:611048;height:386;width:743;v-text-anchor:middle;" filled="f" stroked="f" coordsize="21600,21600" o:gfxdata="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mjbI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6</w:t>
                              </w:r>
                              <w:r>
                                <w:rPr>
                                  <w:rFonts w:hint="eastAsia" w:ascii="Times New Roman" w:eastAsia="宋体"/>
                                  <w:b w:val="0"/>
                                  <w:bCs w:val="0"/>
                                  <w:color w:val="000000" w:themeColor="text1"/>
                                  <w:sz w:val="18"/>
                                  <w:szCs w:val="18"/>
                                  <w:lang w:val="en-US" w:eastAsia="zh-CN"/>
                                  <w14:textFill>
                                    <w14:solidFill>
                                      <w14:schemeClr w14:val="tx1"/>
                                    </w14:solidFill>
                                  </w14:textFill>
                                </w:rPr>
                                <w:t>.0</w:t>
                              </w:r>
                            </w:p>
                            <w:p>
                              <w:pPr>
                                <w:rPr>
                                  <w:rFonts w:hint="default"/>
                                  <w:lang w:val="en-US" w:eastAsia="zh-CN"/>
                                </w:rPr>
                              </w:pPr>
                            </w:p>
                          </w:txbxContent>
                        </v:textbox>
                      </v:rect>
                      <v:rect id="_x0000_s1026" o:spid="_x0000_s1026" o:spt="1" style="position:absolute;left:11187;top:612485;height:386;width:743;v-text-anchor:middle;" filled="f" stroked="f" coordsize="21600,21600" o:gfxdata="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EDSS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0.6</w:t>
                              </w:r>
                            </w:p>
                          </w:txbxContent>
                        </v:textbox>
                      </v:rect>
                      <v:rect id="_x0000_s1026" o:spid="_x0000_s1026" o:spt="1" style="position:absolute;left:11132;top:611553;height:386;width:743;v-text-anchor:middle;" filled="f" stroked="f" coordsize="21600,21600" o:gfxdata="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pNT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0.5</w:t>
                              </w:r>
                            </w:p>
                          </w:txbxContent>
                        </v:textbox>
                      </v:rect>
                      <v:shape id="_x0000_s1026" o:spid="_x0000_s1026" o:spt="100" style="position:absolute;left:11598;top:607813;height:3593;width:2393;v-text-anchor:middle;" filled="f" stroked="t" coordsize="2393,3593" o:gfxdata="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THLotwAAANwAAAAP&#10;AAAAAAAAAAEAIAAAACIAAABkcnMvZG93bnJldi54bWxQSwECFAAUAAAACACHTuJAMy8FnjsAAAA5&#10;AAAAEAAAAAAAAAABACAAAAAGAQAAZHJzL3NoYXBleG1sLnhtbFBLBQYAAAAABgAGAFsBAACwAwAA&#10;AAA=&#10;" path="m483,3593l2393,3588,2393,0,0,0e">
                        <v:path o:connectlocs="483,3593;2393,3588;2393,0;0,0" o:connectangles="0,0,0,0"/>
                        <v:fill on="f" focussize="0,0"/>
                        <v:stroke weight="0.5pt" color="#000000 [3213]" miterlimit="8" joinstyle="miter" endarrow="block"/>
                        <v:imagedata o:title=""/>
                        <o:lock v:ext="edit" aspectratio="f"/>
                      </v:shape>
                      <v:rect id="_x0000_s1026" o:spid="_x0000_s1026" o:spt="1" style="position:absolute;left:8514;top:609640;height:628;width:1234;v-text-anchor:middle;" filled="f" stroked="f" coordsize="21600,21600" o:gfxdata="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5lW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rFonts w:hint="default"/>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采暖期</w:t>
                              </w:r>
                              <w:r>
                                <w:rPr>
                                  <w:rFonts w:hint="eastAsia" w:cs="Times New Roman"/>
                                  <w:color w:val="000000" w:themeColor="text1"/>
                                  <w:sz w:val="18"/>
                                  <w:szCs w:val="18"/>
                                  <w:highlight w:val="none"/>
                                  <w:lang w:val="en-US" w:eastAsia="zh-CN"/>
                                  <w14:textFill>
                                    <w14:solidFill>
                                      <w14:schemeClr w14:val="tx1"/>
                                    </w14:solidFill>
                                  </w14:textFill>
                                </w:rPr>
                                <w:t>828.61</w:t>
                              </w:r>
                            </w:p>
                            <w:p>
                              <w:pPr>
                                <w:jc w:val="center"/>
                                <w:rPr>
                                  <w:rFonts w:hint="eastAsia"/>
                                  <w:b w:val="0"/>
                                  <w:bCs w:val="0"/>
                                  <w:color w:val="000000" w:themeColor="text1"/>
                                  <w:sz w:val="18"/>
                                  <w:szCs w:val="18"/>
                                  <w:lang w:val="en-US" w:eastAsia="zh-CN"/>
                                  <w14:textFill>
                                    <w14:solidFill>
                                      <w14:schemeClr w14:val="tx1"/>
                                    </w14:solidFill>
                                  </w14:textFill>
                                </w:rPr>
                              </w:pPr>
                            </w:p>
                            <w:p>
                              <w:pPr>
                                <w:jc w:val="center"/>
                                <w:rPr>
                                  <w:rFonts w:hint="default"/>
                                  <w:b w:val="0"/>
                                  <w:bCs w:val="0"/>
                                  <w:color w:val="000000" w:themeColor="text1"/>
                                  <w:sz w:val="18"/>
                                  <w:szCs w:val="18"/>
                                  <w:lang w:val="en-US" w:eastAsia="zh-CN"/>
                                  <w14:textFill>
                                    <w14:solidFill>
                                      <w14:schemeClr w14:val="tx1"/>
                                    </w14:solidFill>
                                  </w14:textFill>
                                </w:rPr>
                              </w:pPr>
                            </w:p>
                          </w:txbxContent>
                        </v:textbox>
                      </v:rect>
                      <v:shape id="_x0000_s1026" o:spid="_x0000_s1026" o:spt="32" type="#_x0000_t32" style="position:absolute;left:9731;top:608671;height:0;width:575;" filled="f" stroked="t" coordsize="21600,21600" o:gfxdata="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8NHe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_x0000_s1026" o:spid="_x0000_s1026" o:spt="1" style="position:absolute;left:10322;top:608489;height:426;width:1415;v-text-anchor:middle;" filled="f" stroked="t" coordsize="21600,21600" o:gfxdata="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gUkO8AAAA&#10;3AAAAA8AAAAAAAAAAQAgAAAAIgAAAGRycy9kb3ducmV2LnhtbFBLAQIUABQAAAAIAIdO4kAzLwWe&#10;OwAAADkAAAAQAAAAAAAAAAEAIAAAAAsBAABkcnMvc2hhcGV4bWwueG1sUEsFBgAAAAAGAAYAWwEA&#10;ALUDA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化验清洗用水</w:t>
                              </w:r>
                            </w:p>
                          </w:txbxContent>
                        </v:textbox>
                      </v:rect>
                      <v:rect id="_x0000_s1026" o:spid="_x0000_s1026" o:spt="1" style="position:absolute;left:9627;top:608303;height:386;width:743;v-text-anchor:middle;" filled="f" stroked="f" coordsize="21600,21600" o:gfxdata="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ZS++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0.01</w:t>
                              </w:r>
                            </w:p>
                          </w:txbxContent>
                        </v:textbox>
                      </v:rect>
                      <v:shape id="_x0000_s1026" o:spid="_x0000_s1026" o:spt="32" type="#_x0000_t32" style="position:absolute;left:11748;top:608679;height:7;width:693;" filled="f" stroked="t" coordsize="21600,21600" o:gfxdata="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VjoJ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rect id="_x0000_s1026" o:spid="_x0000_s1026" o:spt="1" style="position:absolute;left:11645;top:608281;height:386;width:743;v-text-anchor:middle;" filled="f" stroked="f" coordsize="21600,21600" o:gfxdata="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dwA7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0.01</w:t>
                              </w:r>
                            </w:p>
                          </w:txbxContent>
                        </v:textbox>
                      </v:rect>
                      <v:rect id="_x0000_s1026" o:spid="_x0000_s1026" o:spt="1" style="position:absolute;left:12372;top:608449;height:426;width:1404;v-text-anchor:middle;" filled="f" stroked="f" coordsize="21600,21600" o:gfxdata="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Q2CvQAA&#10;ANwAAAAPAAAAAAAAAAEAIAAAACIAAABkcnMvZG93bnJldi54bWxQSwECFAAUAAAACACHTuJAMy8F&#10;njsAAAA5AAAAEAAAAAAAAAABACAAAAAMAQAAZHJzL3NoYXBleG1sLnhtbFBLBQYAAAAABgAGAFsB&#10;AAC2AwAAAAA=&#10;">
                        <v:fill on="f" focussize="0,0"/>
                        <v:stroke on="f" weight="0.5pt"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作为危废处置</w:t>
                              </w:r>
                            </w:p>
                          </w:txbxContent>
                        </v:textbox>
                      </v:rect>
                      <v:shape id="_x0000_s1026" o:spid="_x0000_s1026" o:spt="32" type="#_x0000_t32" style="position:absolute;left:9732;top:613935;height:0;width:575;" filled="f" stroked="t" coordsize="21600,21600" o:gfxdata="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7jW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rect id="_x0000_s1026" o:spid="_x0000_s1026" o:spt="1" style="position:absolute;left:9628;top:613539;height:386;width:743;v-text-anchor:middle;" filled="f" stroked="f" coordsize="21600,21600" o:gfxdata="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G8ty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19.2</w:t>
                              </w:r>
                            </w:p>
                          </w:txbxContent>
                        </v:textbox>
                      </v:rect>
                      <v:rect id="_x0000_s1026" o:spid="_x0000_s1026" o:spt="1" style="position:absolute;left:10328;top:613722;height:426;width:1781;v-text-anchor:middle;" filled="f" stroked="t" coordsize="21600,21600" o:gfxdata="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wZ6&#10;wAAAANw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生物除臭喷淋补水水</w:t>
                              </w:r>
                            </w:p>
                          </w:txbxContent>
                        </v:textbox>
                      </v:rect>
                      <v:shape id="_x0000_s1026" o:spid="_x0000_s1026" o:spt="38" type="#_x0000_t38" style="position:absolute;left:11179;top:613515;flip:y;height:210;width:410;" filled="f" stroked="t" coordsize="21600,21600" o:gfxdata="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b5UG8AAAA&#10;3AAAAA8AAAAAAAAAAQAgAAAAIgAAAGRycy9kb3ducmV2LnhtbFBLAQIUABQAAAAIAIdO4kAzLwWe&#10;OwAAADkAAAAQAAAAAAAAAAEAIAAAAAsBAABkcnMvc2hhcGV4bWwueG1sUEsFBgAAAAAGAAYAWwEA&#10;ALUDAAAAAA==&#10;" adj="7165">
                        <v:fill on="f" focussize="0,0"/>
                        <v:stroke weight="0.5pt" color="#000000 [3213]" miterlimit="8" joinstyle="miter" endarrow="block"/>
                        <v:imagedata o:title=""/>
                        <o:lock v:ext="edit" aspectratio="f"/>
                      </v:shape>
                      <v:rect id="_x0000_s1026" o:spid="_x0000_s1026" o:spt="1" style="position:absolute;left:11380;top:613273;height:386;width:743;v-text-anchor:middle;" filled="f" stroked="f" coordsize="21600,21600" o:gfxdata="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xUUS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w:txbxContent>
                            <w:p>
                              <w:pPr>
                                <w:jc w:val="center"/>
                                <w:rPr>
                                  <w:rFonts w:hint="default" w:eastAsia="宋体"/>
                                  <w:b w:val="0"/>
                                  <w:bCs w:val="0"/>
                                  <w:color w:val="000000" w:themeColor="text1"/>
                                  <w:sz w:val="18"/>
                                  <w:szCs w:val="18"/>
                                  <w:lang w:val="en-US" w:eastAsia="zh-CN"/>
                                  <w14:textFill>
                                    <w14:solidFill>
                                      <w14:schemeClr w14:val="tx1"/>
                                    </w14:solidFill>
                                  </w14:textFill>
                                </w:rPr>
                              </w:pPr>
                              <w:r>
                                <w:rPr>
                                  <w:rFonts w:hint="eastAsia"/>
                                  <w:b w:val="0"/>
                                  <w:bCs w:val="0"/>
                                  <w:color w:val="000000" w:themeColor="text1"/>
                                  <w:sz w:val="18"/>
                                  <w:szCs w:val="18"/>
                                  <w:lang w:val="en-US" w:eastAsia="zh-CN"/>
                                  <w14:textFill>
                                    <w14:solidFill>
                                      <w14:schemeClr w14:val="tx1"/>
                                    </w14:solidFill>
                                  </w14:textFill>
                                </w:rPr>
                                <w:t>19.2</w:t>
                              </w:r>
                            </w:p>
                          </w:txbxContent>
                        </v:textbox>
                      </v:rect>
                    </v:group>
                  </w:pict>
                </mc:Fallback>
              </mc:AlternateContent>
            </w:r>
          </w:p>
          <w:p>
            <w:pPr>
              <w:adjustRightInd w:val="0"/>
              <w:snapToGrid w:val="0"/>
              <w:spacing w:line="480" w:lineRule="exact"/>
              <w:ind w:firstLine="480" w:firstLineChars="200"/>
              <w:rPr>
                <w:rFonts w:hint="eastAsia"/>
                <w:color w:val="auto"/>
                <w:sz w:val="24"/>
                <w:highlight w:val="none"/>
                <w:lang w:val="en-US" w:eastAsia="zh-CN"/>
              </w:rPr>
            </w:pPr>
          </w:p>
          <w:p>
            <w:pPr>
              <w:pStyle w:val="2"/>
              <w:rPr>
                <w:rFonts w:hint="eastAsia"/>
                <w:color w:val="auto"/>
                <w:sz w:val="24"/>
                <w:highlight w:val="none"/>
                <w:lang w:val="en-US" w:eastAsia="zh-CN"/>
              </w:rPr>
            </w:pPr>
          </w:p>
          <w:p>
            <w:pPr>
              <w:rPr>
                <w:rFonts w:hint="eastAsia"/>
                <w:color w:val="auto"/>
                <w:sz w:val="24"/>
                <w:highlight w:val="none"/>
                <w:lang w:val="en-US" w:eastAsia="zh-CN"/>
              </w:rPr>
            </w:pPr>
          </w:p>
          <w:p>
            <w:pPr>
              <w:pStyle w:val="2"/>
              <w:rPr>
                <w:rFonts w:hint="eastAsia"/>
                <w:color w:val="auto"/>
                <w:sz w:val="24"/>
                <w:highlight w:val="none"/>
                <w:lang w:val="en-US" w:eastAsia="zh-CN"/>
              </w:rPr>
            </w:pPr>
          </w:p>
          <w:p>
            <w:pPr>
              <w:rPr>
                <w:rFonts w:hint="eastAsia"/>
                <w:color w:val="auto"/>
                <w:sz w:val="24"/>
                <w:highlight w:val="none"/>
                <w:lang w:val="en-US" w:eastAsia="zh-CN"/>
              </w:rPr>
            </w:pPr>
          </w:p>
          <w:p>
            <w:pPr>
              <w:pStyle w:val="2"/>
              <w:rPr>
                <w:rFonts w:hint="eastAsia"/>
                <w:color w:val="auto"/>
                <w:sz w:val="24"/>
                <w:highlight w:val="none"/>
                <w:lang w:val="en-US" w:eastAsia="zh-CN"/>
              </w:rPr>
            </w:pPr>
          </w:p>
          <w:p>
            <w:pPr>
              <w:rPr>
                <w:rFonts w:hint="eastAsia"/>
                <w:color w:val="auto"/>
                <w:sz w:val="24"/>
                <w:highlight w:val="none"/>
                <w:lang w:val="en-US" w:eastAsia="zh-CN"/>
              </w:rPr>
            </w:pPr>
          </w:p>
          <w:p>
            <w:pPr>
              <w:pStyle w:val="2"/>
              <w:rPr>
                <w:rFonts w:hint="eastAsia"/>
                <w:color w:val="auto"/>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adjustRightInd w:val="0"/>
              <w:snapToGrid w:val="0"/>
              <w:spacing w:line="480" w:lineRule="exact"/>
              <w:ind w:firstLine="480" w:firstLineChars="200"/>
              <w:rPr>
                <w:rFonts w:hint="eastAsia"/>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color w:val="auto"/>
                <w:sz w:val="24"/>
                <w:highlight w:val="none"/>
                <w:lang w:val="en-US" w:eastAsia="zh-CN"/>
              </w:rPr>
            </w:pPr>
            <w:r>
              <w:rPr>
                <w:rFonts w:hint="default" w:ascii="Times New Roman" w:hAnsi="Times New Roman" w:cs="Times New Roman"/>
                <w:b/>
                <w:color w:val="auto"/>
                <w:highlight w:val="none"/>
                <w:shd w:val="clear" w:color="auto" w:fill="auto"/>
              </w:rPr>
              <w:t>图2-1  本项目水平衡图（m</w:t>
            </w:r>
            <w:r>
              <w:rPr>
                <w:rFonts w:hint="default" w:ascii="Times New Roman" w:hAnsi="Times New Roman" w:cs="Times New Roman"/>
                <w:b/>
                <w:color w:val="auto"/>
                <w:highlight w:val="none"/>
                <w:shd w:val="clear" w:color="auto" w:fill="auto"/>
                <w:vertAlign w:val="superscript"/>
              </w:rPr>
              <w:t>3</w:t>
            </w:r>
            <w:r>
              <w:rPr>
                <w:rFonts w:hint="default" w:ascii="Times New Roman" w:hAnsi="Times New Roman" w:cs="Times New Roman"/>
                <w:b/>
                <w:color w:val="auto"/>
                <w:highlight w:val="none"/>
                <w:shd w:val="clear" w:color="auto" w:fill="auto"/>
              </w:rPr>
              <w:t>/d）</w:t>
            </w:r>
          </w:p>
          <w:p>
            <w:pPr>
              <w:adjustRightInd w:val="0"/>
              <w:snapToGrid w:val="0"/>
              <w:spacing w:line="480" w:lineRule="exact"/>
              <w:ind w:firstLine="482" w:firstLineChars="200"/>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2.供电</w:t>
            </w:r>
          </w:p>
          <w:p>
            <w:pPr>
              <w:adjustRightInd w:val="0"/>
              <w:snapToGrid w:val="0"/>
              <w:spacing w:line="480" w:lineRule="exact"/>
              <w:ind w:firstLine="480" w:firstLineChars="200"/>
              <w:rPr>
                <w:rFonts w:hint="default" w:cs="Times New Roman"/>
                <w:b w:val="0"/>
                <w:bCs w:val="0"/>
                <w:color w:val="auto"/>
                <w:sz w:val="24"/>
                <w:highlight w:val="none"/>
                <w:lang w:val="en-US" w:eastAsia="zh-CN"/>
              </w:rPr>
            </w:pPr>
            <w:r>
              <w:rPr>
                <w:rFonts w:hint="default" w:cs="Times New Roman"/>
                <w:b w:val="0"/>
                <w:bCs w:val="0"/>
                <w:color w:val="auto"/>
                <w:sz w:val="24"/>
                <w:highlight w:val="none"/>
                <w:lang w:val="en-US" w:eastAsia="zh-CN"/>
              </w:rPr>
              <w:t>接自园区供电系统，能满足本项目生产生活用电需求</w:t>
            </w:r>
            <w:r>
              <w:rPr>
                <w:rFonts w:hint="eastAsia" w:cs="Times New Roman"/>
                <w:b w:val="0"/>
                <w:bCs w:val="0"/>
                <w:color w:val="auto"/>
                <w:sz w:val="24"/>
                <w:highlight w:val="none"/>
                <w:lang w:val="en-US" w:eastAsia="zh-CN"/>
              </w:rPr>
              <w:t>。</w:t>
            </w:r>
          </w:p>
          <w:p>
            <w:pPr>
              <w:adjustRightInd w:val="0"/>
              <w:snapToGrid w:val="0"/>
              <w:spacing w:line="480" w:lineRule="exact"/>
              <w:ind w:firstLine="482" w:firstLineChars="200"/>
              <w:rPr>
                <w:rFonts w:hint="default" w:ascii="Times New Roman" w:hAnsi="Times New Roman" w:cs="Times New Roman"/>
                <w:b/>
                <w:bCs/>
                <w:color w:val="auto"/>
                <w:sz w:val="24"/>
                <w:highlight w:val="none"/>
                <w:lang w:val="en-US" w:eastAsia="zh-CN"/>
              </w:rPr>
            </w:pPr>
            <w:r>
              <w:rPr>
                <w:rFonts w:hint="eastAsia"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供热</w:t>
            </w:r>
          </w:p>
          <w:p>
            <w:pPr>
              <w:adjustRightInd w:val="0"/>
              <w:snapToGrid w:val="0"/>
              <w:spacing w:line="480" w:lineRule="exact"/>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本项目</w:t>
            </w:r>
            <w:r>
              <w:rPr>
                <w:rFonts w:hint="eastAsia" w:cs="Times New Roman"/>
                <w:color w:val="auto"/>
                <w:sz w:val="24"/>
                <w:highlight w:val="none"/>
                <w:lang w:val="en-US" w:eastAsia="zh-CN"/>
              </w:rPr>
              <w:t>生产</w:t>
            </w:r>
            <w:r>
              <w:rPr>
                <w:rFonts w:hint="eastAsia" w:ascii="Times New Roman" w:hAnsi="Times New Roman" w:cs="Times New Roman"/>
                <w:color w:val="auto"/>
                <w:sz w:val="24"/>
                <w:highlight w:val="none"/>
                <w:lang w:val="en-US" w:eastAsia="zh-CN"/>
              </w:rPr>
              <w:t>车间</w:t>
            </w:r>
            <w:r>
              <w:rPr>
                <w:rFonts w:hint="eastAsia" w:cs="Times New Roman"/>
                <w:color w:val="auto"/>
                <w:sz w:val="24"/>
                <w:highlight w:val="none"/>
                <w:lang w:val="en-US" w:eastAsia="zh-CN"/>
              </w:rPr>
              <w:t>无需采暖，</w:t>
            </w:r>
            <w:r>
              <w:rPr>
                <w:rFonts w:hint="eastAsia" w:ascii="Times New Roman" w:hAnsi="Times New Roman" w:cs="Times New Roman"/>
                <w:color w:val="auto"/>
                <w:sz w:val="24"/>
                <w:highlight w:val="none"/>
                <w:lang w:val="en-US" w:eastAsia="zh-CN"/>
              </w:rPr>
              <w:t>办公生活区冬季采暖</w:t>
            </w:r>
            <w:r>
              <w:rPr>
                <w:rFonts w:hint="eastAsia" w:cs="Times New Roman"/>
                <w:color w:val="auto"/>
                <w:sz w:val="24"/>
                <w:highlight w:val="none"/>
                <w:lang w:val="en-US" w:eastAsia="zh-CN"/>
              </w:rPr>
              <w:t>使用电采暖</w:t>
            </w:r>
            <w:r>
              <w:rPr>
                <w:rFonts w:hint="eastAsia" w:ascii="Times New Roman" w:hAnsi="Times New Roman" w:cs="Times New Roman"/>
                <w:color w:val="auto"/>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pPr>
              <w:pStyle w:val="20"/>
              <w:adjustRightInd w:val="0"/>
              <w:snapToGrid w:val="0"/>
              <w:spacing w:before="0" w:beforeAutospacing="0" w:after="0" w:afterAutospacing="0"/>
              <w:jc w:val="center"/>
              <w:rPr>
                <w:rFonts w:hint="eastAsia"/>
                <w:b w:val="0"/>
                <w:bCs w:val="0"/>
                <w:color w:val="auto"/>
                <w:sz w:val="24"/>
                <w:szCs w:val="24"/>
                <w:highlight w:val="none"/>
              </w:rPr>
            </w:pPr>
            <w:r>
              <w:rPr>
                <w:rFonts w:hint="default" w:ascii="Times New Roman" w:hAnsi="Times New Roman" w:cs="Times New Roman"/>
                <w:b w:val="0"/>
                <w:bCs w:val="0"/>
                <w:color w:val="auto"/>
                <w:sz w:val="24"/>
                <w:szCs w:val="24"/>
                <w:highlight w:val="none"/>
              </w:rPr>
              <w:br w:type="page"/>
            </w:r>
            <w:r>
              <w:rPr>
                <w:rFonts w:hint="default" w:ascii="Times New Roman" w:hAnsi="Times New Roman" w:cs="Times New Roman"/>
                <w:b w:val="0"/>
                <w:bCs w:val="0"/>
                <w:color w:val="auto"/>
                <w:sz w:val="24"/>
                <w:szCs w:val="24"/>
                <w:highlight w:val="none"/>
              </w:rPr>
              <w:t>工艺流程和产排污环节</w:t>
            </w:r>
          </w:p>
        </w:tc>
        <w:tc>
          <w:tcPr>
            <w:tcW w:w="4622" w:type="pct"/>
          </w:tcPr>
          <w:p>
            <w:pPr>
              <w:adjustRightInd w:val="0"/>
              <w:snapToGrid w:val="0"/>
              <w:spacing w:line="480" w:lineRule="exact"/>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一、施工期</w:t>
            </w:r>
            <w:r>
              <w:rPr>
                <w:rFonts w:hint="eastAsia" w:ascii="Times New Roman" w:hAnsi="Times New Roman" w:eastAsia="宋体" w:cs="Times New Roman"/>
                <w:b/>
                <w:bCs/>
                <w:color w:val="auto"/>
                <w:sz w:val="24"/>
                <w:szCs w:val="24"/>
                <w:highlight w:val="none"/>
                <w:lang w:val="en-US" w:eastAsia="zh-CN"/>
              </w:rPr>
              <w:t>工艺流程</w:t>
            </w:r>
            <w:r>
              <w:rPr>
                <w:rFonts w:hint="eastAsia" w:cs="Times New Roman"/>
                <w:b/>
                <w:bCs/>
                <w:color w:val="auto"/>
                <w:sz w:val="24"/>
                <w:szCs w:val="24"/>
                <w:highlight w:val="none"/>
                <w:lang w:val="en-US" w:eastAsia="zh-CN"/>
              </w:rPr>
              <w:t>简述</w:t>
            </w:r>
          </w:p>
          <w:p>
            <w:pPr>
              <w:adjustRightInd w:val="0"/>
              <w:snapToGrid w:val="0"/>
              <w:spacing w:line="480" w:lineRule="exact"/>
              <w:ind w:firstLine="480" w:firstLineChars="200"/>
              <w:rPr>
                <w:bCs/>
                <w:color w:val="auto"/>
                <w:sz w:val="24"/>
                <w:highlight w:val="none"/>
              </w:rPr>
            </w:pPr>
            <w:r>
              <w:rPr>
                <w:bCs/>
                <w:color w:val="auto"/>
                <w:sz w:val="24"/>
                <w:highlight w:val="none"/>
              </w:rPr>
              <w:t>本项目为新建项目。主要建设内容</w:t>
            </w:r>
            <w:r>
              <w:rPr>
                <w:rFonts w:hint="eastAsia"/>
                <w:bCs/>
                <w:color w:val="auto"/>
                <w:sz w:val="24"/>
                <w:highlight w:val="none"/>
              </w:rPr>
              <w:t>包括生产车间、</w:t>
            </w:r>
            <w:r>
              <w:rPr>
                <w:rFonts w:hint="eastAsia"/>
                <w:bCs/>
                <w:color w:val="auto"/>
                <w:sz w:val="24"/>
                <w:highlight w:val="none"/>
                <w:lang w:val="en-US" w:eastAsia="zh-CN"/>
              </w:rPr>
              <w:t>配套楼、</w:t>
            </w:r>
            <w:r>
              <w:rPr>
                <w:rFonts w:hint="eastAsia"/>
                <w:bCs/>
                <w:color w:val="auto"/>
                <w:sz w:val="24"/>
                <w:highlight w:val="none"/>
              </w:rPr>
              <w:t>办公</w:t>
            </w:r>
            <w:r>
              <w:rPr>
                <w:rFonts w:hint="eastAsia"/>
                <w:bCs/>
                <w:color w:val="auto"/>
                <w:sz w:val="24"/>
                <w:highlight w:val="none"/>
                <w:lang w:val="en-US" w:eastAsia="zh-CN"/>
              </w:rPr>
              <w:t>楼</w:t>
            </w:r>
            <w:r>
              <w:rPr>
                <w:rFonts w:hint="eastAsia"/>
                <w:bCs/>
                <w:color w:val="auto"/>
                <w:sz w:val="24"/>
                <w:highlight w:val="none"/>
              </w:rPr>
              <w:t>、场地硬化、道路硬化以及生产设备和配套设施的安装等</w:t>
            </w:r>
            <w:r>
              <w:rPr>
                <w:bCs/>
                <w:color w:val="auto"/>
                <w:sz w:val="24"/>
                <w:highlight w:val="none"/>
              </w:rPr>
              <w:t>。本项目施工期工程内容及产污环节见图</w:t>
            </w:r>
            <w:r>
              <w:rPr>
                <w:rFonts w:hint="eastAsia"/>
                <w:bCs/>
                <w:color w:val="auto"/>
                <w:sz w:val="24"/>
                <w:highlight w:val="none"/>
              </w:rPr>
              <w:t>2</w:t>
            </w:r>
            <w:r>
              <w:rPr>
                <w:bCs/>
                <w:color w:val="auto"/>
                <w:sz w:val="24"/>
                <w:highlight w:val="none"/>
              </w:rPr>
              <w:t>-</w:t>
            </w:r>
            <w:r>
              <w:rPr>
                <w:rFonts w:hint="eastAsia"/>
                <w:bCs/>
                <w:color w:val="auto"/>
                <w:sz w:val="24"/>
                <w:highlight w:val="none"/>
              </w:rPr>
              <w:t>2</w:t>
            </w:r>
            <w:r>
              <w:rPr>
                <w:bCs/>
                <w:color w:val="auto"/>
                <w:sz w:val="24"/>
                <w:highlight w:val="none"/>
              </w:rPr>
              <w:t>。</w:t>
            </w:r>
          </w:p>
          <w:p>
            <w:pPr>
              <w:adjustRightInd w:val="0"/>
              <w:snapToGrid w:val="0"/>
              <w:spacing w:line="480" w:lineRule="exact"/>
              <w:ind w:firstLine="480" w:firstLineChars="200"/>
              <w:rPr>
                <w:bCs/>
                <w:color w:val="auto"/>
                <w:sz w:val="24"/>
                <w:highlight w:val="none"/>
              </w:rPr>
            </w:pPr>
          </w:p>
          <w:p>
            <w:pPr>
              <w:adjustRightInd w:val="0"/>
              <w:snapToGrid w:val="0"/>
              <w:spacing w:line="480" w:lineRule="exact"/>
              <w:ind w:firstLine="420" w:firstLineChars="200"/>
              <w:rPr>
                <w:rFonts w:hint="eastAsia" w:cs="Times New Roman"/>
                <w:b w:val="0"/>
                <w:bCs w:val="0"/>
                <w:color w:val="auto"/>
                <w:sz w:val="24"/>
                <w:szCs w:val="24"/>
                <w:highlight w:val="none"/>
                <w:lang w:val="en-US" w:eastAsia="zh-CN"/>
              </w:rPr>
            </w:pPr>
            <w:r>
              <w:rPr>
                <w:rFonts w:ascii="Times New Roman" w:hAnsi="Times New Roman"/>
                <w:color w:val="auto"/>
                <w:highlight w:val="none"/>
              </w:rPr>
              <w:drawing>
                <wp:anchor distT="0" distB="0" distL="114300" distR="114300" simplePos="0" relativeHeight="251661312" behindDoc="0" locked="0" layoutInCell="1" allowOverlap="1">
                  <wp:simplePos x="0" y="0"/>
                  <wp:positionH relativeFrom="margin">
                    <wp:posOffset>675640</wp:posOffset>
                  </wp:positionH>
                  <wp:positionV relativeFrom="paragraph">
                    <wp:posOffset>73025</wp:posOffset>
                  </wp:positionV>
                  <wp:extent cx="3959860" cy="2332990"/>
                  <wp:effectExtent l="0" t="0" r="2540" b="13970"/>
                  <wp:wrapSquare wrapText="bothSides"/>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pic:cNvPicPr>
                        </pic:nvPicPr>
                        <pic:blipFill>
                          <a:blip r:embed="rId9"/>
                          <a:stretch>
                            <a:fillRect/>
                          </a:stretch>
                        </pic:blipFill>
                        <pic:spPr>
                          <a:xfrm>
                            <a:off x="0" y="0"/>
                            <a:ext cx="3959860" cy="2332990"/>
                          </a:xfrm>
                          <a:prstGeom prst="rect">
                            <a:avLst/>
                          </a:prstGeom>
                          <a:noFill/>
                          <a:ln>
                            <a:noFill/>
                          </a:ln>
                        </pic:spPr>
                      </pic:pic>
                    </a:graphicData>
                  </a:graphic>
                </wp:anchor>
              </w:drawing>
            </w:r>
          </w:p>
          <w:p>
            <w:pPr>
              <w:adjustRightInd w:val="0"/>
              <w:snapToGrid w:val="0"/>
              <w:spacing w:line="480" w:lineRule="exact"/>
              <w:ind w:firstLine="480" w:firstLineChars="200"/>
              <w:rPr>
                <w:rFonts w:hint="eastAsia" w:cs="Times New Roman"/>
                <w:b w:val="0"/>
                <w:bCs w:val="0"/>
                <w:color w:val="auto"/>
                <w:sz w:val="24"/>
                <w:szCs w:val="24"/>
                <w:highlight w:val="none"/>
                <w:lang w:val="en-US" w:eastAsia="zh-CN"/>
              </w:rPr>
            </w:pPr>
          </w:p>
          <w:p>
            <w:pPr>
              <w:adjustRightInd w:val="0"/>
              <w:snapToGrid w:val="0"/>
              <w:spacing w:line="480" w:lineRule="exact"/>
              <w:ind w:firstLine="480" w:firstLineChars="200"/>
              <w:rPr>
                <w:rFonts w:hint="eastAsia" w:cs="Times New Roman"/>
                <w:b w:val="0"/>
                <w:bCs w:val="0"/>
                <w:color w:val="auto"/>
                <w:sz w:val="24"/>
                <w:szCs w:val="24"/>
                <w:highlight w:val="none"/>
                <w:lang w:val="en-US" w:eastAsia="zh-CN"/>
              </w:rPr>
            </w:pPr>
          </w:p>
          <w:p>
            <w:pPr>
              <w:adjustRightInd w:val="0"/>
              <w:snapToGrid w:val="0"/>
              <w:spacing w:line="480" w:lineRule="exact"/>
              <w:ind w:firstLine="480" w:firstLineChars="200"/>
              <w:rPr>
                <w:rFonts w:hint="eastAsia" w:cs="Times New Roman"/>
                <w:b w:val="0"/>
                <w:bCs w:val="0"/>
                <w:color w:val="auto"/>
                <w:sz w:val="24"/>
                <w:szCs w:val="24"/>
                <w:highlight w:val="none"/>
                <w:lang w:val="en-US" w:eastAsia="zh-CN"/>
              </w:rPr>
            </w:pPr>
          </w:p>
          <w:p>
            <w:pPr>
              <w:adjustRightInd w:val="0"/>
              <w:snapToGrid w:val="0"/>
              <w:spacing w:line="480" w:lineRule="exact"/>
              <w:ind w:firstLine="480" w:firstLineChars="200"/>
              <w:rPr>
                <w:rFonts w:hint="eastAsia" w:cs="Times New Roman"/>
                <w:b w:val="0"/>
                <w:bCs w:val="0"/>
                <w:color w:val="auto"/>
                <w:sz w:val="24"/>
                <w:szCs w:val="24"/>
                <w:highlight w:val="none"/>
                <w:lang w:val="en-US" w:eastAsia="zh-CN"/>
              </w:rPr>
            </w:pPr>
          </w:p>
          <w:p>
            <w:pPr>
              <w:adjustRightInd w:val="0"/>
              <w:snapToGrid w:val="0"/>
              <w:spacing w:line="480" w:lineRule="exact"/>
              <w:ind w:firstLine="480" w:firstLineChars="200"/>
              <w:rPr>
                <w:rFonts w:hint="eastAsia" w:cs="Times New Roman"/>
                <w:b w:val="0"/>
                <w:bCs w:val="0"/>
                <w:color w:val="auto"/>
                <w:sz w:val="24"/>
                <w:szCs w:val="24"/>
                <w:highlight w:val="none"/>
                <w:lang w:val="en-US" w:eastAsia="zh-CN"/>
              </w:rPr>
            </w:pPr>
          </w:p>
          <w:p>
            <w:pPr>
              <w:adjustRightInd w:val="0"/>
              <w:snapToGrid w:val="0"/>
              <w:spacing w:line="480" w:lineRule="exact"/>
              <w:ind w:firstLine="480" w:firstLineChars="200"/>
              <w:rPr>
                <w:rFonts w:hint="eastAsia" w:cs="Times New Roman"/>
                <w:b w:val="0"/>
                <w:bCs w:val="0"/>
                <w:color w:val="auto"/>
                <w:sz w:val="24"/>
                <w:szCs w:val="24"/>
                <w:highlight w:val="none"/>
                <w:lang w:val="en-US" w:eastAsia="zh-CN"/>
              </w:rPr>
            </w:pPr>
          </w:p>
          <w:p>
            <w:pPr>
              <w:adjustRightInd w:val="0"/>
              <w:snapToGrid w:val="0"/>
              <w:spacing w:line="480" w:lineRule="exact"/>
              <w:ind w:firstLine="480" w:firstLineChars="200"/>
              <w:rPr>
                <w:rFonts w:hint="eastAsia" w:cs="Times New Roman"/>
                <w:b w:val="0"/>
                <w:b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b/>
                <w:bCs/>
                <w:color w:val="auto"/>
                <w:sz w:val="21"/>
                <w:szCs w:val="18"/>
                <w:highlight w:val="none"/>
                <w:lang w:val="en-US" w:eastAsia="zh-CN"/>
              </w:rPr>
              <w:t xml:space="preserve">图2-2  </w:t>
            </w:r>
            <w:r>
              <w:rPr>
                <w:rFonts w:hint="eastAsia" w:ascii="Times New Roman" w:hAnsi="Times New Roman" w:eastAsia="宋体" w:cs="Times New Roman"/>
                <w:b/>
                <w:bCs/>
                <w:color w:val="auto"/>
                <w:sz w:val="21"/>
                <w:szCs w:val="21"/>
                <w:highlight w:val="none"/>
                <w:lang w:val="en-US" w:eastAsia="zh-CN"/>
              </w:rPr>
              <w:t>施工期工程内容及产污环节</w:t>
            </w:r>
          </w:p>
          <w:p>
            <w:pPr>
              <w:adjustRightInd w:val="0"/>
              <w:snapToGrid w:val="0"/>
              <w:spacing w:line="480" w:lineRule="exact"/>
              <w:ind w:firstLine="480" w:firstLineChars="200"/>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二、</w:t>
            </w:r>
            <w:r>
              <w:rPr>
                <w:rFonts w:hint="eastAsia"/>
                <w:b/>
                <w:bCs/>
                <w:color w:val="auto"/>
                <w:sz w:val="24"/>
                <w:highlight w:val="none"/>
              </w:rPr>
              <w:t>运营期</w:t>
            </w:r>
            <w:r>
              <w:rPr>
                <w:b/>
                <w:bCs/>
                <w:color w:val="auto"/>
                <w:sz w:val="24"/>
                <w:highlight w:val="none"/>
              </w:rPr>
              <w:t>工艺流程简述</w:t>
            </w:r>
          </w:p>
          <w:p>
            <w:pPr>
              <w:adjustRightInd w:val="0"/>
              <w:snapToGrid w:val="0"/>
              <w:spacing w:line="480" w:lineRule="exact"/>
              <w:ind w:firstLine="480" w:firstLineChars="200"/>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1、煤矸石入库</w:t>
            </w:r>
          </w:p>
          <w:p>
            <w:pPr>
              <w:adjustRightInd w:val="0"/>
              <w:snapToGrid w:val="0"/>
              <w:spacing w:line="480" w:lineRule="exact"/>
              <w:ind w:firstLine="480" w:firstLineChars="200"/>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本项目原料为煤矸石，由运输车辆运送至生产车间1层南侧煤矸石堆放区储存，辅料有机酸、微生物菌剂、含氮有机物和生物酶为袋装，由运输车辆运送至厂内，在生产车间1层南侧辅料堆放区储存。</w:t>
            </w:r>
          </w:p>
          <w:p>
            <w:pPr>
              <w:adjustRightInd w:val="0"/>
              <w:snapToGrid w:val="0"/>
              <w:spacing w:line="480" w:lineRule="exact"/>
              <w:ind w:firstLine="480" w:firstLineChars="200"/>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2、原料预处理</w:t>
            </w:r>
          </w:p>
          <w:p>
            <w:pPr>
              <w:adjustRightInd w:val="0"/>
              <w:snapToGrid w:val="0"/>
              <w:spacing w:line="480" w:lineRule="exact"/>
              <w:ind w:firstLine="480" w:firstLineChars="200"/>
              <w:rPr>
                <w:rFonts w:hint="default" w:ascii="Segoe UI" w:hAnsi="Segoe UI" w:eastAsia="宋体" w:cs="Segoe UI"/>
                <w:b w:val="0"/>
                <w:bCs w:val="0"/>
                <w:i w:val="0"/>
                <w:iCs w:val="0"/>
                <w:caps w:val="0"/>
                <w:color w:val="auto"/>
                <w:spacing w:val="0"/>
                <w:sz w:val="24"/>
                <w:szCs w:val="24"/>
                <w:highlight w:val="none"/>
                <w:shd w:val="clear" w:fill="FFFFFF"/>
                <w:lang w:val="en-US" w:eastAsia="zh-CN"/>
              </w:rPr>
            </w:pPr>
            <w:r>
              <w:rPr>
                <w:rFonts w:hint="eastAsia" w:cs="Times New Roman"/>
                <w:b w:val="0"/>
                <w:bCs w:val="0"/>
                <w:color w:val="auto"/>
                <w:sz w:val="24"/>
                <w:szCs w:val="24"/>
                <w:highlight w:val="none"/>
                <w:lang w:val="en-US" w:eastAsia="zh-CN"/>
              </w:rPr>
              <w:t>煤矸石由装载机倒入进料仓，仓下给料机均匀、可控地将物料由皮带输送机送</w:t>
            </w:r>
            <w:r>
              <w:rPr>
                <w:rFonts w:ascii="Segoe UI" w:hAnsi="Segoe UI" w:eastAsia="Segoe UI" w:cs="Segoe UI"/>
                <w:b w:val="0"/>
                <w:bCs w:val="0"/>
                <w:i w:val="0"/>
                <w:iCs w:val="0"/>
                <w:caps w:val="0"/>
                <w:color w:val="auto"/>
                <w:spacing w:val="0"/>
                <w:sz w:val="24"/>
                <w:szCs w:val="24"/>
                <w:highlight w:val="none"/>
                <w:shd w:val="clear" w:fill="FFFFFF"/>
              </w:rPr>
              <w:t>至</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破碎工序，</w:t>
            </w: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项目设有</w:t>
            </w:r>
            <w:r>
              <w:rPr>
                <w:rFonts w:hint="default" w:ascii="Times New Roman" w:hAnsi="Times New Roman" w:cs="Times New Roman"/>
                <w:b w:val="0"/>
                <w:bCs w:val="0"/>
                <w:i w:val="0"/>
                <w:iCs w:val="0"/>
                <w:caps w:val="0"/>
                <w:color w:val="auto"/>
                <w:spacing w:val="0"/>
                <w:sz w:val="24"/>
                <w:szCs w:val="24"/>
                <w:highlight w:val="none"/>
                <w:shd w:val="clear" w:fill="FFFFFF"/>
                <w:lang w:val="en-US" w:eastAsia="zh-CN"/>
              </w:rPr>
              <w:t>2台给料机和2台锤式破碎机，</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破碎后的煤矸石由皮带输送机送至</w:t>
            </w:r>
            <w:r>
              <w:rPr>
                <w:rFonts w:hint="eastAsia" w:ascii="Segoe UI" w:hAnsi="Segoe UI" w:cs="Segoe UI"/>
                <w:b w:val="0"/>
                <w:bCs w:val="0"/>
                <w:i w:val="0"/>
                <w:iCs w:val="0"/>
                <w:caps w:val="0"/>
                <w:color w:val="auto"/>
                <w:spacing w:val="0"/>
                <w:sz w:val="24"/>
                <w:szCs w:val="24"/>
                <w:highlight w:val="none"/>
                <w:shd w:val="clear" w:fill="FFFFFF"/>
                <w:lang w:val="en-US" w:eastAsia="zh-CN"/>
              </w:rPr>
              <w:t>振动筛</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进行筛分</w:t>
            </w:r>
            <w:r>
              <w:rPr>
                <w:rFonts w:hint="eastAsia" w:ascii="Segoe UI" w:hAnsi="Segoe UI" w:cs="Segoe UI"/>
                <w:b w:val="0"/>
                <w:bCs w:val="0"/>
                <w:i w:val="0"/>
                <w:iCs w:val="0"/>
                <w:caps w:val="0"/>
                <w:color w:val="auto"/>
                <w:spacing w:val="0"/>
                <w:sz w:val="24"/>
                <w:szCs w:val="24"/>
                <w:highlight w:val="none"/>
                <w:shd w:val="clear" w:fill="FFFFFF"/>
                <w:lang w:val="en-US" w:eastAsia="zh-CN"/>
              </w:rPr>
              <w:t>，</w:t>
            </w:r>
            <w:r>
              <w:rPr>
                <w:rFonts w:hint="eastAsia" w:ascii="Times New Roman" w:hAnsi="Times New Roman" w:cs="Times New Roman"/>
                <w:b w:val="0"/>
                <w:bCs w:val="0"/>
                <w:i w:val="0"/>
                <w:iCs w:val="0"/>
                <w:caps w:val="0"/>
                <w:color w:val="auto"/>
                <w:spacing w:val="0"/>
                <w:sz w:val="24"/>
                <w:szCs w:val="24"/>
                <w:highlight w:val="none"/>
                <w:shd w:val="clear" w:fill="FFFFFF"/>
                <w:lang w:val="en-US" w:eastAsia="zh-CN"/>
              </w:rPr>
              <w:t>振动筛有</w:t>
            </w:r>
            <w:r>
              <w:rPr>
                <w:rFonts w:hint="default" w:ascii="Times New Roman" w:hAnsi="Times New Roman" w:cs="Times New Roman"/>
                <w:b w:val="0"/>
                <w:bCs w:val="0"/>
                <w:i w:val="0"/>
                <w:iCs w:val="0"/>
                <w:caps w:val="0"/>
                <w:color w:val="auto"/>
                <w:spacing w:val="0"/>
                <w:sz w:val="24"/>
                <w:szCs w:val="24"/>
                <w:highlight w:val="none"/>
                <w:shd w:val="clear" w:fill="FFFFFF"/>
                <w:lang w:val="en-US" w:eastAsia="zh-CN"/>
              </w:rPr>
              <w:t>2层筛网</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。筛分出的大块煤矸石</w:t>
            </w:r>
            <w:r>
              <w:rPr>
                <w:rFonts w:hint="eastAsia" w:ascii="Segoe UI" w:hAnsi="Segoe UI" w:cs="Segoe UI"/>
                <w:b w:val="0"/>
                <w:bCs w:val="0"/>
                <w:i w:val="0"/>
                <w:iCs w:val="0"/>
                <w:caps w:val="0"/>
                <w:color w:val="auto"/>
                <w:spacing w:val="0"/>
                <w:sz w:val="24"/>
                <w:szCs w:val="24"/>
                <w:highlight w:val="none"/>
                <w:shd w:val="clear" w:fill="FFFFFF"/>
                <w:lang w:val="en-US" w:eastAsia="zh-CN"/>
              </w:rPr>
              <w:t>（≥</w:t>
            </w:r>
            <w:r>
              <w:rPr>
                <w:rFonts w:hint="default" w:ascii="Times New Roman" w:hAnsi="Times New Roman" w:cs="Times New Roman"/>
                <w:b w:val="0"/>
                <w:bCs w:val="0"/>
                <w:i w:val="0"/>
                <w:iCs w:val="0"/>
                <w:caps w:val="0"/>
                <w:color w:val="auto"/>
                <w:spacing w:val="0"/>
                <w:sz w:val="24"/>
                <w:szCs w:val="24"/>
                <w:highlight w:val="none"/>
                <w:shd w:val="clear" w:fill="FFFFFF"/>
                <w:lang w:val="en-US" w:eastAsia="zh-CN"/>
              </w:rPr>
              <w:t>100mm）</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由返料皮带输送至</w:t>
            </w:r>
            <w:r>
              <w:rPr>
                <w:rFonts w:hint="eastAsia" w:ascii="Segoe UI" w:hAnsi="Segoe UI" w:cs="Segoe UI"/>
                <w:b w:val="0"/>
                <w:bCs w:val="0"/>
                <w:i w:val="0"/>
                <w:iCs w:val="0"/>
                <w:caps w:val="0"/>
                <w:color w:val="auto"/>
                <w:spacing w:val="0"/>
                <w:sz w:val="24"/>
                <w:szCs w:val="24"/>
                <w:highlight w:val="none"/>
                <w:shd w:val="clear" w:fill="FFFFFF"/>
                <w:lang w:val="en-US" w:eastAsia="zh-CN"/>
              </w:rPr>
              <w:t>给料</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工序重新</w:t>
            </w:r>
            <w:r>
              <w:rPr>
                <w:rFonts w:hint="eastAsia" w:ascii="Segoe UI" w:hAnsi="Segoe UI" w:cs="Segoe UI"/>
                <w:b w:val="0"/>
                <w:bCs w:val="0"/>
                <w:i w:val="0"/>
                <w:iCs w:val="0"/>
                <w:caps w:val="0"/>
                <w:color w:val="auto"/>
                <w:spacing w:val="0"/>
                <w:sz w:val="24"/>
                <w:szCs w:val="24"/>
                <w:highlight w:val="none"/>
                <w:shd w:val="clear" w:fill="FFFFFF"/>
                <w:lang w:val="en-US" w:eastAsia="zh-CN"/>
              </w:rPr>
              <w:t>送入锤式破碎机</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，合格</w:t>
            </w:r>
            <w:r>
              <w:rPr>
                <w:rFonts w:hint="eastAsia" w:ascii="Segoe UI" w:hAnsi="Segoe UI" w:cs="Segoe UI"/>
                <w:b w:val="0"/>
                <w:bCs w:val="0"/>
                <w:i w:val="0"/>
                <w:iCs w:val="0"/>
                <w:caps w:val="0"/>
                <w:color w:val="auto"/>
                <w:spacing w:val="0"/>
                <w:sz w:val="24"/>
                <w:szCs w:val="24"/>
                <w:highlight w:val="none"/>
                <w:shd w:val="clear" w:fill="FFFFFF"/>
                <w:lang w:val="en-US" w:eastAsia="zh-CN"/>
              </w:rPr>
              <w:t>粒径的煤矸石（＜</w:t>
            </w:r>
            <w:r>
              <w:rPr>
                <w:rFonts w:hint="default" w:ascii="Times New Roman" w:hAnsi="Times New Roman" w:cs="Times New Roman"/>
                <w:b w:val="0"/>
                <w:bCs w:val="0"/>
                <w:i w:val="0"/>
                <w:iCs w:val="0"/>
                <w:caps w:val="0"/>
                <w:color w:val="auto"/>
                <w:spacing w:val="0"/>
                <w:sz w:val="24"/>
                <w:szCs w:val="24"/>
                <w:highlight w:val="none"/>
                <w:shd w:val="clear" w:fill="FFFFFF"/>
                <w:lang w:val="en-US" w:eastAsia="zh-CN"/>
              </w:rPr>
              <w:t>100mm）</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由</w:t>
            </w:r>
            <w:r>
              <w:rPr>
                <w:rFonts w:hint="eastAsia" w:ascii="Segoe UI" w:hAnsi="Segoe UI" w:cs="Segoe UI"/>
                <w:b w:val="0"/>
                <w:bCs w:val="0"/>
                <w:i w:val="0"/>
                <w:iCs w:val="0"/>
                <w:caps w:val="0"/>
                <w:color w:val="auto"/>
                <w:spacing w:val="0"/>
                <w:sz w:val="24"/>
                <w:szCs w:val="24"/>
                <w:highlight w:val="none"/>
                <w:shd w:val="clear" w:fill="FFFFFF"/>
                <w:lang w:val="en-US" w:eastAsia="zh-CN"/>
              </w:rPr>
              <w:t>全封闭式</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皮带输送</w:t>
            </w:r>
            <w:r>
              <w:rPr>
                <w:rFonts w:hint="eastAsia" w:ascii="Segoe UI" w:hAnsi="Segoe UI" w:cs="Segoe UI"/>
                <w:b w:val="0"/>
                <w:bCs w:val="0"/>
                <w:i w:val="0"/>
                <w:iCs w:val="0"/>
                <w:caps w:val="0"/>
                <w:color w:val="auto"/>
                <w:spacing w:val="0"/>
                <w:sz w:val="24"/>
                <w:szCs w:val="24"/>
                <w:highlight w:val="none"/>
                <w:shd w:val="clear" w:fill="FFFFFF"/>
                <w:lang w:val="en-US" w:eastAsia="zh-CN"/>
              </w:rPr>
              <w:t>机</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送至球磨工序</w:t>
            </w:r>
            <w:r>
              <w:rPr>
                <w:rFonts w:hint="eastAsia" w:ascii="Segoe UI" w:hAnsi="Segoe UI" w:cs="Segoe UI"/>
                <w:b w:val="0"/>
                <w:bCs w:val="0"/>
                <w:i w:val="0"/>
                <w:iCs w:val="0"/>
                <w:caps w:val="0"/>
                <w:color w:val="auto"/>
                <w:spacing w:val="0"/>
                <w:sz w:val="24"/>
                <w:szCs w:val="24"/>
                <w:highlight w:val="none"/>
                <w:shd w:val="clear" w:fill="FFFFFF"/>
                <w:lang w:val="en-US" w:eastAsia="zh-CN"/>
              </w:rPr>
              <w:t>进行精细研磨</w:t>
            </w:r>
            <w:r>
              <w:rPr>
                <w:rFonts w:hint="eastAsia" w:ascii="Segoe UI" w:hAnsi="Segoe UI" w:eastAsia="宋体" w:cs="Segoe UI"/>
                <w:b w:val="0"/>
                <w:bCs w:val="0"/>
                <w:i w:val="0"/>
                <w:iCs w:val="0"/>
                <w:caps w:val="0"/>
                <w:color w:val="auto"/>
                <w:spacing w:val="0"/>
                <w:sz w:val="24"/>
                <w:szCs w:val="24"/>
                <w:highlight w:val="none"/>
                <w:shd w:val="clear" w:fill="FFFFFF"/>
                <w:lang w:val="en-US" w:eastAsia="zh-CN"/>
              </w:rPr>
              <w:t>。</w:t>
            </w:r>
          </w:p>
          <w:p>
            <w:pPr>
              <w:adjustRightInd w:val="0"/>
              <w:snapToGrid w:val="0"/>
              <w:spacing w:line="480" w:lineRule="exact"/>
              <w:ind w:firstLine="480" w:firstLineChars="200"/>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pP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3、粉磨</w:t>
            </w:r>
            <w:r>
              <w:rPr>
                <w:rFonts w:hint="eastAsia" w:cs="Times New Roman"/>
                <w:b w:val="0"/>
                <w:bCs w:val="0"/>
                <w:i w:val="0"/>
                <w:iCs w:val="0"/>
                <w:caps w:val="0"/>
                <w:color w:val="auto"/>
                <w:spacing w:val="0"/>
                <w:sz w:val="24"/>
                <w:szCs w:val="24"/>
                <w:highlight w:val="none"/>
                <w:shd w:val="clear" w:fill="FFFFFF"/>
                <w:lang w:val="en-US" w:eastAsia="zh-CN"/>
              </w:rPr>
              <w:t>、磁化、化验</w:t>
            </w:r>
          </w:p>
          <w:p>
            <w:pPr>
              <w:adjustRightInd w:val="0"/>
              <w:snapToGrid w:val="0"/>
              <w:spacing w:line="480" w:lineRule="exact"/>
              <w:ind w:firstLine="480" w:firstLineChars="200"/>
              <w:rPr>
                <w:rFonts w:hint="eastAsia"/>
                <w:color w:val="auto"/>
                <w:sz w:val="24"/>
                <w:highlight w:val="none"/>
                <w:lang w:eastAsia="zh-CN"/>
              </w:rPr>
            </w:pPr>
            <w:r>
              <w:rPr>
                <w:rFonts w:hint="default" w:ascii="Times New Roman" w:hAnsi="Times New Roman" w:cs="Times New Roman"/>
                <w:b w:val="0"/>
                <w:bCs w:val="0"/>
                <w:i w:val="0"/>
                <w:iCs w:val="0"/>
                <w:caps w:val="0"/>
                <w:color w:val="auto"/>
                <w:spacing w:val="0"/>
                <w:sz w:val="24"/>
                <w:szCs w:val="24"/>
                <w:highlight w:val="none"/>
                <w:shd w:val="clear" w:fill="FFFFFF"/>
                <w:lang w:val="en-US" w:eastAsia="zh-CN"/>
              </w:rPr>
              <w:t>项目设置1台</w:t>
            </w: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球磨机进行精细研磨，将煤矸石加工至60~80目，</w:t>
            </w:r>
            <w:r>
              <w:rPr>
                <w:rFonts w:hint="eastAsia" w:cs="Times New Roman"/>
                <w:b w:val="0"/>
                <w:bCs w:val="0"/>
                <w:i w:val="0"/>
                <w:iCs w:val="0"/>
                <w:caps w:val="0"/>
                <w:color w:val="auto"/>
                <w:spacing w:val="0"/>
                <w:sz w:val="24"/>
                <w:szCs w:val="24"/>
                <w:highlight w:val="none"/>
                <w:shd w:val="clear" w:fill="FFFFFF"/>
                <w:lang w:val="en-US" w:eastAsia="zh-CN"/>
              </w:rPr>
              <w:t>由螺旋输送机送入</w:t>
            </w:r>
            <w:r>
              <w:rPr>
                <w:rFonts w:hint="eastAsia"/>
                <w:color w:val="auto"/>
                <w:sz w:val="24"/>
                <w:highlight w:val="none"/>
              </w:rPr>
              <w:t>永磁式磁能机进行磁化处理，通过磁化处理</w:t>
            </w:r>
            <w:r>
              <w:rPr>
                <w:rFonts w:hint="eastAsia"/>
                <w:color w:val="auto"/>
                <w:sz w:val="24"/>
                <w:highlight w:val="none"/>
                <w:lang w:val="en-US" w:eastAsia="zh-CN"/>
              </w:rPr>
              <w:t>可以</w:t>
            </w:r>
            <w:r>
              <w:rPr>
                <w:rFonts w:hint="eastAsia"/>
                <w:color w:val="auto"/>
                <w:sz w:val="24"/>
                <w:highlight w:val="none"/>
              </w:rPr>
              <w:t>提高多种有益元素活性和水溶性，成为有效农用元素。磁化强度为800GS-2000GS</w:t>
            </w:r>
            <w:r>
              <w:rPr>
                <w:rFonts w:hint="eastAsia"/>
                <w:color w:val="auto"/>
                <w:sz w:val="24"/>
                <w:highlight w:val="none"/>
                <w:lang w:eastAsia="zh-CN"/>
              </w:rPr>
              <w:t>。</w:t>
            </w:r>
          </w:p>
          <w:p>
            <w:pPr>
              <w:adjustRightInd w:val="0"/>
              <w:snapToGrid w:val="0"/>
              <w:spacing w:line="480" w:lineRule="exact"/>
              <w:ind w:firstLine="480" w:firstLineChars="200"/>
              <w:rPr>
                <w:rFonts w:hint="default"/>
                <w:bCs/>
                <w:color w:val="auto"/>
                <w:sz w:val="24"/>
                <w:highlight w:val="none"/>
                <w:lang w:val="en-US" w:eastAsia="zh-CN"/>
              </w:rPr>
            </w:pPr>
            <w:r>
              <w:rPr>
                <w:rFonts w:hint="eastAsia"/>
                <w:color w:val="auto"/>
                <w:sz w:val="24"/>
                <w:highlight w:val="none"/>
                <w:lang w:val="en-US" w:eastAsia="zh-CN"/>
              </w:rPr>
              <w:t>磁化后的</w:t>
            </w:r>
            <w:r>
              <w:rPr>
                <w:rFonts w:hint="eastAsia"/>
                <w:color w:val="auto"/>
                <w:sz w:val="24"/>
                <w:highlight w:val="none"/>
              </w:rPr>
              <w:t>煤矸石必须检测重金属、放射性等安全指标</w:t>
            </w:r>
            <w:r>
              <w:rPr>
                <w:rFonts w:hint="eastAsia" w:ascii="Times New Roman" w:eastAsia="宋体"/>
                <w:bCs/>
                <w:color w:val="auto"/>
                <w:sz w:val="24"/>
                <w:highlight w:val="none"/>
                <w:lang w:val="en-US" w:eastAsia="zh-CN"/>
              </w:rPr>
              <w:t>，</w:t>
            </w:r>
            <w:r>
              <w:rPr>
                <w:rFonts w:hint="eastAsia"/>
                <w:bCs/>
                <w:color w:val="auto"/>
                <w:sz w:val="24"/>
                <w:highlight w:val="none"/>
                <w:lang w:val="en-US" w:eastAsia="zh-CN"/>
              </w:rPr>
              <w:t>化验室位于配套楼一层。化验产生的检测废液收集后暂存于危废贮存点，定期交由有资质单位清运处置。磁化产生的磁选废屑收集后外售废品收购站综合利用。粉磨后的煤矸石粉暂存于粉料仓中。煤矸石粉需要进行化验，检测合格后方可进入发酵工序。</w:t>
            </w:r>
          </w:p>
          <w:p>
            <w:pPr>
              <w:adjustRightInd w:val="0"/>
              <w:snapToGrid w:val="0"/>
              <w:spacing w:line="480" w:lineRule="exact"/>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4、混合搅拌</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cs="Times New Roman"/>
                <w:color w:val="auto"/>
                <w:sz w:val="24"/>
                <w:highlight w:val="none"/>
                <w:lang w:val="en-US" w:eastAsia="zh-CN"/>
              </w:rPr>
            </w:pPr>
            <w:r>
              <w:rPr>
                <w:rFonts w:hint="eastAsia"/>
                <w:color w:val="auto"/>
                <w:sz w:val="24"/>
                <w:szCs w:val="24"/>
                <w:highlight w:val="none"/>
                <w:lang w:val="en-US" w:eastAsia="zh-CN"/>
              </w:rPr>
              <w:t>将煤矸石粉与少量功能性辅料</w:t>
            </w:r>
            <w:r>
              <w:rPr>
                <w:rFonts w:hint="eastAsia" w:cs="Times New Roman"/>
                <w:b w:val="0"/>
                <w:bCs w:val="0"/>
                <w:color w:val="auto"/>
                <w:sz w:val="24"/>
                <w:szCs w:val="24"/>
                <w:highlight w:val="none"/>
                <w:shd w:val="clear" w:color="auto" w:fill="auto"/>
                <w:lang w:val="en-US" w:eastAsia="zh-CN"/>
              </w:rPr>
              <w:t>有机酸、微生物菌剂、含氮有机物和生物酶</w:t>
            </w:r>
            <w:r>
              <w:rPr>
                <w:rFonts w:hint="eastAsia"/>
                <w:color w:val="auto"/>
                <w:sz w:val="24"/>
                <w:highlight w:val="none"/>
                <w:lang w:val="en-US" w:eastAsia="zh-CN"/>
              </w:rPr>
              <w:t>按比例充分均匀混合，</w:t>
            </w: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添加有机</w:t>
            </w:r>
            <w:r>
              <w:rPr>
                <w:rFonts w:hint="default" w:ascii="Times New Roman" w:hAnsi="Times New Roman" w:eastAsia="宋体" w:cs="Times New Roman"/>
                <w:b w:val="0"/>
                <w:bCs w:val="0"/>
                <w:i w:val="0"/>
                <w:iCs w:val="0"/>
                <w:caps w:val="0"/>
                <w:color w:val="auto"/>
                <w:spacing w:val="0"/>
                <w:sz w:val="24"/>
                <w:szCs w:val="24"/>
                <w:highlight w:val="none"/>
                <w:shd w:val="clear" w:fill="FFFFFF"/>
              </w:rPr>
              <w:t>酸（如</w:t>
            </w: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黄腐酸、</w:t>
            </w:r>
            <w:r>
              <w:rPr>
                <w:rFonts w:hint="eastAsia" w:ascii="Times New Roman" w:hAnsi="Times New Roman" w:cs="Times New Roman"/>
                <w:b w:val="0"/>
                <w:bCs w:val="0"/>
                <w:i w:val="0"/>
                <w:iCs w:val="0"/>
                <w:caps w:val="0"/>
                <w:color w:val="auto"/>
                <w:spacing w:val="0"/>
                <w:sz w:val="24"/>
                <w:szCs w:val="24"/>
                <w:highlight w:val="none"/>
                <w:shd w:val="clear" w:fill="FFFFFF"/>
                <w:lang w:val="en-US" w:eastAsia="zh-CN"/>
              </w:rPr>
              <w:t>海藻</w:t>
            </w: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酸</w:t>
            </w:r>
            <w:r>
              <w:rPr>
                <w:rFonts w:hint="default" w:ascii="Times New Roman" w:hAnsi="Times New Roman" w:eastAsia="宋体" w:cs="Times New Roman"/>
                <w:b w:val="0"/>
                <w:bCs w:val="0"/>
                <w:i w:val="0"/>
                <w:iCs w:val="0"/>
                <w:caps w:val="0"/>
                <w:color w:val="auto"/>
                <w:spacing w:val="0"/>
                <w:sz w:val="24"/>
                <w:szCs w:val="24"/>
                <w:highlight w:val="none"/>
                <w:shd w:val="clear" w:fill="FFFFFF"/>
              </w:rPr>
              <w:t>）</w:t>
            </w:r>
            <w:r>
              <w:rPr>
                <w:rFonts w:hint="eastAsia" w:ascii="Times New Roman" w:hAnsi="Times New Roman" w:eastAsia="宋体" w:cs="Times New Roman"/>
                <w:b w:val="0"/>
                <w:bCs w:val="0"/>
                <w:i w:val="0"/>
                <w:iCs w:val="0"/>
                <w:caps w:val="0"/>
                <w:color w:val="auto"/>
                <w:spacing w:val="0"/>
                <w:sz w:val="24"/>
                <w:szCs w:val="24"/>
                <w:highlight w:val="none"/>
                <w:shd w:val="clear" w:fill="FFFFFF"/>
                <w:lang w:val="en-US" w:eastAsia="zh-CN"/>
              </w:rPr>
              <w:t>可以</w:t>
            </w:r>
            <w:r>
              <w:rPr>
                <w:rFonts w:hint="eastAsia" w:ascii="Times New Roman" w:hAnsi="Times New Roman" w:cs="Times New Roman"/>
                <w:b w:val="0"/>
                <w:bCs w:val="0"/>
                <w:i w:val="0"/>
                <w:iCs w:val="0"/>
                <w:caps w:val="0"/>
                <w:color w:val="auto"/>
                <w:spacing w:val="0"/>
                <w:sz w:val="24"/>
                <w:szCs w:val="24"/>
                <w:highlight w:val="none"/>
                <w:shd w:val="clear" w:fill="FFFFFF"/>
                <w:lang w:val="en-US" w:eastAsia="zh-CN"/>
              </w:rPr>
              <w:t>活化</w:t>
            </w:r>
            <w:r>
              <w:rPr>
                <w:rFonts w:hint="default" w:ascii="Times New Roman" w:hAnsi="Times New Roman" w:eastAsia="宋体" w:cs="Times New Roman"/>
                <w:b w:val="0"/>
                <w:bCs w:val="0"/>
                <w:i w:val="0"/>
                <w:iCs w:val="0"/>
                <w:caps w:val="0"/>
                <w:color w:val="auto"/>
                <w:spacing w:val="0"/>
                <w:sz w:val="24"/>
                <w:szCs w:val="24"/>
                <w:highlight w:val="none"/>
                <w:shd w:val="clear" w:fill="FFFFFF"/>
              </w:rPr>
              <w:t>煤矸石中的金属氧化物（Fe₂O₃、CaO、MgO），打破矿物晶格对有机质的包裹，</w:t>
            </w:r>
            <w:r>
              <w:rPr>
                <w:rFonts w:hint="eastAsia" w:ascii="Times New Roman" w:hAnsi="Times New Roman" w:cs="Times New Roman"/>
                <w:b w:val="0"/>
                <w:bCs w:val="0"/>
                <w:i w:val="0"/>
                <w:iCs w:val="0"/>
                <w:caps w:val="0"/>
                <w:color w:val="auto"/>
                <w:spacing w:val="0"/>
                <w:sz w:val="24"/>
                <w:szCs w:val="24"/>
                <w:highlight w:val="none"/>
                <w:shd w:val="clear" w:fill="FFFFFF"/>
                <w:lang w:val="en-US" w:eastAsia="zh-CN"/>
              </w:rPr>
              <w:t>活化煤矸石中的有机成分，并</w:t>
            </w:r>
            <w:r>
              <w:rPr>
                <w:rFonts w:hint="default" w:ascii="Times New Roman" w:hAnsi="Times New Roman" w:eastAsia="宋体" w:cs="Times New Roman"/>
                <w:b w:val="0"/>
                <w:bCs w:val="0"/>
                <w:i w:val="0"/>
                <w:iCs w:val="0"/>
                <w:caps w:val="0"/>
                <w:color w:val="auto"/>
                <w:spacing w:val="0"/>
                <w:sz w:val="24"/>
                <w:szCs w:val="24"/>
                <w:highlight w:val="none"/>
                <w:shd w:val="clear" w:fill="FFFFFF"/>
                <w:lang w:val="en-US" w:eastAsia="zh-CN"/>
              </w:rPr>
              <w:t>软化煤矸石形成多孔结构，供微生物附着生长</w:t>
            </w:r>
            <w:r>
              <w:rPr>
                <w:rFonts w:hint="eastAsia" w:ascii="Times New Roman" w:hAnsi="Times New Roman" w:eastAsia="宋体" w:cs="Times New Roman"/>
                <w:b w:val="0"/>
                <w:bCs w:val="0"/>
                <w:i w:val="0"/>
                <w:iCs w:val="0"/>
                <w:caps w:val="0"/>
                <w:color w:val="auto"/>
                <w:spacing w:val="0"/>
                <w:sz w:val="24"/>
                <w:szCs w:val="24"/>
                <w:highlight w:val="none"/>
                <w:shd w:val="clear" w:fill="FFFFFF"/>
                <w:lang w:val="en-US" w:eastAsia="zh-CN"/>
              </w:rPr>
              <w:t>。</w:t>
            </w:r>
            <w:r>
              <w:rPr>
                <w:rFonts w:hint="eastAsia"/>
                <w:color w:val="auto"/>
                <w:sz w:val="24"/>
                <w:highlight w:val="none"/>
                <w:lang w:val="en-US" w:eastAsia="zh-CN"/>
              </w:rPr>
              <w:t>搅拌时需喷洒适量水来调节物料湿度，湿度达到</w:t>
            </w:r>
            <w:r>
              <w:rPr>
                <w:rFonts w:hint="default" w:ascii="Times New Roman" w:hAnsi="Times New Roman" w:eastAsia="宋体" w:cs="Times New Roman"/>
                <w:b w:val="0"/>
                <w:bCs w:val="0"/>
                <w:color w:val="auto"/>
                <w:sz w:val="24"/>
                <w:szCs w:val="24"/>
                <w:highlight w:val="none"/>
                <w:lang w:val="en-US" w:eastAsia="zh-CN"/>
              </w:rPr>
              <w:t>20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30%</w:t>
            </w:r>
            <w:r>
              <w:rPr>
                <w:rFonts w:hint="eastAsia" w:ascii="Times New Roman" w:hAnsi="Times New Roman" w:eastAsia="宋体" w:cs="Times New Roman"/>
                <w:b w:val="0"/>
                <w:bCs w:val="0"/>
                <w:color w:val="auto"/>
                <w:sz w:val="24"/>
                <w:szCs w:val="24"/>
                <w:highlight w:val="none"/>
                <w:lang w:val="en-US" w:eastAsia="zh-CN"/>
              </w:rPr>
              <w:t>，达到充分均匀搅拌</w:t>
            </w:r>
            <w:r>
              <w:rPr>
                <w:rFonts w:hint="eastAsia"/>
                <w:color w:val="auto"/>
                <w:sz w:val="24"/>
                <w:highlight w:val="none"/>
                <w:lang w:val="en-US" w:eastAsia="zh-CN"/>
              </w:rPr>
              <w:t>。</w:t>
            </w:r>
            <w:r>
              <w:rPr>
                <w:rFonts w:hint="eastAsia" w:cs="Times New Roman"/>
                <w:color w:val="auto"/>
                <w:sz w:val="24"/>
                <w:highlight w:val="none"/>
                <w:lang w:val="en-US" w:eastAsia="zh-CN"/>
              </w:rPr>
              <w:t>混合搅拌机为全封闭式，为湿料搅拌，搅拌用水为50</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h，因此搅拌工序产生的粉尘较小，可忽略不计。粉状辅料加料口设有喷雾抑尘装置。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5、发酵</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本项目设有3次发酵，发酵周期为21天。</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color w:val="auto"/>
                <w:sz w:val="24"/>
                <w:highlight w:val="none"/>
                <w:lang w:val="en-US" w:eastAsia="zh-CN"/>
              </w:rPr>
              <w:t>一次发酵</w:t>
            </w:r>
            <w:r>
              <w:rPr>
                <w:rFonts w:hint="default" w:ascii="Times New Roman" w:hAnsi="Times New Roman" w:eastAsia="宋体" w:cs="Times New Roman"/>
                <w:b w:val="0"/>
                <w:bCs w:val="0"/>
                <w:color w:val="auto"/>
                <w:sz w:val="24"/>
                <w:szCs w:val="24"/>
                <w:highlight w:val="none"/>
                <w:lang w:val="en-US" w:eastAsia="zh-CN"/>
              </w:rPr>
              <w:t>添加微生物菌剂活化煤矸石中的氮、磷、钾等元素，加速煤矸石中有机质</w:t>
            </w:r>
            <w:r>
              <w:rPr>
                <w:rFonts w:hint="eastAsia" w:ascii="Times New Roman" w:hAnsi="Times New Roman" w:eastAsia="宋体" w:cs="Times New Roman"/>
                <w:b w:val="0"/>
                <w:bCs w:val="0"/>
                <w:color w:val="auto"/>
                <w:sz w:val="24"/>
                <w:szCs w:val="24"/>
                <w:highlight w:val="none"/>
                <w:lang w:val="en-US" w:eastAsia="zh-CN"/>
              </w:rPr>
              <w:t>类成分分解</w:t>
            </w:r>
            <w:r>
              <w:rPr>
                <w:rFonts w:hint="default" w:ascii="Times New Roman" w:hAnsi="Times New Roman" w:eastAsia="宋体" w:cs="Times New Roman"/>
                <w:b w:val="0"/>
                <w:bCs w:val="0"/>
                <w:color w:val="auto"/>
                <w:sz w:val="24"/>
                <w:szCs w:val="24"/>
                <w:highlight w:val="none"/>
                <w:lang w:val="en-US" w:eastAsia="zh-CN"/>
              </w:rPr>
              <w:t>。发酵温度范围30~45℃，湿度20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30%，发酵周期</w:t>
            </w:r>
            <w:r>
              <w:rPr>
                <w:rFonts w:hint="eastAsia" w:cs="Times New Roman"/>
                <w:b w:val="0"/>
                <w:bCs w:val="0"/>
                <w:color w:val="auto"/>
                <w:sz w:val="24"/>
                <w:szCs w:val="24"/>
                <w:highlight w:val="none"/>
                <w:lang w:val="en-US" w:eastAsia="zh-CN"/>
              </w:rPr>
              <w:t>为7天</w:t>
            </w:r>
            <w:r>
              <w:rPr>
                <w:rFonts w:hint="eastAsia" w:ascii="Times New Roman" w:hAnsi="Times New Roman" w:eastAsia="宋体" w:cs="Times New Roman"/>
                <w:b w:val="0"/>
                <w:bCs w:val="0"/>
                <w:color w:val="auto"/>
                <w:sz w:val="24"/>
                <w:szCs w:val="24"/>
                <w:highlight w:val="none"/>
                <w:lang w:val="en-US" w:eastAsia="zh-CN"/>
              </w:rPr>
              <w:t>。一次发酵后由全封闭提升机送入二次发酵区。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二</w:t>
            </w:r>
            <w:r>
              <w:rPr>
                <w:rFonts w:hint="eastAsia" w:cs="Times New Roman"/>
                <w:color w:val="auto"/>
                <w:sz w:val="24"/>
                <w:highlight w:val="none"/>
                <w:lang w:val="en-US" w:eastAsia="zh-CN"/>
              </w:rPr>
              <w:t>次发酵</w:t>
            </w:r>
            <w:r>
              <w:rPr>
                <w:rFonts w:hint="default" w:ascii="Times New Roman" w:hAnsi="Times New Roman" w:eastAsia="宋体" w:cs="Times New Roman"/>
                <w:b w:val="0"/>
                <w:bCs w:val="0"/>
                <w:color w:val="auto"/>
                <w:sz w:val="24"/>
                <w:szCs w:val="24"/>
                <w:highlight w:val="none"/>
                <w:lang w:val="en-US" w:eastAsia="zh-CN"/>
              </w:rPr>
              <w:t>添加含氮有机物，为有机肥提供氮源和有机质来源</w:t>
            </w:r>
            <w:r>
              <w:rPr>
                <w:rFonts w:hint="eastAsia" w:ascii="Times New Roman" w:hAnsi="Times New Roman" w:eastAsia="宋体" w:cs="Times New Roman"/>
                <w:b w:val="0"/>
                <w:bCs w:val="0"/>
                <w:color w:val="auto"/>
                <w:sz w:val="24"/>
                <w:szCs w:val="24"/>
                <w:highlight w:val="none"/>
                <w:lang w:val="en-US" w:eastAsia="zh-CN"/>
              </w:rPr>
              <w:t>，进一步触发煤矸石中有机质分解的级联放大反应，深度活化煤矸石</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好氧发酵，</w:t>
            </w:r>
            <w:r>
              <w:rPr>
                <w:rFonts w:hint="default" w:ascii="Times New Roman" w:hAnsi="Times New Roman" w:eastAsia="宋体" w:cs="Times New Roman"/>
                <w:b w:val="0"/>
                <w:bCs w:val="0"/>
                <w:color w:val="auto"/>
                <w:sz w:val="24"/>
                <w:szCs w:val="24"/>
                <w:highlight w:val="none"/>
                <w:lang w:val="en-US" w:eastAsia="zh-CN"/>
              </w:rPr>
              <w:t>发酵温度范围50~65℃，湿度20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30%，发酵周期</w:t>
            </w:r>
            <w:r>
              <w:rPr>
                <w:rFonts w:hint="eastAsia" w:cs="Times New Roman"/>
                <w:b w:val="0"/>
                <w:bCs w:val="0"/>
                <w:color w:val="auto"/>
                <w:sz w:val="24"/>
                <w:szCs w:val="24"/>
                <w:highlight w:val="none"/>
                <w:lang w:val="en-US" w:eastAsia="zh-CN"/>
              </w:rPr>
              <w:t>为7天</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二次发酵后由全封闭提升机送入三次发酵区。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三次</w:t>
            </w:r>
            <w:r>
              <w:rPr>
                <w:rFonts w:hint="default" w:ascii="Times New Roman" w:hAnsi="Times New Roman" w:eastAsia="宋体" w:cs="Times New Roman"/>
                <w:b w:val="0"/>
                <w:bCs w:val="0"/>
                <w:color w:val="auto"/>
                <w:sz w:val="24"/>
                <w:szCs w:val="24"/>
                <w:highlight w:val="none"/>
                <w:lang w:val="en-US" w:eastAsia="zh-CN"/>
              </w:rPr>
              <w:t>发酵添加生物酶分解植物纤维，降解蛋白质类物质，提高肥料含氮量，加速有机质腐熟。发酵温度范围30~45℃，湿度20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30%，发酵周期</w:t>
            </w:r>
            <w:r>
              <w:rPr>
                <w:rFonts w:hint="eastAsia" w:cs="Times New Roman"/>
                <w:b w:val="0"/>
                <w:bCs w:val="0"/>
                <w:color w:val="auto"/>
                <w:sz w:val="24"/>
                <w:szCs w:val="24"/>
                <w:highlight w:val="none"/>
                <w:lang w:val="en-US" w:eastAsia="zh-CN"/>
              </w:rPr>
              <w:t>为7天</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三次发酵后由全封闭提升机送入挤压造粒工序。</w:t>
            </w:r>
          </w:p>
          <w:p>
            <w:pPr>
              <w:adjustRightInd w:val="0"/>
              <w:snapToGrid w:val="0"/>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6、造粒与筛分</w:t>
            </w:r>
          </w:p>
          <w:p>
            <w:pPr>
              <w:adjustRightInd w:val="0"/>
              <w:snapToGrid w:val="0"/>
              <w:spacing w:line="480" w:lineRule="exact"/>
              <w:ind w:firstLine="480" w:firstLineChars="200"/>
              <w:rPr>
                <w:rFonts w:hint="default"/>
                <w:color w:val="auto"/>
                <w:sz w:val="24"/>
                <w:highlight w:val="none"/>
                <w:lang w:val="en-US" w:eastAsia="zh-CN"/>
              </w:rPr>
            </w:pPr>
            <w:r>
              <w:rPr>
                <w:rFonts w:hint="eastAsia"/>
                <w:color w:val="auto"/>
                <w:sz w:val="24"/>
                <w:highlight w:val="none"/>
                <w:lang w:val="en-US" w:eastAsia="zh-CN"/>
              </w:rPr>
              <w:t>发酵完成的</w:t>
            </w:r>
            <w:r>
              <w:rPr>
                <w:rFonts w:hint="default"/>
                <w:color w:val="auto"/>
                <w:sz w:val="24"/>
                <w:highlight w:val="none"/>
                <w:lang w:val="en-US" w:eastAsia="zh-CN"/>
              </w:rPr>
              <w:t>物料送入挤压成型机</w:t>
            </w:r>
            <w:r>
              <w:rPr>
                <w:rFonts w:hint="eastAsia"/>
                <w:color w:val="auto"/>
                <w:sz w:val="24"/>
                <w:highlight w:val="none"/>
                <w:lang w:val="en-US" w:eastAsia="zh-CN"/>
              </w:rPr>
              <w:t>进行造粒工序</w:t>
            </w:r>
            <w:r>
              <w:rPr>
                <w:rFonts w:hint="default"/>
                <w:color w:val="auto"/>
                <w:sz w:val="24"/>
                <w:highlight w:val="none"/>
                <w:lang w:val="en-US" w:eastAsia="zh-CN"/>
              </w:rPr>
              <w:t>，在高压下被挤压成条状并切断成圆柱形颗粒</w:t>
            </w:r>
            <w:r>
              <w:rPr>
                <w:rFonts w:hint="eastAsia"/>
                <w:color w:val="auto"/>
                <w:sz w:val="24"/>
                <w:highlight w:val="none"/>
                <w:lang w:val="en-US" w:eastAsia="zh-CN"/>
              </w:rPr>
              <w:t>，造粒温度为50~60℃，造粒完成后进入</w:t>
            </w:r>
            <w:r>
              <w:rPr>
                <w:rFonts w:hint="default"/>
                <w:color w:val="auto"/>
                <w:sz w:val="24"/>
                <w:highlight w:val="none"/>
                <w:lang w:val="en-US" w:eastAsia="zh-CN"/>
              </w:rPr>
              <w:t>双层</w:t>
            </w:r>
            <w:r>
              <w:rPr>
                <w:rFonts w:hint="eastAsia"/>
                <w:color w:val="auto"/>
                <w:sz w:val="24"/>
                <w:highlight w:val="none"/>
                <w:lang w:val="en-US" w:eastAsia="zh-CN"/>
              </w:rPr>
              <w:t>筛分机</w:t>
            </w:r>
            <w:r>
              <w:rPr>
                <w:rFonts w:hint="default"/>
                <w:color w:val="auto"/>
                <w:sz w:val="24"/>
                <w:highlight w:val="none"/>
                <w:lang w:val="en-US" w:eastAsia="zh-CN"/>
              </w:rPr>
              <w:t>进行</w:t>
            </w:r>
            <w:r>
              <w:rPr>
                <w:rFonts w:hint="eastAsia"/>
                <w:color w:val="auto"/>
                <w:sz w:val="24"/>
                <w:highlight w:val="none"/>
                <w:lang w:val="en-US" w:eastAsia="zh-CN"/>
              </w:rPr>
              <w:t>筛分</w:t>
            </w:r>
            <w:r>
              <w:rPr>
                <w:rFonts w:hint="default"/>
                <w:color w:val="auto"/>
                <w:sz w:val="24"/>
                <w:highlight w:val="none"/>
                <w:lang w:val="en-US" w:eastAsia="zh-CN"/>
              </w:rPr>
              <w:t>，筛分</w:t>
            </w:r>
            <w:r>
              <w:rPr>
                <w:rFonts w:hint="eastAsia"/>
                <w:color w:val="auto"/>
                <w:sz w:val="24"/>
                <w:highlight w:val="none"/>
                <w:lang w:val="en-US" w:eastAsia="zh-CN"/>
              </w:rPr>
              <w:t>后</w:t>
            </w:r>
            <w:r>
              <w:rPr>
                <w:rFonts w:hint="default"/>
                <w:color w:val="auto"/>
                <w:sz w:val="24"/>
                <w:highlight w:val="none"/>
                <w:lang w:val="en-US" w:eastAsia="zh-CN"/>
              </w:rPr>
              <w:t>合格</w:t>
            </w:r>
            <w:r>
              <w:rPr>
                <w:rFonts w:hint="eastAsia"/>
                <w:color w:val="auto"/>
                <w:sz w:val="24"/>
                <w:highlight w:val="none"/>
                <w:lang w:val="en-US" w:eastAsia="zh-CN"/>
              </w:rPr>
              <w:t>颗粒进入包装工序，</w:t>
            </w:r>
            <w:r>
              <w:rPr>
                <w:rFonts w:hint="default"/>
                <w:color w:val="auto"/>
                <w:sz w:val="24"/>
                <w:highlight w:val="none"/>
                <w:lang w:val="en-US" w:eastAsia="zh-CN"/>
              </w:rPr>
              <w:t>过大的颗粒</w:t>
            </w:r>
            <w:r>
              <w:rPr>
                <w:rFonts w:hint="eastAsia"/>
                <w:color w:val="auto"/>
                <w:sz w:val="24"/>
                <w:highlight w:val="none"/>
                <w:lang w:val="en-US" w:eastAsia="zh-CN"/>
              </w:rPr>
              <w:t>由提升机重新返回发酵工序需重新发酵</w:t>
            </w:r>
            <w:r>
              <w:rPr>
                <w:rFonts w:hint="default"/>
                <w:color w:val="auto"/>
                <w:sz w:val="24"/>
                <w:highlight w:val="none"/>
                <w:lang w:val="en-US" w:eastAsia="zh-CN"/>
              </w:rPr>
              <w:t>。</w:t>
            </w:r>
          </w:p>
          <w:p>
            <w:pPr>
              <w:adjustRightInd w:val="0"/>
              <w:snapToGrid w:val="0"/>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7、化验、包装、出库</w:t>
            </w:r>
          </w:p>
          <w:p>
            <w:pPr>
              <w:adjustRightInd w:val="0"/>
              <w:snapToGrid w:val="0"/>
              <w:spacing w:line="480" w:lineRule="exact"/>
              <w:ind w:firstLine="480" w:firstLineChars="200"/>
              <w:rPr>
                <w:rFonts w:hint="eastAsia"/>
                <w:color w:val="auto"/>
                <w:sz w:val="24"/>
                <w:highlight w:val="none"/>
                <w:lang w:val="en-US" w:eastAsia="zh-CN"/>
              </w:rPr>
            </w:pPr>
            <w:r>
              <w:rPr>
                <w:rFonts w:hint="eastAsia"/>
                <w:color w:val="auto"/>
                <w:sz w:val="24"/>
                <w:highlight w:val="none"/>
                <w:lang w:val="en-US" w:eastAsia="zh-CN"/>
              </w:rPr>
              <w:t>合格颗粒的成品应进行化验，化验合格后再进入缓冲料仓暂存，共有5个缓冲料仓，每个料仓旁边设有1台计量袋装机（共5台），包装过程自动计量，包装好的产品由全自动码垛机器人进行堆放，成品堆放区位于生产车间1层西侧。</w:t>
            </w:r>
          </w:p>
          <w:p>
            <w:pPr>
              <w:adjustRightInd w:val="0"/>
              <w:snapToGrid w:val="0"/>
              <w:spacing w:line="480" w:lineRule="exact"/>
              <w:ind w:firstLine="480" w:firstLineChars="200"/>
              <w:rPr>
                <w:color w:val="auto"/>
                <w:sz w:val="24"/>
                <w:highlight w:val="none"/>
              </w:rPr>
            </w:pPr>
            <w:r>
              <w:rPr>
                <w:rFonts w:hint="eastAsia" w:cs="Times New Roman"/>
                <w:bCs/>
                <w:color w:val="auto"/>
                <w:sz w:val="24"/>
                <w:szCs w:val="24"/>
                <w:highlight w:val="none"/>
                <w:lang w:val="en-US" w:eastAsia="zh-CN"/>
              </w:rPr>
              <w:t>运营期</w:t>
            </w:r>
            <w:r>
              <w:rPr>
                <w:rFonts w:hint="eastAsia" w:ascii="Times New Roman" w:hAnsi="Times New Roman" w:eastAsia="宋体" w:cs="Times New Roman"/>
                <w:bCs/>
                <w:color w:val="auto"/>
                <w:sz w:val="24"/>
                <w:szCs w:val="24"/>
                <w:highlight w:val="none"/>
                <w:lang w:val="en-US" w:eastAsia="zh-CN"/>
              </w:rPr>
              <w:t>生产工艺流程及污染节点见图</w:t>
            </w:r>
            <w:r>
              <w:rPr>
                <w:color w:val="auto"/>
                <w:sz w:val="24"/>
                <w:highlight w:val="none"/>
              </w:rPr>
              <w:t>2-</w:t>
            </w:r>
            <w:r>
              <w:rPr>
                <w:rFonts w:hint="eastAsia"/>
                <w:color w:val="auto"/>
                <w:sz w:val="24"/>
                <w:highlight w:val="none"/>
                <w:lang w:val="en-US" w:eastAsia="zh-CN"/>
              </w:rPr>
              <w:t>3</w:t>
            </w:r>
            <w:r>
              <w:rPr>
                <w:color w:val="auto"/>
                <w:sz w:val="24"/>
                <w:highlight w:val="none"/>
              </w:rPr>
              <w:t>。</w:t>
            </w: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80" w:firstLineChars="200"/>
              <w:jc w:val="both"/>
              <w:textAlignment w:val="auto"/>
              <w:rPr>
                <w:color w:val="auto"/>
                <w:sz w:val="24"/>
                <w:highlight w:val="none"/>
              </w:rPr>
            </w:pPr>
          </w:p>
          <w:p>
            <w:pPr>
              <w:keepLines w:val="0"/>
              <w:pageBreakBefore w:val="0"/>
              <w:widowControl w:val="0"/>
              <w:kinsoku/>
              <w:wordWrap/>
              <w:topLinePunct w:val="0"/>
              <w:autoSpaceDE/>
              <w:autoSpaceDN/>
              <w:bidi w:val="0"/>
              <w:adjustRightInd/>
              <w:spacing w:line="480" w:lineRule="exact"/>
              <w:ind w:left="0" w:firstLine="420" w:firstLineChars="200"/>
              <w:jc w:val="both"/>
              <w:textAlignment w:val="auto"/>
              <w:rPr>
                <w:color w:val="auto"/>
                <w:sz w:val="24"/>
                <w:highlight w:val="none"/>
              </w:rPr>
            </w:pPr>
            <w:r>
              <w:rPr>
                <w:color w:val="auto"/>
                <w:highlight w:val="none"/>
              </w:rPr>
              <w:drawing>
                <wp:anchor distT="0" distB="0" distL="114300" distR="114300" simplePos="0" relativeHeight="251664384" behindDoc="1" locked="0" layoutInCell="1" allowOverlap="1">
                  <wp:simplePos x="0" y="0"/>
                  <wp:positionH relativeFrom="column">
                    <wp:posOffset>910590</wp:posOffset>
                  </wp:positionH>
                  <wp:positionV relativeFrom="paragraph">
                    <wp:posOffset>-28575</wp:posOffset>
                  </wp:positionV>
                  <wp:extent cx="3156585" cy="8327390"/>
                  <wp:effectExtent l="0" t="0" r="5715" b="16510"/>
                  <wp:wrapNone/>
                  <wp:docPr id="2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9"/>
                          <pic:cNvPicPr>
                            <a:picLocks noChangeAspect="1"/>
                          </pic:cNvPicPr>
                        </pic:nvPicPr>
                        <pic:blipFill>
                          <a:blip r:embed="rId10"/>
                          <a:stretch>
                            <a:fillRect/>
                          </a:stretch>
                        </pic:blipFill>
                        <pic:spPr>
                          <a:xfrm>
                            <a:off x="0" y="0"/>
                            <a:ext cx="3156585" cy="8327390"/>
                          </a:xfrm>
                          <a:prstGeom prst="rect">
                            <a:avLst/>
                          </a:prstGeom>
                          <a:noFill/>
                          <a:ln>
                            <a:noFill/>
                          </a:ln>
                        </pic:spPr>
                      </pic:pic>
                    </a:graphicData>
                  </a:graphic>
                </wp:anchor>
              </w:drawing>
            </w: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pStyle w:val="2"/>
              <w:rPr>
                <w:color w:val="auto"/>
                <w:sz w:val="24"/>
                <w:highlight w:val="none"/>
              </w:rPr>
            </w:pPr>
          </w:p>
          <w:p>
            <w:pPr>
              <w:rPr>
                <w:color w:val="auto"/>
                <w:sz w:val="24"/>
                <w:highlight w:val="none"/>
              </w:rPr>
            </w:pPr>
          </w:p>
          <w:p>
            <w:pPr>
              <w:rPr>
                <w:color w:val="auto"/>
                <w:sz w:val="24"/>
                <w:highlight w:val="none"/>
              </w:rPr>
            </w:pPr>
          </w:p>
          <w:p>
            <w:pPr>
              <w:rPr>
                <w:color w:val="auto"/>
                <w:sz w:val="24"/>
                <w:highlight w:val="none"/>
              </w:rPr>
            </w:pPr>
          </w:p>
          <w:p>
            <w:pPr>
              <w:rPr>
                <w:color w:val="auto"/>
                <w:sz w:val="24"/>
                <w:highlight w:val="none"/>
              </w:rPr>
            </w:pPr>
          </w:p>
          <w:p>
            <w:pPr>
              <w:rPr>
                <w:color w:val="auto"/>
                <w:sz w:val="24"/>
                <w:highlight w:val="none"/>
              </w:rPr>
            </w:pPr>
          </w:p>
          <w:p>
            <w:pPr>
              <w:rPr>
                <w:color w:val="auto"/>
                <w:sz w:val="24"/>
                <w:highlight w:val="none"/>
              </w:rPr>
            </w:pPr>
          </w:p>
          <w:p>
            <w:pPr>
              <w:rPr>
                <w:color w:val="auto"/>
                <w:sz w:val="24"/>
                <w:highlight w:val="none"/>
              </w:rPr>
            </w:pPr>
          </w:p>
          <w:p>
            <w:pPr>
              <w:pStyle w:val="2"/>
              <w:rPr>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line="480" w:lineRule="exact"/>
              <w:ind w:firstLine="0" w:firstLineChars="0"/>
              <w:jc w:val="left"/>
              <w:textAlignment w:val="auto"/>
              <w:rPr>
                <w:rFonts w:hint="eastAsia"/>
                <w:b/>
                <w:bCs/>
                <w:color w:val="auto"/>
                <w:sz w:val="21"/>
                <w:szCs w:val="18"/>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480" w:lineRule="exact"/>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b/>
                <w:bCs/>
                <w:color w:val="auto"/>
                <w:sz w:val="21"/>
                <w:szCs w:val="18"/>
                <w:highlight w:val="none"/>
                <w:lang w:val="en-US" w:eastAsia="zh-CN"/>
              </w:rPr>
              <w:t>图2-3  运营期</w:t>
            </w:r>
            <w:r>
              <w:rPr>
                <w:rFonts w:hint="eastAsia" w:ascii="Times New Roman" w:hAnsi="Times New Roman" w:eastAsia="宋体" w:cs="Times New Roman"/>
                <w:b/>
                <w:bCs/>
                <w:color w:val="auto"/>
                <w:sz w:val="21"/>
                <w:szCs w:val="21"/>
                <w:highlight w:val="none"/>
                <w:lang w:val="en-US" w:eastAsia="zh-CN"/>
              </w:rPr>
              <w:t>生产工艺流程及污染节点</w:t>
            </w:r>
          </w:p>
          <w:p>
            <w:pPr>
              <w:adjustRightInd w:val="0"/>
              <w:snapToGrid w:val="0"/>
              <w:spacing w:line="480" w:lineRule="exact"/>
              <w:ind w:firstLine="482" w:firstLineChars="20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w:t>
            </w:r>
            <w:r>
              <w:rPr>
                <w:rFonts w:hint="eastAsia"/>
                <w:b/>
                <w:bCs/>
                <w:color w:val="auto"/>
                <w:kern w:val="0"/>
                <w:sz w:val="24"/>
                <w:highlight w:val="none"/>
                <w:lang w:val="en-US" w:eastAsia="zh-CN"/>
              </w:rPr>
              <w:t>主要污染工序</w:t>
            </w:r>
          </w:p>
          <w:p>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w:t>
            </w:r>
            <w:r>
              <w:rPr>
                <w:rFonts w:hint="eastAsia"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lang w:val="en-US" w:eastAsia="zh-CN"/>
              </w:rPr>
              <w:t>施工期</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（1）施工现场物料装卸、堆放以及渣土临时堆放等过程产生的扬尘；</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）施工废水和施工人员的生活污水；</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）施工现场的各类机械设备噪声和建筑物料运输造成的交通噪声；</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（4）建筑垃圾和施工人员的生活垃圾。</w:t>
            </w:r>
          </w:p>
          <w:p>
            <w:pPr>
              <w:keepNext w:val="0"/>
              <w:keepLines w:val="0"/>
              <w:pageBreakBefore w:val="0"/>
              <w:widowControl w:val="0"/>
              <w:kinsoku/>
              <w:wordWrap/>
              <w:overflowPunct/>
              <w:topLinePunct w:val="0"/>
              <w:bidi w:val="0"/>
              <w:spacing w:line="480" w:lineRule="exact"/>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2.运营期</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大气污染环节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G1：原料堆放及装卸废气；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G2：给料、破碎废气；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G3：筛分、粉磨、粉料仓废气；</w:t>
            </w: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G4：发酵废气；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G5：造粒、筛分、袋装废气；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G6：成品堆放与装卸废气；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G7：</w:t>
            </w:r>
            <w:r>
              <w:rPr>
                <w:rFonts w:hint="eastAsia" w:cs="Times New Roman"/>
                <w:snapToGrid w:val="0"/>
                <w:color w:val="auto"/>
                <w:sz w:val="24"/>
                <w:szCs w:val="24"/>
                <w:highlight w:val="none"/>
                <w:lang w:val="en-US" w:eastAsia="zh-CN"/>
              </w:rPr>
              <w:t>道路运输</w:t>
            </w:r>
            <w:r>
              <w:rPr>
                <w:rFonts w:hint="eastAsia" w:cs="Times New Roman"/>
                <w:color w:val="auto"/>
                <w:sz w:val="24"/>
                <w:highlight w:val="none"/>
                <w:lang w:val="en-US" w:eastAsia="zh-CN"/>
              </w:rPr>
              <w:t>废气</w:t>
            </w:r>
            <w:r>
              <w:rPr>
                <w:rFonts w:hint="eastAsia" w:cs="Times New Roman"/>
                <w:snapToGrid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G8：物料运输转载废气。</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（2）水污染环节</w:t>
            </w:r>
          </w:p>
          <w:p>
            <w:pPr>
              <w:keepNext w:val="0"/>
              <w:keepLines w:val="0"/>
              <w:pageBreakBefore w:val="0"/>
              <w:widowControl w:val="0"/>
              <w:kinsoku/>
              <w:wordWrap/>
              <w:overflowPunct/>
              <w:topLinePunct w:val="0"/>
              <w:bidi w:val="0"/>
              <w:spacing w:line="480" w:lineRule="exact"/>
              <w:ind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W</w:t>
            </w:r>
            <w:r>
              <w:rPr>
                <w:rFonts w:hint="eastAsia" w:cs="Times New Roman"/>
                <w:bCs/>
                <w:color w:val="auto"/>
                <w:sz w:val="24"/>
                <w:szCs w:val="24"/>
                <w:highlight w:val="none"/>
                <w:lang w:val="en-US" w:eastAsia="zh-CN"/>
              </w:rPr>
              <w:t>1</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生活污水：主要为SS、BOD</w:t>
            </w:r>
            <w:r>
              <w:rPr>
                <w:rFonts w:hint="eastAsia" w:cs="Times New Roman"/>
                <w:bCs/>
                <w:color w:val="auto"/>
                <w:sz w:val="24"/>
                <w:szCs w:val="24"/>
                <w:highlight w:val="none"/>
                <w:vertAlign w:val="subscript"/>
                <w:lang w:val="en-US" w:eastAsia="zh-CN"/>
              </w:rPr>
              <w:t>5</w:t>
            </w:r>
            <w:r>
              <w:rPr>
                <w:rFonts w:hint="eastAsia" w:cs="Times New Roman"/>
                <w:bCs/>
                <w:color w:val="auto"/>
                <w:sz w:val="24"/>
                <w:szCs w:val="24"/>
                <w:highlight w:val="none"/>
                <w:vertAlign w:val="baseline"/>
                <w:lang w:val="en-US" w:eastAsia="zh-CN"/>
              </w:rPr>
              <w:t>等</w:t>
            </w:r>
            <w:r>
              <w:rPr>
                <w:rFonts w:hint="eastAsia" w:cs="Times New Roman"/>
                <w:bCs/>
                <w:color w:val="auto"/>
                <w:sz w:val="24"/>
                <w:szCs w:val="24"/>
                <w:highlight w:val="none"/>
                <w:lang w:val="en-US" w:eastAsia="zh-CN"/>
              </w:rPr>
              <w:t>；</w:t>
            </w:r>
          </w:p>
          <w:p>
            <w:pPr>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W</w:t>
            </w:r>
            <w:r>
              <w:rPr>
                <w:rFonts w:hint="eastAsia"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洗车废水，主要污染物为SS</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石油类</w:t>
            </w:r>
            <w:r>
              <w:rPr>
                <w:rFonts w:hint="eastAsia" w:cs="Times New Roman"/>
                <w:bCs/>
                <w:color w:val="auto"/>
                <w:sz w:val="24"/>
                <w:szCs w:val="24"/>
                <w:highlight w:val="none"/>
                <w:lang w:val="en-US" w:eastAsia="zh-CN"/>
              </w:rPr>
              <w:t>；</w:t>
            </w:r>
          </w:p>
          <w:p>
            <w:pPr>
              <w:pStyle w:val="25"/>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W</w:t>
            </w:r>
            <w:r>
              <w:rPr>
                <w:rFonts w:hint="eastAsia"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en-US" w:eastAsia="zh-CN"/>
              </w:rPr>
              <w:t>：</w:t>
            </w:r>
            <w:r>
              <w:rPr>
                <w:rFonts w:hint="eastAsia" w:hAnsi="Times New Roman" w:cs="Times New Roman"/>
                <w:bCs/>
                <w:color w:val="auto"/>
                <w:sz w:val="24"/>
                <w:szCs w:val="24"/>
                <w:highlight w:val="none"/>
                <w:lang w:val="en-US" w:eastAsia="zh-CN"/>
              </w:rPr>
              <w:t>车间地坪冲洗废水，</w:t>
            </w:r>
            <w:r>
              <w:rPr>
                <w:rFonts w:hint="default" w:ascii="Times New Roman" w:hAnsi="Times New Roman" w:eastAsia="宋体" w:cs="Times New Roman"/>
                <w:bCs/>
                <w:color w:val="auto"/>
                <w:sz w:val="24"/>
                <w:szCs w:val="24"/>
                <w:highlight w:val="none"/>
                <w:lang w:val="en-US" w:eastAsia="zh-CN"/>
              </w:rPr>
              <w:t>主要污染物为SS</w:t>
            </w:r>
            <w:r>
              <w:rPr>
                <w:rFonts w:hint="eastAsia" w:ascii="Times New Roman" w:hAnsi="Times New Roman" w:eastAsia="宋体" w:cs="Times New Roman"/>
                <w:bCs/>
                <w:color w:val="auto"/>
                <w:sz w:val="24"/>
                <w:szCs w:val="24"/>
                <w:highlight w:val="none"/>
                <w:lang w:val="en-US" w:eastAsia="zh-CN"/>
              </w:rPr>
              <w:t>等；</w:t>
            </w:r>
          </w:p>
          <w:p>
            <w:pPr>
              <w:pStyle w:val="27"/>
              <w:keepNext w:val="0"/>
              <w:keepLines w:val="0"/>
              <w:pageBreakBefore w:val="0"/>
              <w:widowControl w:val="0"/>
              <w:kinsoku/>
              <w:wordWrap/>
              <w:overflowPunct/>
              <w:topLinePunct w:val="0"/>
              <w:bidi w:val="0"/>
              <w:spacing w:line="480" w:lineRule="exact"/>
              <w:ind w:firstLine="480" w:firstLineChars="200"/>
              <w:jc w:val="both"/>
              <w:textAlignment w:val="auto"/>
              <w:rPr>
                <w:rFonts w:hint="default"/>
                <w:color w:val="auto"/>
                <w:highlight w:val="none"/>
                <w:lang w:val="en-US" w:eastAsia="zh-CN"/>
              </w:rPr>
            </w:pPr>
            <w:r>
              <w:rPr>
                <w:rFonts w:hint="eastAsia" w:ascii="Times New Roman" w:hAnsi="Times New Roman" w:eastAsia="宋体" w:cs="Times New Roman"/>
                <w:bCs/>
                <w:color w:val="auto"/>
                <w:kern w:val="2"/>
                <w:sz w:val="24"/>
                <w:szCs w:val="24"/>
                <w:highlight w:val="none"/>
                <w:lang w:val="en-US" w:eastAsia="zh-CN" w:bidi="ar-SA"/>
              </w:rPr>
              <w:t>W4：</w:t>
            </w:r>
            <w:r>
              <w:rPr>
                <w:rFonts w:hint="eastAsia" w:eastAsia="宋体" w:cs="Times New Roman"/>
                <w:bCs/>
                <w:color w:val="auto"/>
                <w:sz w:val="24"/>
                <w:szCs w:val="24"/>
                <w:highlight w:val="none"/>
                <w:lang w:val="en-US" w:eastAsia="zh-CN"/>
              </w:rPr>
              <w:t>初期雨水。</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）噪声污染</w:t>
            </w:r>
            <w:r>
              <w:rPr>
                <w:rFonts w:hint="eastAsia" w:ascii="Times New Roman" w:hAnsi="Times New Roman" w:eastAsia="宋体" w:cs="Times New Roman"/>
                <w:bCs/>
                <w:color w:val="auto"/>
                <w:sz w:val="24"/>
                <w:szCs w:val="24"/>
                <w:highlight w:val="none"/>
                <w:lang w:val="en-US" w:eastAsia="zh-CN"/>
              </w:rPr>
              <w:t>环节</w:t>
            </w:r>
          </w:p>
          <w:p>
            <w:pPr>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本项目噪声源主要为</w:t>
            </w:r>
            <w:r>
              <w:rPr>
                <w:rFonts w:hint="eastAsia" w:cs="Times New Roman"/>
                <w:bCs/>
                <w:color w:val="auto"/>
                <w:sz w:val="24"/>
                <w:szCs w:val="24"/>
                <w:highlight w:val="none"/>
                <w:lang w:val="en-US" w:eastAsia="zh-CN"/>
              </w:rPr>
              <w:t>给料机</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振动筛</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锤式破碎</w:t>
            </w:r>
            <w:r>
              <w:rPr>
                <w:rFonts w:hint="eastAsia" w:eastAsia="宋体" w:cs="Times New Roman"/>
                <w:bCs/>
                <w:color w:val="auto"/>
                <w:sz w:val="24"/>
                <w:szCs w:val="24"/>
                <w:highlight w:val="none"/>
                <w:lang w:val="en-US" w:eastAsia="zh-CN"/>
              </w:rPr>
              <w:t>机</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皮带输送机</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球磨机</w:t>
            </w:r>
            <w:r>
              <w:rPr>
                <w:rFonts w:hint="eastAsia"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计量袋装机及</w:t>
            </w:r>
            <w:r>
              <w:rPr>
                <w:rFonts w:hint="eastAsia" w:ascii="Times New Roman" w:hAnsi="Times New Roman" w:eastAsia="宋体" w:cs="Times New Roman"/>
                <w:bCs/>
                <w:color w:val="auto"/>
                <w:sz w:val="24"/>
                <w:szCs w:val="24"/>
                <w:highlight w:val="none"/>
                <w:lang w:val="en-US" w:eastAsia="zh-CN"/>
              </w:rPr>
              <w:t>除尘</w:t>
            </w:r>
            <w:r>
              <w:rPr>
                <w:rFonts w:hint="default" w:ascii="Times New Roman" w:hAnsi="Times New Roman" w:eastAsia="宋体" w:cs="Times New Roman"/>
                <w:bCs/>
                <w:color w:val="auto"/>
                <w:sz w:val="24"/>
                <w:szCs w:val="24"/>
                <w:highlight w:val="none"/>
                <w:lang w:val="en-US" w:eastAsia="zh-CN"/>
              </w:rPr>
              <w:t>风机等设备产生的噪声</w:t>
            </w:r>
            <w:r>
              <w:rPr>
                <w:rFonts w:hint="eastAsia" w:ascii="Times New Roman" w:hAnsi="Times New Roman" w:eastAsia="宋体" w:cs="Times New Roman"/>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）固体废物污染</w:t>
            </w:r>
            <w:r>
              <w:rPr>
                <w:rFonts w:hint="eastAsia" w:ascii="Times New Roman" w:hAnsi="Times New Roman" w:eastAsia="宋体" w:cs="Times New Roman"/>
                <w:bCs/>
                <w:color w:val="auto"/>
                <w:sz w:val="24"/>
                <w:szCs w:val="24"/>
                <w:highlight w:val="none"/>
                <w:lang w:val="en-US" w:eastAsia="zh-CN"/>
              </w:rPr>
              <w:t>环节</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S1：除尘器</w:t>
            </w:r>
            <w:r>
              <w:rPr>
                <w:rFonts w:hint="default" w:ascii="Times New Roman" w:hAnsi="Times New Roman" w:cs="Times New Roman"/>
                <w:bCs/>
                <w:color w:val="auto"/>
                <w:sz w:val="24"/>
                <w:highlight w:val="none"/>
                <w:lang w:val="en-US" w:eastAsia="zh-CN"/>
              </w:rPr>
              <w:t>除尘灰</w:t>
            </w:r>
            <w:r>
              <w:rPr>
                <w:rFonts w:hint="default" w:ascii="Times New Roman" w:hAnsi="Times New Roman"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S</w:t>
            </w:r>
            <w:r>
              <w:rPr>
                <w:rFonts w:hint="eastAsia"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生活垃圾</w:t>
            </w:r>
            <w:r>
              <w:rPr>
                <w:rFonts w:hint="default" w:ascii="Times New Roman" w:hAnsi="Times New Roman" w:cs="Times New Roman"/>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Cs/>
                <w:color w:val="auto"/>
                <w:sz w:val="24"/>
                <w:highlight w:val="none"/>
                <w:lang w:val="en-US" w:eastAsia="zh-CN"/>
              </w:rPr>
            </w:pPr>
            <w:r>
              <w:rPr>
                <w:rFonts w:hint="default" w:ascii="Times New Roman" w:hAnsi="Times New Roman" w:cs="Times New Roman"/>
                <w:bCs/>
                <w:color w:val="auto"/>
                <w:sz w:val="24"/>
                <w:highlight w:val="none"/>
              </w:rPr>
              <w:t>S</w:t>
            </w:r>
            <w:r>
              <w:rPr>
                <w:rFonts w:hint="eastAsia"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磁选废屑；</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Cs/>
                <w:color w:val="auto"/>
                <w:sz w:val="24"/>
                <w:szCs w:val="24"/>
                <w:highlight w:val="none"/>
                <w:lang w:val="en-US" w:eastAsia="zh-CN"/>
              </w:rPr>
            </w:pPr>
            <w:r>
              <w:rPr>
                <w:rFonts w:hint="default" w:ascii="Times New Roman" w:hAnsi="Times New Roman" w:cs="Times New Roman"/>
                <w:bCs/>
                <w:color w:val="auto"/>
                <w:sz w:val="24"/>
                <w:highlight w:val="none"/>
              </w:rPr>
              <w:t>S</w:t>
            </w:r>
            <w:r>
              <w:rPr>
                <w:rFonts w:hint="eastAsia"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废除尘布袋</w:t>
            </w:r>
            <w:r>
              <w:rPr>
                <w:rFonts w:hint="eastAsia" w:cs="Times New Roman"/>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rPr>
              <w:t>S</w:t>
            </w:r>
            <w:r>
              <w:rPr>
                <w:rFonts w:hint="eastAsia" w:cs="Times New Roman"/>
                <w:bCs/>
                <w:color w:val="auto"/>
                <w:sz w:val="24"/>
                <w:highlight w:val="none"/>
                <w:lang w:val="en-US" w:eastAsia="zh-CN"/>
              </w:rPr>
              <w:t>5</w:t>
            </w:r>
            <w:r>
              <w:rPr>
                <w:rFonts w:hint="default" w:ascii="Times New Roman" w:hAnsi="Times New Roman"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废包装材料</w:t>
            </w:r>
            <w:r>
              <w:rPr>
                <w:rFonts w:hint="eastAsia" w:ascii="Times New Roman" w:hAnsi="Times New Roman" w:cs="Times New Roman"/>
                <w:bCs/>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S</w:t>
            </w:r>
            <w:r>
              <w:rPr>
                <w:rFonts w:hint="eastAsia" w:ascii="Times New Roman" w:hAnsi="Times New Roman" w:eastAsia="宋体" w:cs="Times New Roman"/>
                <w:bCs/>
                <w:color w:val="auto"/>
                <w:sz w:val="24"/>
                <w:highlight w:val="none"/>
                <w:lang w:val="en-US" w:eastAsia="zh-CN"/>
              </w:rPr>
              <w:t>6</w:t>
            </w:r>
            <w:r>
              <w:rPr>
                <w:rFonts w:hint="default" w:ascii="Times New Roman" w:hAnsi="Times New Roman" w:eastAsia="宋体" w:cs="Times New Roman"/>
                <w:bCs/>
                <w:color w:val="auto"/>
                <w:sz w:val="24"/>
                <w:highlight w:val="none"/>
              </w:rPr>
              <w:t>：</w:t>
            </w:r>
            <w:r>
              <w:rPr>
                <w:rFonts w:hint="default" w:ascii="Times New Roman" w:hAnsi="Times New Roman" w:cs="Times New Roman"/>
                <w:bCs/>
                <w:color w:val="auto"/>
                <w:sz w:val="24"/>
                <w:highlight w:val="none"/>
                <w:lang w:val="en-US" w:eastAsia="zh-CN"/>
              </w:rPr>
              <w:t>废矿物油</w:t>
            </w:r>
            <w:r>
              <w:rPr>
                <w:rFonts w:hint="eastAsia" w:ascii="Times New Roman" w:hAnsi="Times New Roman" w:cs="Times New Roman"/>
                <w:bCs/>
                <w:color w:val="auto"/>
                <w:sz w:val="24"/>
                <w:highlight w:val="none"/>
                <w:lang w:val="en-US" w:eastAsia="zh-CN"/>
              </w:rPr>
              <w:t>、废油桶</w:t>
            </w:r>
            <w:r>
              <w:rPr>
                <w:rFonts w:hint="eastAsia" w:cs="Times New Roman"/>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S7：</w:t>
            </w:r>
            <w:r>
              <w:rPr>
                <w:rFonts w:hint="eastAsia" w:cs="Times New Roman"/>
                <w:bCs/>
                <w:color w:val="auto"/>
                <w:sz w:val="24"/>
                <w:highlight w:val="none"/>
                <w:lang w:val="en-US" w:eastAsia="zh-CN"/>
              </w:rPr>
              <w:t>检测废液。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7" w:type="pct"/>
            <w:vAlign w:val="center"/>
          </w:tcPr>
          <w:p>
            <w:pPr>
              <w:pStyle w:val="20"/>
              <w:adjustRightInd w:val="0"/>
              <w:snapToGrid w:val="0"/>
              <w:spacing w:before="0" w:beforeAutospacing="0" w:after="0" w:afterAutospacing="0"/>
              <w:jc w:val="center"/>
              <w:rPr>
                <w:rFonts w:hint="default" w:ascii="Times New Roman" w:hAnsi="Times New Roman" w:cs="Times New Roman"/>
                <w:b w:val="0"/>
                <w:bCs w:val="0"/>
                <w:color w:val="auto"/>
                <w:sz w:val="24"/>
                <w:szCs w:val="24"/>
                <w:highlight w:val="none"/>
              </w:rPr>
            </w:pPr>
            <w:r>
              <w:rPr>
                <w:rFonts w:hint="eastAsia"/>
                <w:b w:val="0"/>
                <w:bCs w:val="0"/>
                <w:color w:val="auto"/>
                <w:sz w:val="24"/>
                <w:szCs w:val="24"/>
                <w:highlight w:val="none"/>
              </w:rPr>
              <w:t>与项目有关的原有环境污染问题</w:t>
            </w:r>
          </w:p>
        </w:tc>
        <w:tc>
          <w:tcPr>
            <w:tcW w:w="4622" w:type="pct"/>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Calibri" w:hAnsi="Calibri" w:eastAsia="Calibri"/>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color w:val="auto"/>
                <w:highlight w:val="none"/>
                <w:lang w:val="en-US" w:eastAsia="zh-CN"/>
              </w:rPr>
            </w:pPr>
            <w:r>
              <w:rPr>
                <w:rFonts w:ascii="Calibri" w:hAnsi="Calibri" w:eastAsia="Calibri"/>
                <w:color w:val="auto"/>
                <w:sz w:val="24"/>
                <w:highlight w:val="none"/>
              </w:rPr>
              <w:t>本项目为新建项目，</w:t>
            </w:r>
            <w:r>
              <w:rPr>
                <w:rFonts w:hint="eastAsia" w:ascii="Calibri" w:hAnsi="Calibri" w:eastAsia="Calibri"/>
                <w:color w:val="auto"/>
                <w:sz w:val="24"/>
                <w:highlight w:val="none"/>
              </w:rPr>
              <w:t>用地性质为</w:t>
            </w:r>
            <w:r>
              <w:rPr>
                <w:rFonts w:hint="eastAsia" w:ascii="Calibri" w:hAnsi="Calibri"/>
                <w:color w:val="auto"/>
                <w:sz w:val="24"/>
                <w:highlight w:val="none"/>
                <w:lang w:val="en-US" w:eastAsia="zh-CN"/>
              </w:rPr>
              <w:t>工业</w:t>
            </w:r>
            <w:r>
              <w:rPr>
                <w:rFonts w:hint="eastAsia" w:ascii="Calibri" w:hAnsi="Calibri" w:eastAsia="Calibri"/>
                <w:color w:val="auto"/>
                <w:sz w:val="24"/>
                <w:highlight w:val="none"/>
              </w:rPr>
              <w:t>用地</w:t>
            </w:r>
            <w:r>
              <w:rPr>
                <w:rFonts w:ascii="Calibri" w:hAnsi="Calibri" w:eastAsia="Calibri"/>
                <w:color w:val="auto"/>
                <w:sz w:val="24"/>
                <w:highlight w:val="none"/>
              </w:rPr>
              <w:t>。</w:t>
            </w:r>
            <w:r>
              <w:rPr>
                <w:rFonts w:hint="eastAsia" w:ascii="Calibri" w:hAnsi="Calibri" w:eastAsia="宋体"/>
                <w:color w:val="auto"/>
                <w:sz w:val="24"/>
                <w:highlight w:val="none"/>
                <w:lang w:val="en-US" w:eastAsia="zh-CN"/>
              </w:rPr>
              <w:t>土地手续见附件。根据现场踏勘，</w:t>
            </w:r>
            <w:r>
              <w:rPr>
                <w:rFonts w:hint="eastAsia" w:ascii="Calibri" w:hAnsi="Calibri"/>
                <w:color w:val="auto"/>
                <w:sz w:val="24"/>
                <w:highlight w:val="none"/>
                <w:lang w:val="en-US" w:eastAsia="zh-CN"/>
              </w:rPr>
              <w:t>项目拟占地原为空地，</w:t>
            </w:r>
            <w:r>
              <w:rPr>
                <w:rFonts w:hint="eastAsia" w:ascii="Calibri" w:hAnsi="Calibri" w:eastAsia="Calibri"/>
                <w:color w:val="auto"/>
                <w:sz w:val="24"/>
                <w:highlight w:val="none"/>
              </w:rPr>
              <w:t>场地无</w:t>
            </w:r>
            <w:r>
              <w:rPr>
                <w:rFonts w:ascii="Calibri" w:hAnsi="Calibri" w:eastAsia="Calibri"/>
                <w:color w:val="auto"/>
                <w:sz w:val="24"/>
                <w:highlight w:val="none"/>
              </w:rPr>
              <w:t>与项目有关的原有环境污染问题</w:t>
            </w:r>
            <w:r>
              <w:rPr>
                <w:rFonts w:hint="eastAsia" w:ascii="Calibri" w:hAnsi="Calibri" w:eastAsia="Calibri"/>
                <w:color w:val="auto"/>
                <w:sz w:val="24"/>
                <w:highlight w:val="none"/>
              </w:rPr>
              <w:t>。</w:t>
            </w: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bCs/>
                <w:color w:val="auto"/>
                <w:sz w:val="24"/>
                <w:highlight w:val="none"/>
              </w:rPr>
            </w:pPr>
          </w:p>
        </w:tc>
      </w:tr>
    </w:tbl>
    <w:p>
      <w:pPr>
        <w:spacing w:line="40" w:lineRule="exact"/>
        <w:rPr>
          <w:color w:val="FF0000"/>
          <w:highlight w:val="none"/>
        </w:rPr>
      </w:pPr>
    </w:p>
    <w:p>
      <w:pPr>
        <w:spacing w:line="40" w:lineRule="exact"/>
        <w:rPr>
          <w:color w:val="FF0000"/>
          <w:highlight w:val="none"/>
        </w:rPr>
        <w:sectPr>
          <w:pgSz w:w="11906" w:h="16838"/>
          <w:pgMar w:top="1701" w:right="1531" w:bottom="1701" w:left="1531" w:header="1134" w:footer="992" w:gutter="0"/>
          <w:pgBorders>
            <w:top w:val="none" w:sz="0" w:space="0"/>
            <w:left w:val="none" w:sz="0" w:space="0"/>
            <w:bottom w:val="none" w:sz="0" w:space="0"/>
            <w:right w:val="none" w:sz="0" w:space="0"/>
          </w:pgBorders>
          <w:cols w:space="425" w:num="1"/>
          <w:docGrid w:type="lines" w:linePitch="312" w:charSpace="0"/>
        </w:sectPr>
      </w:pPr>
    </w:p>
    <w:p>
      <w:pPr>
        <w:pStyle w:val="20"/>
        <w:spacing w:before="0" w:beforeAutospacing="0" w:after="0" w:afterAutospacing="0"/>
        <w:jc w:val="center"/>
        <w:outlineLvl w:val="0"/>
        <w:rPr>
          <w:rFonts w:ascii="黑体" w:hAnsi="黑体" w:eastAsia="黑体"/>
          <w:color w:val="auto"/>
          <w:sz w:val="30"/>
          <w:szCs w:val="30"/>
          <w:highlight w:val="none"/>
        </w:rPr>
      </w:pPr>
      <w:bookmarkStart w:id="10" w:name="_Toc1908"/>
      <w:r>
        <w:rPr>
          <w:rFonts w:hint="eastAsia" w:ascii="黑体" w:hAnsi="黑体" w:eastAsia="黑体"/>
          <w:color w:val="auto"/>
          <w:sz w:val="30"/>
          <w:szCs w:val="30"/>
          <w:highlight w:val="none"/>
        </w:rPr>
        <w:t>三、</w:t>
      </w:r>
      <w:r>
        <w:rPr>
          <w:rFonts w:hint="eastAsia" w:ascii="黑体" w:hAnsi="黑体" w:eastAsia="黑体"/>
          <w:snapToGrid w:val="0"/>
          <w:color w:val="auto"/>
          <w:sz w:val="30"/>
          <w:szCs w:val="30"/>
          <w:highlight w:val="none"/>
        </w:rPr>
        <w:t>区域环境质量现状、环境保护目标及评价标准</w:t>
      </w:r>
      <w:bookmarkEnd w:id="10"/>
    </w:p>
    <w:tbl>
      <w:tblPr>
        <w:tblStyle w:val="28"/>
        <w:tblW w:w="92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85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dxa"/>
            <w:vAlign w:val="center"/>
          </w:tcPr>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区域</w:t>
            </w:r>
          </w:p>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环境</w:t>
            </w:r>
          </w:p>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质量</w:t>
            </w:r>
          </w:p>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现状</w:t>
            </w:r>
          </w:p>
        </w:tc>
        <w:tc>
          <w:tcPr>
            <w:tcW w:w="8528" w:type="dxa"/>
            <w:vAlign w:val="center"/>
          </w:tcPr>
          <w:p>
            <w:pPr>
              <w:adjustRightInd w:val="0"/>
              <w:snapToGrid w:val="0"/>
              <w:spacing w:line="480" w:lineRule="exact"/>
              <w:ind w:firstLine="480" w:firstLineChars="200"/>
              <w:rPr>
                <w:rFonts w:hint="eastAsia" w:eastAsia="宋体"/>
                <w:color w:val="auto"/>
                <w:sz w:val="24"/>
                <w:highlight w:val="none"/>
                <w:lang w:val="en-US" w:eastAsia="zh-CN"/>
              </w:rPr>
            </w:pPr>
            <w:r>
              <w:rPr>
                <w:rFonts w:hint="eastAsia"/>
                <w:color w:val="auto"/>
                <w:sz w:val="24"/>
                <w:highlight w:val="none"/>
                <w:lang w:val="en-US" w:eastAsia="zh-CN"/>
              </w:rPr>
              <w:t>略</w:t>
            </w:r>
          </w:p>
          <w:p>
            <w:pPr>
              <w:adjustRightInd w:val="0"/>
              <w:snapToGrid w:val="0"/>
              <w:spacing w:line="480" w:lineRule="exact"/>
              <w:ind w:firstLine="480" w:firstLineChars="200"/>
              <w:rPr>
                <w:rFonts w:hint="eastAsia"/>
                <w:color w:val="auto"/>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722" w:type="dxa"/>
            <w:vAlign w:val="center"/>
          </w:tcPr>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环境</w:t>
            </w:r>
          </w:p>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保护</w:t>
            </w:r>
          </w:p>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目标</w:t>
            </w:r>
          </w:p>
        </w:tc>
        <w:tc>
          <w:tcPr>
            <w:tcW w:w="8528" w:type="dxa"/>
            <w:vAlign w:val="center"/>
          </w:tcPr>
          <w:p>
            <w:pPr>
              <w:adjustRightInd w:val="0"/>
              <w:snapToGrid w:val="0"/>
              <w:spacing w:line="480" w:lineRule="exact"/>
              <w:ind w:firstLine="482" w:firstLineChars="200"/>
              <w:rPr>
                <w:rFonts w:hint="default" w:eastAsia="宋体"/>
                <w:b/>
                <w:bCs/>
                <w:color w:val="auto"/>
                <w:sz w:val="24"/>
                <w:highlight w:val="none"/>
                <w:lang w:val="en-US" w:eastAsia="zh-CN"/>
              </w:rPr>
            </w:pPr>
            <w:r>
              <w:rPr>
                <w:rFonts w:hint="eastAsia"/>
                <w:b/>
                <w:bCs/>
                <w:color w:val="auto"/>
                <w:sz w:val="24"/>
                <w:highlight w:val="none"/>
                <w:lang w:val="en-US" w:eastAsia="zh-CN"/>
              </w:rPr>
              <w:t>一、大气环境</w:t>
            </w:r>
          </w:p>
          <w:p>
            <w:pPr>
              <w:adjustRightInd w:val="0"/>
              <w:snapToGrid w:val="0"/>
              <w:spacing w:line="480" w:lineRule="exact"/>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本项目位于山西省长治市屯留区余吾镇南街村东侧210m处，位于屯留区经济技术开发区范围内，厂界外周边500m范围内村庄为南街村。</w:t>
            </w:r>
          </w:p>
          <w:p>
            <w:pPr>
              <w:adjustRightInd w:val="0"/>
              <w:snapToGrid w:val="0"/>
              <w:spacing w:line="480" w:lineRule="exact"/>
              <w:ind w:firstLine="482" w:firstLineChars="200"/>
              <w:rPr>
                <w:rFonts w:hint="default" w:eastAsia="宋体"/>
                <w:b/>
                <w:bCs/>
                <w:color w:val="auto"/>
                <w:sz w:val="24"/>
                <w:highlight w:val="none"/>
                <w:lang w:val="en-US" w:eastAsia="zh-CN"/>
              </w:rPr>
            </w:pPr>
            <w:r>
              <w:rPr>
                <w:rFonts w:hint="eastAsia"/>
                <w:b/>
                <w:bCs/>
                <w:color w:val="auto"/>
                <w:sz w:val="24"/>
                <w:highlight w:val="none"/>
                <w:lang w:val="en-US" w:eastAsia="zh-CN"/>
              </w:rPr>
              <w:t>二、声环境</w:t>
            </w:r>
          </w:p>
          <w:p>
            <w:pPr>
              <w:spacing w:line="480" w:lineRule="exact"/>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本项目厂界外50m范围内不存在村庄等声环境保护目标。</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三、</w:t>
            </w:r>
            <w:r>
              <w:rPr>
                <w:rFonts w:hint="default" w:ascii="Times New Roman" w:hAnsi="Times New Roman" w:eastAsia="宋体" w:cs="Times New Roman"/>
                <w:b/>
                <w:bCs/>
                <w:color w:val="auto"/>
                <w:spacing w:val="0"/>
                <w:kern w:val="0"/>
                <w:position w:val="0"/>
                <w:sz w:val="24"/>
                <w:szCs w:val="24"/>
                <w:highlight w:val="none"/>
                <w:lang w:val="en-US" w:eastAsia="zh-CN"/>
              </w:rPr>
              <w:t>地下水环境</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color w:val="auto"/>
                <w:spacing w:val="0"/>
                <w:kern w:val="0"/>
                <w:position w:val="0"/>
                <w:sz w:val="24"/>
                <w:szCs w:val="24"/>
                <w:highlight w:val="none"/>
                <w:lang w:val="en-US" w:eastAsia="zh-CN"/>
              </w:rPr>
              <w:t>厂界外500m范围内无地下水集中式饮用水水源和热水、矿泉水、温泉等特殊地下水资源。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四、</w:t>
            </w:r>
            <w:r>
              <w:rPr>
                <w:rFonts w:hint="default" w:ascii="Times New Roman" w:hAnsi="Times New Roman" w:eastAsia="宋体" w:cs="Times New Roman"/>
                <w:b/>
                <w:bCs/>
                <w:color w:val="auto"/>
                <w:spacing w:val="0"/>
                <w:kern w:val="0"/>
                <w:position w:val="0"/>
                <w:sz w:val="24"/>
                <w:szCs w:val="24"/>
                <w:highlight w:val="none"/>
                <w:lang w:val="en-US" w:eastAsia="zh-CN"/>
              </w:rPr>
              <w:t>生态环境</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r>
              <w:rPr>
                <w:rFonts w:hint="default" w:ascii="Times New Roman" w:hAnsi="Times New Roman" w:eastAsia="宋体" w:cs="Times New Roman"/>
                <w:color w:val="auto"/>
                <w:spacing w:val="0"/>
                <w:kern w:val="0"/>
                <w:position w:val="0"/>
                <w:sz w:val="24"/>
                <w:szCs w:val="24"/>
                <w:highlight w:val="none"/>
                <w:lang w:val="en-US" w:eastAsia="zh-CN"/>
              </w:rPr>
              <w:t>本项目</w:t>
            </w:r>
            <w:r>
              <w:rPr>
                <w:rFonts w:hint="eastAsia" w:cs="Times New Roman"/>
                <w:color w:val="auto"/>
                <w:spacing w:val="0"/>
                <w:kern w:val="0"/>
                <w:position w:val="0"/>
                <w:sz w:val="24"/>
                <w:szCs w:val="24"/>
                <w:highlight w:val="none"/>
                <w:lang w:val="en-US" w:eastAsia="zh-CN"/>
              </w:rPr>
              <w:t>占地为工业</w:t>
            </w:r>
            <w:r>
              <w:rPr>
                <w:rFonts w:hint="default" w:ascii="Times New Roman" w:hAnsi="Times New Roman" w:eastAsia="宋体" w:cs="Times New Roman"/>
                <w:color w:val="auto"/>
                <w:spacing w:val="0"/>
                <w:kern w:val="0"/>
                <w:position w:val="0"/>
                <w:sz w:val="24"/>
                <w:szCs w:val="24"/>
                <w:highlight w:val="none"/>
                <w:lang w:val="en-US" w:eastAsia="zh-CN"/>
              </w:rPr>
              <w:t>用地。生态环境以野生自然植被为主，周围无珍稀保护动植物。</w:t>
            </w:r>
          </w:p>
          <w:p>
            <w:pPr>
              <w:spacing w:line="480" w:lineRule="exact"/>
              <w:ind w:right="-40"/>
              <w:jc w:val="center"/>
              <w:rPr>
                <w:rFonts w:hint="default" w:ascii="Times New Roman" w:hAnsi="Times New Roman" w:eastAsia="黑体" w:cs="Times New Roman"/>
                <w:bCs/>
                <w:color w:val="auto"/>
                <w:spacing w:val="0"/>
                <w:position w:val="0"/>
                <w:sz w:val="21"/>
                <w:szCs w:val="21"/>
                <w:highlight w:val="none"/>
                <w:lang w:val="en-US" w:eastAsia="zh-CN"/>
              </w:rPr>
            </w:pPr>
            <w:r>
              <w:rPr>
                <w:rFonts w:hint="default" w:ascii="Times New Roman" w:hAnsi="Times New Roman" w:eastAsia="宋体" w:cs="Times New Roman"/>
                <w:b/>
                <w:bCs w:val="0"/>
                <w:color w:val="auto"/>
                <w:spacing w:val="0"/>
                <w:position w:val="0"/>
                <w:sz w:val="21"/>
                <w:szCs w:val="21"/>
                <w:highlight w:val="none"/>
                <w:lang w:val="en-US" w:eastAsia="zh-CN"/>
              </w:rPr>
              <w:t>表3-</w:t>
            </w:r>
            <w:r>
              <w:rPr>
                <w:rFonts w:hint="eastAsia" w:cs="Times New Roman"/>
                <w:b/>
                <w:bCs w:val="0"/>
                <w:color w:val="auto"/>
                <w:spacing w:val="0"/>
                <w:position w:val="0"/>
                <w:sz w:val="21"/>
                <w:szCs w:val="21"/>
                <w:highlight w:val="none"/>
                <w:lang w:val="en-US" w:eastAsia="zh-CN"/>
              </w:rPr>
              <w:t>4</w:t>
            </w:r>
            <w:r>
              <w:rPr>
                <w:rFonts w:hint="default" w:ascii="Times New Roman" w:hAnsi="Times New Roman" w:eastAsia="宋体" w:cs="Times New Roman"/>
                <w:b/>
                <w:bCs w:val="0"/>
                <w:color w:val="auto"/>
                <w:spacing w:val="0"/>
                <w:position w:val="0"/>
                <w:sz w:val="21"/>
                <w:szCs w:val="21"/>
                <w:highlight w:val="none"/>
                <w:lang w:val="en-US" w:eastAsia="zh-CN"/>
              </w:rPr>
              <w:t xml:space="preserve">  环境保护目标表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6"/>
              <w:gridCol w:w="1142"/>
              <w:gridCol w:w="1466"/>
              <w:gridCol w:w="930"/>
              <w:gridCol w:w="736"/>
              <w:gridCol w:w="29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lang w:val="en-US" w:eastAsia="zh-CN"/>
                    </w:rPr>
                    <w:t>类别</w:t>
                  </w:r>
                </w:p>
              </w:tc>
              <w:tc>
                <w:tcPr>
                  <w:tcW w:w="6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保护目标</w:t>
                  </w:r>
                </w:p>
              </w:tc>
              <w:tc>
                <w:tcPr>
                  <w:tcW w:w="8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方位</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（相对厂区）</w:t>
                  </w:r>
                </w:p>
              </w:tc>
              <w:tc>
                <w:tcPr>
                  <w:tcW w:w="5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距离（</w:t>
                  </w:r>
                  <w:r>
                    <w:rPr>
                      <w:rFonts w:hint="eastAsia" w:cs="Times New Roman"/>
                      <w:b/>
                      <w:bCs/>
                      <w:color w:val="auto"/>
                      <w:spacing w:val="0"/>
                      <w:position w:val="0"/>
                      <w:sz w:val="21"/>
                      <w:szCs w:val="21"/>
                      <w:highlight w:val="none"/>
                      <w:lang w:val="en-US" w:eastAsia="zh-CN"/>
                    </w:rPr>
                    <w:t>k</w:t>
                  </w:r>
                  <w:r>
                    <w:rPr>
                      <w:rFonts w:hint="default" w:ascii="Times New Roman" w:hAnsi="Times New Roman" w:eastAsia="宋体" w:cs="Times New Roman"/>
                      <w:b/>
                      <w:bCs/>
                      <w:color w:val="auto"/>
                      <w:spacing w:val="0"/>
                      <w:position w:val="0"/>
                      <w:sz w:val="21"/>
                      <w:szCs w:val="21"/>
                      <w:highlight w:val="none"/>
                      <w:lang w:val="en-US" w:eastAsia="zh-CN"/>
                    </w:rPr>
                    <w:t>m）</w:t>
                  </w:r>
                </w:p>
              </w:tc>
              <w:tc>
                <w:tcPr>
                  <w:tcW w:w="4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保护</w:t>
                  </w:r>
                  <w:r>
                    <w:rPr>
                      <w:rFonts w:hint="eastAsia" w:ascii="Times New Roman" w:hAnsi="Times New Roman" w:eastAsia="宋体" w:cs="Times New Roman"/>
                      <w:b/>
                      <w:bCs/>
                      <w:color w:val="auto"/>
                      <w:spacing w:val="0"/>
                      <w:position w:val="0"/>
                      <w:sz w:val="21"/>
                      <w:szCs w:val="21"/>
                      <w:highlight w:val="none"/>
                      <w:lang w:val="en-US" w:eastAsia="zh-CN"/>
                    </w:rPr>
                    <w:t>内容</w:t>
                  </w:r>
                </w:p>
              </w:tc>
              <w:tc>
                <w:tcPr>
                  <w:tcW w:w="1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eastAsia="宋体" w:cs="Times New Roman"/>
                      <w:b/>
                      <w:bCs/>
                      <w:color w:val="auto"/>
                      <w:spacing w:val="0"/>
                      <w:position w:val="0"/>
                      <w:sz w:val="21"/>
                      <w:szCs w:val="21"/>
                      <w:highlight w:val="no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环境空气</w:t>
                  </w:r>
                </w:p>
              </w:tc>
              <w:tc>
                <w:tcPr>
                  <w:tcW w:w="6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南街村</w:t>
                  </w:r>
                </w:p>
              </w:tc>
              <w:tc>
                <w:tcPr>
                  <w:tcW w:w="8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W</w:t>
                  </w:r>
                </w:p>
              </w:tc>
              <w:tc>
                <w:tcPr>
                  <w:tcW w:w="5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0.225</w:t>
                  </w:r>
                </w:p>
              </w:tc>
              <w:tc>
                <w:tcPr>
                  <w:tcW w:w="4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村庄</w:t>
                  </w:r>
                </w:p>
              </w:tc>
              <w:tc>
                <w:tcPr>
                  <w:tcW w:w="1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《环境空气质量标准》（GB3095-2012）中二级标准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6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地表水</w:t>
                  </w:r>
                </w:p>
              </w:tc>
              <w:tc>
                <w:tcPr>
                  <w:tcW w:w="6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4"/>
                      <w:sz w:val="21"/>
                      <w:szCs w:val="21"/>
                      <w:highlight w:val="none"/>
                      <w:lang w:val="en-US" w:eastAsia="zh-CN"/>
                    </w:rPr>
                    <w:t>交川水河</w:t>
                  </w:r>
                </w:p>
              </w:tc>
              <w:tc>
                <w:tcPr>
                  <w:tcW w:w="8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NE</w:t>
                  </w:r>
                </w:p>
              </w:tc>
              <w:tc>
                <w:tcPr>
                  <w:tcW w:w="55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0.8</w:t>
                  </w:r>
                </w:p>
              </w:tc>
              <w:tc>
                <w:tcPr>
                  <w:tcW w:w="4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水质</w:t>
                  </w:r>
                </w:p>
              </w:tc>
              <w:tc>
                <w:tcPr>
                  <w:tcW w:w="17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《地表水环境质量标准》（GB3838-2002）中</w:t>
                  </w:r>
                  <w:r>
                    <w:rPr>
                      <w:rFonts w:hint="eastAsia" w:eastAsia="宋体" w:cs="Times New Roman"/>
                      <w:color w:val="auto"/>
                      <w:spacing w:val="4"/>
                      <w:sz w:val="21"/>
                      <w:szCs w:val="21"/>
                      <w:highlight w:val="none"/>
                      <w:lang w:val="en-US" w:eastAsia="zh-CN"/>
                    </w:rPr>
                    <w:t>III</w:t>
                  </w:r>
                  <w:r>
                    <w:rPr>
                      <w:rFonts w:hint="default" w:ascii="Times New Roman" w:hAnsi="Times New Roman" w:cs="Times New Roman"/>
                      <w:color w:val="auto"/>
                      <w:spacing w:val="0"/>
                      <w:position w:val="0"/>
                      <w:sz w:val="21"/>
                      <w:szCs w:val="21"/>
                      <w:highlight w:val="none"/>
                      <w:lang w:val="en-US" w:eastAsia="zh-CN"/>
                    </w:rPr>
                    <w:t>类</w:t>
                  </w:r>
                  <w:r>
                    <w:rPr>
                      <w:rFonts w:hint="eastAsia" w:ascii="Times New Roman" w:hAnsi="Times New Roman" w:cs="Times New Roman"/>
                      <w:color w:val="auto"/>
                      <w:spacing w:val="0"/>
                      <w:position w:val="0"/>
                      <w:sz w:val="21"/>
                      <w:szCs w:val="21"/>
                      <w:highlight w:val="none"/>
                      <w:lang w:val="en-US" w:eastAsia="zh-CN"/>
                    </w:rPr>
                    <w:t>标准</w:t>
                  </w: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kern w:val="0"/>
                <w:position w:val="0"/>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722" w:type="dxa"/>
            <w:vAlign w:val="center"/>
          </w:tcPr>
          <w:p>
            <w:pPr>
              <w:pStyle w:val="20"/>
              <w:adjustRightInd w:val="0"/>
              <w:snapToGrid w:val="0"/>
              <w:spacing w:before="0" w:beforeAutospacing="0" w:after="0" w:afterAutospacing="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污染</w:t>
            </w:r>
          </w:p>
          <w:p>
            <w:pPr>
              <w:pStyle w:val="20"/>
              <w:adjustRightInd w:val="0"/>
              <w:snapToGrid w:val="0"/>
              <w:spacing w:before="0" w:beforeAutospacing="0" w:after="0" w:afterAutospacing="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物排</w:t>
            </w:r>
          </w:p>
          <w:p>
            <w:pPr>
              <w:pStyle w:val="20"/>
              <w:adjustRightInd w:val="0"/>
              <w:snapToGrid w:val="0"/>
              <w:spacing w:before="0" w:beforeAutospacing="0" w:after="0" w:afterAutospacing="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放控</w:t>
            </w:r>
          </w:p>
          <w:p>
            <w:pPr>
              <w:pStyle w:val="20"/>
              <w:adjustRightInd w:val="0"/>
              <w:snapToGrid w:val="0"/>
              <w:spacing w:before="0" w:beforeAutospacing="0" w:after="0" w:afterAutospacing="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制标</w:t>
            </w:r>
          </w:p>
          <w:p>
            <w:pPr>
              <w:adjustRightInd w:val="0"/>
              <w:snapToGrid w:val="0"/>
              <w:jc w:val="center"/>
              <w:rPr>
                <w:rFonts w:hint="eastAsia" w:ascii="宋体" w:hAnsi="宋体" w:cs="宋体"/>
                <w:b w:val="0"/>
                <w:bCs w:val="0"/>
                <w:color w:val="auto"/>
                <w:kern w:val="0"/>
                <w:sz w:val="24"/>
                <w:szCs w:val="24"/>
                <w:highlight w:val="none"/>
              </w:rPr>
            </w:pPr>
            <w:r>
              <w:rPr>
                <w:rFonts w:hint="default" w:ascii="Times New Roman" w:hAnsi="Times New Roman" w:cs="Times New Roman"/>
                <w:b w:val="0"/>
                <w:bCs w:val="0"/>
                <w:color w:val="auto"/>
                <w:sz w:val="24"/>
                <w:szCs w:val="24"/>
                <w:highlight w:val="none"/>
              </w:rPr>
              <w:t>准</w:t>
            </w:r>
          </w:p>
        </w:tc>
        <w:tc>
          <w:tcPr>
            <w:tcW w:w="8528" w:type="dxa"/>
            <w:vAlign w:val="center"/>
          </w:tcPr>
          <w:p>
            <w:pPr>
              <w:spacing w:line="480" w:lineRule="exact"/>
              <w:ind w:firstLine="482" w:firstLineChars="200"/>
              <w:rPr>
                <w:rFonts w:hint="default" w:ascii="Times New Roman" w:hAnsi="Times New Roman" w:cs="Times New Roman"/>
                <w:b/>
                <w:color w:val="auto"/>
                <w:sz w:val="24"/>
                <w:highlight w:val="none"/>
                <w:lang w:val="en-US"/>
              </w:rPr>
            </w:pPr>
            <w:r>
              <w:rPr>
                <w:rFonts w:hint="eastAsia" w:cs="Times New Roman"/>
                <w:b/>
                <w:color w:val="auto"/>
                <w:sz w:val="24"/>
                <w:highlight w:val="none"/>
                <w:lang w:val="en-US" w:eastAsia="zh-CN"/>
              </w:rPr>
              <w:t>一、</w:t>
            </w:r>
            <w:r>
              <w:rPr>
                <w:rFonts w:hint="default" w:ascii="Times New Roman" w:hAnsi="Times New Roman" w:cs="Times New Roman"/>
                <w:b/>
                <w:color w:val="auto"/>
                <w:sz w:val="24"/>
                <w:highlight w:val="none"/>
                <w:lang w:val="en-US" w:eastAsia="zh-CN"/>
              </w:rPr>
              <w:t>废气</w:t>
            </w:r>
          </w:p>
          <w:p>
            <w:pPr>
              <w:pStyle w:val="123"/>
              <w:spacing w:before="0" w:beforeAutospacing="0" w:after="0" w:afterAutospacing="0" w:line="480" w:lineRule="exact"/>
              <w:ind w:firstLine="480" w:firstLineChars="200"/>
              <w:jc w:val="both"/>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highlight w:val="none"/>
                <w:lang w:val="en-US" w:eastAsia="zh-CN"/>
              </w:rPr>
              <w:t>本项目运营期产生的有组织颗粒物排放浓度执行</w:t>
            </w:r>
            <w:r>
              <w:rPr>
                <w:rFonts w:hint="default" w:ascii="Times New Roman" w:hAnsi="Times New Roman" w:cs="Times New Roman"/>
                <w:color w:val="auto"/>
                <w:highlight w:val="none"/>
              </w:rPr>
              <w:t>《大气污染物综合排放标准》（GB16297-</w:t>
            </w:r>
            <w:r>
              <w:rPr>
                <w:rFonts w:hint="eastAsia" w:ascii="Times New Roman" w:hAnsi="Times New Roman" w:cs="Times New Roman"/>
                <w:color w:val="auto"/>
                <w:highlight w:val="none"/>
                <w:lang w:val="en-US" w:eastAsia="zh-CN"/>
              </w:rPr>
              <w:t>19</w:t>
            </w:r>
            <w:r>
              <w:rPr>
                <w:rFonts w:hint="default" w:ascii="Times New Roman" w:hAnsi="Times New Roman" w:cs="Times New Roman"/>
                <w:color w:val="auto"/>
                <w:highlight w:val="none"/>
              </w:rPr>
              <w:t>96）</w:t>
            </w:r>
            <w:r>
              <w:rPr>
                <w:rFonts w:hint="default" w:ascii="Times New Roman" w:hAnsi="Times New Roman" w:eastAsia="宋体" w:cs="Times New Roman"/>
                <w:color w:val="auto"/>
                <w:spacing w:val="0"/>
                <w:position w:val="0"/>
                <w:sz w:val="24"/>
                <w:highlight w:val="none"/>
                <w:lang w:val="en-US" w:eastAsia="zh-CN"/>
              </w:rPr>
              <w:t>表2新污染源大气污染物排放限值</w:t>
            </w:r>
            <w:r>
              <w:rPr>
                <w:rFonts w:hint="eastAsia" w:ascii="Times New Roman" w:hAnsi="Times New Roman" w:eastAsia="宋体" w:cs="Times New Roman"/>
                <w:color w:val="auto"/>
                <w:spacing w:val="0"/>
                <w:position w:val="0"/>
                <w:sz w:val="24"/>
                <w:highlight w:val="none"/>
                <w:lang w:val="en-US" w:eastAsia="zh-CN"/>
              </w:rPr>
              <w:t>；</w:t>
            </w:r>
            <w:r>
              <w:rPr>
                <w:rFonts w:hint="eastAsia" w:cs="Times New Roman"/>
                <w:color w:val="auto"/>
                <w:spacing w:val="0"/>
                <w:position w:val="0"/>
                <w:sz w:val="24"/>
                <w:highlight w:val="none"/>
                <w:lang w:val="en-US" w:eastAsia="zh-CN"/>
              </w:rPr>
              <w:t>厂界无组织</w:t>
            </w:r>
            <w:r>
              <w:rPr>
                <w:rFonts w:hint="default" w:ascii="Times New Roman" w:hAnsi="Times New Roman" w:eastAsia="宋体" w:cs="Times New Roman"/>
                <w:color w:val="auto"/>
                <w:spacing w:val="0"/>
                <w:position w:val="0"/>
                <w:sz w:val="24"/>
                <w:highlight w:val="none"/>
                <w:lang w:val="en-US" w:eastAsia="zh-CN"/>
              </w:rPr>
              <w:t>颗粒物排放</w:t>
            </w:r>
            <w:r>
              <w:rPr>
                <w:rFonts w:hint="eastAsia" w:cs="Times New Roman"/>
                <w:color w:val="auto"/>
                <w:spacing w:val="0"/>
                <w:position w:val="0"/>
                <w:sz w:val="24"/>
                <w:highlight w:val="none"/>
                <w:lang w:val="en-US" w:eastAsia="zh-CN"/>
              </w:rPr>
              <w:t>浓度</w:t>
            </w:r>
            <w:r>
              <w:rPr>
                <w:rFonts w:hint="default" w:ascii="Times New Roman" w:hAnsi="Times New Roman" w:eastAsia="宋体" w:cs="Times New Roman"/>
                <w:color w:val="auto"/>
                <w:spacing w:val="0"/>
                <w:position w:val="0"/>
                <w:sz w:val="24"/>
                <w:highlight w:val="none"/>
                <w:lang w:val="en-US" w:eastAsia="zh-CN"/>
              </w:rPr>
              <w:t>执行《大气污染物综合排放标准》（GB16297-1996）表2新污染源大气污染物排放限值物排放限值</w:t>
            </w:r>
            <w:r>
              <w:rPr>
                <w:rFonts w:hint="eastAsia" w:ascii="Times New Roman" w:hAnsi="Times New Roman" w:eastAsia="宋体" w:cs="Times New Roman"/>
                <w:color w:val="auto"/>
                <w:spacing w:val="0"/>
                <w:position w:val="0"/>
                <w:sz w:val="24"/>
                <w:highlight w:val="none"/>
                <w:lang w:val="en-US" w:eastAsia="zh-CN"/>
              </w:rPr>
              <w:t>。</w:t>
            </w:r>
            <w:r>
              <w:rPr>
                <w:rFonts w:hint="eastAsia" w:ascii="Times New Roman" w:hAnsi="Times New Roman" w:cs="Times New Roman"/>
                <w:color w:val="auto"/>
                <w:highlight w:val="none"/>
                <w:lang w:val="en-US" w:eastAsia="zh-CN"/>
              </w:rPr>
              <w:t>具体标准见表3-5。</w:t>
            </w:r>
          </w:p>
          <w:p>
            <w:pPr>
              <w:pStyle w:val="94"/>
              <w:keepNext w:val="0"/>
              <w:keepLines w:val="0"/>
              <w:pageBreakBefore w:val="0"/>
              <w:widowControl w:val="0"/>
              <w:kinsoku/>
              <w:wordWrap/>
              <w:overflowPunct/>
              <w:topLinePunct w:val="0"/>
              <w:autoSpaceDE/>
              <w:autoSpaceDN/>
              <w:bidi w:val="0"/>
              <w:adjustRightInd/>
              <w:snapToGrid w:val="0"/>
              <w:spacing w:line="480" w:lineRule="exact"/>
              <w:ind w:left="0" w:righ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《大气污染物综合排放标准》（GB16297-</w:t>
            </w:r>
            <w:r>
              <w:rPr>
                <w:rFonts w:hint="eastAsia" w:ascii="Times New Roman" w:hAnsi="Times New Roman" w:eastAsia="宋体" w:cs="Times New Roman"/>
                <w:b/>
                <w:bCs/>
                <w:color w:val="auto"/>
                <w:sz w:val="21"/>
                <w:szCs w:val="21"/>
                <w:highlight w:val="none"/>
                <w:lang w:val="en-US" w:eastAsia="zh-CN"/>
              </w:rPr>
              <w:t>19</w:t>
            </w:r>
            <w:r>
              <w:rPr>
                <w:rFonts w:hint="default" w:ascii="Times New Roman" w:hAnsi="Times New Roman" w:eastAsia="宋体" w:cs="Times New Roman"/>
                <w:b/>
                <w:bCs/>
                <w:color w:val="auto"/>
                <w:sz w:val="21"/>
                <w:szCs w:val="21"/>
                <w:highlight w:val="none"/>
              </w:rPr>
              <w:t>96）</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1"/>
              <w:gridCol w:w="2376"/>
              <w:gridCol w:w="45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25" w:type="pct"/>
                  <w:vMerge w:val="restart"/>
                  <w:tcBorders>
                    <w:tl2br w:val="nil"/>
                    <w:tr2bl w:val="nil"/>
                  </w:tcBorders>
                  <w:noWrap w:val="0"/>
                  <w:vAlign w:val="center"/>
                </w:tcPr>
                <w:p>
                  <w:pPr>
                    <w:snapToGrid w:val="0"/>
                    <w:spacing w:line="240" w:lineRule="auto"/>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cs="Times New Roman"/>
                      <w:b/>
                      <w:bCs/>
                      <w:color w:val="auto"/>
                      <w:spacing w:val="6"/>
                      <w:sz w:val="21"/>
                      <w:szCs w:val="21"/>
                      <w:highlight w:val="none"/>
                      <w:lang w:val="en-US" w:eastAsia="zh-CN"/>
                    </w:rPr>
                    <w:t>污染物</w:t>
                  </w:r>
                </w:p>
              </w:tc>
              <w:tc>
                <w:tcPr>
                  <w:tcW w:w="142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eastAsia="宋体" w:cs="Times New Roman"/>
                      <w:b/>
                      <w:bCs/>
                      <w:color w:val="auto"/>
                      <w:sz w:val="21"/>
                      <w:szCs w:val="21"/>
                      <w:highlight w:val="none"/>
                    </w:rPr>
                    <w:t>浓度（mg/Nm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2744" w:type="pct"/>
                  <w:tcBorders>
                    <w:tl2br w:val="nil"/>
                    <w:tr2bl w:val="nil"/>
                  </w:tcBorders>
                  <w:noWrap w:val="0"/>
                  <w:vAlign w:val="center"/>
                </w:tcPr>
                <w:p>
                  <w:pPr>
                    <w:snapToGrid w:val="0"/>
                    <w:spacing w:line="240" w:lineRule="auto"/>
                    <w:jc w:val="center"/>
                    <w:rPr>
                      <w:rFonts w:hint="default" w:ascii="Times New Roman" w:hAnsi="Times New Roman" w:cs="Times New Roman"/>
                      <w:b/>
                      <w:bCs/>
                      <w:color w:val="auto"/>
                      <w:spacing w:val="6"/>
                      <w:sz w:val="21"/>
                      <w:szCs w:val="21"/>
                      <w:highlight w:val="none"/>
                    </w:rPr>
                  </w:pPr>
                  <w:r>
                    <w:rPr>
                      <w:rFonts w:hint="default" w:ascii="Times New Roman" w:hAnsi="Times New Roman" w:eastAsia="宋体" w:cs="Times New Roman"/>
                      <w:b/>
                      <w:bCs/>
                      <w:color w:val="auto"/>
                      <w:sz w:val="21"/>
                      <w:szCs w:val="21"/>
                      <w:highlight w:val="none"/>
                    </w:rPr>
                    <w:t>最高允许排放速率（kg/h）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25" w:type="pct"/>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auto"/>
                      <w:spacing w:val="6"/>
                      <w:sz w:val="21"/>
                      <w:szCs w:val="21"/>
                      <w:highlight w:val="none"/>
                    </w:rPr>
                  </w:pPr>
                </w:p>
              </w:tc>
              <w:tc>
                <w:tcPr>
                  <w:tcW w:w="1429" w:type="pct"/>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auto"/>
                      <w:spacing w:val="6"/>
                      <w:sz w:val="21"/>
                      <w:szCs w:val="21"/>
                      <w:highlight w:val="none"/>
                    </w:rPr>
                  </w:pPr>
                </w:p>
              </w:tc>
              <w:tc>
                <w:tcPr>
                  <w:tcW w:w="2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25" w:type="pct"/>
                  <w:vMerge w:val="restar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颗粒物</w:t>
                  </w:r>
                </w:p>
              </w:tc>
              <w:tc>
                <w:tcPr>
                  <w:tcW w:w="1429"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120</w:t>
                  </w:r>
                </w:p>
              </w:tc>
              <w:tc>
                <w:tcPr>
                  <w:tcW w:w="2744"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825" w:type="pct"/>
                  <w:vMerge w:val="continue"/>
                  <w:tcBorders>
                    <w:tl2br w:val="nil"/>
                    <w:tr2bl w:val="nil"/>
                  </w:tcBorders>
                  <w:noWrap w:val="0"/>
                  <w:vAlign w:val="center"/>
                </w:tcPr>
                <w:p>
                  <w:pPr>
                    <w:snapToGrid w:val="0"/>
                    <w:spacing w:line="240" w:lineRule="auto"/>
                    <w:jc w:val="center"/>
                    <w:rPr>
                      <w:rFonts w:hint="default" w:ascii="Times New Roman" w:hAnsi="Times New Roman" w:cs="Times New Roman"/>
                      <w:color w:val="auto"/>
                      <w:spacing w:val="6"/>
                      <w:sz w:val="21"/>
                      <w:szCs w:val="21"/>
                      <w:highlight w:val="none"/>
                    </w:rPr>
                  </w:pPr>
                </w:p>
              </w:tc>
              <w:tc>
                <w:tcPr>
                  <w:tcW w:w="1429" w:type="pc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1.0</w:t>
                  </w:r>
                </w:p>
              </w:tc>
              <w:tc>
                <w:tcPr>
                  <w:tcW w:w="2744" w:type="pct"/>
                  <w:tcBorders>
                    <w:tl2br w:val="nil"/>
                    <w:tr2bl w:val="nil"/>
                  </w:tcBorders>
                  <w:noWrap w:val="0"/>
                  <w:vAlign w:val="center"/>
                </w:tcPr>
                <w:p>
                  <w:pPr>
                    <w:snapToGrid w:val="0"/>
                    <w:spacing w:line="240" w:lineRule="auto"/>
                    <w:jc w:val="center"/>
                    <w:rPr>
                      <w:rFonts w:hint="default" w:ascii="Times New Roman" w:hAnsi="Times New Roman" w:cs="Times New Roman"/>
                      <w:color w:val="auto"/>
                      <w:spacing w:val="6"/>
                      <w:sz w:val="21"/>
                      <w:szCs w:val="21"/>
                      <w:highlight w:val="none"/>
                    </w:rPr>
                  </w:pPr>
                  <w:r>
                    <w:rPr>
                      <w:rFonts w:hint="default" w:ascii="Times New Roman" w:hAnsi="Times New Roman" w:eastAsia="宋体" w:cs="Times New Roman"/>
                      <w:color w:val="auto"/>
                      <w:sz w:val="21"/>
                      <w:szCs w:val="21"/>
                      <w:highlight w:val="none"/>
                    </w:rPr>
                    <w:t>周界外浓度最高点</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pacing w:val="0"/>
                <w:position w:val="0"/>
                <w:sz w:val="24"/>
                <w:highlight w:val="none"/>
                <w:lang w:val="en-US" w:eastAsia="zh-CN"/>
              </w:rPr>
            </w:pPr>
            <w:r>
              <w:rPr>
                <w:rFonts w:hint="eastAsia" w:ascii="Times New Roman" w:hAnsi="Times New Roman" w:eastAsia="宋体" w:cs="Times New Roman"/>
                <w:color w:val="auto"/>
                <w:spacing w:val="0"/>
                <w:position w:val="0"/>
                <w:sz w:val="24"/>
                <w:highlight w:val="none"/>
                <w:lang w:val="en-US" w:eastAsia="zh-CN"/>
              </w:rPr>
              <w:t>按照地方环境管理的要求，环评承诺更严格排放限值，有组织颗粒物</w:t>
            </w:r>
            <w:r>
              <w:rPr>
                <w:rFonts w:hint="eastAsia" w:cs="Times New Roman"/>
                <w:color w:val="auto"/>
                <w:spacing w:val="0"/>
                <w:position w:val="0"/>
                <w:sz w:val="24"/>
                <w:highlight w:val="none"/>
                <w:lang w:val="en-US" w:eastAsia="zh-CN"/>
              </w:rPr>
              <w:t>排放浓度</w:t>
            </w:r>
            <w:r>
              <w:rPr>
                <w:rFonts w:hint="default" w:ascii="Times New Roman" w:hAnsi="Times New Roman" w:eastAsia="宋体" w:cs="Times New Roman"/>
                <w:color w:val="auto"/>
                <w:spacing w:val="0"/>
                <w:position w:val="0"/>
                <w:sz w:val="24"/>
                <w:highlight w:val="none"/>
                <w:lang w:val="en-US" w:eastAsia="zh-CN"/>
              </w:rPr>
              <w:t>执行</w:t>
            </w:r>
            <w:r>
              <w:rPr>
                <w:rFonts w:hint="eastAsia" w:cs="Times New Roman"/>
                <w:color w:val="auto"/>
                <w:spacing w:val="0"/>
                <w:position w:val="0"/>
                <w:sz w:val="24"/>
                <w:highlight w:val="none"/>
                <w:lang w:val="en-US" w:eastAsia="zh-CN"/>
              </w:rPr>
              <w:t>“</w:t>
            </w:r>
            <w:r>
              <w:rPr>
                <w:rFonts w:hint="default" w:ascii="Times New Roman" w:hAnsi="Times New Roman" w:eastAsia="宋体" w:cs="Times New Roman"/>
                <w:color w:val="auto"/>
                <w:spacing w:val="0"/>
                <w:position w:val="0"/>
                <w:sz w:val="24"/>
                <w:highlight w:val="none"/>
                <w:lang w:val="en-US" w:eastAsia="zh-CN"/>
              </w:rPr>
              <w:t>长治市大气污染防治工作领导组办公室文件关于印发《长治市工业企业无组织排放治理实施方案》（长气防办[2019]9号）的通知</w:t>
            </w:r>
            <w:r>
              <w:rPr>
                <w:rFonts w:hint="eastAsia" w:cs="Times New Roman"/>
                <w:color w:val="auto"/>
                <w:spacing w:val="0"/>
                <w:position w:val="0"/>
                <w:sz w:val="24"/>
                <w:highlight w:val="none"/>
                <w:lang w:val="en-US" w:eastAsia="zh-CN"/>
              </w:rPr>
              <w:t>”</w:t>
            </w:r>
            <w:r>
              <w:rPr>
                <w:rFonts w:hint="default" w:ascii="Times New Roman" w:hAnsi="Times New Roman" w:eastAsia="宋体" w:cs="Times New Roman"/>
                <w:color w:val="auto"/>
                <w:spacing w:val="0"/>
                <w:position w:val="0"/>
                <w:sz w:val="24"/>
                <w:highlight w:val="none"/>
                <w:lang w:val="en-US" w:eastAsia="zh-CN"/>
              </w:rPr>
              <w:t>中的相关限值</w:t>
            </w:r>
            <w:r>
              <w:rPr>
                <w:rFonts w:hint="eastAsia" w:ascii="Times New Roman" w:hAnsi="Times New Roman" w:eastAsia="宋体" w:cs="Times New Roman"/>
                <w:color w:val="auto"/>
                <w:spacing w:val="0"/>
                <w:position w:val="0"/>
                <w:sz w:val="24"/>
                <w:highlight w:val="none"/>
                <w:lang w:val="en-US" w:eastAsia="zh-CN"/>
              </w:rPr>
              <w:t>。</w:t>
            </w:r>
          </w:p>
          <w:p>
            <w:pPr>
              <w:keepNext w:val="0"/>
              <w:keepLines w:val="0"/>
              <w:suppressLineNumbers w:val="0"/>
              <w:spacing w:before="0" w:beforeAutospacing="0" w:after="0" w:afterAutospacing="0" w:line="480" w:lineRule="exact"/>
              <w:ind w:left="0" w:right="-40"/>
              <w:jc w:val="center"/>
              <w:rPr>
                <w:rFonts w:hint="default" w:ascii="Times New Roman" w:hAnsi="Times New Roman" w:eastAsia="黑体" w:cs="Times New Roman"/>
                <w:bCs/>
                <w:color w:val="auto"/>
                <w:spacing w:val="0"/>
                <w:position w:val="0"/>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表3</w:t>
            </w:r>
            <w:r>
              <w:rPr>
                <w:rFonts w:hint="eastAsia" w:ascii="Times New Roman" w:hAnsi="Times New Roman" w:eastAsia="宋体" w:cs="Times New Roman"/>
                <w:b/>
                <w:bCs/>
                <w:color w:val="auto"/>
                <w:kern w:val="2"/>
                <w:sz w:val="21"/>
                <w:szCs w:val="21"/>
                <w:highlight w:val="none"/>
                <w:lang w:val="en-US" w:eastAsia="zh-CN" w:bidi="ar-SA"/>
              </w:rPr>
              <w:t>-6</w:t>
            </w:r>
            <w:r>
              <w:rPr>
                <w:rFonts w:hint="default" w:ascii="Times New Roman" w:hAnsi="Times New Roman" w:eastAsia="宋体" w:cs="Times New Roman"/>
                <w:b/>
                <w:bCs/>
                <w:color w:val="auto"/>
                <w:kern w:val="2"/>
                <w:sz w:val="21"/>
                <w:szCs w:val="21"/>
                <w:highlight w:val="none"/>
                <w:lang w:val="en-US" w:eastAsia="zh-CN" w:bidi="ar-SA"/>
              </w:rPr>
              <w:t xml:space="preserve">  大气污染物排放限值标准</w:t>
            </w:r>
            <w:r>
              <w:rPr>
                <w:rFonts w:hint="eastAsia" w:ascii="Times New Roman" w:hAnsi="Times New Roman" w:eastAsia="宋体" w:cs="Times New Roman"/>
                <w:b/>
                <w:bCs/>
                <w:color w:val="auto"/>
                <w:kern w:val="2"/>
                <w:sz w:val="21"/>
                <w:szCs w:val="21"/>
                <w:highlight w:val="none"/>
                <w:lang w:val="en-US" w:eastAsia="zh-CN" w:bidi="ar-SA"/>
              </w:rPr>
              <w:t>（地方环境管理要求）</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908"/>
              <w:gridCol w:w="939"/>
              <w:gridCol w:w="4419"/>
              <w:gridCol w:w="2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1111"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rPr>
                  </w:pPr>
                  <w:r>
                    <w:rPr>
                      <w:rFonts w:hint="default" w:ascii="Times New Roman" w:hAnsi="Times New Roman" w:cs="Times New Roman"/>
                      <w:b/>
                      <w:bCs/>
                      <w:color w:val="auto"/>
                      <w:spacing w:val="0"/>
                      <w:position w:val="0"/>
                      <w:sz w:val="21"/>
                      <w:szCs w:val="21"/>
                      <w:highlight w:val="none"/>
                    </w:rPr>
                    <w:t>污染物</w:t>
                  </w:r>
                </w:p>
              </w:tc>
              <w:tc>
                <w:tcPr>
                  <w:tcW w:w="265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lang w:val="en-US" w:eastAsia="zh-CN"/>
                    </w:rPr>
                    <w:t>标准</w:t>
                  </w:r>
                </w:p>
              </w:tc>
              <w:tc>
                <w:tcPr>
                  <w:tcW w:w="122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pacing w:val="0"/>
                      <w:position w:val="0"/>
                      <w:sz w:val="21"/>
                      <w:szCs w:val="21"/>
                      <w:highlight w:val="none"/>
                      <w:lang w:val="en-US" w:eastAsia="zh-CN"/>
                    </w:rPr>
                  </w:pPr>
                  <w:r>
                    <w:rPr>
                      <w:rFonts w:hint="default" w:ascii="Times New Roman" w:hAnsi="Times New Roman" w:cs="Times New Roman"/>
                      <w:b/>
                      <w:bCs/>
                      <w:color w:val="auto"/>
                      <w:spacing w:val="0"/>
                      <w:position w:val="0"/>
                      <w:sz w:val="21"/>
                      <w:szCs w:val="21"/>
                      <w:highlight w:val="none"/>
                      <w:lang w:val="en-US" w:eastAsia="zh-CN"/>
                    </w:rPr>
                    <w:t>排放浓度（mg/m</w:t>
                  </w:r>
                  <w:r>
                    <w:rPr>
                      <w:rFonts w:hint="default" w:ascii="Times New Roman" w:hAnsi="Times New Roman" w:cs="Times New Roman"/>
                      <w:b/>
                      <w:bCs/>
                      <w:color w:val="auto"/>
                      <w:spacing w:val="0"/>
                      <w:position w:val="0"/>
                      <w:sz w:val="21"/>
                      <w:szCs w:val="21"/>
                      <w:highlight w:val="none"/>
                      <w:vertAlign w:val="superscript"/>
                      <w:lang w:val="en-US" w:eastAsia="zh-CN"/>
                    </w:rPr>
                    <w:t>3</w:t>
                  </w:r>
                  <w:r>
                    <w:rPr>
                      <w:rFonts w:hint="default" w:ascii="Times New Roman" w:hAnsi="Times New Roman" w:cs="Times New Roman"/>
                      <w:b/>
                      <w:bCs/>
                      <w:color w:val="auto"/>
                      <w:spacing w:val="0"/>
                      <w:positio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54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pacing w:val="0"/>
                      <w:kern w:val="2"/>
                      <w:position w:val="0"/>
                      <w:sz w:val="21"/>
                      <w:szCs w:val="21"/>
                      <w:highlight w:val="none"/>
                      <w:lang w:val="en-US" w:eastAsia="zh-CN" w:bidi="ar-SA"/>
                    </w:rPr>
                  </w:pPr>
                  <w:r>
                    <w:rPr>
                      <w:rFonts w:hint="default" w:ascii="Times New Roman" w:hAnsi="Times New Roman" w:cs="Times New Roman"/>
                      <w:color w:val="auto"/>
                      <w:spacing w:val="0"/>
                      <w:kern w:val="2"/>
                      <w:position w:val="0"/>
                      <w:sz w:val="21"/>
                      <w:szCs w:val="21"/>
                      <w:highlight w:val="none"/>
                      <w:lang w:val="en-US" w:eastAsia="zh-CN" w:bidi="ar-SA"/>
                    </w:rPr>
                    <w:t>有组织</w:t>
                  </w:r>
                </w:p>
              </w:tc>
              <w:tc>
                <w:tcPr>
                  <w:tcW w:w="56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pacing w:val="0"/>
                      <w:kern w:val="2"/>
                      <w:position w:val="0"/>
                      <w:sz w:val="21"/>
                      <w:szCs w:val="21"/>
                      <w:highlight w:val="none"/>
                      <w:lang w:val="en-US" w:eastAsia="zh-CN" w:bidi="ar-SA"/>
                    </w:rPr>
                  </w:pPr>
                  <w:r>
                    <w:rPr>
                      <w:rFonts w:hint="default" w:ascii="Times New Roman" w:hAnsi="Times New Roman" w:cs="Times New Roman"/>
                      <w:color w:val="auto"/>
                      <w:spacing w:val="0"/>
                      <w:position w:val="0"/>
                      <w:sz w:val="21"/>
                      <w:szCs w:val="21"/>
                      <w:highlight w:val="none"/>
                    </w:rPr>
                    <w:t>颗粒物</w:t>
                  </w:r>
                </w:p>
              </w:tc>
              <w:tc>
                <w:tcPr>
                  <w:tcW w:w="265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长治市大气污染防治工作领导组办公室文件关于印发《长治市工业企业无组织排放治理实施方案》（长气防办[2019]9号）的通知</w:t>
                  </w:r>
                </w:p>
              </w:tc>
              <w:tc>
                <w:tcPr>
                  <w:tcW w:w="122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pacing w:val="0"/>
                      <w:position w:val="0"/>
                      <w:sz w:val="21"/>
                      <w:szCs w:val="21"/>
                      <w:highlight w:val="none"/>
                      <w:lang w:val="en-US" w:eastAsia="zh-CN"/>
                    </w:rPr>
                  </w:pPr>
                  <w:r>
                    <w:rPr>
                      <w:rFonts w:hint="default" w:ascii="Times New Roman" w:hAnsi="Times New Roman" w:cs="Times New Roman"/>
                      <w:color w:val="auto"/>
                      <w:spacing w:val="0"/>
                      <w:position w:val="0"/>
                      <w:sz w:val="21"/>
                      <w:szCs w:val="21"/>
                      <w:highlight w:val="none"/>
                      <w:lang w:val="en-US" w:eastAsia="zh-CN"/>
                    </w:rPr>
                    <w:t>10</w:t>
                  </w:r>
                </w:p>
              </w:tc>
            </w:tr>
          </w:tbl>
          <w:p>
            <w:pPr>
              <w:keepNext w:val="0"/>
              <w:keepLines w:val="0"/>
              <w:pageBreakBefore w:val="0"/>
              <w:widowControl w:val="0"/>
              <w:tabs>
                <w:tab w:val="left" w:pos="-69"/>
                <w:tab w:val="left" w:pos="561"/>
              </w:tabs>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rFonts w:hint="eastAsia"/>
                <w:color w:val="auto"/>
                <w:sz w:val="24"/>
                <w:highlight w:val="none"/>
                <w:lang w:val="en-US" w:eastAsia="zh-CN"/>
              </w:rPr>
              <w:t>发酵工序产生的</w:t>
            </w:r>
            <w:r>
              <w:rPr>
                <w:color w:val="auto"/>
                <w:sz w:val="24"/>
                <w:highlight w:val="none"/>
              </w:rPr>
              <w:t>恶臭排放执行《恶臭污染物排放标准》（GB14554-</w:t>
            </w:r>
            <w:r>
              <w:rPr>
                <w:rFonts w:hint="eastAsia"/>
                <w:color w:val="auto"/>
                <w:sz w:val="24"/>
                <w:highlight w:val="none"/>
                <w:lang w:val="en-US" w:eastAsia="zh-CN"/>
              </w:rPr>
              <w:t>19</w:t>
            </w:r>
            <w:r>
              <w:rPr>
                <w:color w:val="auto"/>
                <w:sz w:val="24"/>
                <w:highlight w:val="none"/>
              </w:rPr>
              <w:t>93）二级标准</w:t>
            </w:r>
            <w:r>
              <w:rPr>
                <w:bCs/>
                <w:color w:val="auto"/>
                <w:sz w:val="24"/>
                <w:highlight w:val="none"/>
              </w:rPr>
              <w:t>。</w:t>
            </w:r>
            <w:r>
              <w:rPr>
                <w:color w:val="auto"/>
                <w:sz w:val="24"/>
                <w:highlight w:val="none"/>
              </w:rPr>
              <w:t>具体见下表：</w:t>
            </w:r>
          </w:p>
          <w:p>
            <w:pPr>
              <w:pStyle w:val="82"/>
              <w:spacing w:before="0"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恶臭污染物排放标准（GB14554-</w:t>
            </w:r>
            <w:r>
              <w:rPr>
                <w:rFonts w:hint="eastAsia" w:ascii="Times New Roman" w:hAnsi="Times New Roman" w:eastAsia="宋体" w:cs="Times New Roman"/>
                <w:b/>
                <w:bCs/>
                <w:color w:val="auto"/>
                <w:sz w:val="21"/>
                <w:szCs w:val="21"/>
                <w:highlight w:val="none"/>
                <w:lang w:val="en-US" w:eastAsia="zh-CN"/>
              </w:rPr>
              <w:t>19</w:t>
            </w:r>
            <w:r>
              <w:rPr>
                <w:rFonts w:hint="default" w:ascii="Times New Roman" w:hAnsi="Times New Roman" w:eastAsia="宋体" w:cs="Times New Roman"/>
                <w:b/>
                <w:bCs/>
                <w:color w:val="auto"/>
                <w:sz w:val="21"/>
                <w:szCs w:val="21"/>
                <w:highlight w:val="none"/>
              </w:rPr>
              <w:t>93）</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4"/>
              <w:gridCol w:w="2100"/>
              <w:gridCol w:w="1572"/>
              <w:gridCol w:w="2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42" w:type="pct"/>
                  <w:tcBorders>
                    <w:tl2br w:val="nil"/>
                    <w:tr2bl w:val="nil"/>
                  </w:tcBorders>
                  <w:vAlign w:val="center"/>
                </w:tcPr>
                <w:p>
                  <w:pPr>
                    <w:jc w:val="center"/>
                    <w:rPr>
                      <w:b/>
                      <w:bCs/>
                      <w:color w:val="auto"/>
                      <w:szCs w:val="21"/>
                      <w:highlight w:val="none"/>
                    </w:rPr>
                  </w:pPr>
                  <w:r>
                    <w:rPr>
                      <w:b/>
                      <w:bCs/>
                      <w:color w:val="auto"/>
                      <w:szCs w:val="21"/>
                      <w:highlight w:val="none"/>
                    </w:rPr>
                    <w:t>控制项目</w:t>
                  </w:r>
                </w:p>
              </w:tc>
              <w:tc>
                <w:tcPr>
                  <w:tcW w:w="1263" w:type="pct"/>
                  <w:tcBorders>
                    <w:tl2br w:val="nil"/>
                    <w:tr2bl w:val="nil"/>
                  </w:tcBorders>
                  <w:vAlign w:val="center"/>
                </w:tcPr>
                <w:p>
                  <w:pPr>
                    <w:pStyle w:val="10"/>
                    <w:ind w:left="0" w:leftChars="0"/>
                    <w:jc w:val="center"/>
                    <w:rPr>
                      <w:b/>
                      <w:bCs/>
                      <w:color w:val="auto"/>
                      <w:sz w:val="21"/>
                      <w:szCs w:val="21"/>
                      <w:highlight w:val="none"/>
                    </w:rPr>
                  </w:pPr>
                  <w:r>
                    <w:rPr>
                      <w:b/>
                      <w:bCs/>
                      <w:color w:val="auto"/>
                      <w:kern w:val="18"/>
                      <w:sz w:val="21"/>
                      <w:szCs w:val="21"/>
                      <w:highlight w:val="none"/>
                    </w:rPr>
                    <w:t>二级/新扩建</w:t>
                  </w:r>
                </w:p>
              </w:tc>
              <w:tc>
                <w:tcPr>
                  <w:tcW w:w="945" w:type="pct"/>
                  <w:tcBorders>
                    <w:tl2br w:val="nil"/>
                    <w:tr2bl w:val="nil"/>
                  </w:tcBorders>
                  <w:vAlign w:val="center"/>
                </w:tcPr>
                <w:p>
                  <w:pPr>
                    <w:pStyle w:val="10"/>
                    <w:ind w:left="0" w:leftChars="0"/>
                    <w:jc w:val="center"/>
                    <w:rPr>
                      <w:b/>
                      <w:bCs/>
                      <w:color w:val="auto"/>
                      <w:kern w:val="18"/>
                      <w:sz w:val="21"/>
                      <w:szCs w:val="21"/>
                      <w:highlight w:val="none"/>
                    </w:rPr>
                  </w:pPr>
                  <w:r>
                    <w:rPr>
                      <w:b/>
                      <w:bCs/>
                      <w:color w:val="auto"/>
                      <w:kern w:val="18"/>
                      <w:sz w:val="21"/>
                      <w:szCs w:val="21"/>
                      <w:highlight w:val="none"/>
                    </w:rPr>
                    <w:t>烟囱高度</w:t>
                  </w:r>
                </w:p>
              </w:tc>
              <w:tc>
                <w:tcPr>
                  <w:tcW w:w="1248" w:type="pct"/>
                  <w:tcBorders>
                    <w:tl2br w:val="nil"/>
                    <w:tr2bl w:val="nil"/>
                  </w:tcBorders>
                  <w:vAlign w:val="center"/>
                </w:tcPr>
                <w:p>
                  <w:pPr>
                    <w:pStyle w:val="10"/>
                    <w:ind w:left="0" w:leftChars="0"/>
                    <w:jc w:val="center"/>
                    <w:rPr>
                      <w:b/>
                      <w:bCs/>
                      <w:color w:val="auto"/>
                      <w:kern w:val="18"/>
                      <w:sz w:val="21"/>
                      <w:szCs w:val="21"/>
                      <w:highlight w:val="none"/>
                    </w:rPr>
                  </w:pPr>
                  <w:r>
                    <w:rPr>
                      <w:b/>
                      <w:bCs/>
                      <w:color w:val="auto"/>
                      <w:kern w:val="18"/>
                      <w:sz w:val="21"/>
                      <w:szCs w:val="21"/>
                      <w:highlight w:val="none"/>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42" w:type="pct"/>
                  <w:tcBorders>
                    <w:tl2br w:val="nil"/>
                    <w:tr2bl w:val="nil"/>
                  </w:tcBorders>
                  <w:vAlign w:val="center"/>
                </w:tcPr>
                <w:p>
                  <w:pPr>
                    <w:pStyle w:val="10"/>
                    <w:ind w:left="0" w:leftChars="0"/>
                    <w:jc w:val="center"/>
                    <w:rPr>
                      <w:color w:val="auto"/>
                      <w:sz w:val="21"/>
                      <w:szCs w:val="21"/>
                      <w:highlight w:val="none"/>
                    </w:rPr>
                  </w:pPr>
                  <w:r>
                    <w:rPr>
                      <w:color w:val="auto"/>
                      <w:kern w:val="18"/>
                      <w:sz w:val="21"/>
                      <w:szCs w:val="21"/>
                      <w:highlight w:val="none"/>
                    </w:rPr>
                    <w:t>氨</w:t>
                  </w:r>
                </w:p>
              </w:tc>
              <w:tc>
                <w:tcPr>
                  <w:tcW w:w="1263" w:type="pct"/>
                  <w:tcBorders>
                    <w:tl2br w:val="nil"/>
                    <w:tr2bl w:val="nil"/>
                  </w:tcBorders>
                  <w:vAlign w:val="center"/>
                </w:tcPr>
                <w:p>
                  <w:pPr>
                    <w:pStyle w:val="10"/>
                    <w:ind w:left="0" w:leftChars="0"/>
                    <w:jc w:val="center"/>
                    <w:rPr>
                      <w:color w:val="auto"/>
                      <w:sz w:val="21"/>
                      <w:szCs w:val="21"/>
                      <w:highlight w:val="none"/>
                    </w:rPr>
                  </w:pPr>
                  <w:r>
                    <w:rPr>
                      <w:color w:val="auto"/>
                      <w:kern w:val="18"/>
                      <w:sz w:val="21"/>
                      <w:szCs w:val="21"/>
                      <w:highlight w:val="none"/>
                    </w:rPr>
                    <w:t>1.5mg/m</w:t>
                  </w:r>
                  <w:r>
                    <w:rPr>
                      <w:color w:val="auto"/>
                      <w:kern w:val="18"/>
                      <w:sz w:val="21"/>
                      <w:szCs w:val="21"/>
                      <w:highlight w:val="none"/>
                      <w:vertAlign w:val="superscript"/>
                    </w:rPr>
                    <w:t>3</w:t>
                  </w:r>
                </w:p>
              </w:tc>
              <w:tc>
                <w:tcPr>
                  <w:tcW w:w="945" w:type="pct"/>
                  <w:vMerge w:val="restart"/>
                  <w:tcBorders>
                    <w:tl2br w:val="nil"/>
                    <w:tr2bl w:val="nil"/>
                  </w:tcBorders>
                  <w:vAlign w:val="center"/>
                </w:tcPr>
                <w:p>
                  <w:pPr>
                    <w:pStyle w:val="10"/>
                    <w:ind w:left="0" w:leftChars="0"/>
                    <w:jc w:val="center"/>
                    <w:rPr>
                      <w:color w:val="auto"/>
                      <w:kern w:val="18"/>
                      <w:sz w:val="21"/>
                      <w:szCs w:val="21"/>
                      <w:highlight w:val="none"/>
                    </w:rPr>
                  </w:pPr>
                  <w:r>
                    <w:rPr>
                      <w:rFonts w:hint="eastAsia"/>
                      <w:color w:val="auto"/>
                      <w:kern w:val="18"/>
                      <w:sz w:val="21"/>
                      <w:szCs w:val="21"/>
                      <w:highlight w:val="none"/>
                      <w:lang w:val="en-US" w:eastAsia="zh-CN"/>
                    </w:rPr>
                    <w:t>20</w:t>
                  </w:r>
                  <w:r>
                    <w:rPr>
                      <w:color w:val="auto"/>
                      <w:kern w:val="18"/>
                      <w:sz w:val="21"/>
                      <w:szCs w:val="21"/>
                      <w:highlight w:val="none"/>
                    </w:rPr>
                    <w:t>m</w:t>
                  </w:r>
                </w:p>
              </w:tc>
              <w:tc>
                <w:tcPr>
                  <w:tcW w:w="1248" w:type="pct"/>
                  <w:tcBorders>
                    <w:tl2br w:val="nil"/>
                    <w:tr2bl w:val="nil"/>
                  </w:tcBorders>
                  <w:vAlign w:val="center"/>
                </w:tcPr>
                <w:p>
                  <w:pPr>
                    <w:pStyle w:val="10"/>
                    <w:ind w:left="0" w:leftChars="0"/>
                    <w:jc w:val="center"/>
                    <w:rPr>
                      <w:color w:val="auto"/>
                      <w:kern w:val="18"/>
                      <w:sz w:val="21"/>
                      <w:szCs w:val="21"/>
                      <w:highlight w:val="none"/>
                    </w:rPr>
                  </w:pPr>
                  <w:r>
                    <w:rPr>
                      <w:rFonts w:hint="eastAsia"/>
                      <w:color w:val="auto"/>
                      <w:kern w:val="18"/>
                      <w:sz w:val="21"/>
                      <w:szCs w:val="21"/>
                      <w:highlight w:val="none"/>
                      <w:lang w:val="en-US" w:eastAsia="zh-CN"/>
                    </w:rPr>
                    <w:t>8.7</w:t>
                  </w:r>
                  <w:r>
                    <w:rPr>
                      <w:color w:val="auto"/>
                      <w:kern w:val="18"/>
                      <w:sz w:val="21"/>
                      <w:szCs w:val="21"/>
                      <w:highlight w:val="none"/>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42" w:type="pct"/>
                  <w:tcBorders>
                    <w:tl2br w:val="nil"/>
                    <w:tr2bl w:val="nil"/>
                  </w:tcBorders>
                  <w:vAlign w:val="center"/>
                </w:tcPr>
                <w:p>
                  <w:pPr>
                    <w:pStyle w:val="10"/>
                    <w:ind w:left="0" w:leftChars="0"/>
                    <w:jc w:val="center"/>
                    <w:rPr>
                      <w:color w:val="auto"/>
                      <w:sz w:val="21"/>
                      <w:szCs w:val="21"/>
                      <w:highlight w:val="none"/>
                    </w:rPr>
                  </w:pPr>
                  <w:r>
                    <w:rPr>
                      <w:color w:val="auto"/>
                      <w:kern w:val="18"/>
                      <w:sz w:val="21"/>
                      <w:szCs w:val="21"/>
                      <w:highlight w:val="none"/>
                    </w:rPr>
                    <w:t>硫化氢</w:t>
                  </w:r>
                </w:p>
              </w:tc>
              <w:tc>
                <w:tcPr>
                  <w:tcW w:w="1263" w:type="pct"/>
                  <w:tcBorders>
                    <w:tl2br w:val="nil"/>
                    <w:tr2bl w:val="nil"/>
                  </w:tcBorders>
                  <w:vAlign w:val="center"/>
                </w:tcPr>
                <w:p>
                  <w:pPr>
                    <w:pStyle w:val="10"/>
                    <w:ind w:left="0" w:leftChars="0"/>
                    <w:jc w:val="center"/>
                    <w:rPr>
                      <w:color w:val="auto"/>
                      <w:sz w:val="21"/>
                      <w:szCs w:val="21"/>
                      <w:highlight w:val="none"/>
                    </w:rPr>
                  </w:pPr>
                  <w:r>
                    <w:rPr>
                      <w:color w:val="auto"/>
                      <w:kern w:val="18"/>
                      <w:sz w:val="21"/>
                      <w:szCs w:val="21"/>
                      <w:highlight w:val="none"/>
                    </w:rPr>
                    <w:t>0.06mg/m</w:t>
                  </w:r>
                  <w:r>
                    <w:rPr>
                      <w:color w:val="auto"/>
                      <w:kern w:val="18"/>
                      <w:sz w:val="21"/>
                      <w:szCs w:val="21"/>
                      <w:highlight w:val="none"/>
                      <w:vertAlign w:val="superscript"/>
                    </w:rPr>
                    <w:t>3</w:t>
                  </w:r>
                </w:p>
              </w:tc>
              <w:tc>
                <w:tcPr>
                  <w:tcW w:w="945" w:type="pct"/>
                  <w:vMerge w:val="continue"/>
                  <w:tcBorders>
                    <w:tl2br w:val="nil"/>
                    <w:tr2bl w:val="nil"/>
                  </w:tcBorders>
                  <w:vAlign w:val="center"/>
                </w:tcPr>
                <w:p>
                  <w:pPr>
                    <w:pStyle w:val="10"/>
                    <w:ind w:left="0" w:leftChars="0"/>
                    <w:jc w:val="center"/>
                    <w:rPr>
                      <w:color w:val="auto"/>
                      <w:kern w:val="18"/>
                      <w:sz w:val="21"/>
                      <w:szCs w:val="21"/>
                      <w:highlight w:val="none"/>
                    </w:rPr>
                  </w:pPr>
                </w:p>
              </w:tc>
              <w:tc>
                <w:tcPr>
                  <w:tcW w:w="1248" w:type="pct"/>
                  <w:tcBorders>
                    <w:tl2br w:val="nil"/>
                    <w:tr2bl w:val="nil"/>
                  </w:tcBorders>
                  <w:vAlign w:val="center"/>
                </w:tcPr>
                <w:p>
                  <w:pPr>
                    <w:pStyle w:val="10"/>
                    <w:ind w:left="0" w:leftChars="0"/>
                    <w:jc w:val="center"/>
                    <w:rPr>
                      <w:color w:val="auto"/>
                      <w:kern w:val="18"/>
                      <w:sz w:val="21"/>
                      <w:szCs w:val="21"/>
                      <w:highlight w:val="none"/>
                    </w:rPr>
                  </w:pPr>
                  <w:r>
                    <w:rPr>
                      <w:color w:val="auto"/>
                      <w:kern w:val="18"/>
                      <w:sz w:val="21"/>
                      <w:szCs w:val="21"/>
                      <w:highlight w:val="none"/>
                    </w:rPr>
                    <w:t>0.</w:t>
                  </w:r>
                  <w:r>
                    <w:rPr>
                      <w:rFonts w:hint="eastAsia"/>
                      <w:color w:val="auto"/>
                      <w:kern w:val="18"/>
                      <w:sz w:val="21"/>
                      <w:szCs w:val="21"/>
                      <w:highlight w:val="none"/>
                      <w:lang w:val="en-US" w:eastAsia="zh-CN"/>
                    </w:rPr>
                    <w:t>58</w:t>
                  </w:r>
                  <w:r>
                    <w:rPr>
                      <w:color w:val="auto"/>
                      <w:kern w:val="18"/>
                      <w:sz w:val="21"/>
                      <w:szCs w:val="21"/>
                      <w:highlight w:val="none"/>
                    </w:rPr>
                    <w:t>kg/h</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pacing w:val="0"/>
                <w:kern w:val="0"/>
                <w:position w:val="0"/>
                <w:sz w:val="24"/>
                <w:szCs w:val="24"/>
                <w:highlight w:val="none"/>
                <w:lang w:val="en-US" w:eastAsia="zh-CN"/>
              </w:rPr>
            </w:pPr>
            <w:r>
              <w:rPr>
                <w:rFonts w:hint="eastAsia" w:cs="Times New Roman"/>
                <w:b/>
                <w:bCs/>
                <w:color w:val="auto"/>
                <w:spacing w:val="0"/>
                <w:kern w:val="0"/>
                <w:position w:val="0"/>
                <w:sz w:val="24"/>
                <w:szCs w:val="24"/>
                <w:highlight w:val="none"/>
                <w:lang w:val="en-US" w:eastAsia="zh-CN"/>
              </w:rPr>
              <w:t>二、</w:t>
            </w:r>
            <w:r>
              <w:rPr>
                <w:rFonts w:hint="default" w:ascii="Times New Roman" w:hAnsi="Times New Roman" w:eastAsia="宋体" w:cs="Times New Roman"/>
                <w:b/>
                <w:bCs/>
                <w:color w:val="auto"/>
                <w:spacing w:val="0"/>
                <w:kern w:val="0"/>
                <w:position w:val="0"/>
                <w:sz w:val="24"/>
                <w:szCs w:val="24"/>
                <w:highlight w:val="none"/>
                <w:lang w:val="en-US" w:eastAsia="zh-CN"/>
              </w:rPr>
              <w:t>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eastAsia="zh-CN"/>
              </w:rPr>
            </w:pPr>
            <w:r>
              <w:rPr>
                <w:rFonts w:hint="default" w:ascii="Times New Roman" w:hAnsi="Times New Roman" w:cs="Times New Roman"/>
                <w:color w:val="auto"/>
                <w:sz w:val="24"/>
                <w:highlight w:val="none"/>
              </w:rPr>
              <w:t>本项目施工期噪声执行《建筑施工场界环境噪声排放标准》（GB12523-20</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）噪声排放限值</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pacing w:val="0"/>
                <w:position w:val="0"/>
                <w:sz w:val="24"/>
                <w:highlight w:val="none"/>
                <w:lang w:val="en-US" w:eastAsia="zh-CN"/>
              </w:rPr>
            </w:pPr>
            <w:r>
              <w:rPr>
                <w:rFonts w:hint="eastAsia" w:cs="Times New Roman"/>
                <w:color w:val="auto"/>
                <w:spacing w:val="0"/>
                <w:position w:val="0"/>
                <w:sz w:val="24"/>
                <w:highlight w:val="none"/>
                <w:lang w:val="en-US" w:eastAsia="zh-CN"/>
              </w:rPr>
              <w:t>运营期</w:t>
            </w:r>
            <w:r>
              <w:rPr>
                <w:rFonts w:hint="default" w:ascii="Times New Roman" w:hAnsi="Times New Roman" w:eastAsia="宋体" w:cs="Times New Roman"/>
                <w:color w:val="auto"/>
                <w:spacing w:val="0"/>
                <w:position w:val="0"/>
                <w:sz w:val="24"/>
                <w:highlight w:val="none"/>
                <w:lang w:val="en-US" w:eastAsia="zh-CN"/>
              </w:rPr>
              <w:t>厂界噪声执行《</w:t>
            </w:r>
            <w:r>
              <w:rPr>
                <w:rFonts w:hint="default" w:ascii="Times New Roman" w:hAnsi="Times New Roman" w:eastAsia="宋体" w:cs="Times New Roman"/>
                <w:color w:val="auto"/>
                <w:spacing w:val="0"/>
                <w:position w:val="0"/>
                <w:sz w:val="24"/>
                <w:highlight w:val="none"/>
                <w:lang w:val="en-US" w:eastAsia="zh-CN"/>
              </w:rPr>
              <w:fldChar w:fldCharType="begin"/>
            </w:r>
            <w:r>
              <w:rPr>
                <w:rFonts w:hint="default" w:ascii="Times New Roman" w:hAnsi="Times New Roman" w:eastAsia="宋体" w:cs="Times New Roman"/>
                <w:color w:val="auto"/>
                <w:spacing w:val="0"/>
                <w:position w:val="0"/>
                <w:sz w:val="24"/>
                <w:highlight w:val="none"/>
                <w:lang w:val="en-US" w:eastAsia="zh-CN"/>
              </w:rPr>
              <w:instrText xml:space="preserve"> HYPERLINK "http://www.mep.gov.cn/info/bgw/bgg/200809/W020081017399508921576.pdf" \t "_self" </w:instrText>
            </w:r>
            <w:r>
              <w:rPr>
                <w:rFonts w:hint="default" w:ascii="Times New Roman" w:hAnsi="Times New Roman" w:eastAsia="宋体" w:cs="Times New Roman"/>
                <w:color w:val="auto"/>
                <w:spacing w:val="0"/>
                <w:position w:val="0"/>
                <w:sz w:val="24"/>
                <w:highlight w:val="none"/>
                <w:lang w:val="en-US" w:eastAsia="zh-CN"/>
              </w:rPr>
              <w:fldChar w:fldCharType="separate"/>
            </w:r>
            <w:r>
              <w:rPr>
                <w:rFonts w:hint="default" w:ascii="Times New Roman" w:hAnsi="Times New Roman" w:eastAsia="宋体" w:cs="Times New Roman"/>
                <w:color w:val="auto"/>
                <w:spacing w:val="0"/>
                <w:position w:val="0"/>
                <w:sz w:val="24"/>
                <w:highlight w:val="none"/>
                <w:lang w:val="en-US" w:eastAsia="zh-CN"/>
              </w:rPr>
              <w:t>工业企业厂界环境噪声</w:t>
            </w:r>
            <w:r>
              <w:rPr>
                <w:rFonts w:hint="default" w:ascii="Times New Roman" w:hAnsi="Times New Roman" w:eastAsia="宋体" w:cs="Times New Roman"/>
                <w:color w:val="auto"/>
                <w:spacing w:val="0"/>
                <w:position w:val="0"/>
                <w:sz w:val="24"/>
                <w:highlight w:val="none"/>
                <w:lang w:val="en-US" w:eastAsia="zh-CN"/>
              </w:rPr>
              <w:fldChar w:fldCharType="end"/>
            </w:r>
            <w:r>
              <w:rPr>
                <w:rFonts w:hint="default" w:ascii="Times New Roman" w:hAnsi="Times New Roman" w:eastAsia="宋体" w:cs="Times New Roman"/>
                <w:color w:val="auto"/>
                <w:spacing w:val="0"/>
                <w:position w:val="0"/>
                <w:sz w:val="24"/>
                <w:highlight w:val="none"/>
                <w:lang w:val="en-US" w:eastAsia="zh-CN"/>
              </w:rPr>
              <w:t>排放标准》（GB12348-2008）中</w:t>
            </w:r>
            <w:r>
              <w:rPr>
                <w:rFonts w:hint="eastAsia" w:cs="Times New Roman"/>
                <w:color w:val="auto"/>
                <w:spacing w:val="0"/>
                <w:position w:val="0"/>
                <w:sz w:val="24"/>
                <w:highlight w:val="none"/>
                <w:lang w:val="en-US" w:eastAsia="zh-CN"/>
              </w:rPr>
              <w:t>3</w:t>
            </w:r>
            <w:r>
              <w:rPr>
                <w:rFonts w:hint="default" w:ascii="Times New Roman" w:hAnsi="Times New Roman" w:eastAsia="宋体" w:cs="Times New Roman"/>
                <w:color w:val="auto"/>
                <w:spacing w:val="0"/>
                <w:position w:val="0"/>
                <w:sz w:val="24"/>
                <w:highlight w:val="none"/>
                <w:lang w:val="en-US" w:eastAsia="zh-CN"/>
              </w:rPr>
              <w:t>类标准。</w:t>
            </w:r>
          </w:p>
          <w:p>
            <w:pPr>
              <w:pStyle w:val="122"/>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b w:val="0"/>
                <w:color w:val="auto"/>
                <w:sz w:val="21"/>
                <w:szCs w:val="21"/>
                <w:highlight w:val="none"/>
                <w:shd w:val="clear" w:color="auto" w:fill="auto"/>
              </w:rPr>
            </w:pPr>
            <w:r>
              <w:rPr>
                <w:rFonts w:hint="default" w:ascii="Times New Roman" w:hAnsi="Times New Roman" w:cs="Times New Roman"/>
                <w:bCs/>
                <w:color w:val="auto"/>
                <w:sz w:val="21"/>
                <w:szCs w:val="21"/>
                <w:highlight w:val="none"/>
                <w:shd w:val="clear" w:color="auto" w:fill="auto"/>
              </w:rPr>
              <w:t>表3</w:t>
            </w:r>
            <w:r>
              <w:rPr>
                <w:rFonts w:hint="eastAsia" w:ascii="Times New Roman" w:hAnsi="Times New Roman" w:cs="Times New Roman"/>
                <w:bCs/>
                <w:color w:val="auto"/>
                <w:sz w:val="21"/>
                <w:szCs w:val="21"/>
                <w:highlight w:val="none"/>
                <w:shd w:val="clear" w:color="auto" w:fill="auto"/>
                <w:lang w:val="en-US" w:eastAsia="zh-CN"/>
              </w:rPr>
              <w:t>-8</w:t>
            </w:r>
            <w:r>
              <w:rPr>
                <w:rFonts w:hint="default" w:ascii="Times New Roman" w:hAnsi="Times New Roman" w:cs="Times New Roman"/>
                <w:bCs/>
                <w:color w:val="auto"/>
                <w:sz w:val="21"/>
                <w:szCs w:val="21"/>
                <w:highlight w:val="none"/>
                <w:shd w:val="clear" w:color="auto" w:fill="auto"/>
              </w:rPr>
              <w:t xml:space="preserve"> </w:t>
            </w:r>
            <w:r>
              <w:rPr>
                <w:rFonts w:hint="eastAsia" w:ascii="Times New Roman" w:hAnsi="Times New Roman" w:cs="Times New Roman"/>
                <w:bCs/>
                <w:color w:val="auto"/>
                <w:sz w:val="21"/>
                <w:szCs w:val="21"/>
                <w:highlight w:val="none"/>
                <w:shd w:val="clear" w:color="auto" w:fill="auto"/>
                <w:lang w:val="en-US" w:eastAsia="zh-CN"/>
              </w:rPr>
              <w:t xml:space="preserve"> </w:t>
            </w:r>
            <w:r>
              <w:rPr>
                <w:rFonts w:hint="default" w:ascii="Times New Roman" w:hAnsi="Times New Roman" w:cs="Times New Roman"/>
                <w:bCs/>
                <w:color w:val="auto"/>
                <w:sz w:val="21"/>
                <w:szCs w:val="21"/>
                <w:highlight w:val="none"/>
                <w:shd w:val="clear" w:color="auto" w:fill="auto"/>
              </w:rPr>
              <w:t>《建筑施工场界环境噪声排放标准》（GB12523-20</w:t>
            </w:r>
            <w:r>
              <w:rPr>
                <w:rFonts w:hint="eastAsia" w:ascii="Times New Roman" w:hAnsi="Times New Roman" w:cs="Times New Roman"/>
                <w:bCs/>
                <w:color w:val="auto"/>
                <w:sz w:val="21"/>
                <w:szCs w:val="21"/>
                <w:highlight w:val="none"/>
                <w:shd w:val="clear" w:color="auto" w:fill="auto"/>
                <w:lang w:val="en-US" w:eastAsia="zh-CN"/>
              </w:rPr>
              <w:t>25</w:t>
            </w:r>
            <w:r>
              <w:rPr>
                <w:rFonts w:hint="default" w:ascii="Times New Roman" w:hAnsi="Times New Roman" w:cs="Times New Roman"/>
                <w:bCs/>
                <w:color w:val="auto"/>
                <w:sz w:val="21"/>
                <w:szCs w:val="21"/>
                <w:highlight w:val="none"/>
                <w:shd w:val="clear" w:color="auto" w:fill="auto"/>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70"/>
              <w:gridCol w:w="2771"/>
              <w:gridCol w:w="2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val="0"/>
                      <w:color w:val="auto"/>
                      <w:sz w:val="21"/>
                      <w:szCs w:val="21"/>
                      <w:highlight w:val="none"/>
                      <w:shd w:val="clear" w:color="auto" w:fill="auto"/>
                    </w:rPr>
                  </w:pPr>
                  <w:r>
                    <w:rPr>
                      <w:rFonts w:hint="default" w:ascii="Times New Roman" w:hAnsi="Times New Roman" w:cs="Times New Roman"/>
                      <w:b/>
                      <w:bCs w:val="0"/>
                      <w:color w:val="auto"/>
                      <w:sz w:val="21"/>
                      <w:szCs w:val="21"/>
                      <w:highlight w:val="none"/>
                      <w:shd w:val="clear" w:color="auto" w:fill="auto"/>
                    </w:rPr>
                    <w:t>时段</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val="0"/>
                      <w:color w:val="auto"/>
                      <w:sz w:val="21"/>
                      <w:szCs w:val="21"/>
                      <w:highlight w:val="none"/>
                      <w:shd w:val="clear" w:color="auto" w:fill="auto"/>
                    </w:rPr>
                  </w:pPr>
                  <w:r>
                    <w:rPr>
                      <w:rFonts w:hint="default" w:ascii="Times New Roman" w:hAnsi="Times New Roman" w:cs="Times New Roman"/>
                      <w:b/>
                      <w:bCs w:val="0"/>
                      <w:color w:val="auto"/>
                      <w:sz w:val="21"/>
                      <w:szCs w:val="21"/>
                      <w:highlight w:val="none"/>
                      <w:shd w:val="clear" w:color="auto" w:fill="auto"/>
                    </w:rPr>
                    <w:t>昼间dB（A）</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val="0"/>
                      <w:color w:val="auto"/>
                      <w:sz w:val="21"/>
                      <w:szCs w:val="21"/>
                      <w:highlight w:val="none"/>
                      <w:shd w:val="clear" w:color="auto" w:fill="auto"/>
                    </w:rPr>
                  </w:pPr>
                  <w:r>
                    <w:rPr>
                      <w:rFonts w:hint="default" w:ascii="Times New Roman" w:hAnsi="Times New Roman" w:cs="Times New Roman"/>
                      <w:b/>
                      <w:bCs w:val="0"/>
                      <w:color w:val="auto"/>
                      <w:sz w:val="21"/>
                      <w:szCs w:val="21"/>
                      <w:highlight w:val="none"/>
                      <w:shd w:val="clear" w:color="auto" w:fill="auto"/>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highlight w:val="none"/>
                      <w:shd w:val="clear" w:color="auto" w:fill="auto"/>
                    </w:rPr>
                  </w:pPr>
                  <w:r>
                    <w:rPr>
                      <w:rFonts w:hint="default" w:ascii="Times New Roman" w:hAnsi="Times New Roman" w:cs="Times New Roman"/>
                      <w:bCs/>
                      <w:color w:val="auto"/>
                      <w:sz w:val="21"/>
                      <w:szCs w:val="21"/>
                      <w:highlight w:val="none"/>
                      <w:shd w:val="clear" w:color="auto" w:fill="auto"/>
                    </w:rPr>
                    <w:t>噪声限值</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highlight w:val="none"/>
                      <w:shd w:val="clear" w:color="auto" w:fill="auto"/>
                    </w:rPr>
                  </w:pPr>
                  <w:r>
                    <w:rPr>
                      <w:rFonts w:hint="default" w:ascii="Times New Roman" w:hAnsi="Times New Roman" w:cs="Times New Roman"/>
                      <w:bCs/>
                      <w:color w:val="auto"/>
                      <w:sz w:val="21"/>
                      <w:szCs w:val="21"/>
                      <w:highlight w:val="none"/>
                      <w:shd w:val="clear" w:color="auto" w:fill="auto"/>
                    </w:rPr>
                    <w:t>70</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highlight w:val="none"/>
                      <w:shd w:val="clear" w:color="auto" w:fill="auto"/>
                    </w:rPr>
                  </w:pPr>
                  <w:r>
                    <w:rPr>
                      <w:rFonts w:hint="default" w:ascii="Times New Roman" w:hAnsi="Times New Roman" w:cs="Times New Roman"/>
                      <w:bCs/>
                      <w:color w:val="auto"/>
                      <w:sz w:val="21"/>
                      <w:szCs w:val="21"/>
                      <w:highlight w:val="none"/>
                      <w:shd w:val="clear" w:color="auto" w:fill="auto"/>
                    </w:rPr>
                    <w:t>55</w:t>
                  </w:r>
                </w:p>
              </w:tc>
            </w:tr>
          </w:tbl>
          <w:p>
            <w:pPr>
              <w:spacing w:line="480" w:lineRule="exact"/>
              <w:ind w:right="-40"/>
              <w:jc w:val="center"/>
              <w:rPr>
                <w:rFonts w:hint="default" w:ascii="Times New Roman" w:hAnsi="Times New Roman" w:eastAsia="宋体" w:cs="Times New Roman"/>
                <w:b/>
                <w:bCs/>
                <w:color w:val="auto"/>
                <w:kern w:val="2"/>
                <w:sz w:val="21"/>
                <w:szCs w:val="21"/>
                <w:highlight w:val="none"/>
                <w:shd w:val="clear" w:color="auto" w:fill="auto"/>
                <w:lang w:val="en-US" w:eastAsia="zh-CN" w:bidi="ar-SA"/>
              </w:rPr>
            </w:pPr>
            <w:r>
              <w:rPr>
                <w:rFonts w:hint="default" w:ascii="Times New Roman" w:hAnsi="Times New Roman" w:eastAsia="宋体" w:cs="Times New Roman"/>
                <w:b/>
                <w:bCs/>
                <w:color w:val="auto"/>
                <w:kern w:val="2"/>
                <w:sz w:val="21"/>
                <w:szCs w:val="21"/>
                <w:highlight w:val="none"/>
                <w:shd w:val="clear" w:color="auto" w:fill="auto"/>
                <w:lang w:val="en-US" w:eastAsia="zh-CN" w:bidi="ar-SA"/>
              </w:rPr>
              <w:t>表</w:t>
            </w:r>
            <w:r>
              <w:rPr>
                <w:rFonts w:hint="eastAsia" w:ascii="Times New Roman" w:hAnsi="Times New Roman" w:eastAsia="宋体" w:cs="Times New Roman"/>
                <w:b/>
                <w:bCs/>
                <w:color w:val="auto"/>
                <w:kern w:val="2"/>
                <w:sz w:val="21"/>
                <w:szCs w:val="21"/>
                <w:highlight w:val="none"/>
                <w:shd w:val="clear" w:color="auto" w:fill="auto"/>
                <w:lang w:val="en-US" w:eastAsia="zh-CN" w:bidi="ar-SA"/>
              </w:rPr>
              <w:t>3-</w:t>
            </w:r>
            <w:r>
              <w:rPr>
                <w:rFonts w:hint="eastAsia" w:cs="Times New Roman"/>
                <w:b/>
                <w:bCs/>
                <w:color w:val="auto"/>
                <w:kern w:val="2"/>
                <w:sz w:val="21"/>
                <w:szCs w:val="21"/>
                <w:highlight w:val="none"/>
                <w:shd w:val="clear" w:color="auto" w:fill="auto"/>
                <w:lang w:val="en-US" w:eastAsia="zh-CN" w:bidi="ar-SA"/>
              </w:rPr>
              <w:t>9</w:t>
            </w:r>
            <w:r>
              <w:rPr>
                <w:rFonts w:hint="eastAsia" w:ascii="Times New Roman" w:hAnsi="Times New Roman" w:eastAsia="宋体" w:cs="Times New Roman"/>
                <w:b/>
                <w:bCs/>
                <w:color w:val="auto"/>
                <w:kern w:val="2"/>
                <w:sz w:val="21"/>
                <w:szCs w:val="21"/>
                <w:highlight w:val="none"/>
                <w:shd w:val="clear" w:color="auto" w:fill="auto"/>
                <w:lang w:val="en-US" w:eastAsia="zh-CN" w:bidi="ar-SA"/>
              </w:rPr>
              <w:t xml:space="preserve"> </w:t>
            </w:r>
            <w:r>
              <w:rPr>
                <w:rFonts w:hint="default" w:ascii="Times New Roman" w:hAnsi="Times New Roman" w:eastAsia="宋体" w:cs="Times New Roman"/>
                <w:b/>
                <w:bCs/>
                <w:color w:val="auto"/>
                <w:kern w:val="2"/>
                <w:sz w:val="21"/>
                <w:szCs w:val="21"/>
                <w:highlight w:val="none"/>
                <w:shd w:val="clear" w:color="auto" w:fill="auto"/>
                <w:lang w:val="en-US" w:eastAsia="zh-CN" w:bidi="ar-SA"/>
              </w:rPr>
              <w:t xml:space="preserve"> 《</w:t>
            </w:r>
            <w:r>
              <w:rPr>
                <w:rFonts w:hint="default" w:ascii="Times New Roman" w:hAnsi="Times New Roman" w:eastAsia="宋体" w:cs="Times New Roman"/>
                <w:b/>
                <w:bCs/>
                <w:color w:val="auto"/>
                <w:kern w:val="2"/>
                <w:sz w:val="21"/>
                <w:szCs w:val="21"/>
                <w:highlight w:val="none"/>
                <w:shd w:val="clear" w:color="auto" w:fill="auto"/>
                <w:lang w:val="en-US" w:eastAsia="zh-CN" w:bidi="ar-SA"/>
              </w:rPr>
              <w:fldChar w:fldCharType="begin"/>
            </w:r>
            <w:r>
              <w:rPr>
                <w:rFonts w:hint="default" w:ascii="Times New Roman" w:hAnsi="Times New Roman" w:eastAsia="宋体" w:cs="Times New Roman"/>
                <w:b/>
                <w:bCs/>
                <w:color w:val="auto"/>
                <w:kern w:val="2"/>
                <w:sz w:val="21"/>
                <w:szCs w:val="21"/>
                <w:highlight w:val="none"/>
                <w:shd w:val="clear" w:color="auto" w:fill="auto"/>
                <w:lang w:val="en-US" w:eastAsia="zh-CN" w:bidi="ar-SA"/>
              </w:rPr>
              <w:instrText xml:space="preserve"> HYPERLINK "http://www.mep.gov.cn/info/bgw/bgg/200809/W020081017399508921576.pdf" \t "_self" </w:instrText>
            </w:r>
            <w:r>
              <w:rPr>
                <w:rFonts w:hint="default" w:ascii="Times New Roman" w:hAnsi="Times New Roman" w:eastAsia="宋体" w:cs="Times New Roman"/>
                <w:b/>
                <w:bCs/>
                <w:color w:val="auto"/>
                <w:kern w:val="2"/>
                <w:sz w:val="21"/>
                <w:szCs w:val="21"/>
                <w:highlight w:val="none"/>
                <w:shd w:val="clear" w:color="auto" w:fill="auto"/>
                <w:lang w:val="en-US" w:eastAsia="zh-CN" w:bidi="ar-SA"/>
              </w:rPr>
              <w:fldChar w:fldCharType="separate"/>
            </w:r>
            <w:r>
              <w:rPr>
                <w:rFonts w:hint="default" w:ascii="Times New Roman" w:hAnsi="Times New Roman" w:eastAsia="宋体" w:cs="Times New Roman"/>
                <w:b/>
                <w:bCs/>
                <w:color w:val="auto"/>
                <w:kern w:val="2"/>
                <w:sz w:val="21"/>
                <w:szCs w:val="21"/>
                <w:highlight w:val="none"/>
                <w:shd w:val="clear" w:color="auto" w:fill="auto"/>
                <w:lang w:val="en-US" w:eastAsia="zh-CN" w:bidi="ar-SA"/>
              </w:rPr>
              <w:t>工业企业厂界环境噪声</w:t>
            </w:r>
            <w:r>
              <w:rPr>
                <w:rFonts w:hint="default" w:ascii="Times New Roman" w:hAnsi="Times New Roman" w:eastAsia="宋体" w:cs="Times New Roman"/>
                <w:b/>
                <w:bCs/>
                <w:color w:val="auto"/>
                <w:kern w:val="2"/>
                <w:sz w:val="21"/>
                <w:szCs w:val="21"/>
                <w:highlight w:val="none"/>
                <w:shd w:val="clear" w:color="auto" w:fill="auto"/>
                <w:lang w:val="en-US" w:eastAsia="zh-CN" w:bidi="ar-SA"/>
              </w:rPr>
              <w:fldChar w:fldCharType="end"/>
            </w:r>
            <w:r>
              <w:rPr>
                <w:rFonts w:hint="default" w:ascii="Times New Roman" w:hAnsi="Times New Roman" w:eastAsia="宋体" w:cs="Times New Roman"/>
                <w:b/>
                <w:bCs/>
                <w:color w:val="auto"/>
                <w:kern w:val="2"/>
                <w:sz w:val="21"/>
                <w:szCs w:val="21"/>
                <w:highlight w:val="none"/>
                <w:shd w:val="clear" w:color="auto" w:fill="auto"/>
                <w:lang w:val="en-US" w:eastAsia="zh-CN" w:bidi="ar-SA"/>
              </w:rPr>
              <w:t>排放标准》（GB12348-2008）</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70"/>
              <w:gridCol w:w="27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类别</w:t>
                  </w:r>
                </w:p>
              </w:tc>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昼间dB</w:t>
                  </w:r>
                  <w:r>
                    <w:rPr>
                      <w:rFonts w:hint="eastAsia" w:ascii="Times New Roman" w:hAnsi="Times New Roman" w:eastAsia="宋体" w:cs="Times New Roman"/>
                      <w:b/>
                      <w:bCs w:val="0"/>
                      <w:color w:val="auto"/>
                      <w:spacing w:val="0"/>
                      <w:position w:val="0"/>
                      <w:szCs w:val="21"/>
                      <w:highlight w:val="none"/>
                      <w:lang w:val="en-US" w:eastAsia="zh-CN"/>
                    </w:rPr>
                    <w:t>(</w:t>
                  </w:r>
                  <w:r>
                    <w:rPr>
                      <w:rFonts w:hint="default" w:ascii="Times New Roman" w:hAnsi="Times New Roman" w:eastAsia="宋体" w:cs="Times New Roman"/>
                      <w:b/>
                      <w:bCs w:val="0"/>
                      <w:color w:val="auto"/>
                      <w:spacing w:val="0"/>
                      <w:position w:val="0"/>
                      <w:szCs w:val="21"/>
                      <w:highlight w:val="none"/>
                    </w:rPr>
                    <w:t>A</w:t>
                  </w:r>
                  <w:r>
                    <w:rPr>
                      <w:rFonts w:hint="eastAsia" w:ascii="Times New Roman" w:hAnsi="Times New Roman" w:eastAsia="宋体" w:cs="Times New Roman"/>
                      <w:b/>
                      <w:bCs w:val="0"/>
                      <w:color w:val="auto"/>
                      <w:spacing w:val="0"/>
                      <w:position w:val="0"/>
                      <w:szCs w:val="21"/>
                      <w:highlight w:val="none"/>
                      <w:lang w:val="en-US" w:eastAsia="zh-CN"/>
                    </w:rPr>
                    <w:t>)</w:t>
                  </w:r>
                </w:p>
              </w:tc>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0"/>
                      <w:position w:val="0"/>
                      <w:szCs w:val="21"/>
                      <w:highlight w:val="none"/>
                    </w:rPr>
                  </w:pPr>
                  <w:r>
                    <w:rPr>
                      <w:rFonts w:hint="default" w:ascii="Times New Roman" w:hAnsi="Times New Roman" w:eastAsia="宋体" w:cs="Times New Roman"/>
                      <w:b/>
                      <w:bCs w:val="0"/>
                      <w:color w:val="auto"/>
                      <w:spacing w:val="0"/>
                      <w:position w:val="0"/>
                      <w:szCs w:val="21"/>
                      <w:highlight w:val="none"/>
                    </w:rPr>
                    <w:t>夜间dB</w:t>
                  </w:r>
                  <w:r>
                    <w:rPr>
                      <w:rFonts w:hint="eastAsia" w:ascii="Times New Roman" w:hAnsi="Times New Roman" w:eastAsia="宋体" w:cs="Times New Roman"/>
                      <w:b/>
                      <w:bCs w:val="0"/>
                      <w:color w:val="auto"/>
                      <w:spacing w:val="0"/>
                      <w:position w:val="0"/>
                      <w:szCs w:val="21"/>
                      <w:highlight w:val="none"/>
                      <w:lang w:val="en-US" w:eastAsia="zh-CN"/>
                    </w:rPr>
                    <w:t>(</w:t>
                  </w:r>
                  <w:r>
                    <w:rPr>
                      <w:rFonts w:hint="default" w:ascii="Times New Roman" w:hAnsi="Times New Roman" w:eastAsia="宋体" w:cs="Times New Roman"/>
                      <w:b/>
                      <w:bCs w:val="0"/>
                      <w:color w:val="auto"/>
                      <w:spacing w:val="0"/>
                      <w:position w:val="0"/>
                      <w:szCs w:val="21"/>
                      <w:highlight w:val="none"/>
                    </w:rPr>
                    <w:t>A</w:t>
                  </w:r>
                  <w:r>
                    <w:rPr>
                      <w:rFonts w:hint="eastAsia" w:ascii="Times New Roman" w:hAnsi="Times New Roman" w:eastAsia="宋体" w:cs="Times New Roman"/>
                      <w:b/>
                      <w:bCs w:val="0"/>
                      <w:color w:val="auto"/>
                      <w:spacing w:val="0"/>
                      <w:position w:val="0"/>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pacing w:val="0"/>
                      <w:position w:val="0"/>
                      <w:szCs w:val="21"/>
                      <w:highlight w:val="none"/>
                      <w:lang w:eastAsia="zh-CN"/>
                    </w:rPr>
                  </w:pPr>
                  <w:r>
                    <w:rPr>
                      <w:rFonts w:hint="eastAsia" w:cs="Times New Roman"/>
                      <w:bCs/>
                      <w:color w:val="auto"/>
                      <w:spacing w:val="0"/>
                      <w:position w:val="0"/>
                      <w:szCs w:val="21"/>
                      <w:highlight w:val="none"/>
                      <w:lang w:val="en-US" w:eastAsia="zh-CN"/>
                    </w:rPr>
                    <w:t>3</w:t>
                  </w:r>
                </w:p>
              </w:tc>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position w:val="0"/>
                      <w:szCs w:val="21"/>
                      <w:highlight w:val="none"/>
                      <w:lang w:val="en-US" w:eastAsia="zh-CN"/>
                    </w:rPr>
                  </w:pPr>
                  <w:r>
                    <w:rPr>
                      <w:rFonts w:hint="eastAsia" w:ascii="Times New Roman" w:hAnsi="Times New Roman" w:eastAsia="宋体" w:cs="Times New Roman"/>
                      <w:bCs/>
                      <w:color w:val="auto"/>
                      <w:spacing w:val="0"/>
                      <w:position w:val="0"/>
                      <w:szCs w:val="21"/>
                      <w:highlight w:val="none"/>
                      <w:lang w:val="en-US" w:eastAsia="zh-CN"/>
                    </w:rPr>
                    <w:t>6</w:t>
                  </w:r>
                  <w:r>
                    <w:rPr>
                      <w:rFonts w:hint="eastAsia" w:cs="Times New Roman"/>
                      <w:bCs/>
                      <w:color w:val="auto"/>
                      <w:spacing w:val="0"/>
                      <w:position w:val="0"/>
                      <w:szCs w:val="21"/>
                      <w:highlight w:val="none"/>
                      <w:lang w:val="en-US" w:eastAsia="zh-CN"/>
                    </w:rPr>
                    <w:t>5</w:t>
                  </w:r>
                </w:p>
              </w:tc>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position w:val="0"/>
                      <w:szCs w:val="21"/>
                      <w:highlight w:val="none"/>
                      <w:lang w:val="en-US" w:eastAsia="zh-CN"/>
                    </w:rPr>
                  </w:pPr>
                  <w:r>
                    <w:rPr>
                      <w:rFonts w:hint="eastAsia" w:ascii="Times New Roman" w:hAnsi="Times New Roman" w:eastAsia="宋体" w:cs="Times New Roman"/>
                      <w:bCs/>
                      <w:color w:val="auto"/>
                      <w:spacing w:val="0"/>
                      <w:position w:val="0"/>
                      <w:szCs w:val="21"/>
                      <w:highlight w:val="none"/>
                      <w:lang w:val="en-US" w:eastAsia="zh-CN"/>
                    </w:rPr>
                    <w:t>5</w:t>
                  </w:r>
                  <w:r>
                    <w:rPr>
                      <w:rFonts w:hint="eastAsia" w:cs="Times New Roman"/>
                      <w:bCs/>
                      <w:color w:val="auto"/>
                      <w:spacing w:val="0"/>
                      <w:position w:val="0"/>
                      <w:szCs w:val="21"/>
                      <w:highlight w:val="none"/>
                      <w:lang w:val="en-US" w:eastAsia="zh-CN"/>
                    </w:rPr>
                    <w:t>5</w:t>
                  </w:r>
                </w:p>
              </w:tc>
            </w:tr>
          </w:tbl>
          <w:p>
            <w:pPr>
              <w:adjustRightInd w:val="0"/>
              <w:snapToGrid w:val="0"/>
              <w:spacing w:line="480" w:lineRule="exact"/>
              <w:ind w:firstLine="482" w:firstLineChars="200"/>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三、</w:t>
            </w:r>
            <w:r>
              <w:rPr>
                <w:rFonts w:hint="default" w:ascii="Times New Roman" w:hAnsi="Times New Roman" w:cs="Times New Roman"/>
                <w:b/>
                <w:color w:val="auto"/>
                <w:sz w:val="24"/>
                <w:highlight w:val="none"/>
              </w:rPr>
              <w:t>固体废物</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0"/>
                <w:position w:val="0"/>
                <w:sz w:val="24"/>
                <w:highlight w:val="none"/>
                <w:lang w:val="en-US" w:eastAsia="zh-CN"/>
              </w:rPr>
            </w:pPr>
            <w:r>
              <w:rPr>
                <w:rFonts w:hint="default" w:ascii="Times New Roman" w:hAnsi="Times New Roman" w:eastAsia="宋体" w:cs="Times New Roman"/>
                <w:color w:val="auto"/>
                <w:spacing w:val="0"/>
                <w:position w:val="0"/>
                <w:sz w:val="24"/>
                <w:highlight w:val="none"/>
                <w:lang w:val="en-US" w:eastAsia="zh-CN"/>
              </w:rPr>
              <w:t>一般固体废物执行《一般工业固体废物贮存和填埋污染控制标准》（GB18599-2020）中的有关规定；</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r>
              <w:rPr>
                <w:rFonts w:hint="default" w:ascii="Times New Roman" w:hAnsi="Times New Roman" w:eastAsia="宋体" w:cs="Times New Roman"/>
                <w:color w:val="auto"/>
                <w:spacing w:val="0"/>
                <w:position w:val="0"/>
                <w:sz w:val="24"/>
                <w:highlight w:val="none"/>
                <w:lang w:val="en-US" w:eastAsia="zh-CN"/>
              </w:rPr>
              <w:t>危险废物执行《危险废物贮存污染控制标准》（GB18597-2023）</w:t>
            </w:r>
            <w:r>
              <w:rPr>
                <w:rFonts w:hint="default" w:ascii="Times New Roman" w:hAnsi="Times New Roman" w:eastAsia="宋体" w:cs="Times New Roman"/>
                <w:color w:val="auto"/>
                <w:spacing w:val="0"/>
                <w:position w:val="0"/>
                <w:sz w:val="24"/>
                <w:highlight w:val="none"/>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722" w:type="dxa"/>
            <w:vAlign w:val="center"/>
          </w:tcPr>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总量</w:t>
            </w:r>
          </w:p>
          <w:p>
            <w:pPr>
              <w:adjustRightInd w:val="0"/>
              <w:snapToGrid w:val="0"/>
              <w:jc w:val="center"/>
              <w:rPr>
                <w:rFonts w:ascii="宋体" w:hAnsi="宋体" w:cs="宋体"/>
                <w:b w:val="0"/>
                <w:bCs w:val="0"/>
                <w:color w:val="auto"/>
                <w:kern w:val="0"/>
                <w:sz w:val="24"/>
                <w:szCs w:val="24"/>
                <w:highlight w:val="none"/>
              </w:rPr>
            </w:pPr>
            <w:r>
              <w:rPr>
                <w:rFonts w:hint="eastAsia" w:ascii="宋体" w:hAnsi="宋体" w:cs="宋体"/>
                <w:b w:val="0"/>
                <w:bCs w:val="0"/>
                <w:color w:val="auto"/>
                <w:kern w:val="0"/>
                <w:sz w:val="24"/>
                <w:szCs w:val="24"/>
                <w:highlight w:val="none"/>
              </w:rPr>
              <w:t>控制</w:t>
            </w:r>
          </w:p>
          <w:p>
            <w:pPr>
              <w:adjustRightInd w:val="0"/>
              <w:snapToGrid w:val="0"/>
              <w:jc w:val="center"/>
              <w:rPr>
                <w:rFonts w:hint="default" w:ascii="Times New Roman" w:hAnsi="Times New Roman" w:cs="Times New Roman"/>
                <w:b w:val="0"/>
                <w:bCs w:val="0"/>
                <w:color w:val="auto"/>
                <w:sz w:val="24"/>
                <w:szCs w:val="24"/>
                <w:highlight w:val="none"/>
              </w:rPr>
            </w:pPr>
            <w:r>
              <w:rPr>
                <w:rFonts w:hint="eastAsia" w:ascii="宋体" w:hAnsi="宋体" w:cs="宋体"/>
                <w:b w:val="0"/>
                <w:bCs w:val="0"/>
                <w:color w:val="auto"/>
                <w:kern w:val="0"/>
                <w:sz w:val="24"/>
                <w:szCs w:val="24"/>
                <w:highlight w:val="none"/>
              </w:rPr>
              <w:t>指标</w:t>
            </w:r>
          </w:p>
        </w:tc>
        <w:tc>
          <w:tcPr>
            <w:tcW w:w="8528" w:type="dxa"/>
            <w:vAlign w:val="center"/>
          </w:tcPr>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rPr>
            </w:pPr>
          </w:p>
          <w:p>
            <w:pPr>
              <w:pStyle w:val="2"/>
              <w:rPr>
                <w:rFonts w:hint="default"/>
                <w:color w:val="auto"/>
                <w:highlight w:val="none"/>
              </w:rPr>
            </w:pP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r>
              <w:rPr>
                <w:rFonts w:hint="default" w:ascii="Times New Roman" w:hAnsi="Times New Roman" w:eastAsia="宋体" w:cs="Times New Roman"/>
                <w:color w:val="auto"/>
                <w:spacing w:val="0"/>
                <w:position w:val="0"/>
                <w:sz w:val="24"/>
                <w:highlight w:val="none"/>
              </w:rPr>
              <w:t>根据山西省</w:t>
            </w:r>
            <w:r>
              <w:rPr>
                <w:rFonts w:hint="default" w:ascii="Times New Roman" w:hAnsi="Times New Roman" w:eastAsia="宋体" w:cs="Times New Roman"/>
                <w:color w:val="auto"/>
                <w:spacing w:val="0"/>
                <w:position w:val="0"/>
                <w:sz w:val="24"/>
                <w:highlight w:val="none"/>
                <w:lang w:val="en-US" w:eastAsia="zh-CN"/>
              </w:rPr>
              <w:t>生态环境厅</w:t>
            </w:r>
            <w:r>
              <w:rPr>
                <w:rFonts w:hint="default" w:ascii="Times New Roman" w:hAnsi="Times New Roman" w:eastAsia="宋体" w:cs="Times New Roman"/>
                <w:color w:val="auto"/>
                <w:spacing w:val="0"/>
                <w:position w:val="0"/>
                <w:sz w:val="24"/>
                <w:highlight w:val="none"/>
              </w:rPr>
              <w:t>《建设项目主要污染物排放总量指标核定暂行办法》（晋环规[2023]1号）文规定，</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实施排放总量控制的主要污染物包括氮氧化物、挥发性有机物、化学需氧量、氨氮等国家实施排放总量控制的主要污染物以及二氧化硫、颗粒物等山西省实施排放总量控制的主要污染物</w:t>
            </w:r>
            <w:r>
              <w:rPr>
                <w:rFonts w:hint="default" w:ascii="Times New Roman" w:hAnsi="Times New Roman" w:eastAsia="宋体" w:cs="Times New Roman"/>
                <w:color w:val="auto"/>
                <w:spacing w:val="0"/>
                <w:position w:val="0"/>
                <w:sz w:val="24"/>
                <w:highlight w:val="none"/>
                <w:lang w:eastAsia="zh-CN"/>
              </w:rPr>
              <w:t>”</w:t>
            </w:r>
            <w:r>
              <w:rPr>
                <w:rFonts w:hint="default" w:ascii="Times New Roman" w:hAnsi="Times New Roman" w:eastAsia="宋体" w:cs="Times New Roman"/>
                <w:color w:val="auto"/>
                <w:spacing w:val="0"/>
                <w:position w:val="0"/>
                <w:sz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both"/>
              <w:textAlignment w:val="auto"/>
              <w:rPr>
                <w:rFonts w:hint="eastAsia" w:ascii="Times New Roman" w:hAnsi="Times New Roman" w:eastAsia="宋体" w:cs="Times New Roman"/>
                <w:color w:val="auto"/>
                <w:spacing w:val="0"/>
                <w:position w:val="0"/>
                <w:sz w:val="24"/>
                <w:highlight w:val="none"/>
                <w:lang w:val="en-US" w:eastAsia="zh-CN"/>
              </w:rPr>
            </w:pPr>
            <w:r>
              <w:rPr>
                <w:rFonts w:hint="default" w:ascii="Times New Roman" w:hAnsi="Times New Roman" w:eastAsia="宋体" w:cs="Times New Roman"/>
                <w:color w:val="auto"/>
                <w:spacing w:val="0"/>
                <w:position w:val="0"/>
                <w:sz w:val="24"/>
                <w:highlight w:val="none"/>
                <w:lang w:val="en-US" w:eastAsia="zh-CN"/>
              </w:rPr>
              <w:t>本项目申请总量控制指标为：</w:t>
            </w:r>
            <w:r>
              <w:rPr>
                <w:rFonts w:hint="eastAsia" w:cs="Times New Roman"/>
                <w:color w:val="auto"/>
                <w:spacing w:val="0"/>
                <w:position w:val="0"/>
                <w:sz w:val="24"/>
                <w:highlight w:val="none"/>
                <w:lang w:val="en-US" w:eastAsia="zh-CN"/>
              </w:rPr>
              <w:t>有组织</w:t>
            </w:r>
            <w:r>
              <w:rPr>
                <w:rFonts w:hint="eastAsia" w:ascii="Times New Roman" w:hAnsi="Times New Roman" w:eastAsia="宋体" w:cs="Times New Roman"/>
                <w:color w:val="auto"/>
                <w:spacing w:val="0"/>
                <w:position w:val="0"/>
                <w:sz w:val="24"/>
                <w:highlight w:val="none"/>
                <w:lang w:val="en-US" w:eastAsia="zh-CN"/>
              </w:rPr>
              <w:t>颗粒物</w:t>
            </w:r>
            <w:r>
              <w:rPr>
                <w:rFonts w:hint="eastAsia" w:cs="Times New Roman"/>
                <w:color w:val="auto"/>
                <w:spacing w:val="0"/>
                <w:position w:val="0"/>
                <w:sz w:val="24"/>
                <w:highlight w:val="none"/>
                <w:lang w:val="en-US" w:eastAsia="zh-CN"/>
              </w:rPr>
              <w:t>和无组织颗粒物为5.142t</w:t>
            </w:r>
            <w:r>
              <w:rPr>
                <w:rFonts w:hint="eastAsia" w:ascii="Times New Roman" w:hAnsi="Times New Roman" w:eastAsia="宋体" w:cs="Times New Roman"/>
                <w:color w:val="auto"/>
                <w:spacing w:val="0"/>
                <w:position w:val="0"/>
                <w:sz w:val="24"/>
                <w:highlight w:val="none"/>
                <w:lang w:val="en-US" w:eastAsia="zh-CN"/>
              </w:rPr>
              <w:t>/a。</w:t>
            </w:r>
          </w:p>
          <w:p>
            <w:pPr>
              <w:spacing w:line="480" w:lineRule="exact"/>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长治市生态环境局屯留分局以屯函环[2026]7号文出具了“关于山西润土生物科技有限公司煤矸石转化生物基材料生产项目大气污染物排放总量核定意见”（见附件8），核定本项目总量控制指标为：颗粒物5.142t/a。</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lang w:val="en-US" w:eastAsia="zh-CN"/>
              </w:rPr>
            </w:pPr>
          </w:p>
          <w:p>
            <w:pPr>
              <w:pStyle w:val="2"/>
              <w:keepLines w:val="0"/>
              <w:pageBreakBefore w:val="0"/>
              <w:widowControl w:val="0"/>
              <w:kinsoku/>
              <w:wordWrap/>
              <w:topLinePunct w:val="0"/>
              <w:bidi w:val="0"/>
              <w:spacing w:line="480" w:lineRule="exact"/>
              <w:textAlignment w:val="auto"/>
              <w:rPr>
                <w:rFonts w:hint="default" w:ascii="Times New Roman" w:hAnsi="Times New Roman" w:eastAsia="宋体" w:cs="Times New Roman"/>
                <w:color w:val="auto"/>
                <w:spacing w:val="0"/>
                <w:position w:val="0"/>
                <w:sz w:val="24"/>
                <w:highlight w:val="none"/>
                <w:lang w:val="en-US" w:eastAsia="zh-CN"/>
              </w:rPr>
            </w:pPr>
          </w:p>
          <w:p>
            <w:pPr>
              <w:keepLines w:val="0"/>
              <w:pageBreakBefore w:val="0"/>
              <w:widowControl w:val="0"/>
              <w:kinsoku/>
              <w:wordWrap/>
              <w:topLinePunct w:val="0"/>
              <w:bidi w:val="0"/>
              <w:spacing w:line="480" w:lineRule="exact"/>
              <w:textAlignment w:val="auto"/>
              <w:rPr>
                <w:rFonts w:hint="default"/>
                <w:color w:val="auto"/>
                <w:highlight w:val="none"/>
                <w:lang w:val="en-US" w:eastAsia="zh-CN"/>
              </w:rPr>
            </w:pPr>
          </w:p>
          <w:p>
            <w:pPr>
              <w:keepLines w:val="0"/>
              <w:pageBreakBefore w:val="0"/>
              <w:widowControl w:val="0"/>
              <w:kinsoku/>
              <w:wordWrap/>
              <w:topLinePunct w:val="0"/>
              <w:bidi w:val="0"/>
              <w:spacing w:line="480" w:lineRule="exact"/>
              <w:textAlignment w:val="auto"/>
              <w:rPr>
                <w:rFonts w:hint="default" w:ascii="Times New Roman" w:hAnsi="Times New Roman" w:eastAsia="宋体" w:cs="Times New Roman"/>
                <w:color w:val="auto"/>
                <w:spacing w:val="0"/>
                <w:position w:val="0"/>
                <w:sz w:val="24"/>
                <w:highlight w:val="none"/>
                <w:lang w:val="en-US" w:eastAsia="zh-CN"/>
              </w:rPr>
            </w:pPr>
          </w:p>
          <w:p>
            <w:pPr>
              <w:pStyle w:val="2"/>
              <w:keepLines w:val="0"/>
              <w:pageBreakBefore w:val="0"/>
              <w:widowControl w:val="0"/>
              <w:kinsoku/>
              <w:wordWrap/>
              <w:topLinePunct w:val="0"/>
              <w:bidi w:val="0"/>
              <w:spacing w:line="480" w:lineRule="exact"/>
              <w:textAlignment w:val="auto"/>
              <w:rPr>
                <w:rFonts w:hint="default" w:ascii="Times New Roman" w:hAnsi="Times New Roman" w:eastAsia="宋体" w:cs="Times New Roman"/>
                <w:color w:val="auto"/>
                <w:spacing w:val="0"/>
                <w:position w:val="0"/>
                <w:sz w:val="24"/>
                <w:highlight w:val="none"/>
                <w:lang w:val="en-US" w:eastAsia="zh-CN"/>
              </w:rPr>
            </w:pPr>
          </w:p>
          <w:p>
            <w:pPr>
              <w:keepLines w:val="0"/>
              <w:pageBreakBefore w:val="0"/>
              <w:widowControl w:val="0"/>
              <w:kinsoku/>
              <w:wordWrap/>
              <w:topLinePunct w:val="0"/>
              <w:bidi w:val="0"/>
              <w:spacing w:line="480" w:lineRule="exact"/>
              <w:textAlignment w:val="auto"/>
              <w:rPr>
                <w:rFonts w:hint="default"/>
                <w:color w:val="auto"/>
                <w:highlight w:val="none"/>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pacing w:val="0"/>
                <w:position w:val="0"/>
                <w:sz w:val="24"/>
                <w:highlight w:val="none"/>
                <w:lang w:val="en-US" w:eastAsia="zh-CN"/>
              </w:rPr>
            </w:pPr>
          </w:p>
        </w:tc>
      </w:tr>
    </w:tbl>
    <w:p>
      <w:pPr>
        <w:spacing w:line="40" w:lineRule="exact"/>
        <w:rPr>
          <w:color w:val="FF0000"/>
          <w:highlight w:val="none"/>
        </w:rPr>
      </w:pPr>
    </w:p>
    <w:p>
      <w:pPr>
        <w:spacing w:line="40" w:lineRule="exact"/>
        <w:rPr>
          <w:color w:val="FF0000"/>
          <w:highlight w:val="none"/>
        </w:rPr>
        <w:sectPr>
          <w:pgSz w:w="11906" w:h="16838"/>
          <w:pgMar w:top="1701" w:right="1531" w:bottom="1701" w:left="1531" w:header="1134" w:footer="992" w:gutter="0"/>
          <w:pgBorders>
            <w:top w:val="none" w:sz="0" w:space="0"/>
            <w:left w:val="none" w:sz="0" w:space="0"/>
            <w:bottom w:val="none" w:sz="0" w:space="0"/>
            <w:right w:val="none" w:sz="0" w:space="0"/>
          </w:pgBorders>
          <w:cols w:space="425" w:num="1"/>
          <w:docGrid w:type="lines" w:linePitch="312" w:charSpace="0"/>
        </w:sectPr>
      </w:pPr>
    </w:p>
    <w:p>
      <w:pPr>
        <w:pStyle w:val="20"/>
        <w:spacing w:before="0" w:beforeAutospacing="0" w:after="0" w:afterAutospacing="0"/>
        <w:jc w:val="center"/>
        <w:outlineLvl w:val="0"/>
        <w:rPr>
          <w:rFonts w:hint="eastAsia" w:ascii="黑体" w:hAnsi="黑体" w:eastAsia="黑体"/>
          <w:snapToGrid w:val="0"/>
          <w:color w:val="auto"/>
          <w:sz w:val="30"/>
          <w:szCs w:val="30"/>
          <w:highlight w:val="none"/>
        </w:rPr>
      </w:pPr>
      <w:bookmarkStart w:id="11" w:name="_Toc13608"/>
      <w:r>
        <w:rPr>
          <w:rFonts w:hint="eastAsia" w:ascii="黑体" w:hAnsi="黑体" w:eastAsia="黑体"/>
          <w:color w:val="auto"/>
          <w:sz w:val="30"/>
          <w:szCs w:val="30"/>
          <w:highlight w:val="none"/>
        </w:rPr>
        <w:t>四、</w:t>
      </w:r>
      <w:r>
        <w:rPr>
          <w:rFonts w:hint="eastAsia" w:ascii="黑体" w:hAnsi="黑体" w:eastAsia="黑体"/>
          <w:snapToGrid w:val="0"/>
          <w:color w:val="auto"/>
          <w:sz w:val="30"/>
          <w:szCs w:val="30"/>
          <w:highlight w:val="none"/>
        </w:rPr>
        <w:t>主要环境影响和保护措施</w:t>
      </w:r>
    </w:p>
    <w:tbl>
      <w:tblPr>
        <w:tblStyle w:val="28"/>
        <w:tblW w:w="92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85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tcMar>
              <w:left w:w="28" w:type="dxa"/>
              <w:right w:w="28" w:type="dxa"/>
            </w:tcMar>
            <w:vAlign w:val="center"/>
          </w:tcPr>
          <w:p>
            <w:pPr>
              <w:pStyle w:val="20"/>
              <w:adjustRightInd w:val="0"/>
              <w:snapToGrid w:val="0"/>
              <w:spacing w:before="0" w:beforeAutospacing="0" w:after="0" w:afterAutospacing="0"/>
              <w:jc w:val="center"/>
              <w:rPr>
                <w:b w:val="0"/>
                <w:bCs w:val="0"/>
                <w:color w:val="auto"/>
                <w:kern w:val="2"/>
                <w:sz w:val="24"/>
                <w:szCs w:val="24"/>
                <w:highlight w:val="none"/>
              </w:rPr>
            </w:pPr>
            <w:r>
              <w:rPr>
                <w:rFonts w:hint="eastAsia"/>
                <w:b w:val="0"/>
                <w:bCs w:val="0"/>
                <w:color w:val="auto"/>
                <w:kern w:val="2"/>
                <w:sz w:val="24"/>
                <w:szCs w:val="24"/>
                <w:highlight w:val="none"/>
              </w:rPr>
              <w:t>施工期环境保护措施</w:t>
            </w:r>
          </w:p>
        </w:tc>
        <w:tc>
          <w:tcPr>
            <w:tcW w:w="8548" w:type="dxa"/>
            <w:vAlign w:val="center"/>
          </w:tcPr>
          <w:p>
            <w:pPr>
              <w:adjustRightInd w:val="0"/>
              <w:snapToGrid w:val="0"/>
              <w:spacing w:line="480" w:lineRule="exact"/>
              <w:ind w:firstLine="480" w:firstLineChars="200"/>
              <w:rPr>
                <w:rFonts w:hint="default" w:hAnsi="宋体"/>
                <w:b w:val="0"/>
                <w:bCs w:val="0"/>
                <w:color w:val="auto"/>
                <w:sz w:val="24"/>
                <w:szCs w:val="32"/>
                <w:highlight w:val="none"/>
                <w:lang w:val="en-US" w:eastAsia="zh-CN"/>
              </w:rPr>
            </w:pPr>
            <w:r>
              <w:rPr>
                <w:rFonts w:hint="eastAsia" w:hAnsi="宋体"/>
                <w:b w:val="0"/>
                <w:bCs w:val="0"/>
                <w:color w:val="auto"/>
                <w:sz w:val="24"/>
                <w:szCs w:val="32"/>
                <w:highlight w:val="none"/>
                <w:lang w:val="en-US" w:eastAsia="zh-CN"/>
              </w:rPr>
              <w:t>本项目施工期主要工程内容为生产车间、办公楼、配套楼、危废贮存点及配套设施的建设，及车间内生产线的布设、环保设备的安装等。</w:t>
            </w:r>
            <w:r>
              <w:rPr>
                <w:rFonts w:hint="eastAsia" w:ascii="Times New Roman" w:hAnsi="Times New Roman" w:cs="Times New Roman"/>
                <w:bCs/>
                <w:color w:val="auto"/>
                <w:sz w:val="24"/>
                <w:szCs w:val="24"/>
                <w:lang w:val="en-US" w:eastAsia="zh-CN"/>
              </w:rPr>
              <w:t>因此</w:t>
            </w:r>
            <w:r>
              <w:rPr>
                <w:rFonts w:hint="default" w:ascii="Times New Roman" w:hAnsi="Times New Roman" w:cs="Times New Roman"/>
                <w:bCs/>
                <w:color w:val="auto"/>
                <w:sz w:val="24"/>
                <w:szCs w:val="24"/>
                <w:lang w:val="en-US" w:eastAsia="zh-CN"/>
              </w:rPr>
              <w:t>在</w:t>
            </w:r>
            <w:r>
              <w:rPr>
                <w:rFonts w:hint="default" w:ascii="Times New Roman" w:hAnsi="Times New Roman" w:eastAsia="宋体" w:cs="Times New Roman"/>
                <w:color w:val="auto"/>
                <w:sz w:val="24"/>
                <w:szCs w:val="24"/>
              </w:rPr>
              <w:t>施工期间的主要环境问题产生于工程建设施工过程中土地清理</w:t>
            </w:r>
            <w:r>
              <w:rPr>
                <w:rFonts w:hint="eastAsia" w:ascii="Times New Roman" w:eastAsia="宋体" w:cs="Times New Roman"/>
                <w:color w:val="auto"/>
                <w:sz w:val="24"/>
                <w:szCs w:val="24"/>
                <w:lang w:val="en-US" w:eastAsia="zh-CN"/>
              </w:rPr>
              <w:t>及平整</w:t>
            </w:r>
            <w:r>
              <w:rPr>
                <w:rFonts w:hint="default" w:ascii="Times New Roman" w:hAnsi="Times New Roman" w:eastAsia="宋体" w:cs="Times New Roman"/>
                <w:color w:val="auto"/>
                <w:sz w:val="24"/>
                <w:szCs w:val="24"/>
              </w:rPr>
              <w:t>、基础开挖、建筑材料运输、堆存、各建构筑物施工建设、设备安装、地面硬化过程中，产生的污染物主要有扬尘、噪声、废水、固体废物及施工生态影响等，工程施工影响范围主要为工程施工区域，限制在厂区占地范围内。</w:t>
            </w:r>
            <w:r>
              <w:rPr>
                <w:rFonts w:hint="default" w:ascii="Times New Roman" w:hAnsi="Times New Roman" w:cs="Times New Roman"/>
                <w:color w:val="auto"/>
                <w:kern w:val="2"/>
                <w:sz w:val="24"/>
                <w:szCs w:val="24"/>
                <w:highlight w:val="none"/>
                <w:lang w:val="en-US" w:eastAsia="zh-CN" w:bidi="ar-SA"/>
              </w:rPr>
              <w:t>针对</w:t>
            </w:r>
            <w:r>
              <w:rPr>
                <w:rFonts w:hint="default" w:ascii="Times New Roman" w:hAnsi="Times New Roman" w:eastAsia="宋体" w:cs="Times New Roman"/>
                <w:color w:val="auto"/>
                <w:kern w:val="2"/>
                <w:sz w:val="24"/>
                <w:szCs w:val="24"/>
                <w:highlight w:val="none"/>
                <w:lang w:val="en-US" w:eastAsia="zh-CN" w:bidi="ar-SA"/>
              </w:rPr>
              <w:t>施工过程对环境的影响</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拟采取的污染防治措施</w:t>
            </w:r>
            <w:r>
              <w:rPr>
                <w:rFonts w:hint="default" w:ascii="Times New Roman" w:hAnsi="Times New Roman" w:cs="Times New Roman"/>
                <w:color w:val="auto"/>
                <w:kern w:val="2"/>
                <w:sz w:val="24"/>
                <w:szCs w:val="24"/>
                <w:highlight w:val="none"/>
                <w:lang w:val="en-US" w:eastAsia="zh-CN" w:bidi="ar-SA"/>
              </w:rPr>
              <w:t>如下：</w:t>
            </w:r>
          </w:p>
          <w:p>
            <w:pPr>
              <w:adjustRightInd w:val="0"/>
              <w:snapToGrid w:val="0"/>
              <w:spacing w:line="480" w:lineRule="exact"/>
              <w:ind w:firstLine="482" w:firstLineChars="200"/>
              <w:rPr>
                <w:rFonts w:hint="default" w:hAnsi="宋体"/>
                <w:b/>
                <w:bCs/>
                <w:color w:val="auto"/>
                <w:sz w:val="24"/>
                <w:szCs w:val="32"/>
                <w:highlight w:val="none"/>
                <w:lang w:val="en-US" w:eastAsia="zh-CN"/>
              </w:rPr>
            </w:pPr>
            <w:r>
              <w:rPr>
                <w:rFonts w:hint="eastAsia" w:hAnsi="宋体"/>
                <w:b/>
                <w:bCs/>
                <w:color w:val="auto"/>
                <w:sz w:val="24"/>
                <w:szCs w:val="32"/>
                <w:highlight w:val="none"/>
                <w:lang w:val="en-US" w:eastAsia="zh-CN"/>
              </w:rPr>
              <w:t>一、</w:t>
            </w:r>
            <w:r>
              <w:rPr>
                <w:rFonts w:hint="default" w:ascii="Times New Roman" w:hAnsi="Times New Roman" w:eastAsia="宋体" w:cs="Times New Roman"/>
                <w:b/>
                <w:bCs/>
                <w:color w:val="auto"/>
                <w:spacing w:val="0"/>
                <w:sz w:val="24"/>
                <w:szCs w:val="24"/>
                <w:highlight w:val="none"/>
              </w:rPr>
              <w:t>施工期大气环境污染防治措施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本项目</w:t>
            </w:r>
            <w:r>
              <w:rPr>
                <w:rFonts w:hint="default" w:ascii="Times New Roman" w:hAnsi="Times New Roman" w:eastAsia="宋体" w:cs="Times New Roman"/>
                <w:color w:val="auto"/>
                <w:sz w:val="24"/>
                <w:szCs w:val="20"/>
                <w:highlight w:val="none"/>
              </w:rPr>
              <w:t>施工期主要大气环境影响为扬尘对周围大气环境的影响，扬尘主要为施工扬尘和道路运输扬尘。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0"/>
                <w:highlight w:val="none"/>
              </w:rPr>
            </w:pPr>
            <w:r>
              <w:rPr>
                <w:rFonts w:hint="default" w:ascii="Times New Roman" w:hAnsi="Times New Roman" w:eastAsia="宋体" w:cs="Times New Roman"/>
                <w:b/>
                <w:bCs/>
                <w:color w:val="auto"/>
                <w:sz w:val="24"/>
                <w:szCs w:val="20"/>
                <w:highlight w:val="none"/>
                <w:lang w:val="en-US" w:eastAsia="zh-CN"/>
              </w:rPr>
              <w:t>1</w:t>
            </w:r>
            <w:r>
              <w:rPr>
                <w:rFonts w:hint="eastAsia" w:ascii="Times New Roman" w:hAnsi="Times New Roman" w:eastAsia="宋体" w:cs="Times New Roman"/>
                <w:b/>
                <w:bCs/>
                <w:color w:val="auto"/>
                <w:sz w:val="24"/>
                <w:szCs w:val="20"/>
                <w:highlight w:val="none"/>
                <w:lang w:val="en-US" w:eastAsia="zh-CN"/>
              </w:rPr>
              <w:t>.</w:t>
            </w:r>
            <w:r>
              <w:rPr>
                <w:rFonts w:hint="default" w:ascii="Times New Roman" w:hAnsi="Times New Roman" w:eastAsia="宋体" w:cs="Times New Roman"/>
                <w:b/>
                <w:bCs/>
                <w:color w:val="auto"/>
                <w:sz w:val="24"/>
                <w:szCs w:val="20"/>
                <w:highlight w:val="none"/>
              </w:rPr>
              <w:t>产生环节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施工扬尘主要来自于施工现场</w:t>
            </w:r>
            <w:r>
              <w:rPr>
                <w:rFonts w:hint="default" w:ascii="Times New Roman" w:hAnsi="Times New Roman" w:eastAsia="宋体" w:cs="Times New Roman"/>
                <w:color w:val="auto"/>
                <w:sz w:val="24"/>
                <w:szCs w:val="20"/>
                <w:highlight w:val="none"/>
                <w:lang w:val="en-US" w:eastAsia="zh-CN"/>
              </w:rPr>
              <w:t>土地平整清理、物料</w:t>
            </w:r>
            <w:r>
              <w:rPr>
                <w:rFonts w:hint="default" w:ascii="Times New Roman" w:hAnsi="Times New Roman" w:eastAsia="宋体" w:cs="Times New Roman"/>
                <w:color w:val="auto"/>
                <w:sz w:val="24"/>
                <w:szCs w:val="20"/>
                <w:highlight w:val="none"/>
              </w:rPr>
              <w:t>装卸</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堆放以及渣土临时堆放等过程；道路运输扬尘来自于施工机械和车辆的往来过程。扬尘排放方式为间歇不定量排放，其影响范围为施工现场附近和运输道路沿途。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0"/>
                <w:highlight w:val="none"/>
              </w:rPr>
            </w:pPr>
            <w:r>
              <w:rPr>
                <w:rFonts w:hint="eastAsia" w:ascii="Times New Roman" w:hAnsi="Times New Roman" w:eastAsia="宋体" w:cs="Times New Roman"/>
                <w:color w:val="auto"/>
                <w:sz w:val="24"/>
                <w:szCs w:val="20"/>
                <w:highlight w:val="none"/>
                <w:lang w:eastAsia="zh-CN"/>
              </w:rPr>
              <w:t>（</w:t>
            </w:r>
            <w:r>
              <w:rPr>
                <w:rFonts w:hint="eastAsia" w:ascii="Times New Roman" w:hAnsi="Times New Roman" w:eastAsia="宋体" w:cs="Times New Roman"/>
                <w:color w:val="auto"/>
                <w:sz w:val="24"/>
                <w:szCs w:val="20"/>
                <w:highlight w:val="none"/>
                <w:lang w:val="en-US" w:eastAsia="zh-CN"/>
              </w:rPr>
              <w:t>1</w:t>
            </w:r>
            <w:r>
              <w:rPr>
                <w:rFonts w:hint="eastAsia"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lang w:val="en-US" w:eastAsia="zh-CN"/>
              </w:rPr>
              <w:t>施工现场</w:t>
            </w:r>
            <w:r>
              <w:rPr>
                <w:rFonts w:hint="default" w:ascii="Times New Roman" w:hAnsi="Times New Roman" w:eastAsia="宋体" w:cs="Times New Roman"/>
                <w:color w:val="auto"/>
                <w:sz w:val="24"/>
                <w:szCs w:val="20"/>
                <w:highlight w:val="none"/>
              </w:rPr>
              <w:t>堆放易产尘的建筑材料，如无围挡</w:t>
            </w:r>
            <w:r>
              <w:rPr>
                <w:rFonts w:hint="default"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随意堆放，会产生二次扬尘；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0"/>
                <w:highlight w:val="none"/>
              </w:rPr>
            </w:pPr>
            <w:r>
              <w:rPr>
                <w:rFonts w:hint="eastAsia" w:ascii="Times New Roman" w:hAnsi="Times New Roman" w:eastAsia="宋体" w:cs="Times New Roman"/>
                <w:b w:val="0"/>
                <w:bCs w:val="0"/>
                <w:color w:val="auto"/>
                <w:sz w:val="24"/>
                <w:szCs w:val="20"/>
                <w:highlight w:val="none"/>
                <w:lang w:eastAsia="zh-CN"/>
              </w:rPr>
              <w:t>（</w:t>
            </w:r>
            <w:r>
              <w:rPr>
                <w:rFonts w:hint="eastAsia" w:ascii="Times New Roman" w:hAnsi="Times New Roman" w:eastAsia="宋体" w:cs="Times New Roman"/>
                <w:b w:val="0"/>
                <w:bCs w:val="0"/>
                <w:color w:val="auto"/>
                <w:sz w:val="24"/>
                <w:szCs w:val="20"/>
                <w:highlight w:val="none"/>
                <w:lang w:val="en-US" w:eastAsia="zh-CN"/>
              </w:rPr>
              <w:t>2</w:t>
            </w:r>
            <w:r>
              <w:rPr>
                <w:rFonts w:hint="eastAsia" w:ascii="Times New Roman" w:hAnsi="Times New Roman" w:eastAsia="宋体" w:cs="Times New Roman"/>
                <w:b w:val="0"/>
                <w:bCs w:val="0"/>
                <w:color w:val="auto"/>
                <w:sz w:val="24"/>
                <w:szCs w:val="20"/>
                <w:highlight w:val="none"/>
                <w:lang w:eastAsia="zh-CN"/>
              </w:rPr>
              <w:t>）</w:t>
            </w:r>
            <w:r>
              <w:rPr>
                <w:rFonts w:hint="default" w:ascii="Times New Roman" w:hAnsi="Times New Roman" w:eastAsia="宋体" w:cs="Times New Roman"/>
                <w:b w:val="0"/>
                <w:bCs w:val="0"/>
                <w:color w:val="auto"/>
                <w:sz w:val="24"/>
                <w:szCs w:val="20"/>
                <w:highlight w:val="none"/>
              </w:rPr>
              <w:t>建筑材料的运输，如不采取有效的遮盖措施，会产生扬尘；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0"/>
                <w:highlight w:val="none"/>
              </w:rPr>
            </w:pPr>
            <w:r>
              <w:rPr>
                <w:rFonts w:hint="eastAsia" w:ascii="Times New Roman" w:hAnsi="Times New Roman" w:eastAsia="宋体" w:cs="Times New Roman"/>
                <w:b w:val="0"/>
                <w:bCs w:val="0"/>
                <w:color w:val="auto"/>
                <w:sz w:val="24"/>
                <w:szCs w:val="20"/>
                <w:highlight w:val="none"/>
                <w:lang w:eastAsia="zh-CN"/>
              </w:rPr>
              <w:t>（</w:t>
            </w:r>
            <w:r>
              <w:rPr>
                <w:rFonts w:hint="eastAsia" w:ascii="Times New Roman" w:hAnsi="Times New Roman" w:eastAsia="宋体" w:cs="Times New Roman"/>
                <w:b w:val="0"/>
                <w:bCs w:val="0"/>
                <w:color w:val="auto"/>
                <w:sz w:val="24"/>
                <w:szCs w:val="20"/>
                <w:highlight w:val="none"/>
                <w:lang w:val="en-US" w:eastAsia="zh-CN"/>
              </w:rPr>
              <w:t>3</w:t>
            </w:r>
            <w:r>
              <w:rPr>
                <w:rFonts w:hint="eastAsia" w:ascii="Times New Roman" w:hAnsi="Times New Roman" w:eastAsia="宋体" w:cs="Times New Roman"/>
                <w:b w:val="0"/>
                <w:bCs w:val="0"/>
                <w:color w:val="auto"/>
                <w:sz w:val="24"/>
                <w:szCs w:val="20"/>
                <w:highlight w:val="none"/>
                <w:lang w:eastAsia="zh-CN"/>
              </w:rPr>
              <w:t>）</w:t>
            </w:r>
            <w:r>
              <w:rPr>
                <w:rFonts w:hint="default" w:ascii="Times New Roman" w:hAnsi="Times New Roman" w:eastAsia="宋体" w:cs="Times New Roman"/>
                <w:b w:val="0"/>
                <w:bCs w:val="0"/>
                <w:color w:val="auto"/>
                <w:sz w:val="24"/>
                <w:szCs w:val="20"/>
                <w:highlight w:val="none"/>
              </w:rPr>
              <w:t>施工垃圾的清理会产生扬尘；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0"/>
                <w:highlight w:val="none"/>
              </w:rPr>
            </w:pPr>
            <w:r>
              <w:rPr>
                <w:rFonts w:hint="eastAsia" w:ascii="Times New Roman" w:hAnsi="Times New Roman" w:eastAsia="宋体" w:cs="Times New Roman"/>
                <w:b w:val="0"/>
                <w:bCs w:val="0"/>
                <w:color w:val="auto"/>
                <w:sz w:val="24"/>
                <w:szCs w:val="20"/>
                <w:highlight w:val="none"/>
                <w:lang w:eastAsia="zh-CN"/>
              </w:rPr>
              <w:t>（</w:t>
            </w:r>
            <w:r>
              <w:rPr>
                <w:rFonts w:hint="eastAsia" w:ascii="Times New Roman" w:hAnsi="Times New Roman" w:eastAsia="宋体" w:cs="Times New Roman"/>
                <w:b w:val="0"/>
                <w:bCs w:val="0"/>
                <w:color w:val="auto"/>
                <w:sz w:val="24"/>
                <w:szCs w:val="20"/>
                <w:highlight w:val="none"/>
                <w:lang w:val="en-US" w:eastAsia="zh-CN"/>
              </w:rPr>
              <w:t>4</w:t>
            </w:r>
            <w:r>
              <w:rPr>
                <w:rFonts w:hint="eastAsia" w:ascii="Times New Roman" w:hAnsi="Times New Roman" w:eastAsia="宋体" w:cs="Times New Roman"/>
                <w:b w:val="0"/>
                <w:bCs w:val="0"/>
                <w:color w:val="auto"/>
                <w:sz w:val="24"/>
                <w:szCs w:val="20"/>
                <w:highlight w:val="none"/>
                <w:lang w:eastAsia="zh-CN"/>
              </w:rPr>
              <w:t>）</w:t>
            </w:r>
            <w:r>
              <w:rPr>
                <w:rFonts w:hint="default" w:ascii="Times New Roman" w:hAnsi="Times New Roman" w:eastAsia="宋体" w:cs="Times New Roman"/>
                <w:b w:val="0"/>
                <w:bCs w:val="0"/>
                <w:color w:val="auto"/>
                <w:sz w:val="24"/>
                <w:szCs w:val="20"/>
                <w:highlight w:val="none"/>
              </w:rPr>
              <w:t>施工及装卸车辆造成的扬尘。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baseline"/>
              <w:outlineLvl w:val="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污染防治措施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olor w:val="auto"/>
                <w:sz w:val="24"/>
                <w:szCs w:val="32"/>
                <w:highlight w:val="none"/>
                <w:lang w:val="en-US" w:eastAsia="zh-CN"/>
              </w:rPr>
              <w:t>根据长治市人民政府关于印发长治市落实《空气质量持续改善行动计划》实施方案的通知（长政发〔2024〕4号），</w:t>
            </w:r>
            <w:r>
              <w:rPr>
                <w:rFonts w:hint="eastAsia" w:cs="Times New Roman"/>
                <w:color w:val="auto"/>
                <w:sz w:val="24"/>
                <w:highlight w:val="none"/>
                <w:lang w:val="en-US" w:eastAsia="zh-CN"/>
              </w:rPr>
              <w:t>针对施工扬尘，做到“六个百分百”，即：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①施工工地百分百围挡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本项目施工现场应设置高度不低于1.8m的施工围挡（墙），墙体坚固、稳定、清洁美观，围挡下方设置不低于20cm高的防溢座以防止粉尘流失，任意两块围挡拼接处都不能有大于0.5cm的缝隙，围挡不得有明显破损的漏洞，可起到明显的挡尘、隔声作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施工过程中，施工现场设置施工标志牌，标明当地生态环境部门的污染举报电话。</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②物料堆放百分百覆盖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施工物料应集中堆放，每一块独立裸露地面都采取覆盖措施。所有水泥、砂石、石灰及土方等易产生扬尘物料都必须以不透水的隔尘布完全覆盖或放置在顶部和四周均有遮蔽的临时堆棚内，防尘布或遮蔽装置的完好率必须100%。散落物料要经常清理，避免大风天气对周围环境空气造成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③土方开挖百分百湿法作业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施工过程中土方开挖要求湿法作业，对土方工程施工采取喷雾炮或洒水车现场洒水。增加土方含水率，抑尘土方作业扬尘；遇四级以上大风天气时应停止土方施工。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④施工场地路面百分百硬化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合理安排施工计划，根据平面布局，对物料、渣土运输等车行路面提前硬化，对施工场地内局部区域提前进行绿化、硬化工作。施工场地应配置洒水车辆，车道道路清扫时都必须采取洒水措施，任何时候行车道路上不能有明显的尘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⑤出入车辆百分百冲洗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施工现场车辆出入口设置车辆清洗平台及车辆清洗废水沉淀池，施工车辆进出施工场地应对轮胎、车体进行清洗、清洁，以保证车辆清洁上路，避免轮胎带泥行驶。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⑥渣土车辆百分百密闭运输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渣土、工程物料运输车辆存在裸露运输及运输抛洒问题，评价要求工程建设单位应严格要求运输车辆覆盖篷布或利用箱车，并确保正常使用，物料不得超载，尽量减少运输过程中抛撒。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在采取以上防治措施后，施工期产生的大气污染物对环境空气产生的影响较小。</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pacing w:val="0"/>
                <w:sz w:val="24"/>
                <w:szCs w:val="24"/>
                <w:highlight w:val="none"/>
              </w:rPr>
            </w:pPr>
            <w:r>
              <w:rPr>
                <w:rFonts w:hint="eastAsia" w:cs="Times New Roman"/>
                <w:b/>
                <w:color w:val="auto"/>
                <w:spacing w:val="0"/>
                <w:sz w:val="24"/>
                <w:szCs w:val="24"/>
                <w:highlight w:val="none"/>
                <w:lang w:val="en-US" w:eastAsia="zh-CN"/>
              </w:rPr>
              <w:t>二、</w:t>
            </w:r>
            <w:r>
              <w:rPr>
                <w:rFonts w:hint="default" w:ascii="Times New Roman" w:hAnsi="Times New Roman" w:eastAsia="宋体" w:cs="Times New Roman"/>
                <w:b/>
                <w:color w:val="auto"/>
                <w:spacing w:val="0"/>
                <w:sz w:val="24"/>
                <w:szCs w:val="24"/>
                <w:highlight w:val="none"/>
              </w:rPr>
              <w:t>施工期水环境污染防治措施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本项目施工期废水主要为</w:t>
            </w:r>
            <w:r>
              <w:rPr>
                <w:rFonts w:hint="default" w:ascii="Times New Roman" w:hAnsi="Times New Roman" w:eastAsia="宋体" w:cs="Times New Roman"/>
                <w:color w:val="auto"/>
                <w:sz w:val="24"/>
                <w:highlight w:val="none"/>
                <w:lang w:val="en-US" w:eastAsia="zh-CN"/>
              </w:rPr>
              <w:t>施工废水和</w:t>
            </w:r>
            <w:r>
              <w:rPr>
                <w:rFonts w:hint="default" w:ascii="Times New Roman" w:hAnsi="Times New Roman" w:eastAsia="宋体" w:cs="Times New Roman"/>
                <w:color w:val="auto"/>
                <w:sz w:val="24"/>
                <w:highlight w:val="none"/>
              </w:rPr>
              <w:t>施工人员的生活污水。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lang w:val="en-US" w:eastAsia="zh-CN"/>
              </w:rPr>
              <w:t>1</w:t>
            </w:r>
            <w:r>
              <w:rPr>
                <w:rFonts w:hint="eastAsia" w:ascii="Times New Roman" w:hAnsi="Times New Roman" w:eastAsia="宋体"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rPr>
              <w:t>施工废水</w:t>
            </w:r>
          </w:p>
          <w:p>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施工废水主要为</w:t>
            </w:r>
            <w:r>
              <w:rPr>
                <w:rFonts w:hint="eastAsia" w:ascii="Times New Roman" w:hAnsi="Times New Roman" w:eastAsia="宋体" w:cs="Times New Roman"/>
                <w:b w:val="0"/>
                <w:bCs w:val="0"/>
                <w:color w:val="auto"/>
                <w:kern w:val="0"/>
                <w:sz w:val="24"/>
                <w:highlight w:val="none"/>
                <w:lang w:val="en-US" w:eastAsia="zh-CN"/>
              </w:rPr>
              <w:t>路面</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运输车辆的</w:t>
            </w:r>
            <w:r>
              <w:rPr>
                <w:rFonts w:hint="default" w:ascii="Times New Roman" w:hAnsi="Times New Roman" w:eastAsia="宋体" w:cs="Times New Roman"/>
                <w:b w:val="0"/>
                <w:bCs w:val="0"/>
                <w:color w:val="auto"/>
                <w:kern w:val="0"/>
                <w:sz w:val="24"/>
                <w:highlight w:val="none"/>
              </w:rPr>
              <w:t>冲洗水</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水中</w:t>
            </w:r>
            <w:r>
              <w:rPr>
                <w:rFonts w:hint="default" w:ascii="Times New Roman" w:hAnsi="Times New Roman" w:eastAsia="宋体" w:cs="Times New Roman"/>
                <w:b w:val="0"/>
                <w:bCs w:val="0"/>
                <w:color w:val="auto"/>
                <w:kern w:val="0"/>
                <w:sz w:val="24"/>
                <w:highlight w:val="none"/>
              </w:rPr>
              <w:t>只含有少量泥沙，不含其它杂质，排放量较小</w:t>
            </w:r>
            <w:r>
              <w:rPr>
                <w:rFonts w:hint="eastAsia" w:ascii="Times New Roman" w:hAnsi="Times New Roman" w:eastAsia="宋体" w:cs="Times New Roman"/>
                <w:b w:val="0"/>
                <w:bCs w:val="0"/>
                <w:color w:val="auto"/>
                <w:kern w:val="0"/>
                <w:sz w:val="24"/>
                <w:highlight w:val="none"/>
                <w:lang w:eastAsia="zh-CN"/>
              </w:rPr>
              <w:t>。</w:t>
            </w:r>
            <w:r>
              <w:rPr>
                <w:rFonts w:hint="default"/>
                <w:color w:val="auto"/>
                <w:sz w:val="24"/>
              </w:rPr>
              <w:t>在施工场地对施工器械的冲洗设置固定场所，冲洗水进入5m</w:t>
            </w:r>
            <w:r>
              <w:rPr>
                <w:rFonts w:hint="default"/>
                <w:color w:val="auto"/>
                <w:sz w:val="24"/>
                <w:vertAlign w:val="superscript"/>
              </w:rPr>
              <w:t>3</w:t>
            </w:r>
            <w:r>
              <w:rPr>
                <w:rFonts w:hint="default"/>
                <w:color w:val="auto"/>
                <w:sz w:val="24"/>
              </w:rPr>
              <w:t>隔油沉淀池，隔油、沉淀后用作施工材料混合用水，路面降尘及喷洒用水，不外排</w:t>
            </w:r>
            <w:r>
              <w:rPr>
                <w:rFonts w:hint="default" w:ascii="Times New Roman" w:hAnsi="Times New Roman" w:eastAsia="宋体" w:cs="Times New Roman"/>
                <w:b w:val="0"/>
                <w:bCs w:val="0"/>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bCs/>
                <w:color w:val="auto"/>
                <w:kern w:val="0"/>
                <w:sz w:val="24"/>
                <w:highlight w:val="none"/>
                <w:lang w:val="en-US" w:eastAsia="zh-CN"/>
              </w:rPr>
              <w:t>2</w:t>
            </w:r>
            <w:r>
              <w:rPr>
                <w:rFonts w:hint="eastAsia" w:ascii="Times New Roman" w:hAnsi="Times New Roman" w:eastAsia="宋体"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rPr>
              <w:t>施工人员的生活污水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kern w:val="0"/>
                <w:sz w:val="24"/>
                <w:highlight w:val="none"/>
                <w:lang w:eastAsia="zh-CN"/>
              </w:rPr>
            </w:pPr>
            <w:r>
              <w:rPr>
                <w:rFonts w:hint="default"/>
                <w:color w:val="auto"/>
                <w:sz w:val="24"/>
              </w:rPr>
              <w:t>施工人员生活污水收集后</w:t>
            </w:r>
            <w:r>
              <w:rPr>
                <w:rFonts w:hint="eastAsia"/>
                <w:color w:val="auto"/>
                <w:sz w:val="24"/>
                <w:lang w:val="en-US" w:eastAsia="zh-CN"/>
              </w:rPr>
              <w:t>排入厂区旱厕</w:t>
            </w:r>
            <w:r>
              <w:rPr>
                <w:rFonts w:hint="eastAsia" w:ascii="Times New Roman" w:hAnsi="Times New Roman" w:cs="Times New Roman"/>
                <w:b w:val="0"/>
                <w:bCs w:val="0"/>
                <w:color w:val="auto"/>
                <w:sz w:val="24"/>
                <w:szCs w:val="22"/>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pacing w:val="-4"/>
                <w:sz w:val="24"/>
                <w:highlight w:val="none"/>
              </w:rPr>
            </w:pPr>
            <w:r>
              <w:rPr>
                <w:rFonts w:hint="default" w:ascii="Times New Roman" w:hAnsi="Times New Roman" w:eastAsia="宋体" w:cs="Times New Roman"/>
                <w:color w:val="auto"/>
                <w:kern w:val="0"/>
                <w:sz w:val="24"/>
                <w:highlight w:val="none"/>
              </w:rPr>
              <w:t>综上所述，本项目施工期对水环境的影响很小</w:t>
            </w:r>
            <w:r>
              <w:rPr>
                <w:rFonts w:hint="default" w:ascii="Times New Roman" w:hAnsi="Times New Roman" w:eastAsia="宋体" w:cs="Times New Roman"/>
                <w:color w:val="auto"/>
                <w:spacing w:val="-4"/>
                <w:sz w:val="24"/>
                <w:highlight w:val="none"/>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pacing w:val="0"/>
                <w:sz w:val="24"/>
                <w:szCs w:val="24"/>
                <w:highlight w:val="none"/>
                <w:lang w:val="en-US" w:eastAsia="zh-CN"/>
              </w:rPr>
            </w:pPr>
            <w:r>
              <w:rPr>
                <w:rFonts w:hint="eastAsia" w:cs="Times New Roman"/>
                <w:b/>
                <w:color w:val="auto"/>
                <w:spacing w:val="0"/>
                <w:sz w:val="24"/>
                <w:szCs w:val="24"/>
                <w:highlight w:val="none"/>
                <w:lang w:val="en-US" w:eastAsia="zh-CN"/>
              </w:rPr>
              <w:t>三、</w:t>
            </w:r>
            <w:r>
              <w:rPr>
                <w:rFonts w:hint="default" w:ascii="Times New Roman" w:hAnsi="Times New Roman" w:eastAsia="宋体" w:cs="Times New Roman"/>
                <w:b/>
                <w:color w:val="auto"/>
                <w:spacing w:val="0"/>
                <w:sz w:val="24"/>
                <w:szCs w:val="24"/>
                <w:highlight w:val="none"/>
                <w:lang w:val="en-US" w:eastAsia="zh-CN"/>
              </w:rPr>
              <w:t>施工期固体废物环境污染防治措施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在施工过程中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产生的固体废物主要是施工产生的建筑垃圾以及施工人员的生活垃圾。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1</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建筑垃圾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本项目施工期间会产生一定量的建筑垃圾</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能回收利用的要回收利用</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不能回收利用的要及时运至环卫部门指定的地点</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必须定时、及时处理</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保持环境卫生</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运输车辆应加盖篷布防止扬尘。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2</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施工人员的生活垃圾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施工期施工人员产生的</w:t>
            </w:r>
            <w:r>
              <w:rPr>
                <w:rFonts w:hint="default" w:ascii="Times New Roman" w:hAnsi="Times New Roman" w:eastAsia="宋体" w:cs="Times New Roman"/>
                <w:color w:val="auto"/>
                <w:sz w:val="24"/>
                <w:highlight w:val="none"/>
                <w:lang w:val="en-US" w:eastAsia="zh-CN"/>
              </w:rPr>
              <w:t>生活垃圾产生量按0.5kg/人•d计，以</w:t>
            </w:r>
            <w:r>
              <w:rPr>
                <w:rFonts w:hint="eastAsia"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en-US" w:eastAsia="zh-CN"/>
              </w:rPr>
              <w:t>人次/天计算，</w:t>
            </w:r>
            <w:r>
              <w:rPr>
                <w:rFonts w:hint="eastAsia" w:ascii="Times New Roman" w:hAnsi="Times New Roman" w:eastAsia="宋体" w:cs="Times New Roman"/>
                <w:color w:val="auto"/>
                <w:sz w:val="24"/>
                <w:highlight w:val="none"/>
                <w:lang w:val="en-US" w:eastAsia="zh-CN"/>
              </w:rPr>
              <w:t>生活垃圾产生量为10</w:t>
            </w:r>
            <w:r>
              <w:rPr>
                <w:rFonts w:hint="default" w:ascii="Times New Roman" w:hAnsi="Times New Roman" w:eastAsia="宋体" w:cs="Times New Roman"/>
                <w:color w:val="auto"/>
                <w:sz w:val="24"/>
                <w:highlight w:val="none"/>
                <w:lang w:val="en-US" w:eastAsia="zh-CN"/>
              </w:rPr>
              <w:t>kg/d，设置垃圾桶收集后</w:t>
            </w:r>
            <w:r>
              <w:rPr>
                <w:rFonts w:hint="default" w:ascii="Times New Roman" w:hAnsi="Times New Roman" w:eastAsia="宋体" w:cs="Times New Roman"/>
                <w:color w:val="auto"/>
                <w:sz w:val="24"/>
                <w:highlight w:val="none"/>
              </w:rPr>
              <w:t>委托环卫部门处置。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采取上述措施后</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本项目施工期产生的固体废物不会对周围环境产生明显影响。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color w:val="auto"/>
                <w:spacing w:val="0"/>
                <w:sz w:val="24"/>
                <w:szCs w:val="24"/>
                <w:highlight w:val="none"/>
                <w:lang w:val="en-US" w:eastAsia="zh-CN"/>
              </w:rPr>
            </w:pPr>
            <w:r>
              <w:rPr>
                <w:rFonts w:hint="eastAsia" w:cs="Times New Roman"/>
                <w:b/>
                <w:color w:val="auto"/>
                <w:spacing w:val="0"/>
                <w:sz w:val="24"/>
                <w:szCs w:val="24"/>
                <w:highlight w:val="none"/>
                <w:lang w:val="en-US" w:eastAsia="zh-CN"/>
              </w:rPr>
              <w:t>四、</w:t>
            </w:r>
            <w:r>
              <w:rPr>
                <w:rFonts w:hint="default" w:ascii="Times New Roman" w:hAnsi="Times New Roman" w:eastAsia="宋体" w:cs="Times New Roman"/>
                <w:b/>
                <w:color w:val="auto"/>
                <w:spacing w:val="0"/>
                <w:sz w:val="24"/>
                <w:szCs w:val="24"/>
                <w:highlight w:val="none"/>
                <w:lang w:val="en-US" w:eastAsia="zh-CN"/>
              </w:rPr>
              <w:t>施工期声环境污染防治措施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施工期主要噪声源为</w:t>
            </w:r>
            <w:r>
              <w:rPr>
                <w:rFonts w:hint="default" w:ascii="Times New Roman" w:hAnsi="Times New Roman" w:cs="Times New Roman"/>
                <w:bCs/>
                <w:color w:val="auto"/>
                <w:sz w:val="24"/>
                <w:highlight w:val="none"/>
                <w:lang w:val="en-US" w:eastAsia="zh-CN"/>
              </w:rPr>
              <w:t>施工场地噪声</w:t>
            </w:r>
            <w:r>
              <w:rPr>
                <w:rFonts w:hint="eastAsia" w:ascii="Times New Roman" w:hAnsi="Times New Roman" w:cs="Times New Roman"/>
                <w:bCs/>
                <w:color w:val="auto"/>
                <w:sz w:val="24"/>
                <w:highlight w:val="none"/>
                <w:lang w:val="en-US" w:eastAsia="zh-CN"/>
              </w:rPr>
              <w:t>以及建筑物料运输造成的交通噪声</w:t>
            </w:r>
            <w:r>
              <w:rPr>
                <w:rFonts w:hint="default" w:ascii="Times New Roman" w:hAnsi="Times New Roman" w:cs="Times New Roman"/>
                <w:bCs/>
                <w:color w:val="auto"/>
                <w:sz w:val="24"/>
                <w:highlight w:val="none"/>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pacing w:val="0"/>
                <w:sz w:val="24"/>
                <w:szCs w:val="20"/>
                <w:highlight w:val="none"/>
              </w:rPr>
            </w:pPr>
            <w:r>
              <w:rPr>
                <w:rFonts w:hint="default" w:ascii="Times New Roman" w:hAnsi="Times New Roman" w:eastAsia="宋体" w:cs="Times New Roman"/>
                <w:b w:val="0"/>
                <w:bCs w:val="0"/>
                <w:color w:val="auto"/>
                <w:spacing w:val="0"/>
                <w:sz w:val="24"/>
                <w:szCs w:val="20"/>
                <w:highlight w:val="none"/>
              </w:rPr>
              <w:t>为了避免施工噪声对周围环境造成影响，建设单位拟采取以下措施：</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1）施工单位应使用符合国家标准的低噪声机械设备，并在施工中应有专人对其进行保养维护，施工单位应对现场使用设备的人员进行培训，严格按操作规范使用各类机械；保持设备处于良好的运转状态，闲置设备及时关闭，定时检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（2）在施工的结构阶段和装修阶段，对建筑物的外部采用围挡，设置高噪声设备施工带减轻施工噪声对外环境的影响。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3</w:t>
            </w:r>
            <w:r>
              <w:rPr>
                <w:rFonts w:hint="default" w:ascii="Times New Roman" w:hAnsi="Times New Roman" w:eastAsia="宋体" w:cs="Times New Roman"/>
                <w:color w:val="auto"/>
                <w:sz w:val="24"/>
                <w:szCs w:val="20"/>
                <w:highlight w:val="none"/>
                <w:lang w:val="en-US" w:eastAsia="zh-CN"/>
              </w:rPr>
              <w:t>）加强管理，文明施工，施工所需材料均为外购成品，严禁在施工营地和施工沿线进行材料加工，减轻对沿线敏感点居民造成的影响。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4</w:t>
            </w:r>
            <w:r>
              <w:rPr>
                <w:rFonts w:hint="default" w:ascii="Times New Roman" w:hAnsi="Times New Roman" w:eastAsia="宋体" w:cs="Times New Roman"/>
                <w:color w:val="auto"/>
                <w:sz w:val="24"/>
                <w:szCs w:val="20"/>
                <w:highlight w:val="none"/>
                <w:lang w:val="en-US" w:eastAsia="zh-CN"/>
              </w:rPr>
              <w:t>）施工活动均在昼间进行，严禁在夜间进行，不在同一时间集中使用大量的动力机械设备，期间若使用噪声值大的设备则分散使用，保证周边居民的正常休息。</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5</w:t>
            </w:r>
            <w:r>
              <w:rPr>
                <w:rFonts w:hint="default" w:ascii="Times New Roman" w:hAnsi="Times New Roman" w:eastAsia="宋体" w:cs="Times New Roman"/>
                <w:color w:val="auto"/>
                <w:sz w:val="24"/>
                <w:szCs w:val="20"/>
                <w:highlight w:val="none"/>
                <w:lang w:val="en-US" w:eastAsia="zh-CN"/>
              </w:rPr>
              <w:t>）对于运输建筑材料、土石方等物料的车辆，不在敏感时段运输，加强管理，车辆减速、不鸣笛，场地内运输车辆不长时间行驶</w:t>
            </w:r>
            <w:r>
              <w:rPr>
                <w:rFonts w:hint="default" w:ascii="Times New Roman" w:hAnsi="Times New Roman" w:eastAsia="宋体" w:cs="Times New Roman"/>
                <w:color w:val="auto"/>
                <w:sz w:val="24"/>
                <w:szCs w:val="20"/>
                <w:highlight w:val="none"/>
              </w:rPr>
              <w:t>。</w:t>
            </w:r>
          </w:p>
          <w:p>
            <w:pPr>
              <w:pStyle w:val="127"/>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baseline"/>
              <w:rPr>
                <w:rFonts w:ascii="Times New Roman"/>
                <w:b/>
                <w:bCs/>
                <w:color w:val="auto"/>
              </w:rPr>
            </w:pPr>
            <w:r>
              <w:rPr>
                <w:rFonts w:hint="eastAsia" w:ascii="Times New Roman"/>
                <w:b/>
                <w:bCs/>
                <w:color w:val="auto"/>
                <w:lang w:val="en-US" w:eastAsia="zh-CN"/>
              </w:rPr>
              <w:t>五、</w:t>
            </w:r>
            <w:r>
              <w:rPr>
                <w:rFonts w:ascii="Times New Roman"/>
                <w:b/>
                <w:bCs/>
                <w:color w:val="auto"/>
              </w:rPr>
              <w:t>施工期生态环境保护措施</w:t>
            </w:r>
          </w:p>
          <w:p>
            <w:pPr>
              <w:pStyle w:val="127"/>
              <w:keepNext w:val="0"/>
              <w:keepLines w:val="0"/>
              <w:pageBreakBefore w:val="0"/>
              <w:widowControl w:val="0"/>
              <w:kinsoku/>
              <w:wordWrap/>
              <w:overflowPunct/>
              <w:topLinePunct w:val="0"/>
              <w:autoSpaceDE w:val="0"/>
              <w:autoSpaceDN w:val="0"/>
              <w:bidi w:val="0"/>
              <w:adjustRightInd/>
              <w:snapToGrid/>
              <w:spacing w:line="480" w:lineRule="exact"/>
              <w:ind w:firstLine="480"/>
              <w:textAlignment w:val="baseline"/>
              <w:rPr>
                <w:rFonts w:hint="eastAsia" w:ascii="Times New Roman"/>
                <w:bCs/>
                <w:color w:val="auto"/>
              </w:rPr>
            </w:pPr>
            <w:r>
              <w:rPr>
                <w:rFonts w:hint="eastAsia" w:ascii="Times New Roman"/>
                <w:bCs/>
                <w:color w:val="auto"/>
              </w:rPr>
              <w:t>工程施工建设中对区域生态环境影响主要是对厂区已有及周围动植物的影响，但这些影响是短暂的，影响很小。对此，评价要求：</w:t>
            </w:r>
          </w:p>
          <w:p>
            <w:pPr>
              <w:pStyle w:val="127"/>
              <w:keepNext w:val="0"/>
              <w:keepLines w:val="0"/>
              <w:pageBreakBefore w:val="0"/>
              <w:widowControl w:val="0"/>
              <w:kinsoku/>
              <w:wordWrap/>
              <w:overflowPunct/>
              <w:topLinePunct w:val="0"/>
              <w:autoSpaceDE w:val="0"/>
              <w:autoSpaceDN w:val="0"/>
              <w:bidi w:val="0"/>
              <w:adjustRightInd/>
              <w:snapToGrid/>
              <w:spacing w:line="480" w:lineRule="exact"/>
              <w:ind w:firstLine="480"/>
              <w:textAlignment w:val="baseline"/>
              <w:rPr>
                <w:rFonts w:hint="eastAsia" w:ascii="Times New Roman"/>
                <w:bCs/>
                <w:color w:val="auto"/>
              </w:rPr>
            </w:pPr>
            <w:r>
              <w:rPr>
                <w:rFonts w:hint="eastAsia" w:ascii="Times New Roman"/>
                <w:bCs/>
                <w:color w:val="auto"/>
              </w:rPr>
              <w:t>（1）工程建设的同时，应按照设计和评价要求实施厂区、运输道路的绿化工作；</w:t>
            </w:r>
          </w:p>
          <w:p>
            <w:pPr>
              <w:pStyle w:val="127"/>
              <w:keepNext w:val="0"/>
              <w:keepLines w:val="0"/>
              <w:pageBreakBefore w:val="0"/>
              <w:widowControl w:val="0"/>
              <w:kinsoku/>
              <w:wordWrap/>
              <w:overflowPunct/>
              <w:topLinePunct w:val="0"/>
              <w:autoSpaceDE w:val="0"/>
              <w:autoSpaceDN w:val="0"/>
              <w:bidi w:val="0"/>
              <w:adjustRightInd/>
              <w:snapToGrid/>
              <w:spacing w:line="480" w:lineRule="exact"/>
              <w:ind w:firstLine="480"/>
              <w:textAlignment w:val="baseline"/>
              <w:rPr>
                <w:rFonts w:hint="eastAsia" w:ascii="Times New Roman"/>
                <w:bCs/>
                <w:color w:val="auto"/>
              </w:rPr>
            </w:pPr>
            <w:r>
              <w:rPr>
                <w:rFonts w:hint="eastAsia" w:ascii="Times New Roman"/>
                <w:bCs/>
                <w:color w:val="auto"/>
              </w:rPr>
              <w:t>（2）施工单位要严格限制施工范围，珍惜植被资源，做到不扩不张；及时对临时施工区实施恢复，清理堆存物及浮土；</w:t>
            </w:r>
          </w:p>
          <w:p>
            <w:pPr>
              <w:pStyle w:val="127"/>
              <w:keepNext w:val="0"/>
              <w:keepLines w:val="0"/>
              <w:pageBreakBefore w:val="0"/>
              <w:widowControl w:val="0"/>
              <w:kinsoku/>
              <w:wordWrap/>
              <w:overflowPunct/>
              <w:topLinePunct w:val="0"/>
              <w:autoSpaceDE w:val="0"/>
              <w:autoSpaceDN w:val="0"/>
              <w:bidi w:val="0"/>
              <w:adjustRightInd/>
              <w:snapToGrid/>
              <w:spacing w:line="480" w:lineRule="exact"/>
              <w:ind w:firstLine="480"/>
              <w:textAlignment w:val="baseline"/>
              <w:rPr>
                <w:rFonts w:hint="eastAsia" w:ascii="Times New Roman"/>
                <w:bCs/>
                <w:color w:val="auto"/>
              </w:rPr>
            </w:pPr>
            <w:r>
              <w:rPr>
                <w:rFonts w:hint="eastAsia" w:ascii="Times New Roman"/>
                <w:bCs/>
                <w:color w:val="auto"/>
              </w:rPr>
              <w:t>（3）严格控制施工期的各项污染物排放，减小污染物对植被的影响。</w:t>
            </w:r>
          </w:p>
          <w:p>
            <w:pPr>
              <w:pStyle w:val="127"/>
              <w:keepNext w:val="0"/>
              <w:keepLines w:val="0"/>
              <w:pageBreakBefore w:val="0"/>
              <w:widowControl w:val="0"/>
              <w:kinsoku/>
              <w:wordWrap/>
              <w:overflowPunct/>
              <w:topLinePunct w:val="0"/>
              <w:autoSpaceDE w:val="0"/>
              <w:autoSpaceDN w:val="0"/>
              <w:bidi w:val="0"/>
              <w:adjustRightInd/>
              <w:snapToGrid/>
              <w:spacing w:line="480" w:lineRule="exact"/>
              <w:ind w:firstLine="480"/>
              <w:textAlignment w:val="baseline"/>
              <w:rPr>
                <w:rFonts w:hint="eastAsia"/>
                <w:color w:val="auto"/>
                <w:sz w:val="24"/>
                <w:szCs w:val="32"/>
                <w:highlight w:val="none"/>
              </w:rPr>
            </w:pPr>
            <w:r>
              <w:rPr>
                <w:rFonts w:hint="eastAsia" w:ascii="Times New Roman"/>
                <w:bCs/>
                <w:color w:val="auto"/>
              </w:rPr>
              <w:t>总之，施工期产生的污染对环境的影响较小，施工期影响为短期、可逆、可恢复影响，待全部施工结束后，污染也会消失。</w:t>
            </w:r>
          </w:p>
          <w:p>
            <w:pPr>
              <w:pStyle w:val="38"/>
              <w:rPr>
                <w:rFonts w:hint="eastAsia"/>
                <w:color w:val="auto"/>
                <w:sz w:val="24"/>
                <w:szCs w:val="32"/>
                <w:highlight w:val="none"/>
              </w:rPr>
            </w:pPr>
          </w:p>
          <w:p>
            <w:pPr>
              <w:pStyle w:val="38"/>
              <w:rPr>
                <w:rFonts w:hint="eastAsia"/>
                <w:color w:val="auto"/>
                <w:sz w:val="24"/>
                <w:szCs w:val="32"/>
                <w:highlight w:val="none"/>
              </w:rPr>
            </w:pPr>
          </w:p>
          <w:p>
            <w:pPr>
              <w:pStyle w:val="38"/>
              <w:rPr>
                <w:rFonts w:hint="eastAsia"/>
                <w:color w:val="auto"/>
                <w:sz w:val="24"/>
                <w:szCs w:val="32"/>
                <w:highlight w:val="none"/>
              </w:rPr>
            </w:pPr>
          </w:p>
          <w:p>
            <w:pPr>
              <w:pStyle w:val="38"/>
              <w:rPr>
                <w:rFonts w:hint="eastAsia"/>
                <w:color w:val="auto"/>
                <w:sz w:val="24"/>
                <w:szCs w:val="32"/>
                <w:highlight w:val="none"/>
              </w:rPr>
            </w:pPr>
          </w:p>
          <w:p>
            <w:pPr>
              <w:adjustRightInd w:val="0"/>
              <w:snapToGrid w:val="0"/>
              <w:spacing w:line="480" w:lineRule="exact"/>
              <w:ind w:firstLine="480" w:firstLineChars="200"/>
              <w:rPr>
                <w:rFonts w:hint="eastAsia"/>
                <w:color w:val="auto"/>
                <w:sz w:val="24"/>
                <w:szCs w:val="32"/>
                <w:highlight w:val="none"/>
              </w:rPr>
            </w:pPr>
          </w:p>
          <w:p>
            <w:pPr>
              <w:adjustRightInd w:val="0"/>
              <w:snapToGrid w:val="0"/>
              <w:spacing w:line="480" w:lineRule="exact"/>
              <w:ind w:firstLine="480" w:firstLineChars="200"/>
              <w:rPr>
                <w:rFonts w:hint="eastAsia"/>
                <w:color w:val="auto"/>
                <w:sz w:val="24"/>
                <w:szCs w:val="32"/>
                <w:highlight w:val="none"/>
              </w:rPr>
            </w:pPr>
          </w:p>
          <w:p>
            <w:pPr>
              <w:adjustRightInd w:val="0"/>
              <w:snapToGrid w:val="0"/>
              <w:spacing w:line="480" w:lineRule="exact"/>
              <w:ind w:firstLine="480" w:firstLineChars="200"/>
              <w:rPr>
                <w:rFonts w:hint="eastAsia"/>
                <w:color w:val="auto"/>
                <w:sz w:val="24"/>
                <w:szCs w:val="32"/>
                <w:highlight w:val="none"/>
              </w:rPr>
            </w:pPr>
          </w:p>
          <w:p>
            <w:pPr>
              <w:adjustRightInd w:val="0"/>
              <w:snapToGrid w:val="0"/>
              <w:spacing w:line="480" w:lineRule="exact"/>
              <w:ind w:firstLine="480" w:firstLineChars="200"/>
              <w:rPr>
                <w:rFonts w:hint="eastAsia" w:eastAsia="宋体"/>
                <w:color w:val="auto"/>
                <w:sz w:val="24"/>
                <w:szCs w:val="32"/>
                <w:highlight w:val="none"/>
                <w:lang w:val="en-US" w:eastAsia="zh-CN"/>
              </w:rPr>
            </w:pPr>
          </w:p>
        </w:tc>
      </w:tr>
    </w:tbl>
    <w:p>
      <w:pPr>
        <w:pStyle w:val="20"/>
        <w:spacing w:before="0" w:beforeAutospacing="0" w:after="0" w:afterAutospacing="0"/>
        <w:jc w:val="center"/>
        <w:outlineLvl w:val="0"/>
        <w:rPr>
          <w:rFonts w:hint="eastAsia" w:ascii="黑体" w:hAnsi="黑体" w:eastAsia="黑体"/>
          <w:snapToGrid w:val="0"/>
          <w:color w:val="auto"/>
          <w:sz w:val="30"/>
          <w:szCs w:val="30"/>
          <w:highlight w:val="none"/>
        </w:rPr>
        <w:sectPr>
          <w:pgSz w:w="11906" w:h="16838"/>
          <w:pgMar w:top="1701" w:right="1531" w:bottom="1701" w:left="1531" w:header="1134" w:footer="992" w:gutter="0"/>
          <w:pgBorders>
            <w:top w:val="none" w:sz="0" w:space="0"/>
            <w:left w:val="none" w:sz="0" w:space="0"/>
            <w:bottom w:val="none" w:sz="0" w:space="0"/>
            <w:right w:val="none" w:sz="0" w:space="0"/>
          </w:pgBorders>
          <w:cols w:space="425" w:num="1"/>
          <w:docGrid w:type="lines" w:linePitch="312" w:charSpace="0"/>
        </w:sectPr>
      </w:pPr>
    </w:p>
    <w:tbl>
      <w:tblPr>
        <w:tblStyle w:val="29"/>
        <w:tblW w:w="14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142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482" w:type="dxa"/>
            <w:tcBorders>
              <w:tl2br w:val="nil"/>
              <w:tr2bl w:val="nil"/>
            </w:tcBorders>
            <w:vAlign w:val="center"/>
          </w:tcPr>
          <w:p>
            <w:pPr>
              <w:adjustRightInd w:val="0"/>
              <w:snapToGrid w:val="0"/>
              <w:jc w:val="center"/>
              <w:rPr>
                <w:rFonts w:hint="eastAsia" w:ascii="Times New Roman" w:hAnsi="Times New Roman" w:eastAsia="宋体" w:cs="Times New Roman"/>
                <w:b w:val="0"/>
                <w:bCs/>
                <w:color w:val="auto"/>
                <w:spacing w:val="-10"/>
                <w:sz w:val="24"/>
                <w:szCs w:val="24"/>
                <w:highlight w:val="none"/>
                <w:vertAlign w:val="baseline"/>
                <w:lang w:val="en-US" w:eastAsia="zh-CN"/>
              </w:rPr>
            </w:pPr>
            <w:r>
              <w:rPr>
                <w:rFonts w:hint="default" w:ascii="Times New Roman" w:hAnsi="Times New Roman" w:eastAsia="宋体" w:cs="Times New Roman"/>
                <w:b w:val="0"/>
                <w:bCs/>
                <w:color w:val="auto"/>
                <w:sz w:val="24"/>
                <w:szCs w:val="24"/>
                <w:highlight w:val="none"/>
                <w:lang w:val="en-US" w:eastAsia="zh-CN"/>
              </w:rPr>
              <w:t>运营期环境影响和保护措施</w:t>
            </w:r>
          </w:p>
        </w:tc>
        <w:tc>
          <w:tcPr>
            <w:tcW w:w="14258" w:type="dxa"/>
            <w:tcBorders>
              <w:tl2br w:val="nil"/>
              <w:tr2bl w:val="nil"/>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color w:val="auto"/>
                <w:spacing w:val="0"/>
                <w:sz w:val="24"/>
                <w:szCs w:val="24"/>
                <w:highlight w:val="none"/>
                <w:lang w:val="en-US" w:eastAsia="zh-CN"/>
              </w:rPr>
            </w:pPr>
            <w:r>
              <w:rPr>
                <w:rFonts w:hint="eastAsia" w:cs="Times New Roman"/>
                <w:b/>
                <w:color w:val="auto"/>
                <w:spacing w:val="0"/>
                <w:sz w:val="24"/>
                <w:szCs w:val="24"/>
                <w:highlight w:val="none"/>
                <w:lang w:val="en-US" w:eastAsia="zh-CN"/>
              </w:rPr>
              <w:t>一、</w:t>
            </w:r>
            <w:r>
              <w:rPr>
                <w:rFonts w:hint="eastAsia" w:ascii="Times New Roman" w:hAnsi="Times New Roman" w:eastAsia="宋体" w:cs="Times New Roman"/>
                <w:b/>
                <w:color w:val="auto"/>
                <w:spacing w:val="0"/>
                <w:sz w:val="24"/>
                <w:szCs w:val="24"/>
                <w:highlight w:val="none"/>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本项目大气污染源产生排放情况见表4-1。</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center"/>
              <w:textAlignment w:val="auto"/>
              <w:outlineLvl w:val="9"/>
              <w:rPr>
                <w:rFonts w:hint="default" w:ascii="Times New Roman" w:hAnsi="Times New Roman" w:eastAsia="宋体" w:cs="Times New Roman"/>
                <w:b/>
                <w:bCs w:val="0"/>
                <w:color w:val="auto"/>
                <w:sz w:val="21"/>
                <w:szCs w:val="16"/>
                <w:highlight w:val="none"/>
                <w:lang w:val="en-US" w:eastAsia="zh-CN"/>
              </w:rPr>
            </w:pPr>
            <w:r>
              <w:rPr>
                <w:rFonts w:hint="default" w:ascii="Times New Roman" w:hAnsi="Times New Roman" w:eastAsia="宋体" w:cs="Times New Roman"/>
                <w:b/>
                <w:bCs w:val="0"/>
                <w:color w:val="auto"/>
                <w:sz w:val="21"/>
                <w:szCs w:val="16"/>
                <w:highlight w:val="none"/>
                <w:lang w:val="en-US" w:eastAsia="zh-CN"/>
              </w:rPr>
              <w:t>表4-1  大气污染源产生排放情况表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0"/>
              <w:gridCol w:w="1112"/>
              <w:gridCol w:w="792"/>
              <w:gridCol w:w="930"/>
              <w:gridCol w:w="868"/>
              <w:gridCol w:w="742"/>
              <w:gridCol w:w="955"/>
              <w:gridCol w:w="767"/>
              <w:gridCol w:w="837"/>
              <w:gridCol w:w="904"/>
              <w:gridCol w:w="980"/>
              <w:gridCol w:w="899"/>
              <w:gridCol w:w="798"/>
              <w:gridCol w:w="865"/>
              <w:gridCol w:w="770"/>
              <w:gridCol w:w="747"/>
              <w:gridCol w:w="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396"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产排污环节</w:t>
                  </w:r>
                </w:p>
              </w:tc>
              <w:tc>
                <w:tcPr>
                  <w:tcW w:w="282"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w:t>
                  </w:r>
                </w:p>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种类</w:t>
                  </w:r>
                </w:p>
              </w:tc>
              <w:tc>
                <w:tcPr>
                  <w:tcW w:w="331"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污染物产生浓度mg/m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c>
                <w:tcPr>
                  <w:tcW w:w="309"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污染物产生速率kg/h</w:t>
                  </w:r>
                </w:p>
              </w:tc>
              <w:tc>
                <w:tcPr>
                  <w:tcW w:w="264"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w:t>
                  </w:r>
                </w:p>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方式</w:t>
                  </w:r>
                </w:p>
              </w:tc>
              <w:tc>
                <w:tcPr>
                  <w:tcW w:w="1582" w:type="pct"/>
                  <w:gridSpan w:val="5"/>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治理设施</w:t>
                  </w:r>
                </w:p>
              </w:tc>
              <w:tc>
                <w:tcPr>
                  <w:tcW w:w="320"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污染物排放浓度mg/m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c>
                <w:tcPr>
                  <w:tcW w:w="284"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污染物排放速率kg/h</w:t>
                  </w:r>
                </w:p>
              </w:tc>
              <w:tc>
                <w:tcPr>
                  <w:tcW w:w="308"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年运行</w:t>
                  </w:r>
                </w:p>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时间h</w:t>
                  </w:r>
                </w:p>
              </w:tc>
              <w:tc>
                <w:tcPr>
                  <w:tcW w:w="274"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污染物排放量t/a</w:t>
                  </w:r>
                </w:p>
              </w:tc>
              <w:tc>
                <w:tcPr>
                  <w:tcW w:w="266"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排放口编号</w:t>
                  </w:r>
                </w:p>
              </w:tc>
              <w:tc>
                <w:tcPr>
                  <w:tcW w:w="227"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w:t>
                  </w:r>
                </w:p>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标准mg/m</w:t>
                  </w:r>
                  <w:r>
                    <w:rPr>
                      <w:rFonts w:hint="default" w:ascii="Times New Roman" w:hAnsi="Times New Roman" w:eastAsia="宋体" w:cs="Times New Roman"/>
                      <w:b/>
                      <w:bCs/>
                      <w:color w:val="auto"/>
                      <w:kern w:val="2"/>
                      <w:sz w:val="21"/>
                      <w:szCs w:val="21"/>
                      <w:highlight w:val="none"/>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96"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31"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9"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6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4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污染防治设施</w:t>
                  </w:r>
                </w:p>
              </w:tc>
              <w:tc>
                <w:tcPr>
                  <w:tcW w:w="273"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风量</w:t>
                  </w:r>
                </w:p>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m</w:t>
                  </w:r>
                  <w:r>
                    <w:rPr>
                      <w:rFonts w:hint="default" w:ascii="Times New Roman" w:hAnsi="Times New Roman" w:eastAsia="宋体" w:cs="Times New Roman"/>
                      <w:b/>
                      <w:bCs/>
                      <w:color w:val="auto"/>
                      <w:kern w:val="2"/>
                      <w:sz w:val="21"/>
                      <w:szCs w:val="21"/>
                      <w:highlight w:val="none"/>
                      <w:vertAlign w:val="superscript"/>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/h</w:t>
                  </w:r>
                </w:p>
              </w:tc>
              <w:tc>
                <w:tcPr>
                  <w:tcW w:w="29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收集</w:t>
                  </w:r>
                </w:p>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效率</w:t>
                  </w:r>
                  <w:r>
                    <w:rPr>
                      <w:rFonts w:hint="default" w:ascii="Times New Roman" w:hAnsi="Times New Roman" w:cs="Times New Roman"/>
                      <w:b/>
                      <w:bCs/>
                      <w:color w:val="auto"/>
                      <w:kern w:val="2"/>
                      <w:sz w:val="21"/>
                      <w:szCs w:val="21"/>
                      <w:highlight w:val="none"/>
                      <w:lang w:val="en-US" w:eastAsia="zh-CN" w:bidi="ar-SA"/>
                    </w:rPr>
                    <w:t>%</w:t>
                  </w:r>
                </w:p>
              </w:tc>
              <w:tc>
                <w:tcPr>
                  <w:tcW w:w="322"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治理工艺去除率</w:t>
                  </w:r>
                  <w:r>
                    <w:rPr>
                      <w:rFonts w:hint="default" w:ascii="Times New Roman" w:hAnsi="Times New Roman" w:cs="Times New Roman"/>
                      <w:b/>
                      <w:bCs/>
                      <w:color w:val="auto"/>
                      <w:kern w:val="2"/>
                      <w:sz w:val="21"/>
                      <w:szCs w:val="21"/>
                      <w:highlight w:val="none"/>
                      <w:lang w:val="en-US" w:eastAsia="zh-CN" w:bidi="ar-SA"/>
                    </w:rPr>
                    <w:t>%</w:t>
                  </w:r>
                </w:p>
              </w:tc>
              <w:tc>
                <w:tcPr>
                  <w:tcW w:w="34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是否为可行技术</w:t>
                  </w:r>
                </w:p>
              </w:tc>
              <w:tc>
                <w:tcPr>
                  <w:tcW w:w="32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8"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7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66"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27"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w:t>
                  </w:r>
                </w:p>
              </w:tc>
              <w:tc>
                <w:tcPr>
                  <w:tcW w:w="39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原料堆放及卸料</w:t>
                  </w:r>
                  <w:r>
                    <w:rPr>
                      <w:rFonts w:hint="default" w:ascii="Times New Roman" w:hAnsi="Times New Roman" w:cs="Times New Roman"/>
                      <w:color w:val="auto"/>
                      <w:kern w:val="2"/>
                      <w:sz w:val="21"/>
                      <w:szCs w:val="21"/>
                      <w:highlight w:val="none"/>
                      <w:lang w:val="en-US" w:eastAsia="zh-CN" w:bidi="ar-SA"/>
                    </w:rPr>
                    <w:t>废气</w:t>
                  </w:r>
                </w:p>
              </w:tc>
              <w:tc>
                <w:tcPr>
                  <w:tcW w:w="282"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shd w:val="clear" w:color="auto" w:fill="auto"/>
                  <w:vAlign w:val="center"/>
                </w:tcPr>
                <w:p>
                  <w:pPr>
                    <w:keepNext w:val="0"/>
                    <w:keepLines w:val="0"/>
                    <w:pageBreakBefore w:val="0"/>
                    <w:widowControl/>
                    <w:suppressLineNumbers w:val="0"/>
                    <w:kinsoku/>
                    <w:overflowPunct/>
                    <w:topLinePunct w:val="0"/>
                    <w:autoSpaceDE/>
                    <w:autoSpaceDN/>
                    <w:bidi w:val="0"/>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rPr>
                    <w:t>/</w:t>
                  </w:r>
                </w:p>
              </w:tc>
              <w:tc>
                <w:tcPr>
                  <w:tcW w:w="309"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64"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无</w:t>
                  </w:r>
                  <w:r>
                    <w:rPr>
                      <w:rFonts w:hint="default" w:ascii="Times New Roman" w:hAnsi="Times New Roman" w:eastAsia="宋体" w:cs="Times New Roman"/>
                      <w:color w:val="auto"/>
                      <w:kern w:val="2"/>
                      <w:sz w:val="21"/>
                      <w:szCs w:val="21"/>
                      <w:highlight w:val="none"/>
                      <w:lang w:val="en-US" w:eastAsia="zh-CN" w:bidi="ar-SA"/>
                    </w:rPr>
                    <w:t>组织</w:t>
                  </w:r>
                </w:p>
              </w:tc>
              <w:tc>
                <w:tcPr>
                  <w:tcW w:w="1233" w:type="pct"/>
                  <w:gridSpan w:val="4"/>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全封闭原料库，库顶安装喷雾抑尘装置，</w:t>
                  </w:r>
                  <w:r>
                    <w:rPr>
                      <w:rFonts w:hint="default" w:ascii="Times New Roman" w:hAnsi="Times New Roman" w:cs="Times New Roman"/>
                      <w:color w:val="auto"/>
                      <w:sz w:val="21"/>
                      <w:szCs w:val="21"/>
                      <w:highlight w:val="none"/>
                      <w:lang w:val="en-US" w:eastAsia="zh-CN"/>
                    </w:rPr>
                    <w:t>且装卸时设有移动式雾炮机</w:t>
                  </w:r>
                </w:p>
              </w:tc>
              <w:tc>
                <w:tcPr>
                  <w:tcW w:w="349"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84"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308"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74"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1.115</w:t>
                  </w:r>
                </w:p>
              </w:tc>
              <w:tc>
                <w:tcPr>
                  <w:tcW w:w="26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27"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53"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39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给料废气</w:t>
                  </w:r>
                </w:p>
              </w:tc>
              <w:tc>
                <w:tcPr>
                  <w:tcW w:w="282"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331"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5439</w:t>
                  </w:r>
                </w:p>
              </w:tc>
              <w:tc>
                <w:tcPr>
                  <w:tcW w:w="309"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103.125</w:t>
                  </w:r>
                </w:p>
              </w:tc>
              <w:tc>
                <w:tcPr>
                  <w:tcW w:w="264"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有组织</w:t>
                  </w:r>
                </w:p>
              </w:tc>
              <w:tc>
                <w:tcPr>
                  <w:tcW w:w="340"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袋式除尘器</w:t>
                  </w:r>
                </w:p>
              </w:tc>
              <w:tc>
                <w:tcPr>
                  <w:tcW w:w="273"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sz w:val="21"/>
                      <w:szCs w:val="21"/>
                      <w:highlight w:val="none"/>
                      <w:lang w:val="en-US" w:eastAsia="zh-CN"/>
                    </w:rPr>
                    <w:t>18960</w:t>
                  </w:r>
                </w:p>
              </w:tc>
              <w:tc>
                <w:tcPr>
                  <w:tcW w:w="298"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90</w:t>
                  </w:r>
                </w:p>
              </w:tc>
              <w:tc>
                <w:tcPr>
                  <w:tcW w:w="322"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99.8</w:t>
                  </w:r>
                </w:p>
              </w:tc>
              <w:tc>
                <w:tcPr>
                  <w:tcW w:w="349"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w:t>
                  </w:r>
                </w:p>
              </w:tc>
              <w:tc>
                <w:tcPr>
                  <w:tcW w:w="320"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284"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19</w:t>
                  </w:r>
                </w:p>
              </w:tc>
              <w:tc>
                <w:tcPr>
                  <w:tcW w:w="308"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4800</w:t>
                  </w:r>
                </w:p>
              </w:tc>
              <w:tc>
                <w:tcPr>
                  <w:tcW w:w="274"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bCs/>
                      <w:color w:val="auto"/>
                      <w:sz w:val="21"/>
                      <w:szCs w:val="21"/>
                      <w:lang w:val="en-US" w:eastAsia="zh-CN"/>
                    </w:rPr>
                    <w:t>0.91</w:t>
                  </w:r>
                </w:p>
              </w:tc>
              <w:tc>
                <w:tcPr>
                  <w:tcW w:w="266"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DA00</w:t>
                  </w:r>
                  <w:r>
                    <w:rPr>
                      <w:rFonts w:hint="default" w:ascii="Times New Roman" w:hAnsi="Times New Roman" w:cs="Times New Roman"/>
                      <w:color w:val="auto"/>
                      <w:kern w:val="2"/>
                      <w:sz w:val="21"/>
                      <w:szCs w:val="21"/>
                      <w:highlight w:val="none"/>
                      <w:lang w:val="en-US" w:eastAsia="zh-CN" w:bidi="ar-SA"/>
                    </w:rPr>
                    <w:t>1</w:t>
                  </w:r>
                </w:p>
              </w:tc>
              <w:tc>
                <w:tcPr>
                  <w:tcW w:w="227"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53"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39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破碎</w:t>
                  </w:r>
                  <w:r>
                    <w:rPr>
                      <w:rFonts w:hint="default" w:ascii="Times New Roman" w:hAnsi="Times New Roman" w:cs="Times New Roman"/>
                      <w:color w:val="auto"/>
                      <w:kern w:val="2"/>
                      <w:sz w:val="21"/>
                      <w:szCs w:val="21"/>
                      <w:highlight w:val="none"/>
                      <w:lang w:val="en-US" w:eastAsia="zh-CN" w:bidi="ar-SA"/>
                    </w:rPr>
                    <w:t>废气</w:t>
                  </w:r>
                </w:p>
              </w:tc>
              <w:tc>
                <w:tcPr>
                  <w:tcW w:w="282"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31"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9"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64"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40"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73"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98"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100</w:t>
                  </w:r>
                </w:p>
              </w:tc>
              <w:tc>
                <w:tcPr>
                  <w:tcW w:w="322"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49"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0"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4"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8"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74"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66"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27"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53"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筛分废气</w:t>
                  </w:r>
                </w:p>
              </w:tc>
              <w:tc>
                <w:tcPr>
                  <w:tcW w:w="282"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331" w:type="pct"/>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spacing w:line="240" w:lineRule="auto"/>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6392</w:t>
                  </w:r>
                </w:p>
              </w:tc>
              <w:tc>
                <w:tcPr>
                  <w:tcW w:w="309"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137.5</w:t>
                  </w:r>
                </w:p>
              </w:tc>
              <w:tc>
                <w:tcPr>
                  <w:tcW w:w="264"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有组织</w:t>
                  </w:r>
                </w:p>
              </w:tc>
              <w:tc>
                <w:tcPr>
                  <w:tcW w:w="340"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袋式除尘器</w:t>
                  </w:r>
                </w:p>
              </w:tc>
              <w:tc>
                <w:tcPr>
                  <w:tcW w:w="273"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2</w:t>
                  </w:r>
                  <w:r>
                    <w:rPr>
                      <w:rFonts w:hint="eastAsia" w:cs="Times New Roman"/>
                      <w:color w:val="auto"/>
                      <w:sz w:val="21"/>
                      <w:szCs w:val="21"/>
                      <w:lang w:val="en-US" w:eastAsia="zh-CN"/>
                    </w:rPr>
                    <w:t>6</w:t>
                  </w:r>
                  <w:r>
                    <w:rPr>
                      <w:rFonts w:hint="eastAsia"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lang w:val="en-US" w:eastAsia="zh-CN"/>
                    </w:rPr>
                    <w:t>0</w:t>
                  </w:r>
                </w:p>
              </w:tc>
              <w:tc>
                <w:tcPr>
                  <w:tcW w:w="298"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100</w:t>
                  </w:r>
                </w:p>
              </w:tc>
              <w:tc>
                <w:tcPr>
                  <w:tcW w:w="322"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99.8</w:t>
                  </w:r>
                </w:p>
              </w:tc>
              <w:tc>
                <w:tcPr>
                  <w:tcW w:w="349"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w:t>
                  </w:r>
                </w:p>
              </w:tc>
              <w:tc>
                <w:tcPr>
                  <w:tcW w:w="320"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rPr>
                    <w:t>10</w:t>
                  </w:r>
                </w:p>
              </w:tc>
              <w:tc>
                <w:tcPr>
                  <w:tcW w:w="284"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rPr>
                  </w:pPr>
                  <w:r>
                    <w:rPr>
                      <w:rFonts w:hint="default" w:ascii="Times New Roman" w:hAnsi="Times New Roman" w:cs="Times New Roman"/>
                      <w:b w:val="0"/>
                      <w:bCs w:val="0"/>
                      <w:color w:val="auto"/>
                      <w:kern w:val="2"/>
                      <w:sz w:val="21"/>
                      <w:szCs w:val="21"/>
                      <w:highlight w:val="none"/>
                      <w:u w:val="none"/>
                      <w:lang w:val="en-US" w:eastAsia="zh-CN"/>
                    </w:rPr>
                    <w:t>0.</w:t>
                  </w:r>
                  <w:r>
                    <w:rPr>
                      <w:rFonts w:hint="eastAsia" w:ascii="Times New Roman" w:hAnsi="Times New Roman" w:cs="Times New Roman"/>
                      <w:b w:val="0"/>
                      <w:bCs w:val="0"/>
                      <w:color w:val="auto"/>
                      <w:kern w:val="2"/>
                      <w:sz w:val="21"/>
                      <w:szCs w:val="21"/>
                      <w:highlight w:val="none"/>
                      <w:u w:val="none"/>
                      <w:lang w:val="en-US" w:eastAsia="zh-CN"/>
                    </w:rPr>
                    <w:t>2</w:t>
                  </w:r>
                  <w:r>
                    <w:rPr>
                      <w:rFonts w:hint="eastAsia" w:cs="Times New Roman"/>
                      <w:b w:val="0"/>
                      <w:bCs w:val="0"/>
                      <w:color w:val="auto"/>
                      <w:kern w:val="2"/>
                      <w:sz w:val="21"/>
                      <w:szCs w:val="21"/>
                      <w:highlight w:val="none"/>
                      <w:u w:val="none"/>
                      <w:lang w:val="en-US" w:eastAsia="zh-CN"/>
                    </w:rPr>
                    <w:t>6</w:t>
                  </w:r>
                </w:p>
              </w:tc>
              <w:tc>
                <w:tcPr>
                  <w:tcW w:w="308"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rPr>
                  </w:pPr>
                  <w:r>
                    <w:rPr>
                      <w:rFonts w:hint="default" w:ascii="Times New Roman" w:hAnsi="Times New Roman" w:cs="Times New Roman"/>
                      <w:color w:val="auto"/>
                      <w:kern w:val="2"/>
                      <w:sz w:val="21"/>
                      <w:szCs w:val="21"/>
                      <w:highlight w:val="none"/>
                      <w:lang w:val="en-US" w:eastAsia="zh-CN" w:bidi="ar-SA"/>
                    </w:rPr>
                    <w:t>4800</w:t>
                  </w:r>
                </w:p>
              </w:tc>
              <w:tc>
                <w:tcPr>
                  <w:tcW w:w="27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highlight w:val="none"/>
                      <w:lang w:val="en-US" w:eastAsia="zh-CN" w:bidi="ar-SA"/>
                    </w:rPr>
                  </w:pPr>
                  <w:r>
                    <w:rPr>
                      <w:rFonts w:hint="eastAsia"/>
                      <w:bCs/>
                      <w:color w:val="auto"/>
                      <w:sz w:val="21"/>
                      <w:szCs w:val="21"/>
                      <w:lang w:val="en-US" w:eastAsia="zh-CN"/>
                    </w:rPr>
                    <w:t>1.267</w:t>
                  </w:r>
                </w:p>
              </w:tc>
              <w:tc>
                <w:tcPr>
                  <w:tcW w:w="266"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DA00</w:t>
                  </w:r>
                  <w:r>
                    <w:rPr>
                      <w:rFonts w:hint="default" w:ascii="Times New Roman" w:hAnsi="Times New Roman" w:cs="Times New Roman"/>
                      <w:color w:val="auto"/>
                      <w:kern w:val="2"/>
                      <w:sz w:val="21"/>
                      <w:szCs w:val="21"/>
                      <w:highlight w:val="none"/>
                      <w:lang w:val="en-US" w:eastAsia="zh-CN" w:bidi="ar-SA"/>
                    </w:rPr>
                    <w:t>2</w:t>
                  </w:r>
                </w:p>
              </w:tc>
              <w:tc>
                <w:tcPr>
                  <w:tcW w:w="227"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53"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sz w:val="21"/>
                      <w:szCs w:val="21"/>
                    </w:rPr>
                  </w:pP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粉磨废气</w:t>
                  </w:r>
                </w:p>
              </w:tc>
              <w:tc>
                <w:tcPr>
                  <w:tcW w:w="28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31"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09"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6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4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73"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98"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2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49"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2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8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08"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7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66"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27"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53"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sz w:val="21"/>
                      <w:szCs w:val="21"/>
                    </w:rPr>
                  </w:pP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粉料仓废气</w:t>
                  </w:r>
                </w:p>
              </w:tc>
              <w:tc>
                <w:tcPr>
                  <w:tcW w:w="28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31"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31.25</w:t>
                  </w:r>
                </w:p>
              </w:tc>
              <w:tc>
                <w:tcPr>
                  <w:tcW w:w="26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4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73"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9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32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49"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2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8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308"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7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66"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c>
                <w:tcPr>
                  <w:tcW w:w="227"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53"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w:t>
                  </w:r>
                </w:p>
              </w:tc>
              <w:tc>
                <w:tcPr>
                  <w:tcW w:w="396"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发酵</w:t>
                  </w:r>
                  <w:r>
                    <w:rPr>
                      <w:rFonts w:hint="default" w:ascii="Times New Roman" w:hAnsi="Times New Roman" w:cs="Times New Roman"/>
                      <w:color w:val="auto"/>
                      <w:sz w:val="21"/>
                      <w:szCs w:val="21"/>
                      <w:highlight w:val="none"/>
                      <w:lang w:val="en-US" w:eastAsia="zh-CN"/>
                    </w:rPr>
                    <w:t>废气</w:t>
                  </w:r>
                </w:p>
              </w:tc>
              <w:tc>
                <w:tcPr>
                  <w:tcW w:w="282"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rPr>
                    <w:t>NH</w:t>
                  </w:r>
                  <w:r>
                    <w:rPr>
                      <w:color w:val="auto"/>
                      <w:sz w:val="21"/>
                      <w:szCs w:val="21"/>
                      <w:vertAlign w:val="subscript"/>
                    </w:rPr>
                    <w:t>3</w:t>
                  </w:r>
                </w:p>
              </w:tc>
              <w:tc>
                <w:tcPr>
                  <w:tcW w:w="331"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2.54</w:t>
                  </w: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0.457</w:t>
                  </w:r>
                </w:p>
              </w:tc>
              <w:tc>
                <w:tcPr>
                  <w:tcW w:w="264"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有组织</w:t>
                  </w:r>
                </w:p>
              </w:tc>
              <w:tc>
                <w:tcPr>
                  <w:tcW w:w="340"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生物除臭装置</w:t>
                  </w:r>
                </w:p>
              </w:tc>
              <w:tc>
                <w:tcPr>
                  <w:tcW w:w="273"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80</w:t>
                  </w:r>
                  <w:r>
                    <w:rPr>
                      <w:rFonts w:hint="default" w:ascii="Times New Roman" w:hAnsi="Times New Roman" w:cs="Times New Roman"/>
                      <w:color w:val="auto"/>
                      <w:sz w:val="21"/>
                      <w:szCs w:val="21"/>
                      <w:highlight w:val="none"/>
                      <w:lang w:val="en-US" w:eastAsia="zh-CN"/>
                    </w:rPr>
                    <w:t>000</w:t>
                  </w:r>
                </w:p>
              </w:tc>
              <w:tc>
                <w:tcPr>
                  <w:tcW w:w="298"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90</w:t>
                  </w:r>
                </w:p>
              </w:tc>
              <w:tc>
                <w:tcPr>
                  <w:tcW w:w="322"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90</w:t>
                  </w:r>
                </w:p>
              </w:tc>
              <w:tc>
                <w:tcPr>
                  <w:tcW w:w="349"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是</w:t>
                  </w:r>
                </w:p>
              </w:tc>
              <w:tc>
                <w:tcPr>
                  <w:tcW w:w="320"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rPr>
                  </w:pPr>
                  <w:r>
                    <w:rPr>
                      <w:rFonts w:hint="eastAsia"/>
                      <w:color w:val="auto"/>
                      <w:sz w:val="21"/>
                      <w:szCs w:val="21"/>
                      <w:highlight w:val="none"/>
                      <w:lang w:val="en-US" w:eastAsia="zh-CN"/>
                    </w:rPr>
                    <w:t>0.28</w:t>
                  </w:r>
                </w:p>
              </w:tc>
              <w:tc>
                <w:tcPr>
                  <w:tcW w:w="284"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highlight w:val="none"/>
                      <w:u w:val="none"/>
                      <w:lang w:val="en-US" w:eastAsia="zh-CN"/>
                    </w:rPr>
                  </w:pPr>
                  <w:r>
                    <w:rPr>
                      <w:color w:val="auto"/>
                      <w:sz w:val="21"/>
                      <w:szCs w:val="21"/>
                    </w:rPr>
                    <w:t>0.</w:t>
                  </w:r>
                  <w:r>
                    <w:rPr>
                      <w:rFonts w:hint="eastAsia"/>
                      <w:color w:val="auto"/>
                      <w:sz w:val="21"/>
                      <w:szCs w:val="21"/>
                    </w:rPr>
                    <w:t>0</w:t>
                  </w:r>
                  <w:r>
                    <w:rPr>
                      <w:rFonts w:hint="eastAsia"/>
                      <w:color w:val="auto"/>
                      <w:sz w:val="21"/>
                      <w:szCs w:val="21"/>
                      <w:lang w:val="en-US" w:eastAsia="zh-CN"/>
                    </w:rPr>
                    <w:t>5</w:t>
                  </w:r>
                </w:p>
              </w:tc>
              <w:tc>
                <w:tcPr>
                  <w:tcW w:w="308"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auto"/>
                      <w:kern w:val="2"/>
                      <w:sz w:val="21"/>
                      <w:szCs w:val="21"/>
                      <w:highlight w:val="none"/>
                      <w:u w:val="none"/>
                      <w:lang w:val="en-US" w:eastAsia="zh-CN"/>
                    </w:rPr>
                  </w:pPr>
                  <w:r>
                    <w:rPr>
                      <w:rFonts w:hint="eastAsia" w:ascii="Times New Roman" w:hAnsi="Times New Roman" w:cs="Times New Roman"/>
                      <w:color w:val="auto"/>
                      <w:kern w:val="2"/>
                      <w:sz w:val="21"/>
                      <w:szCs w:val="21"/>
                      <w:highlight w:val="none"/>
                      <w:lang w:val="en-US" w:eastAsia="zh-CN" w:bidi="ar-SA"/>
                    </w:rPr>
                    <w:t>72</w:t>
                  </w:r>
                  <w:r>
                    <w:rPr>
                      <w:rFonts w:hint="default" w:ascii="Times New Roman" w:hAnsi="Times New Roman" w:cs="Times New Roman"/>
                      <w:color w:val="auto"/>
                      <w:kern w:val="2"/>
                      <w:sz w:val="21"/>
                      <w:szCs w:val="21"/>
                      <w:highlight w:val="none"/>
                      <w:lang w:val="en-US" w:eastAsia="zh-CN" w:bidi="ar-SA"/>
                    </w:rPr>
                    <w:t>00</w:t>
                  </w:r>
                </w:p>
              </w:tc>
              <w:tc>
                <w:tcPr>
                  <w:tcW w:w="2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highlight w:val="none"/>
                      <w:lang w:val="en-US" w:eastAsia="zh-CN" w:bidi="ar-SA"/>
                    </w:rPr>
                  </w:pPr>
                  <w:r>
                    <w:rPr>
                      <w:rFonts w:hint="eastAsia"/>
                      <w:color w:val="auto"/>
                      <w:sz w:val="21"/>
                      <w:szCs w:val="21"/>
                    </w:rPr>
                    <w:t>0.3</w:t>
                  </w:r>
                  <w:r>
                    <w:rPr>
                      <w:rFonts w:hint="eastAsia"/>
                      <w:color w:val="auto"/>
                      <w:sz w:val="21"/>
                      <w:szCs w:val="21"/>
                      <w:lang w:val="en-US" w:eastAsia="zh-CN"/>
                    </w:rPr>
                    <w:t>289</w:t>
                  </w:r>
                </w:p>
              </w:tc>
              <w:tc>
                <w:tcPr>
                  <w:tcW w:w="266"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DA00</w:t>
                  </w:r>
                  <w:r>
                    <w:rPr>
                      <w:rFonts w:hint="default" w:ascii="Times New Roman" w:hAnsi="Times New Roman" w:cs="Times New Roman"/>
                      <w:color w:val="auto"/>
                      <w:kern w:val="2"/>
                      <w:sz w:val="21"/>
                      <w:szCs w:val="21"/>
                      <w:highlight w:val="none"/>
                      <w:lang w:val="en-US" w:eastAsia="zh-CN" w:bidi="ar-SA"/>
                    </w:rPr>
                    <w:t>3</w:t>
                  </w:r>
                </w:p>
              </w:tc>
              <w:tc>
                <w:tcPr>
                  <w:tcW w:w="63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53"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sz w:val="21"/>
                      <w:szCs w:val="21"/>
                    </w:rPr>
                  </w:pPr>
                </w:p>
              </w:tc>
              <w:tc>
                <w:tcPr>
                  <w:tcW w:w="396"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sz w:val="21"/>
                      <w:szCs w:val="21"/>
                    </w:rPr>
                  </w:pPr>
                </w:p>
              </w:tc>
              <w:tc>
                <w:tcPr>
                  <w:tcW w:w="282"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rPr>
                    <w:t>H</w:t>
                  </w:r>
                  <w:r>
                    <w:rPr>
                      <w:color w:val="auto"/>
                      <w:sz w:val="21"/>
                      <w:szCs w:val="21"/>
                      <w:vertAlign w:val="subscript"/>
                    </w:rPr>
                    <w:t>2</w:t>
                  </w:r>
                  <w:r>
                    <w:rPr>
                      <w:color w:val="auto"/>
                      <w:sz w:val="21"/>
                      <w:szCs w:val="21"/>
                    </w:rPr>
                    <w:t>S</w:t>
                  </w:r>
                </w:p>
              </w:tc>
              <w:tc>
                <w:tcPr>
                  <w:tcW w:w="331"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0.506</w:t>
                  </w: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0.091</w:t>
                  </w:r>
                </w:p>
              </w:tc>
              <w:tc>
                <w:tcPr>
                  <w:tcW w:w="26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4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73"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98"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49"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2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0.</w:t>
                  </w:r>
                  <w:r>
                    <w:rPr>
                      <w:rFonts w:hint="eastAsia"/>
                      <w:color w:val="auto"/>
                      <w:sz w:val="21"/>
                      <w:szCs w:val="21"/>
                      <w:highlight w:val="none"/>
                      <w:lang w:val="en-US" w:eastAsia="zh-CN"/>
                    </w:rPr>
                    <w:t>05</w:t>
                  </w:r>
                </w:p>
              </w:tc>
              <w:tc>
                <w:tcPr>
                  <w:tcW w:w="28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rPr>
                    <w:t>0.00</w:t>
                  </w:r>
                  <w:r>
                    <w:rPr>
                      <w:rFonts w:hint="eastAsia"/>
                      <w:color w:val="auto"/>
                      <w:sz w:val="21"/>
                      <w:szCs w:val="21"/>
                      <w:lang w:val="en-US" w:eastAsia="zh-CN"/>
                    </w:rPr>
                    <w:t>9</w:t>
                  </w:r>
                </w:p>
              </w:tc>
              <w:tc>
                <w:tcPr>
                  <w:tcW w:w="30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72</w:t>
                  </w:r>
                  <w:r>
                    <w:rPr>
                      <w:rFonts w:hint="default" w:ascii="Times New Roman" w:hAnsi="Times New Roman" w:cs="Times New Roman"/>
                      <w:color w:val="auto"/>
                      <w:kern w:val="2"/>
                      <w:sz w:val="21"/>
                      <w:szCs w:val="21"/>
                      <w:highlight w:val="none"/>
                      <w:lang w:val="en-US" w:eastAsia="zh-CN" w:bidi="ar-SA"/>
                    </w:rPr>
                    <w:t>00</w:t>
                  </w:r>
                </w:p>
              </w:tc>
              <w:tc>
                <w:tcPr>
                  <w:tcW w:w="27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0.0</w:t>
                  </w:r>
                  <w:r>
                    <w:rPr>
                      <w:rFonts w:hint="eastAsia"/>
                      <w:color w:val="auto"/>
                      <w:sz w:val="21"/>
                      <w:szCs w:val="21"/>
                      <w:lang w:val="en-US" w:eastAsia="zh-CN"/>
                    </w:rPr>
                    <w:t>658</w:t>
                  </w:r>
                </w:p>
              </w:tc>
              <w:tc>
                <w:tcPr>
                  <w:tcW w:w="266"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38" w:type="dxa"/>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153"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造粒</w:t>
                  </w:r>
                  <w:r>
                    <w:rPr>
                      <w:rFonts w:hint="default" w:ascii="Times New Roman" w:hAnsi="Times New Roman" w:cs="Times New Roman"/>
                      <w:color w:val="auto"/>
                      <w:sz w:val="21"/>
                      <w:szCs w:val="21"/>
                      <w:highlight w:val="none"/>
                      <w:lang w:val="en-US" w:eastAsia="zh-CN"/>
                    </w:rPr>
                    <w:t>废气</w:t>
                  </w:r>
                </w:p>
              </w:tc>
              <w:tc>
                <w:tcPr>
                  <w:tcW w:w="282"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331"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5247</w:t>
                  </w: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107.9</w:t>
                  </w:r>
                </w:p>
              </w:tc>
              <w:tc>
                <w:tcPr>
                  <w:tcW w:w="264"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有组织</w:t>
                  </w:r>
                </w:p>
              </w:tc>
              <w:tc>
                <w:tcPr>
                  <w:tcW w:w="340"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袋式除尘器</w:t>
                  </w:r>
                </w:p>
              </w:tc>
              <w:tc>
                <w:tcPr>
                  <w:tcW w:w="273"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34561</w:t>
                  </w:r>
                </w:p>
              </w:tc>
              <w:tc>
                <w:tcPr>
                  <w:tcW w:w="29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90</w:t>
                  </w:r>
                </w:p>
              </w:tc>
              <w:tc>
                <w:tcPr>
                  <w:tcW w:w="322"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99.</w:t>
                  </w:r>
                  <w:r>
                    <w:rPr>
                      <w:rFonts w:hint="eastAsia" w:cs="Times New Roman"/>
                      <w:color w:val="auto"/>
                      <w:kern w:val="2"/>
                      <w:sz w:val="21"/>
                      <w:szCs w:val="21"/>
                      <w:highlight w:val="none"/>
                      <w:lang w:val="en-US" w:eastAsia="zh-CN" w:bidi="ar-SA"/>
                    </w:rPr>
                    <w:t>8</w:t>
                  </w:r>
                </w:p>
              </w:tc>
              <w:tc>
                <w:tcPr>
                  <w:tcW w:w="349"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w:t>
                  </w:r>
                </w:p>
              </w:tc>
              <w:tc>
                <w:tcPr>
                  <w:tcW w:w="320"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10</w:t>
                  </w:r>
                </w:p>
              </w:tc>
              <w:tc>
                <w:tcPr>
                  <w:tcW w:w="284"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olor w:val="auto"/>
                      <w:sz w:val="21"/>
                      <w:szCs w:val="21"/>
                      <w:lang w:val="en-US" w:eastAsia="zh-CN"/>
                    </w:rPr>
                    <w:t>0.35</w:t>
                  </w:r>
                </w:p>
              </w:tc>
              <w:tc>
                <w:tcPr>
                  <w:tcW w:w="308"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lang w:val="en-US" w:eastAsia="zh-CN" w:bidi="ar-SA"/>
                    </w:rPr>
                    <w:t>4800</w:t>
                  </w:r>
                </w:p>
              </w:tc>
              <w:tc>
                <w:tcPr>
                  <w:tcW w:w="27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SA"/>
                    </w:rPr>
                  </w:pPr>
                  <w:r>
                    <w:rPr>
                      <w:rFonts w:hint="eastAsia"/>
                      <w:bCs/>
                      <w:color w:val="auto"/>
                      <w:sz w:val="21"/>
                      <w:szCs w:val="21"/>
                      <w:lang w:val="en-US" w:eastAsia="zh-CN"/>
                    </w:rPr>
                    <w:t>1.659</w:t>
                  </w:r>
                </w:p>
              </w:tc>
              <w:tc>
                <w:tcPr>
                  <w:tcW w:w="266" w:type="pct"/>
                  <w:vMerge w:val="restar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DA00</w:t>
                  </w:r>
                  <w:r>
                    <w:rPr>
                      <w:rFonts w:hint="default" w:ascii="Times New Roman" w:hAnsi="Times New Roman" w:cs="Times New Roman"/>
                      <w:color w:val="auto"/>
                      <w:kern w:val="2"/>
                      <w:sz w:val="21"/>
                      <w:szCs w:val="21"/>
                      <w:highlight w:val="none"/>
                      <w:lang w:val="en-US" w:eastAsia="zh-CN" w:bidi="ar-SA"/>
                    </w:rPr>
                    <w:t>4</w:t>
                  </w:r>
                </w:p>
              </w:tc>
              <w:tc>
                <w:tcPr>
                  <w:tcW w:w="227"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153"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sz w:val="21"/>
                      <w:szCs w:val="21"/>
                    </w:rPr>
                  </w:pP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筛分废气</w:t>
                  </w:r>
                </w:p>
              </w:tc>
              <w:tc>
                <w:tcPr>
                  <w:tcW w:w="28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31"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lang w:val="en-US" w:eastAsia="zh-CN"/>
                    </w:rPr>
                    <w:t>34.375</w:t>
                  </w:r>
                </w:p>
              </w:tc>
              <w:tc>
                <w:tcPr>
                  <w:tcW w:w="26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4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73"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9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32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49"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2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8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08"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7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66"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jc w:val="center"/>
              </w:trPr>
              <w:tc>
                <w:tcPr>
                  <w:tcW w:w="153"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袋装废气</w:t>
                  </w:r>
                </w:p>
              </w:tc>
              <w:tc>
                <w:tcPr>
                  <w:tcW w:w="28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31"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39.06</w:t>
                  </w:r>
                </w:p>
              </w:tc>
              <w:tc>
                <w:tcPr>
                  <w:tcW w:w="26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4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73"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9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p>
              </w:tc>
              <w:tc>
                <w:tcPr>
                  <w:tcW w:w="32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49"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2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8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308"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74"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66"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w:t>
                  </w: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成品堆放与装卸</w:t>
                  </w:r>
                  <w:r>
                    <w:rPr>
                      <w:rFonts w:hint="default" w:ascii="Times New Roman" w:hAnsi="Times New Roman" w:cs="Times New Roman"/>
                      <w:color w:val="auto"/>
                      <w:kern w:val="2"/>
                      <w:sz w:val="21"/>
                      <w:szCs w:val="21"/>
                      <w:highlight w:val="none"/>
                      <w:lang w:val="en-US" w:eastAsia="zh-CN" w:bidi="ar-SA"/>
                    </w:rPr>
                    <w:t>废气</w:t>
                  </w:r>
                </w:p>
              </w:tc>
              <w:tc>
                <w:tcPr>
                  <w:tcW w:w="282"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vAlign w:val="center"/>
                </w:tcPr>
                <w:p>
                  <w:pPr>
                    <w:keepNext w:val="0"/>
                    <w:keepLines w:val="0"/>
                    <w:pageBreakBefore w:val="0"/>
                    <w:widowControl/>
                    <w:suppressLineNumbers w:val="0"/>
                    <w:kinsoku/>
                    <w:overflowPunct/>
                    <w:topLinePunct w:val="0"/>
                    <w:autoSpaceDE/>
                    <w:autoSpaceDN/>
                    <w:bidi w:val="0"/>
                    <w:spacing w:line="24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rPr>
                    <w:t>/</w:t>
                  </w: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6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无</w:t>
                  </w:r>
                  <w:r>
                    <w:rPr>
                      <w:rFonts w:hint="default" w:ascii="Times New Roman" w:hAnsi="Times New Roman" w:eastAsia="宋体" w:cs="Times New Roman"/>
                      <w:color w:val="auto"/>
                      <w:kern w:val="2"/>
                      <w:sz w:val="21"/>
                      <w:szCs w:val="21"/>
                      <w:highlight w:val="none"/>
                      <w:lang w:val="en-US" w:eastAsia="zh-CN" w:bidi="ar-SA"/>
                    </w:rPr>
                    <w:t>组织</w:t>
                  </w:r>
                </w:p>
              </w:tc>
              <w:tc>
                <w:tcPr>
                  <w:tcW w:w="1233" w:type="pct"/>
                  <w:gridSpan w:val="4"/>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装卸时设有移动式雾炮机</w:t>
                  </w:r>
                </w:p>
              </w:tc>
              <w:tc>
                <w:tcPr>
                  <w:tcW w:w="34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8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highlight w:val="none"/>
                      <w:u w:val="none"/>
                      <w:lang w:val="en-US" w:eastAsia="zh-CN"/>
                    </w:rPr>
                  </w:pPr>
                  <w:r>
                    <w:rPr>
                      <w:rFonts w:hint="default" w:ascii="Times New Roman" w:hAnsi="Times New Roman" w:eastAsia="宋体" w:cs="Times New Roman"/>
                      <w:color w:val="auto"/>
                      <w:kern w:val="2"/>
                      <w:sz w:val="21"/>
                      <w:szCs w:val="21"/>
                      <w:highlight w:val="none"/>
                      <w:lang w:val="en-US" w:eastAsia="zh-CN" w:bidi="ar-SA"/>
                    </w:rPr>
                    <w:t>/</w:t>
                  </w:r>
                </w:p>
              </w:tc>
              <w:tc>
                <w:tcPr>
                  <w:tcW w:w="30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7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6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2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cs="Times New Roman"/>
                      <w:b w:val="0"/>
                      <w:bCs w:val="0"/>
                      <w:color w:val="auto"/>
                      <w:kern w:val="2"/>
                      <w:sz w:val="21"/>
                      <w:szCs w:val="21"/>
                      <w:highlight w:val="none"/>
                      <w:u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7</w:t>
                  </w: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道路运输</w:t>
                  </w:r>
                  <w:r>
                    <w:rPr>
                      <w:rFonts w:hint="default" w:ascii="Times New Roman" w:hAnsi="Times New Roman" w:cs="Times New Roman"/>
                      <w:color w:val="auto"/>
                      <w:kern w:val="2"/>
                      <w:sz w:val="21"/>
                      <w:szCs w:val="21"/>
                      <w:highlight w:val="none"/>
                      <w:lang w:val="en-US" w:eastAsia="zh-CN" w:bidi="ar-SA"/>
                    </w:rPr>
                    <w:t>废气</w:t>
                  </w:r>
                </w:p>
              </w:tc>
              <w:tc>
                <w:tcPr>
                  <w:tcW w:w="282"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6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无组织</w:t>
                  </w:r>
                </w:p>
              </w:tc>
              <w:tc>
                <w:tcPr>
                  <w:tcW w:w="1233" w:type="pct"/>
                  <w:gridSpan w:val="4"/>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厂区地面硬化，定期洒水抑尘；运输车辆采用全封闭厢式车，</w:t>
                  </w:r>
                  <w:r>
                    <w:rPr>
                      <w:rFonts w:hint="eastAsia" w:cs="Times New Roman"/>
                      <w:color w:val="auto"/>
                      <w:kern w:val="2"/>
                      <w:sz w:val="21"/>
                      <w:szCs w:val="21"/>
                      <w:highlight w:val="none"/>
                      <w:lang w:val="en-US" w:eastAsia="zh-CN" w:bidi="ar-SA"/>
                    </w:rPr>
                    <w:t>篷布苫盖，</w:t>
                  </w:r>
                  <w:r>
                    <w:rPr>
                      <w:rFonts w:hint="default" w:ascii="Times New Roman" w:hAnsi="Times New Roman" w:eastAsia="宋体" w:cs="Times New Roman"/>
                      <w:color w:val="auto"/>
                      <w:kern w:val="2"/>
                      <w:sz w:val="21"/>
                      <w:szCs w:val="21"/>
                      <w:highlight w:val="none"/>
                      <w:lang w:val="en-US" w:eastAsia="zh-CN" w:bidi="ar-SA"/>
                    </w:rPr>
                    <w:t>车辆离开厂区轮胎清洗后方可上路</w:t>
                  </w:r>
                </w:p>
              </w:tc>
              <w:tc>
                <w:tcPr>
                  <w:tcW w:w="34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8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30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7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r>
                    <w:rPr>
                      <w:rFonts w:hint="eastAsia" w:ascii="Times New Roman" w:hAnsi="Times New Roman" w:cs="Times New Roman"/>
                      <w:color w:val="auto"/>
                      <w:kern w:val="2"/>
                      <w:sz w:val="21"/>
                      <w:szCs w:val="21"/>
                      <w:highlight w:val="none"/>
                      <w:lang w:val="en-US" w:eastAsia="zh-CN" w:bidi="ar-SA"/>
                    </w:rPr>
                    <w:t>191</w:t>
                  </w:r>
                </w:p>
              </w:tc>
              <w:tc>
                <w:tcPr>
                  <w:tcW w:w="26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27"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3"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39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物料运输转载废气</w:t>
                  </w:r>
                </w:p>
              </w:tc>
              <w:tc>
                <w:tcPr>
                  <w:tcW w:w="282"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331" w:type="pct"/>
                  <w:tcBorders>
                    <w:tl2br w:val="nil"/>
                    <w:tr2bl w:val="nil"/>
                  </w:tcBorders>
                  <w:vAlign w:val="center"/>
                </w:tcPr>
                <w:p>
                  <w:pPr>
                    <w:keepNext w:val="0"/>
                    <w:keepLines w:val="0"/>
                    <w:pageBreakBefore w:val="0"/>
                    <w:widowControl/>
                    <w:suppressLineNumbers w:val="0"/>
                    <w:kinsoku/>
                    <w:overflowPunct/>
                    <w:topLinePunct w:val="0"/>
                    <w:autoSpaceDE/>
                    <w:autoSpaceDN/>
                    <w:bidi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仿宋" w:cs="Times New Roman"/>
                      <w:i w:val="0"/>
                      <w:iCs w:val="0"/>
                      <w:color w:val="auto"/>
                      <w:kern w:val="0"/>
                      <w:sz w:val="21"/>
                      <w:szCs w:val="21"/>
                      <w:highlight w:val="none"/>
                      <w:u w:val="none"/>
                      <w:lang w:val="en-US" w:eastAsia="zh-CN"/>
                    </w:rPr>
                    <w:t>/</w:t>
                  </w:r>
                </w:p>
              </w:tc>
              <w:tc>
                <w:tcPr>
                  <w:tcW w:w="30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26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r>
                    <w:rPr>
                      <w:rFonts w:hint="default" w:ascii="Times New Roman" w:hAnsi="Times New Roman" w:eastAsia="宋体" w:cs="Times New Roman"/>
                      <w:color w:val="auto"/>
                      <w:kern w:val="2"/>
                      <w:sz w:val="21"/>
                      <w:szCs w:val="21"/>
                      <w:highlight w:val="none"/>
                      <w:lang w:val="en-US" w:eastAsia="zh-CN" w:bidi="ar-SA"/>
                    </w:rPr>
                    <w:t>组织</w:t>
                  </w:r>
                </w:p>
              </w:tc>
              <w:tc>
                <w:tcPr>
                  <w:tcW w:w="1233" w:type="pct"/>
                  <w:gridSpan w:val="4"/>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18"/>
                      <w:highlight w:val="none"/>
                      <w:lang w:val="en-US" w:eastAsia="zh-CN" w:bidi="ar-SA"/>
                    </w:rPr>
                  </w:pPr>
                  <w:r>
                    <w:rPr>
                      <w:rFonts w:hint="eastAsia"/>
                      <w:color w:val="auto"/>
                      <w:sz w:val="21"/>
                      <w:szCs w:val="18"/>
                      <w:highlight w:val="none"/>
                      <w:lang w:val="en-US" w:eastAsia="zh-CN" w:bidi="ar"/>
                    </w:rPr>
                    <w:t>物料运输采用皮带输送机、螺旋输送机和提升机均为全封闭式，运输转载粉尘就近接入相应的除尘器中</w:t>
                  </w:r>
                </w:p>
              </w:tc>
              <w:tc>
                <w:tcPr>
                  <w:tcW w:w="349"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是</w:t>
                  </w:r>
                </w:p>
              </w:tc>
              <w:tc>
                <w:tcPr>
                  <w:tcW w:w="32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8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308"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74"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66"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227"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Times New Roman" w:hAnsi="Times New Roman" w:eastAsia="宋体" w:cs="Times New Roman"/>
                <w:b/>
                <w:bCs w:val="0"/>
                <w:color w:val="auto"/>
                <w:spacing w:val="-10"/>
                <w:sz w:val="24"/>
                <w:szCs w:val="24"/>
                <w:highlight w:val="none"/>
                <w:vertAlign w:val="baseline"/>
                <w:lang w:val="en-US" w:eastAsia="zh-CN"/>
              </w:rPr>
            </w:pPr>
          </w:p>
        </w:tc>
      </w:tr>
    </w:tbl>
    <w:p>
      <w:pPr>
        <w:pStyle w:val="20"/>
        <w:spacing w:before="0" w:beforeAutospacing="0" w:after="0" w:afterAutospacing="0"/>
        <w:jc w:val="center"/>
        <w:outlineLvl w:val="0"/>
        <w:rPr>
          <w:rFonts w:hint="eastAsia" w:ascii="黑体" w:hAnsi="黑体" w:eastAsia="黑体"/>
          <w:color w:val="auto"/>
          <w:sz w:val="30"/>
          <w:szCs w:val="30"/>
          <w:highlight w:val="none"/>
        </w:rPr>
        <w:sectPr>
          <w:pgSz w:w="16838" w:h="11906" w:orient="landscape"/>
          <w:pgMar w:top="1531" w:right="1701" w:bottom="1531" w:left="1701" w:header="1134" w:footer="992" w:gutter="0"/>
          <w:pgBorders>
            <w:top w:val="none" w:sz="0" w:space="0"/>
            <w:left w:val="none" w:sz="0" w:space="0"/>
            <w:bottom w:val="none" w:sz="0" w:space="0"/>
            <w:right w:val="none" w:sz="0" w:space="0"/>
          </w:pgBorders>
          <w:cols w:space="425" w:num="1"/>
          <w:docGrid w:type="lines" w:linePitch="312" w:charSpace="0"/>
        </w:sectPr>
      </w:pPr>
    </w:p>
    <w:bookmarkEnd w:id="11"/>
    <w:tbl>
      <w:tblPr>
        <w:tblStyle w:val="28"/>
        <w:tblW w:w="92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85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86" w:type="dxa"/>
            <w:tcMar>
              <w:left w:w="28" w:type="dxa"/>
              <w:right w:w="28" w:type="dxa"/>
            </w:tcMar>
            <w:vAlign w:val="center"/>
          </w:tcPr>
          <w:p>
            <w:pPr>
              <w:adjustRightInd w:val="0"/>
              <w:snapToGrid w:val="0"/>
              <w:jc w:val="center"/>
              <w:rPr>
                <w:rFonts w:ascii="宋体" w:hAnsi="宋体" w:cs="宋体"/>
                <w:b w:val="0"/>
                <w:bCs/>
                <w:color w:val="auto"/>
                <w:highlight w:val="none"/>
              </w:rPr>
            </w:pPr>
            <w:r>
              <w:rPr>
                <w:rFonts w:hint="eastAsia" w:ascii="宋体" w:hAnsi="宋体" w:cs="宋体"/>
                <w:b w:val="0"/>
                <w:bCs/>
                <w:color w:val="auto"/>
                <w:sz w:val="24"/>
                <w:szCs w:val="24"/>
                <w:highlight w:val="none"/>
              </w:rPr>
              <w:t>运营期环境影响和保护措施</w:t>
            </w:r>
          </w:p>
        </w:tc>
        <w:tc>
          <w:tcPr>
            <w:tcW w:w="857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lang w:val="en-US" w:eastAsia="zh-CN"/>
              </w:rPr>
              <w:t>污染物源强计算及防治措施</w:t>
            </w:r>
          </w:p>
          <w:p>
            <w:pPr>
              <w:adjustRightInd w:val="0"/>
              <w:snapToGrid w:val="0"/>
              <w:spacing w:line="480" w:lineRule="exact"/>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G1：原料堆放及装卸废气</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eastAsia="zh-CN"/>
              </w:rPr>
            </w:pPr>
            <w:r>
              <w:rPr>
                <w:rFonts w:hint="eastAsia"/>
                <w:color w:val="auto"/>
                <w:sz w:val="24"/>
                <w:highlight w:val="none"/>
                <w:lang w:val="en-US" w:eastAsia="zh-CN"/>
              </w:rPr>
              <w:t>物</w:t>
            </w:r>
            <w:r>
              <w:rPr>
                <w:rFonts w:hint="default" w:ascii="Times New Roman" w:hAnsi="Times New Roman"/>
                <w:color w:val="auto"/>
                <w:sz w:val="24"/>
                <w:highlight w:val="none"/>
                <w:lang w:val="en-US" w:eastAsia="zh-CN"/>
              </w:rPr>
              <w:t>料堆存、装卸粉尘产生量计算根据《固体物料堆存粉尘产排污核算系数手册》</w:t>
            </w:r>
            <w:r>
              <w:rPr>
                <w:rFonts w:hint="default" w:ascii="Times New Roman" w:hAnsi="Times New Roman"/>
                <w:color w:val="auto"/>
                <w:sz w:val="24"/>
                <w:highlight w:val="none"/>
                <w:lang w:eastAsia="zh-CN"/>
              </w:rPr>
              <w:t>，计算公式如下：</w:t>
            </w:r>
          </w:p>
          <w:p>
            <w:pPr>
              <w:pStyle w:val="4"/>
              <w:keepNext w:val="0"/>
              <w:keepLines w:val="0"/>
              <w:suppressLineNumbers w:val="0"/>
              <w:spacing w:before="0" w:beforeAutospacing="0" w:after="0" w:afterAutospacing="0" w:line="480" w:lineRule="exact"/>
              <w:ind w:left="0" w:right="0" w:firstLine="0" w:firstLineChars="0"/>
              <w:jc w:val="center"/>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P=ZC</w:t>
            </w:r>
            <w:r>
              <w:rPr>
                <w:rFonts w:hint="default" w:ascii="Times New Roman" w:hAnsi="Times New Roman"/>
                <w:color w:val="auto"/>
                <w:sz w:val="24"/>
                <w:highlight w:val="none"/>
                <w:vertAlign w:val="subscript"/>
                <w:lang w:val="en-US" w:eastAsia="zh-CN"/>
              </w:rPr>
              <w:t>y</w:t>
            </w:r>
            <w:r>
              <w:rPr>
                <w:rFonts w:hint="default" w:ascii="Times New Roman" w:hAnsi="Times New Roman"/>
                <w:color w:val="auto"/>
                <w:sz w:val="24"/>
                <w:highlight w:val="none"/>
                <w:lang w:val="en-US" w:eastAsia="zh-CN"/>
              </w:rPr>
              <w:t>+FC</w:t>
            </w:r>
            <w:r>
              <w:rPr>
                <w:rFonts w:hint="default" w:ascii="Times New Roman" w:hAnsi="Times New Roman"/>
                <w:color w:val="auto"/>
                <w:sz w:val="24"/>
                <w:highlight w:val="none"/>
                <w:vertAlign w:val="subscript"/>
                <w:lang w:val="en-US" w:eastAsia="zh-CN"/>
              </w:rPr>
              <w:t>y</w:t>
            </w:r>
            <w:r>
              <w:rPr>
                <w:rFonts w:hint="default" w:ascii="Times New Roman" w:hAnsi="Times New Roman"/>
                <w:color w:val="auto"/>
                <w:sz w:val="24"/>
                <w:highlight w:val="none"/>
                <w:lang w:val="en-US" w:eastAsia="zh-CN"/>
              </w:rPr>
              <w:t>={N</w:t>
            </w:r>
            <w:r>
              <w:rPr>
                <w:rFonts w:hint="default" w:ascii="Times New Roman" w:hAnsi="Times New Roman"/>
                <w:color w:val="auto"/>
                <w:sz w:val="24"/>
                <w:highlight w:val="none"/>
                <w:vertAlign w:val="subscript"/>
                <w:lang w:val="en-US" w:eastAsia="zh-CN"/>
              </w:rPr>
              <w:t>c</w:t>
            </w:r>
            <w:r>
              <w:rPr>
                <w:rFonts w:hint="default" w:ascii="Times New Roman" w:hAnsi="Times New Roman"/>
                <w:color w:val="auto"/>
                <w:sz w:val="24"/>
                <w:highlight w:val="none"/>
                <w:lang w:val="en-US" w:eastAsia="zh-CN"/>
              </w:rPr>
              <w:t>×D×</w:t>
            </w:r>
            <w:r>
              <w:rPr>
                <w:rFonts w:hint="eastAsia"/>
                <w:color w:val="auto"/>
                <w:sz w:val="24"/>
                <w:highlight w:val="none"/>
                <w:lang w:val="en-US" w:eastAsia="zh-CN"/>
              </w:rPr>
              <w:t>（</w:t>
            </w:r>
            <w:r>
              <w:rPr>
                <w:rFonts w:hint="default" w:ascii="Times New Roman" w:hAnsi="Times New Roman"/>
                <w:color w:val="auto"/>
                <w:sz w:val="24"/>
                <w:highlight w:val="none"/>
                <w:lang w:val="en-US" w:eastAsia="zh-CN"/>
              </w:rPr>
              <w:t>a/b</w:t>
            </w:r>
            <w:r>
              <w:rPr>
                <w:rFonts w:hint="eastAsia"/>
                <w:color w:val="auto"/>
                <w:sz w:val="24"/>
                <w:highlight w:val="none"/>
                <w:lang w:val="en-US" w:eastAsia="zh-CN"/>
              </w:rPr>
              <w:t>）</w:t>
            </w:r>
            <w:r>
              <w:rPr>
                <w:rFonts w:hint="default" w:ascii="Times New Roman" w:hAnsi="Times New Roman"/>
                <w:color w:val="auto"/>
                <w:sz w:val="24"/>
                <w:highlight w:val="none"/>
                <w:lang w:val="en-US" w:eastAsia="zh-CN"/>
              </w:rPr>
              <w:t>+2×E</w:t>
            </w:r>
            <w:r>
              <w:rPr>
                <w:rFonts w:hint="default" w:ascii="Times New Roman" w:hAnsi="Times New Roman"/>
                <w:color w:val="auto"/>
                <w:sz w:val="24"/>
                <w:highlight w:val="none"/>
                <w:vertAlign w:val="subscript"/>
                <w:lang w:val="en-US" w:eastAsia="zh-CN"/>
              </w:rPr>
              <w:t>f</w:t>
            </w:r>
            <w:r>
              <w:rPr>
                <w:rFonts w:hint="default" w:ascii="Times New Roman" w:hAnsi="Times New Roman"/>
                <w:color w:val="auto"/>
                <w:sz w:val="24"/>
                <w:highlight w:val="none"/>
                <w:lang w:val="en-US" w:eastAsia="zh-CN"/>
              </w:rPr>
              <w:t>×S}×10</w:t>
            </w:r>
            <w:r>
              <w:rPr>
                <w:rFonts w:hint="default" w:ascii="Times New Roman" w:hAnsi="Times New Roman"/>
                <w:color w:val="auto"/>
                <w:sz w:val="24"/>
                <w:highlight w:val="none"/>
                <w:vertAlign w:val="superscript"/>
                <w:lang w:val="en-US" w:eastAsia="zh-CN"/>
              </w:rPr>
              <w:t>-3</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式中：</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P—粉尘产生量，t/a；</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ZC</w:t>
            </w:r>
            <w:r>
              <w:rPr>
                <w:rFonts w:hint="default" w:ascii="Times New Roman" w:hAnsi="Times New Roman"/>
                <w:color w:val="auto"/>
                <w:sz w:val="24"/>
                <w:highlight w:val="none"/>
                <w:vertAlign w:val="subscript"/>
                <w:lang w:val="en-US" w:eastAsia="zh-CN"/>
              </w:rPr>
              <w:t>y</w:t>
            </w:r>
            <w:r>
              <w:rPr>
                <w:rFonts w:hint="default" w:ascii="Times New Roman" w:hAnsi="Times New Roman"/>
                <w:color w:val="auto"/>
                <w:sz w:val="24"/>
                <w:highlight w:val="none"/>
                <w:lang w:val="en-US" w:eastAsia="zh-CN"/>
              </w:rPr>
              <w:t>—装卸扬尘产生量，t/a；</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FC</w:t>
            </w:r>
            <w:r>
              <w:rPr>
                <w:rFonts w:hint="default" w:ascii="Times New Roman" w:hAnsi="Times New Roman"/>
                <w:color w:val="auto"/>
                <w:sz w:val="24"/>
                <w:highlight w:val="none"/>
                <w:vertAlign w:val="subscript"/>
                <w:lang w:val="en-US" w:eastAsia="zh-CN"/>
              </w:rPr>
              <w:t>y</w:t>
            </w:r>
            <w:r>
              <w:rPr>
                <w:rFonts w:hint="default" w:ascii="Times New Roman" w:hAnsi="Times New Roman"/>
                <w:color w:val="auto"/>
                <w:sz w:val="24"/>
                <w:highlight w:val="none"/>
                <w:lang w:val="en-US" w:eastAsia="zh-CN"/>
              </w:rPr>
              <w:t>—风蚀扬尘产生量，t/a；</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N</w:t>
            </w:r>
            <w:r>
              <w:rPr>
                <w:rFonts w:hint="default" w:ascii="Times New Roman" w:hAnsi="Times New Roman"/>
                <w:color w:val="auto"/>
                <w:sz w:val="24"/>
                <w:highlight w:val="none"/>
                <w:vertAlign w:val="subscript"/>
                <w:lang w:val="en-US" w:eastAsia="zh-CN"/>
              </w:rPr>
              <w:t>c</w:t>
            </w:r>
            <w:r>
              <w:rPr>
                <w:rFonts w:hint="default" w:ascii="Times New Roman" w:hAnsi="Times New Roman"/>
                <w:color w:val="auto"/>
                <w:sz w:val="24"/>
                <w:highlight w:val="none"/>
                <w:lang w:val="en-US" w:eastAsia="zh-CN"/>
              </w:rPr>
              <w:t>—年物料运载车次，车；</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D—单车平均运载量，t/车；（N</w:t>
            </w:r>
            <w:r>
              <w:rPr>
                <w:rFonts w:hint="default" w:ascii="Times New Roman" w:hAnsi="Times New Roman"/>
                <w:color w:val="auto"/>
                <w:sz w:val="24"/>
                <w:highlight w:val="none"/>
                <w:vertAlign w:val="subscript"/>
                <w:lang w:val="en-US" w:eastAsia="zh-CN"/>
              </w:rPr>
              <w:t>c</w:t>
            </w:r>
            <w:r>
              <w:rPr>
                <w:rFonts w:hint="default" w:ascii="Times New Roman" w:hAnsi="Times New Roman"/>
                <w:color w:val="auto"/>
                <w:sz w:val="24"/>
                <w:highlight w:val="none"/>
                <w:lang w:val="en-US" w:eastAsia="zh-CN"/>
              </w:rPr>
              <w:t>×D）；</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eastAsia"/>
                <w:color w:val="auto"/>
                <w:sz w:val="24"/>
                <w:highlight w:val="none"/>
                <w:lang w:val="en-US" w:eastAsia="zh-CN"/>
              </w:rPr>
              <w:t>（</w:t>
            </w:r>
            <w:r>
              <w:rPr>
                <w:rFonts w:hint="default" w:ascii="Times New Roman" w:hAnsi="Times New Roman"/>
                <w:color w:val="auto"/>
                <w:sz w:val="24"/>
                <w:highlight w:val="none"/>
                <w:lang w:val="en-US" w:eastAsia="zh-CN"/>
              </w:rPr>
              <w:t>a/b</w:t>
            </w:r>
            <w:r>
              <w:rPr>
                <w:rFonts w:hint="eastAsia"/>
                <w:color w:val="auto"/>
                <w:sz w:val="24"/>
                <w:highlight w:val="none"/>
                <w:lang w:val="en-US" w:eastAsia="zh-CN"/>
              </w:rPr>
              <w:t>）</w:t>
            </w:r>
            <w:r>
              <w:rPr>
                <w:rFonts w:hint="default" w:ascii="Times New Roman" w:hAnsi="Times New Roman"/>
                <w:color w:val="auto"/>
                <w:sz w:val="24"/>
                <w:highlight w:val="none"/>
                <w:lang w:val="en-US" w:eastAsia="zh-CN"/>
              </w:rPr>
              <w:t>—装卸扬尘概化系数，kg/m</w:t>
            </w:r>
            <w:r>
              <w:rPr>
                <w:rFonts w:hint="default" w:ascii="Times New Roman" w:hAnsi="Times New Roman"/>
                <w:color w:val="auto"/>
                <w:sz w:val="24"/>
                <w:highlight w:val="none"/>
                <w:vertAlign w:val="superscript"/>
                <w:lang w:val="en-US" w:eastAsia="zh-CN"/>
              </w:rPr>
              <w:t>2</w:t>
            </w:r>
            <w:r>
              <w:rPr>
                <w:rFonts w:hint="default" w:ascii="Times New Roman" w:hAnsi="Times New Roman"/>
                <w:color w:val="auto"/>
                <w:sz w:val="24"/>
                <w:highlight w:val="none"/>
                <w:lang w:val="en-US" w:eastAsia="zh-CN"/>
              </w:rPr>
              <w:t>；a取0.001，b取0.0049；</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S—堆场占地面积，m</w:t>
            </w:r>
            <w:r>
              <w:rPr>
                <w:rFonts w:hint="default" w:ascii="Times New Roman" w:hAnsi="Times New Roman"/>
                <w:color w:val="auto"/>
                <w:sz w:val="24"/>
                <w:highlight w:val="none"/>
                <w:vertAlign w:val="superscript"/>
                <w:lang w:val="en-US" w:eastAsia="zh-CN"/>
              </w:rPr>
              <w:t>2</w:t>
            </w:r>
            <w:r>
              <w:rPr>
                <w:rFonts w:hint="default" w:ascii="Times New Roman" w:hAnsi="Times New Roman"/>
                <w:color w:val="auto"/>
                <w:sz w:val="24"/>
                <w:highlight w:val="none"/>
                <w:lang w:val="en-US" w:eastAsia="zh-CN"/>
              </w:rPr>
              <w:t>；</w:t>
            </w:r>
            <w:r>
              <w:rPr>
                <w:rFonts w:hint="eastAsia" w:ascii="Times New Roman" w:hAnsi="Times New Roman"/>
                <w:color w:val="auto"/>
                <w:sz w:val="24"/>
                <w:highlight w:val="none"/>
                <w:lang w:val="en-US" w:eastAsia="zh-CN"/>
              </w:rPr>
              <w:t>原料</w:t>
            </w:r>
            <w:r>
              <w:rPr>
                <w:rFonts w:hint="eastAsia"/>
                <w:color w:val="auto"/>
                <w:sz w:val="24"/>
                <w:highlight w:val="none"/>
                <w:lang w:val="en-US" w:eastAsia="zh-CN"/>
              </w:rPr>
              <w:t>堆放区20</w:t>
            </w:r>
            <w:r>
              <w:rPr>
                <w:rFonts w:hint="eastAsia" w:ascii="Times New Roman" w:hAnsi="Times New Roman"/>
                <w:color w:val="auto"/>
                <w:sz w:val="24"/>
                <w:highlight w:val="none"/>
                <w:lang w:val="en-US" w:eastAsia="zh-CN"/>
              </w:rPr>
              <w:t>0</w:t>
            </w:r>
            <w:r>
              <w:rPr>
                <w:rFonts w:hint="default" w:ascii="Times New Roman" w:hAnsi="Times New Roman"/>
                <w:color w:val="auto"/>
                <w:sz w:val="24"/>
                <w:highlight w:val="none"/>
                <w:lang w:val="en-US" w:eastAsia="zh-CN"/>
              </w:rPr>
              <w:t>0m</w:t>
            </w:r>
            <w:r>
              <w:rPr>
                <w:rFonts w:hint="default" w:ascii="Times New Roman" w:hAnsi="Times New Roman"/>
                <w:color w:val="auto"/>
                <w:sz w:val="24"/>
                <w:highlight w:val="none"/>
                <w:vertAlign w:val="superscript"/>
                <w:lang w:val="en-US" w:eastAsia="zh-CN"/>
              </w:rPr>
              <w:t>2</w:t>
            </w:r>
            <w:r>
              <w:rPr>
                <w:rFonts w:hint="default" w:ascii="Times New Roman" w:hAnsi="Times New Roman"/>
                <w:color w:val="auto"/>
                <w:sz w:val="24"/>
                <w:highlight w:val="none"/>
                <w:lang w:val="en-US" w:eastAsia="zh-CN"/>
              </w:rPr>
              <w:t>；</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vertAlign w:val="superscript"/>
                <w:lang w:val="en-US" w:eastAsia="zh-CN"/>
              </w:rPr>
            </w:pPr>
            <w:r>
              <w:rPr>
                <w:rFonts w:hint="default" w:ascii="Times New Roman" w:hAnsi="Times New Roman"/>
                <w:color w:val="auto"/>
                <w:sz w:val="24"/>
                <w:highlight w:val="none"/>
                <w:lang w:val="en-US" w:eastAsia="zh-CN"/>
              </w:rPr>
              <w:t>E</w:t>
            </w:r>
            <w:r>
              <w:rPr>
                <w:rFonts w:hint="default" w:ascii="Times New Roman" w:hAnsi="Times New Roman"/>
                <w:color w:val="auto"/>
                <w:sz w:val="24"/>
                <w:highlight w:val="none"/>
                <w:vertAlign w:val="subscript"/>
                <w:lang w:val="en-US" w:eastAsia="zh-CN"/>
              </w:rPr>
              <w:t>f</w:t>
            </w:r>
            <w:r>
              <w:rPr>
                <w:rFonts w:hint="default" w:ascii="Times New Roman" w:hAnsi="Times New Roman"/>
                <w:color w:val="auto"/>
                <w:sz w:val="24"/>
                <w:highlight w:val="none"/>
                <w:lang w:val="en-US" w:eastAsia="zh-CN"/>
              </w:rPr>
              <w:t>—堆场风蚀扬尘概化系数，kg/m</w:t>
            </w:r>
            <w:r>
              <w:rPr>
                <w:rFonts w:hint="default" w:ascii="Times New Roman" w:hAnsi="Times New Roman"/>
                <w:color w:val="auto"/>
                <w:sz w:val="24"/>
                <w:highlight w:val="none"/>
                <w:vertAlign w:val="superscript"/>
                <w:lang w:val="en-US" w:eastAsia="zh-CN"/>
              </w:rPr>
              <w:t>2</w:t>
            </w:r>
            <w:r>
              <w:rPr>
                <w:rFonts w:hint="default" w:ascii="Times New Roman" w:hAnsi="Times New Roman"/>
                <w:color w:val="auto"/>
                <w:sz w:val="24"/>
                <w:highlight w:val="none"/>
                <w:lang w:val="en-US" w:eastAsia="zh-CN"/>
              </w:rPr>
              <w:t>，取30.6582</w:t>
            </w:r>
            <w:r>
              <w:rPr>
                <w:rFonts w:hint="eastAsia"/>
                <w:color w:val="auto"/>
                <w:sz w:val="24"/>
                <w:highlight w:val="none"/>
                <w:lang w:val="en-US" w:eastAsia="zh-CN"/>
              </w:rPr>
              <w:t>；</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查手册选取对应参数，计算如下：</w:t>
            </w:r>
          </w:p>
          <w:p>
            <w:pPr>
              <w:pStyle w:val="4"/>
              <w:keepNext w:val="0"/>
              <w:keepLines w:val="0"/>
              <w:suppressLineNumbers w:val="0"/>
              <w:spacing w:before="0" w:beforeAutospacing="0" w:after="0" w:afterAutospacing="0" w:line="480" w:lineRule="exact"/>
              <w:ind w:left="0" w:right="0" w:firstLine="480"/>
              <w:jc w:val="left"/>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原料</w:t>
            </w:r>
            <w:r>
              <w:rPr>
                <w:rFonts w:hint="eastAsia"/>
                <w:color w:val="auto"/>
                <w:sz w:val="24"/>
                <w:highlight w:val="none"/>
                <w:lang w:val="en-US" w:eastAsia="zh-CN"/>
              </w:rPr>
              <w:t>库</w:t>
            </w:r>
            <w:r>
              <w:rPr>
                <w:rFonts w:hint="default" w:ascii="Times New Roman" w:hAnsi="Times New Roman"/>
                <w:color w:val="auto"/>
                <w:sz w:val="24"/>
                <w:highlight w:val="none"/>
                <w:lang w:val="en-US" w:eastAsia="zh-CN"/>
              </w:rPr>
              <w:t>堆存装卸粉尘产生量</w:t>
            </w:r>
          </w:p>
          <w:p>
            <w:pPr>
              <w:pStyle w:val="4"/>
              <w:keepNext w:val="0"/>
              <w:keepLines w:val="0"/>
              <w:suppressLineNumbers w:val="0"/>
              <w:spacing w:before="0" w:beforeAutospacing="0" w:after="0" w:afterAutospacing="0" w:line="480" w:lineRule="exact"/>
              <w:ind w:left="0" w:right="0" w:firstLine="480"/>
              <w:jc w:val="left"/>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P={</w:t>
            </w:r>
            <w:r>
              <w:rPr>
                <w:rFonts w:hint="eastAsia"/>
                <w:color w:val="auto"/>
                <w:sz w:val="24"/>
                <w:highlight w:val="none"/>
                <w:lang w:val="en-US" w:eastAsia="zh-CN"/>
              </w:rPr>
              <w:t>1500000</w:t>
            </w:r>
            <w:r>
              <w:rPr>
                <w:rFonts w:hint="default" w:ascii="Times New Roman" w:hAnsi="Times New Roman"/>
                <w:color w:val="auto"/>
                <w:sz w:val="24"/>
                <w:highlight w:val="none"/>
                <w:lang w:val="en-US" w:eastAsia="zh-CN"/>
              </w:rPr>
              <w:t>×</w:t>
            </w:r>
            <w:r>
              <w:rPr>
                <w:rFonts w:hint="eastAsia"/>
                <w:color w:val="auto"/>
                <w:sz w:val="24"/>
                <w:highlight w:val="none"/>
                <w:lang w:val="en-US" w:eastAsia="zh-CN"/>
              </w:rPr>
              <w:t>（</w:t>
            </w:r>
            <w:r>
              <w:rPr>
                <w:rFonts w:hint="default" w:ascii="Times New Roman" w:hAnsi="Times New Roman"/>
                <w:color w:val="auto"/>
                <w:sz w:val="24"/>
                <w:highlight w:val="none"/>
                <w:lang w:val="en-US" w:eastAsia="zh-CN"/>
              </w:rPr>
              <w:t>0.001/0.0049</w:t>
            </w:r>
            <w:r>
              <w:rPr>
                <w:rFonts w:hint="eastAsia"/>
                <w:color w:val="auto"/>
                <w:sz w:val="24"/>
                <w:highlight w:val="none"/>
                <w:lang w:val="en-US" w:eastAsia="zh-CN"/>
              </w:rPr>
              <w:t>）</w:t>
            </w:r>
            <w:r>
              <w:rPr>
                <w:rFonts w:hint="default" w:ascii="Times New Roman" w:hAnsi="Times New Roman"/>
                <w:color w:val="auto"/>
                <w:sz w:val="24"/>
                <w:highlight w:val="none"/>
                <w:lang w:val="en-US" w:eastAsia="zh-CN"/>
              </w:rPr>
              <w:t>+2×30.6582×</w:t>
            </w:r>
            <w:r>
              <w:rPr>
                <w:rFonts w:hint="eastAsia"/>
                <w:color w:val="auto"/>
                <w:sz w:val="24"/>
                <w:highlight w:val="none"/>
                <w:lang w:val="en-US" w:eastAsia="zh-CN"/>
              </w:rPr>
              <w:t>20</w:t>
            </w:r>
            <w:r>
              <w:rPr>
                <w:rFonts w:hint="eastAsia" w:ascii="Times New Roman" w:hAnsi="Times New Roman"/>
                <w:color w:val="auto"/>
                <w:sz w:val="24"/>
                <w:highlight w:val="none"/>
                <w:lang w:val="en-US" w:eastAsia="zh-CN"/>
              </w:rPr>
              <w:t>0</w:t>
            </w:r>
            <w:r>
              <w:rPr>
                <w:rFonts w:hint="default" w:ascii="Times New Roman" w:hAnsi="Times New Roman"/>
                <w:color w:val="auto"/>
                <w:sz w:val="24"/>
                <w:highlight w:val="none"/>
                <w:lang w:val="en-US" w:eastAsia="zh-CN"/>
              </w:rPr>
              <w:t>0}×10</w:t>
            </w:r>
            <w:r>
              <w:rPr>
                <w:rFonts w:hint="default" w:ascii="Times New Roman" w:hAnsi="Times New Roman"/>
                <w:color w:val="auto"/>
                <w:sz w:val="24"/>
                <w:highlight w:val="none"/>
                <w:vertAlign w:val="superscript"/>
                <w:lang w:val="en-US" w:eastAsia="zh-CN"/>
              </w:rPr>
              <w:t>-3</w:t>
            </w:r>
            <w:r>
              <w:rPr>
                <w:rFonts w:hint="default" w:ascii="Times New Roman" w:hAnsi="Times New Roman"/>
                <w:color w:val="auto"/>
                <w:sz w:val="24"/>
                <w:highlight w:val="none"/>
                <w:lang w:val="en-US" w:eastAsia="zh-CN"/>
              </w:rPr>
              <w:t>=</w:t>
            </w:r>
            <w:r>
              <w:rPr>
                <w:rFonts w:hint="eastAsia"/>
                <w:color w:val="auto"/>
                <w:sz w:val="24"/>
                <w:highlight w:val="none"/>
                <w:lang w:val="en-US" w:eastAsia="zh-CN"/>
              </w:rPr>
              <w:t>428.76</w:t>
            </w:r>
            <w:r>
              <w:rPr>
                <w:rFonts w:hint="default" w:ascii="Times New Roman" w:hAnsi="Times New Roman"/>
                <w:color w:val="auto"/>
                <w:sz w:val="24"/>
                <w:highlight w:val="none"/>
                <w:lang w:val="en-US" w:eastAsia="zh-CN"/>
              </w:rPr>
              <w:t>t/a；</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eastAsia="zh-CN"/>
              </w:rPr>
            </w:pPr>
            <w:r>
              <w:rPr>
                <w:rFonts w:hint="default" w:ascii="Times New Roman" w:hAnsi="Times New Roman"/>
                <w:color w:val="auto"/>
                <w:sz w:val="24"/>
                <w:highlight w:val="none"/>
                <w:lang w:eastAsia="zh-CN"/>
              </w:rPr>
              <w:t>经计算，</w:t>
            </w:r>
            <w:r>
              <w:rPr>
                <w:rFonts w:hint="eastAsia" w:ascii="Times New Roman" w:hAnsi="Times New Roman"/>
                <w:color w:val="auto"/>
                <w:sz w:val="24"/>
                <w:highlight w:val="none"/>
                <w:lang w:val="en-US" w:eastAsia="zh-CN"/>
              </w:rPr>
              <w:t>原料</w:t>
            </w:r>
            <w:r>
              <w:rPr>
                <w:rFonts w:hint="eastAsia"/>
                <w:color w:val="auto"/>
                <w:sz w:val="24"/>
                <w:highlight w:val="none"/>
                <w:lang w:val="en-US" w:eastAsia="zh-CN"/>
              </w:rPr>
              <w:t>堆放区</w:t>
            </w:r>
            <w:r>
              <w:rPr>
                <w:rFonts w:hint="default" w:ascii="Times New Roman" w:hAnsi="Times New Roman"/>
                <w:color w:val="auto"/>
                <w:sz w:val="24"/>
                <w:highlight w:val="none"/>
                <w:lang w:val="en-US" w:eastAsia="zh-CN"/>
              </w:rPr>
              <w:t>堆存装卸粉尘</w:t>
            </w:r>
            <w:r>
              <w:rPr>
                <w:rFonts w:hint="default" w:ascii="Times New Roman" w:hAnsi="Times New Roman"/>
                <w:color w:val="auto"/>
                <w:sz w:val="24"/>
                <w:highlight w:val="none"/>
                <w:lang w:eastAsia="zh-CN"/>
              </w:rPr>
              <w:t>为</w:t>
            </w:r>
            <w:r>
              <w:rPr>
                <w:rFonts w:hint="eastAsia"/>
                <w:color w:val="auto"/>
                <w:sz w:val="24"/>
                <w:highlight w:val="none"/>
                <w:lang w:val="en-US" w:eastAsia="zh-CN"/>
              </w:rPr>
              <w:t>428.76</w:t>
            </w:r>
            <w:r>
              <w:rPr>
                <w:rFonts w:hint="default" w:ascii="Times New Roman" w:hAnsi="Times New Roman"/>
                <w:color w:val="auto"/>
                <w:sz w:val="24"/>
                <w:highlight w:val="none"/>
                <w:lang w:eastAsia="zh-CN"/>
              </w:rPr>
              <w:t>t/a。</w:t>
            </w:r>
          </w:p>
          <w:p>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auto"/>
                <w:sz w:val="24"/>
                <w:szCs w:val="24"/>
                <w:highlight w:val="none"/>
                <w:lang w:val="en-US" w:eastAsia="zh-CN"/>
              </w:rPr>
            </w:pPr>
            <w:r>
              <w:rPr>
                <w:rFonts w:hint="default" w:ascii="Times New Roman Regular" w:hAnsi="Times New Roman Regular" w:cs="Times New Roman Regular"/>
                <w:bCs/>
                <w:color w:val="auto"/>
                <w:sz w:val="24"/>
                <w:highlight w:val="none"/>
              </w:rPr>
              <w:t>根据《中华人民共和国大气污染防治法》（2015年修订）“第七十二条贮存煤炭、煤矸石、煤渣、煤灰、水泥、石灰、石膏、砂土等易产生扬尘的物料应当密闭；不能密闭的</w:t>
            </w:r>
            <w:r>
              <w:rPr>
                <w:rFonts w:hint="default" w:ascii="Times New Roman Regular" w:hAnsi="Times New Roman Regular" w:cs="Times New Roman Regular"/>
                <w:color w:val="auto"/>
                <w:sz w:val="24"/>
                <w:highlight w:val="none"/>
              </w:rPr>
              <w:t>，应当设置不低于堆放物高度的严密围挡，并采取有效覆盖措施防治扬尘污染”，本次评价要求</w:t>
            </w:r>
            <w:r>
              <w:rPr>
                <w:rFonts w:hint="default" w:ascii="Times New Roman Regular" w:hAnsi="Times New Roman Regular" w:cs="Times New Roman Regular"/>
                <w:color w:val="auto"/>
                <w:sz w:val="24"/>
                <w:highlight w:val="none"/>
                <w:lang w:val="en-US" w:eastAsia="zh-CN"/>
              </w:rPr>
              <w:t>对</w:t>
            </w:r>
            <w:r>
              <w:rPr>
                <w:rFonts w:hint="default" w:ascii="Times New Roman Regular" w:hAnsi="Times New Roman Regular" w:cs="Times New Roman Regular"/>
                <w:color w:val="auto"/>
                <w:sz w:val="24"/>
                <w:highlight w:val="none"/>
              </w:rPr>
              <w:t>全封闭轻钢结构</w:t>
            </w:r>
            <w:r>
              <w:rPr>
                <w:rFonts w:hint="default" w:ascii="Times New Roman Regular" w:hAnsi="Times New Roman Regular" w:cs="Times New Roman Regular"/>
                <w:color w:val="auto"/>
                <w:sz w:val="24"/>
                <w:highlight w:val="none"/>
                <w:lang w:val="en-US" w:eastAsia="zh-CN"/>
              </w:rPr>
              <w:t>存储车间进行分区</w:t>
            </w:r>
            <w:r>
              <w:rPr>
                <w:rFonts w:hint="default" w:ascii="Times New Roman Regular" w:hAnsi="Times New Roman Regular" w:cs="Times New Roman Regular"/>
                <w:color w:val="auto"/>
                <w:sz w:val="24"/>
                <w:highlight w:val="none"/>
              </w:rPr>
              <w:t>，在</w:t>
            </w:r>
            <w:r>
              <w:rPr>
                <w:rFonts w:hint="eastAsia" w:ascii="Times New Roman Regular" w:hAnsi="Times New Roman Regular" w:cs="Times New Roman Regular"/>
                <w:color w:val="auto"/>
                <w:sz w:val="24"/>
                <w:highlight w:val="none"/>
                <w:lang w:val="en-US" w:eastAsia="zh-CN"/>
              </w:rPr>
              <w:t>原料堆放区</w:t>
            </w:r>
            <w:r>
              <w:rPr>
                <w:rFonts w:hint="default" w:ascii="Times New Roman Regular" w:hAnsi="Times New Roman Regular" w:cs="Times New Roman Regular"/>
                <w:color w:val="auto"/>
                <w:sz w:val="24"/>
                <w:highlight w:val="none"/>
              </w:rPr>
              <w:t>顶部</w:t>
            </w:r>
            <w:r>
              <w:rPr>
                <w:rFonts w:hint="default" w:ascii="Times New Roman Regular" w:hAnsi="Times New Roman Regular" w:cs="Times New Roman Regular"/>
                <w:color w:val="auto"/>
                <w:sz w:val="24"/>
                <w:highlight w:val="none"/>
                <w:lang w:val="en-US" w:eastAsia="zh-CN"/>
              </w:rPr>
              <w:t>合理</w:t>
            </w:r>
            <w:r>
              <w:rPr>
                <w:rFonts w:hint="default" w:ascii="Times New Roman Regular" w:hAnsi="Times New Roman Regular" w:cs="Times New Roman Regular"/>
                <w:color w:val="auto"/>
                <w:sz w:val="24"/>
                <w:highlight w:val="none"/>
              </w:rPr>
              <w:t>加装喷雾装置，确保可以覆盖整个物料表面，有效抑止扬尘的产生。物料装卸时，装载机应尽量靠近运输车辆，并尽可能缩小装卸时的高差，同时使用雾炮车进行喷雾抑尘，喷枪、喷头洒水雨雾均匀并自动旋转，角度可调</w:t>
            </w:r>
            <w:r>
              <w:rPr>
                <w:rFonts w:hint="default" w:ascii="Times New Roman Regular" w:hAnsi="Times New Roman Regular" w:cs="Times New Roman Regular"/>
                <w:color w:val="auto"/>
                <w:sz w:val="24"/>
                <w:highlight w:val="none"/>
                <w:lang w:eastAsia="zh-CN"/>
              </w:rPr>
              <w:t>，</w:t>
            </w:r>
            <w:r>
              <w:rPr>
                <w:rFonts w:hint="default" w:ascii="Times New Roman Regular" w:hAnsi="Times New Roman Regular" w:cs="Times New Roman Regular"/>
                <w:color w:val="auto"/>
                <w:sz w:val="24"/>
                <w:highlight w:val="none"/>
                <w:lang w:val="en-US" w:eastAsia="zh-CN"/>
              </w:rPr>
              <w:t>喷雾水罐位于车间内，定期加水，</w:t>
            </w:r>
            <w:r>
              <w:rPr>
                <w:rFonts w:hint="default" w:ascii="Times New Roman Regular" w:hAnsi="Times New Roman Regular" w:cs="Times New Roman Regular"/>
                <w:color w:val="auto"/>
                <w:sz w:val="24"/>
                <w:highlight w:val="none"/>
                <w:lang w:eastAsia="zh-CN"/>
              </w:rPr>
              <w:t>为了防止喷雾装置冬季不能正常工作，要求在</w:t>
            </w:r>
            <w:r>
              <w:rPr>
                <w:rFonts w:hint="default" w:ascii="Times New Roman Regular" w:hAnsi="Times New Roman Regular" w:cs="Times New Roman Regular"/>
                <w:color w:val="auto"/>
                <w:sz w:val="24"/>
                <w:highlight w:val="none"/>
                <w:lang w:val="en-US" w:eastAsia="zh-CN"/>
              </w:rPr>
              <w:t>罐体设置保温措施，</w:t>
            </w:r>
            <w:r>
              <w:rPr>
                <w:rFonts w:hint="default" w:ascii="Times New Roman Regular" w:hAnsi="Times New Roman Regular" w:cs="Times New Roman Regular"/>
                <w:color w:val="auto"/>
                <w:sz w:val="24"/>
                <w:highlight w:val="none"/>
                <w:lang w:eastAsia="zh-CN"/>
              </w:rPr>
              <w:t>输水管道上增加一层保温层，在管线的尾部加装放水阀，维持一直流水的状态，放水经收集后可用于洒水抑尘</w:t>
            </w:r>
            <w:r>
              <w:rPr>
                <w:rFonts w:hint="default" w:ascii="Times New Roman Regular" w:hAnsi="Times New Roman Regular" w:cs="Times New Roman Regular"/>
                <w:color w:val="auto"/>
                <w:sz w:val="24"/>
                <w:szCs w:val="24"/>
                <w:highlight w:val="none"/>
                <w:lang w:val="en-US" w:eastAsia="zh-CN"/>
              </w:rPr>
              <w:t>。</w:t>
            </w:r>
          </w:p>
          <w:p>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工业固体物料堆存颗粒物排放量核算公式如下：</w:t>
            </w:r>
          </w:p>
          <w:p>
            <w:pPr>
              <w:pStyle w:val="19"/>
              <w:keepNext w:val="0"/>
              <w:keepLines w:val="0"/>
              <w:suppressLineNumbers w:val="0"/>
              <w:spacing w:before="0" w:beforeAutospacing="0" w:after="0" w:afterAutospacing="0" w:line="480" w:lineRule="exact"/>
              <w:ind w:left="0" w:right="0"/>
              <w:jc w:val="center"/>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U</w:t>
            </w:r>
            <w:r>
              <w:rPr>
                <w:rFonts w:hint="default" w:ascii="Times New Roman Regular" w:hAnsi="Times New Roman Regular" w:cs="Times New Roman Regular"/>
                <w:color w:val="auto"/>
                <w:sz w:val="24"/>
                <w:highlight w:val="none"/>
                <w:vertAlign w:val="subscript"/>
              </w:rPr>
              <w:t>c</w:t>
            </w:r>
            <w:r>
              <w:rPr>
                <w:rFonts w:hint="default" w:ascii="Times New Roman Regular" w:hAnsi="Times New Roman Regular" w:cs="Times New Roman Regular"/>
                <w:color w:val="auto"/>
                <w:sz w:val="24"/>
                <w:highlight w:val="none"/>
              </w:rPr>
              <w:t>=P×(1-C</w:t>
            </w:r>
            <w:r>
              <w:rPr>
                <w:rFonts w:hint="default" w:ascii="Times New Roman Regular" w:hAnsi="Times New Roman Regular" w:cs="Times New Roman Regular"/>
                <w:color w:val="auto"/>
                <w:sz w:val="24"/>
                <w:highlight w:val="none"/>
                <w:vertAlign w:val="subscript"/>
              </w:rPr>
              <w:t>m</w:t>
            </w:r>
            <w:r>
              <w:rPr>
                <w:rFonts w:hint="default" w:ascii="Times New Roman Regular" w:hAnsi="Times New Roman Regular" w:cs="Times New Roman Regular"/>
                <w:color w:val="auto"/>
                <w:sz w:val="24"/>
                <w:highlight w:val="none"/>
              </w:rPr>
              <w:t>)×(1-T</w:t>
            </w:r>
            <w:r>
              <w:rPr>
                <w:rFonts w:hint="default" w:ascii="Times New Roman Regular" w:hAnsi="Times New Roman Regular" w:cs="Times New Roman Regular"/>
                <w:color w:val="auto"/>
                <w:sz w:val="24"/>
                <w:highlight w:val="none"/>
                <w:vertAlign w:val="subscript"/>
              </w:rPr>
              <w:t>m</w:t>
            </w:r>
            <w:r>
              <w:rPr>
                <w:rFonts w:hint="default" w:ascii="Times New Roman Regular" w:hAnsi="Times New Roman Regular" w:cs="Times New Roman Regular"/>
                <w:color w:val="auto"/>
                <w:sz w:val="24"/>
                <w:highlight w:val="none"/>
              </w:rPr>
              <w:t>)</w:t>
            </w:r>
          </w:p>
          <w:p>
            <w:pPr>
              <w:keepNext w:val="0"/>
              <w:keepLines w:val="0"/>
              <w:suppressLineNumbers w:val="0"/>
              <w:spacing w:before="0" w:beforeAutospacing="0" w:after="0" w:afterAutospacing="0" w:line="480" w:lineRule="exact"/>
              <w:ind w:left="0" w:right="0" w:firstLine="480" w:firstLineChars="2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式中：P指颗粒物产生量（单位：吨）；</w:t>
            </w:r>
          </w:p>
          <w:p>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U</w:t>
            </w:r>
            <w:r>
              <w:rPr>
                <w:rFonts w:hint="default" w:ascii="Times New Roman Regular" w:hAnsi="Times New Roman Regular" w:cs="Times New Roman Regular"/>
                <w:color w:val="auto"/>
                <w:sz w:val="24"/>
                <w:highlight w:val="none"/>
                <w:vertAlign w:val="subscript"/>
              </w:rPr>
              <w:t>c</w:t>
            </w:r>
            <w:r>
              <w:rPr>
                <w:rFonts w:hint="default" w:ascii="Times New Roman Regular" w:hAnsi="Times New Roman Regular" w:cs="Times New Roman Regular"/>
                <w:color w:val="auto"/>
                <w:sz w:val="24"/>
                <w:highlight w:val="none"/>
              </w:rPr>
              <w:t>指颗粒物排放量（单位：吨）；</w:t>
            </w:r>
          </w:p>
          <w:p>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C</w:t>
            </w:r>
            <w:r>
              <w:rPr>
                <w:rFonts w:hint="default" w:ascii="Times New Roman Regular" w:hAnsi="Times New Roman Regular" w:cs="Times New Roman Regular"/>
                <w:color w:val="auto"/>
                <w:sz w:val="24"/>
                <w:highlight w:val="none"/>
                <w:vertAlign w:val="subscript"/>
              </w:rPr>
              <w:t>m</w:t>
            </w:r>
            <w:r>
              <w:rPr>
                <w:rFonts w:hint="default" w:ascii="Times New Roman Regular" w:hAnsi="Times New Roman Regular" w:cs="Times New Roman Regular"/>
                <w:color w:val="auto"/>
                <w:sz w:val="24"/>
                <w:highlight w:val="none"/>
              </w:rPr>
              <w:t>指颗粒物控制措施控制效率（单位：%）（本项目采用洒水抑尘措施，控制效率取值74%）；</w:t>
            </w:r>
          </w:p>
          <w:p>
            <w:pPr>
              <w:keepNext w:val="0"/>
              <w:keepLines w:val="0"/>
              <w:suppressLineNumbers w:val="0"/>
              <w:spacing w:before="0" w:beforeAutospacing="0" w:after="0" w:afterAutospacing="0" w:line="480" w:lineRule="exact"/>
              <w:ind w:left="0" w:right="0" w:firstLine="1200" w:firstLineChars="500"/>
              <w:rPr>
                <w:rFonts w:hint="default" w:ascii="Times New Roman Regular" w:hAnsi="Times New Roman Regular" w:cs="Times New Roman Regular"/>
                <w:color w:val="auto"/>
                <w:sz w:val="24"/>
                <w:highlight w:val="none"/>
              </w:rPr>
            </w:pPr>
            <w:r>
              <w:rPr>
                <w:rFonts w:hint="default" w:ascii="Times New Roman Regular" w:hAnsi="Times New Roman Regular" w:cs="Times New Roman Regular"/>
                <w:color w:val="auto"/>
                <w:sz w:val="24"/>
                <w:highlight w:val="none"/>
              </w:rPr>
              <w:t>T</w:t>
            </w:r>
            <w:r>
              <w:rPr>
                <w:rFonts w:hint="default" w:ascii="Times New Roman Regular" w:hAnsi="Times New Roman Regular" w:cs="Times New Roman Regular"/>
                <w:color w:val="auto"/>
                <w:sz w:val="24"/>
                <w:highlight w:val="none"/>
                <w:vertAlign w:val="subscript"/>
              </w:rPr>
              <w:t>m</w:t>
            </w:r>
            <w:r>
              <w:rPr>
                <w:rFonts w:hint="default" w:ascii="Times New Roman Regular" w:hAnsi="Times New Roman Regular" w:cs="Times New Roman Regular"/>
                <w:color w:val="auto"/>
                <w:sz w:val="24"/>
                <w:highlight w:val="none"/>
              </w:rPr>
              <w:t>指堆场类型控制效率（单位：%）（本项目采用全封闭式储库储存，属于密闭式，取值99%）；</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Regular" w:hAnsi="Times New Roman Regular" w:eastAsia="宋体" w:cs="Times New Roman Regular"/>
                <w:color w:val="auto"/>
                <w:sz w:val="24"/>
                <w:highlight w:val="none"/>
                <w:lang w:eastAsia="zh-CN"/>
              </w:rPr>
            </w:pPr>
            <w:r>
              <w:rPr>
                <w:rFonts w:hint="default" w:ascii="Times New Roman Regular" w:hAnsi="Times New Roman Regular" w:cs="Times New Roman Regular"/>
                <w:color w:val="auto"/>
                <w:sz w:val="24"/>
                <w:highlight w:val="none"/>
              </w:rPr>
              <w:t>经过上述计算，采取措施后，原料堆存</w:t>
            </w:r>
            <w:r>
              <w:rPr>
                <w:rFonts w:hint="eastAsia" w:ascii="Times New Roman Regular" w:hAnsi="Times New Roman Regular" w:cs="Times New Roman Regular"/>
                <w:color w:val="auto"/>
                <w:sz w:val="24"/>
                <w:highlight w:val="none"/>
                <w:lang w:val="en-US" w:eastAsia="zh-CN"/>
              </w:rPr>
              <w:t>和装卸无组织</w:t>
            </w:r>
            <w:r>
              <w:rPr>
                <w:rFonts w:hint="default" w:ascii="Times New Roman Regular" w:hAnsi="Times New Roman Regular" w:cs="Times New Roman Regular"/>
                <w:color w:val="auto"/>
                <w:sz w:val="24"/>
                <w:highlight w:val="none"/>
              </w:rPr>
              <w:t>颗粒物排放量为</w:t>
            </w:r>
            <w:r>
              <w:rPr>
                <w:rFonts w:hint="default" w:ascii="Times New Roman Regular" w:hAnsi="Times New Roman Regular" w:cs="Times New Roman Regular"/>
                <w:color w:val="auto"/>
                <w:sz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Regular" w:hAnsi="Times New Roman Regular" w:cs="Times New Roman Regular"/>
                <w:color w:val="auto"/>
                <w:sz w:val="24"/>
                <w:szCs w:val="24"/>
                <w:highlight w:val="none"/>
                <w:lang w:val="en-US" w:eastAsia="zh-CN"/>
              </w:rPr>
            </w:pPr>
            <w:r>
              <w:rPr>
                <w:rFonts w:hint="eastAsia"/>
                <w:color w:val="auto"/>
                <w:sz w:val="24"/>
                <w:highlight w:val="none"/>
                <w:lang w:val="en-US" w:eastAsia="zh-CN"/>
              </w:rPr>
              <w:t>428.76</w:t>
            </w:r>
            <w:r>
              <w:rPr>
                <w:rFonts w:hint="default" w:ascii="Times New Roman Regular" w:hAnsi="Times New Roman Regular" w:cs="Times New Roman Regular"/>
                <w:color w:val="auto"/>
                <w:sz w:val="24"/>
                <w:highlight w:val="none"/>
                <w:lang w:val="en-US" w:eastAsia="zh-CN"/>
              </w:rPr>
              <w:t>t/a</w:t>
            </w:r>
            <w:r>
              <w:rPr>
                <w:rFonts w:hint="default" w:ascii="Times New Roman Regular" w:hAnsi="Times New Roman Regular" w:cs="Times New Roman Regular"/>
                <w:color w:val="auto"/>
                <w:sz w:val="24"/>
                <w:highlight w:val="none"/>
              </w:rPr>
              <w:t>×</w:t>
            </w:r>
            <w:r>
              <w:rPr>
                <w:rFonts w:hint="eastAsia" w:ascii="Times New Roman Regular" w:hAnsi="Times New Roman Regular" w:cs="Times New Roman Regular"/>
                <w:color w:val="auto"/>
                <w:sz w:val="24"/>
                <w:highlight w:val="none"/>
                <w:lang w:eastAsia="zh-CN"/>
              </w:rPr>
              <w:t>（</w:t>
            </w:r>
            <w:r>
              <w:rPr>
                <w:rFonts w:hint="default" w:ascii="Times New Roman Regular" w:hAnsi="Times New Roman Regular" w:cs="Times New Roman Regular"/>
                <w:color w:val="auto"/>
                <w:sz w:val="24"/>
                <w:highlight w:val="none"/>
              </w:rPr>
              <w:t>1-</w:t>
            </w:r>
            <w:r>
              <w:rPr>
                <w:rFonts w:hint="default" w:ascii="Times New Roman Regular" w:hAnsi="Times New Roman Regular" w:cs="Times New Roman Regular"/>
                <w:color w:val="auto"/>
                <w:sz w:val="24"/>
                <w:highlight w:val="none"/>
                <w:lang w:val="en-US" w:eastAsia="zh-CN"/>
              </w:rPr>
              <w:t>74%</w:t>
            </w:r>
            <w:r>
              <w:rPr>
                <w:rFonts w:hint="eastAsia" w:ascii="Times New Roman Regular" w:hAnsi="Times New Roman Regular" w:cs="Times New Roman Regular"/>
                <w:color w:val="auto"/>
                <w:sz w:val="24"/>
                <w:highlight w:val="none"/>
                <w:lang w:eastAsia="zh-CN"/>
              </w:rPr>
              <w:t>）</w:t>
            </w:r>
            <w:r>
              <w:rPr>
                <w:rFonts w:hint="default" w:ascii="Times New Roman Regular" w:hAnsi="Times New Roman Regular" w:cs="Times New Roman Regular"/>
                <w:color w:val="auto"/>
                <w:sz w:val="24"/>
                <w:highlight w:val="none"/>
              </w:rPr>
              <w:t>×</w:t>
            </w:r>
            <w:r>
              <w:rPr>
                <w:rFonts w:hint="eastAsia" w:ascii="Times New Roman Regular" w:hAnsi="Times New Roman Regular" w:cs="Times New Roman Regular"/>
                <w:color w:val="auto"/>
                <w:sz w:val="24"/>
                <w:highlight w:val="none"/>
                <w:lang w:eastAsia="zh-CN"/>
              </w:rPr>
              <w:t>（</w:t>
            </w:r>
            <w:r>
              <w:rPr>
                <w:rFonts w:hint="default" w:ascii="Times New Roman Regular" w:hAnsi="Times New Roman Regular" w:cs="Times New Roman Regular"/>
                <w:color w:val="auto"/>
                <w:sz w:val="24"/>
                <w:highlight w:val="none"/>
              </w:rPr>
              <w:t>1-99%</w:t>
            </w:r>
            <w:r>
              <w:rPr>
                <w:rFonts w:hint="eastAsia" w:ascii="Times New Roman Regular" w:hAnsi="Times New Roman Regular" w:cs="Times New Roman Regular"/>
                <w:color w:val="auto"/>
                <w:sz w:val="24"/>
                <w:highlight w:val="none"/>
                <w:lang w:eastAsia="zh-CN"/>
              </w:rPr>
              <w:t>）</w:t>
            </w:r>
            <w:r>
              <w:rPr>
                <w:rFonts w:hint="default" w:ascii="Times New Roman Regular" w:hAnsi="Times New Roman Regular" w:cs="Times New Roman Regular"/>
                <w:color w:val="auto"/>
                <w:sz w:val="24"/>
                <w:highlight w:val="none"/>
                <w:lang w:val="en-US" w:eastAsia="zh-CN"/>
              </w:rPr>
              <w:t>=</w:t>
            </w:r>
            <w:r>
              <w:rPr>
                <w:rFonts w:hint="eastAsia" w:ascii="Times New Roman Regular" w:hAnsi="Times New Roman Regular" w:cs="Times New Roman Regular"/>
                <w:color w:val="auto"/>
                <w:sz w:val="24"/>
                <w:highlight w:val="none"/>
                <w:lang w:val="en-US" w:eastAsia="zh-CN"/>
              </w:rPr>
              <w:t>1.115</w:t>
            </w:r>
            <w:r>
              <w:rPr>
                <w:rFonts w:hint="default" w:ascii="Times New Roman Regular" w:hAnsi="Times New Roman Regular" w:cs="Times New Roman Regular"/>
                <w:color w:val="auto"/>
                <w:sz w:val="24"/>
                <w:highlight w:val="none"/>
                <w:lang w:eastAsia="zh-CN"/>
              </w:rPr>
              <w:t>t/a</w:t>
            </w: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G2：给料、破碎废气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default"/>
                <w:color w:val="auto"/>
                <w:sz w:val="24"/>
                <w:highlight w:val="none"/>
                <w:lang w:val="en-US" w:eastAsia="zh-CN"/>
              </w:rPr>
            </w:pPr>
            <w:r>
              <w:rPr>
                <w:rFonts w:hint="eastAsia" w:cs="Times New Roman"/>
                <w:color w:val="auto"/>
                <w:sz w:val="24"/>
                <w:highlight w:val="none"/>
                <w:lang w:val="en-US" w:eastAsia="zh-CN"/>
              </w:rPr>
              <w:t>本项目设置2台给料机和2台锤式破碎机，原料在上料、破碎工序会有粉尘产生，运行4800h，</w:t>
            </w:r>
            <w:r>
              <w:rPr>
                <w:rFonts w:hint="default"/>
                <w:color w:val="auto"/>
                <w:sz w:val="24"/>
                <w:highlight w:val="none"/>
              </w:rPr>
              <w:t>评价要求</w:t>
            </w:r>
            <w:r>
              <w:rPr>
                <w:rFonts w:hint="eastAsia"/>
                <w:color w:val="auto"/>
                <w:sz w:val="24"/>
                <w:highlight w:val="none"/>
                <w:lang w:val="en-US" w:eastAsia="zh-CN"/>
              </w:rPr>
              <w:t>在2台给料机进料仓上方各设置1个集气罩（共2个），2台</w:t>
            </w:r>
            <w:r>
              <w:rPr>
                <w:rFonts w:hint="eastAsia" w:cs="Times New Roman"/>
                <w:color w:val="auto"/>
                <w:sz w:val="24"/>
                <w:highlight w:val="none"/>
                <w:lang w:val="en-US" w:eastAsia="zh-CN"/>
              </w:rPr>
              <w:t>锤式破碎机为全封闭式，设置集气管道</w:t>
            </w:r>
            <w:r>
              <w:rPr>
                <w:rFonts w:hint="eastAsia"/>
                <w:color w:val="auto"/>
                <w:sz w:val="24"/>
                <w:highlight w:val="none"/>
                <w:lang w:val="en-US" w:eastAsia="zh-CN"/>
              </w:rPr>
              <w:t>，废气经收集后共同引入1台布袋除尘器（TA001）处理后，由一根20m高排气筒（DA001）排放。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eastAsia="黑体"/>
                <w:color w:val="auto"/>
                <w:sz w:val="24"/>
                <w:highlight w:val="none"/>
                <w:lang w:val="en-US" w:eastAsia="zh-CN"/>
              </w:rPr>
            </w:pPr>
            <w:r>
              <w:rPr>
                <w:rFonts w:hint="default"/>
                <w:color w:val="auto"/>
                <w:sz w:val="24"/>
                <w:highlight w:val="none"/>
              </w:rPr>
              <w:t>该工序集气罩技术参数表见表</w:t>
            </w:r>
            <w:r>
              <w:rPr>
                <w:rFonts w:hint="default" w:ascii="Times New Roman" w:hAnsi="Times New Roman" w:eastAsia="黑体" w:cs="Times New Roman"/>
                <w:b w:val="0"/>
                <w:bCs w:val="0"/>
                <w:color w:val="auto"/>
                <w:sz w:val="24"/>
                <w:szCs w:val="24"/>
                <w:highlight w:val="none"/>
              </w:rPr>
              <w:t>4-2</w:t>
            </w:r>
            <w:r>
              <w:rPr>
                <w:rFonts w:hint="eastAsia" w:eastAsia="黑体" w:cs="Times New Roman"/>
                <w:b w:val="0"/>
                <w:bCs w:val="0"/>
                <w:color w:val="auto"/>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表4-2  </w:t>
            </w:r>
            <w:r>
              <w:rPr>
                <w:rFonts w:hint="default" w:ascii="Times New Roman" w:hAnsi="Times New Roman" w:eastAsia="宋体" w:cs="Times New Roman"/>
                <w:b/>
                <w:bCs/>
                <w:color w:val="auto"/>
                <w:highlight w:val="none"/>
                <w:lang w:val="en-US" w:eastAsia="zh-CN"/>
              </w:rPr>
              <w:t>集气罩设置</w:t>
            </w:r>
            <w:r>
              <w:rPr>
                <w:rFonts w:hint="default" w:ascii="Times New Roman" w:hAnsi="Times New Roman" w:eastAsia="宋体" w:cs="Times New Roman"/>
                <w:b/>
                <w:bCs/>
                <w:color w:val="auto"/>
                <w:highlight w:val="none"/>
              </w:rPr>
              <w:t>参数一览表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1333"/>
              <w:gridCol w:w="1517"/>
              <w:gridCol w:w="1300"/>
              <w:gridCol w:w="1273"/>
              <w:gridCol w:w="1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设备名称</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风罩位置</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进料口尺寸m</w:t>
                  </w:r>
                </w:p>
              </w:tc>
              <w:tc>
                <w:tcPr>
                  <w:tcW w:w="77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auto"/>
                      <w:szCs w:val="21"/>
                      <w:highlight w:val="none"/>
                      <w:lang w:val="en-US" w:eastAsia="zh-CN"/>
                    </w:rPr>
                  </w:pPr>
                  <w:r>
                    <w:rPr>
                      <w:rFonts w:hint="eastAsia"/>
                      <w:b/>
                      <w:bCs/>
                      <w:color w:val="auto"/>
                      <w:szCs w:val="21"/>
                      <w:highlight w:val="none"/>
                      <w:lang w:val="en-US" w:eastAsia="zh-CN"/>
                    </w:rPr>
                    <w:t>集气效率%</w:t>
                  </w:r>
                </w:p>
              </w:tc>
              <w:tc>
                <w:tcPr>
                  <w:tcW w:w="761"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处理设备</w:t>
                  </w:r>
                </w:p>
              </w:tc>
              <w:tc>
                <w:tcPr>
                  <w:tcW w:w="83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排气筒编号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eastAsia"/>
                      <w:color w:val="auto"/>
                      <w:szCs w:val="21"/>
                      <w:highlight w:val="none"/>
                      <w:lang w:val="en-US" w:eastAsia="zh-CN"/>
                    </w:rPr>
                    <w:t>1#给料机</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柜式集气罩</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1.5</w:t>
                  </w:r>
                  <w:r>
                    <w:rPr>
                      <w:rFonts w:hint="default"/>
                      <w:color w:val="auto"/>
                      <w:szCs w:val="21"/>
                      <w:highlight w:val="none"/>
                    </w:rPr>
                    <w:t>×</w:t>
                  </w:r>
                  <w:r>
                    <w:rPr>
                      <w:rFonts w:hint="eastAsia"/>
                      <w:color w:val="auto"/>
                      <w:szCs w:val="21"/>
                      <w:highlight w:val="none"/>
                      <w:lang w:val="en-US" w:eastAsia="zh-CN"/>
                    </w:rPr>
                    <w:t>1.0</w:t>
                  </w:r>
                </w:p>
              </w:tc>
              <w:tc>
                <w:tcPr>
                  <w:tcW w:w="77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90</w:t>
                  </w:r>
                </w:p>
              </w:tc>
              <w:tc>
                <w:tcPr>
                  <w:tcW w:w="761" w:type="pct"/>
                  <w:vMerge w:val="restar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eastAsia="zh-CN"/>
                    </w:rPr>
                  </w:pPr>
                  <w:r>
                    <w:rPr>
                      <w:rFonts w:hint="default"/>
                      <w:color w:val="auto"/>
                      <w:szCs w:val="21"/>
                      <w:highlight w:val="none"/>
                    </w:rPr>
                    <w:t>布袋除尘器</w:t>
                  </w:r>
                  <w:r>
                    <w:rPr>
                      <w:rFonts w:hint="eastAsia"/>
                      <w:color w:val="auto"/>
                      <w:szCs w:val="21"/>
                      <w:highlight w:val="none"/>
                      <w:lang w:eastAsia="zh-CN"/>
                    </w:rPr>
                    <w:t>（</w:t>
                  </w:r>
                  <w:r>
                    <w:rPr>
                      <w:rFonts w:hint="eastAsia"/>
                      <w:color w:val="auto"/>
                      <w:szCs w:val="21"/>
                      <w:highlight w:val="none"/>
                      <w:lang w:val="en-US" w:eastAsia="zh-CN"/>
                    </w:rPr>
                    <w:t>TA001</w:t>
                  </w:r>
                  <w:r>
                    <w:rPr>
                      <w:rFonts w:hint="eastAsia"/>
                      <w:color w:val="auto"/>
                      <w:szCs w:val="21"/>
                      <w:highlight w:val="none"/>
                      <w:lang w:eastAsia="zh-CN"/>
                    </w:rPr>
                    <w:t>）</w:t>
                  </w:r>
                </w:p>
              </w:tc>
              <w:tc>
                <w:tcPr>
                  <w:tcW w:w="837" w:type="pct"/>
                  <w:vMerge w:val="restar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DA001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2#给料机</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柜式集气罩</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color w:val="auto"/>
                      <w:szCs w:val="21"/>
                      <w:highlight w:val="none"/>
                      <w:lang w:val="en-US" w:eastAsia="zh-CN"/>
                    </w:rPr>
                    <w:t>1.5</w:t>
                  </w:r>
                  <w:r>
                    <w:rPr>
                      <w:rFonts w:hint="default"/>
                      <w:color w:val="auto"/>
                      <w:szCs w:val="21"/>
                      <w:highlight w:val="none"/>
                    </w:rPr>
                    <w:t>×</w:t>
                  </w:r>
                  <w:r>
                    <w:rPr>
                      <w:rFonts w:hint="eastAsia"/>
                      <w:color w:val="auto"/>
                      <w:szCs w:val="21"/>
                      <w:highlight w:val="none"/>
                      <w:lang w:val="en-US" w:eastAsia="zh-CN"/>
                    </w:rPr>
                    <w:t>1.0</w:t>
                  </w:r>
                </w:p>
              </w:tc>
              <w:tc>
                <w:tcPr>
                  <w:tcW w:w="77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90</w:t>
                  </w:r>
                </w:p>
              </w:tc>
              <w:tc>
                <w:tcPr>
                  <w:tcW w:w="761"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37"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根据《排风罩的分类及技术条件》（GB/T 16758-2008）附录A中排风罩的排风量计算公式：</w:t>
            </w:r>
          </w:p>
          <w:p>
            <w:pPr>
              <w:pStyle w:val="38"/>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Q</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F</w:t>
            </w:r>
            <w:r>
              <w:rPr>
                <w:rFonts w:hint="eastAsia" w:ascii="Times New Roman" w:hAnsi="Times New Roman" w:eastAsia="宋体" w:cs="Times New Roman"/>
                <w:snapToGrid w:val="0"/>
                <w:color w:val="auto"/>
                <w:position w:val="-6"/>
                <w:sz w:val="24"/>
                <w:szCs w:val="20"/>
                <w:highlight w:val="none"/>
                <w:lang w:val="en-US" w:eastAsia="zh-CN"/>
              </w:rPr>
              <w:object>
                <v:shape id="_x0000_i1025" o:spt="75" type="#_x0000_t75" style="height:13pt;width:10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r>
              <w:rPr>
                <w:rFonts w:hint="eastAsia"/>
                <w:color w:val="auto"/>
                <w:highlight w:val="none"/>
                <w:lang w:val="en-US" w:eastAsia="zh-CN"/>
              </w:rPr>
              <w:t>×3600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式中：Q—</w:t>
            </w:r>
            <w:r>
              <w:rPr>
                <w:rFonts w:hint="eastAsia" w:cs="Times New Roman"/>
                <w:color w:val="auto"/>
                <w:sz w:val="24"/>
                <w:highlight w:val="none"/>
                <w:lang w:val="en-US" w:eastAsia="zh-CN"/>
              </w:rPr>
              <w:t>排风罩的</w:t>
            </w:r>
            <w:r>
              <w:rPr>
                <w:rFonts w:hint="eastAsia" w:ascii="Times New Roman" w:hAnsi="Times New Roman" w:eastAsia="宋体" w:cs="Times New Roman"/>
                <w:color w:val="auto"/>
                <w:sz w:val="24"/>
                <w:highlight w:val="none"/>
                <w:lang w:val="en-US" w:eastAsia="zh-CN"/>
              </w:rPr>
              <w:t>排气量，m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/h；</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F—</w:t>
            </w:r>
            <w:r>
              <w:rPr>
                <w:rFonts w:hint="eastAsia" w:cs="Times New Roman"/>
                <w:color w:val="auto"/>
                <w:sz w:val="24"/>
                <w:highlight w:val="none"/>
                <w:lang w:val="en-US" w:eastAsia="zh-CN"/>
              </w:rPr>
              <w:t>排风罩罩口面积</w:t>
            </w:r>
            <w:r>
              <w:rPr>
                <w:rFonts w:hint="eastAsia" w:ascii="Times New Roman" w:hAnsi="Times New Roman" w:eastAsia="宋体" w:cs="Times New Roman"/>
                <w:color w:val="auto"/>
                <w:sz w:val="24"/>
                <w:highlight w:val="none"/>
                <w:lang w:val="en-US" w:eastAsia="zh-CN"/>
              </w:rPr>
              <w:t>，m；</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napToGrid w:val="0"/>
                <w:color w:val="auto"/>
                <w:position w:val="-6"/>
                <w:sz w:val="24"/>
                <w:szCs w:val="20"/>
                <w:highlight w:val="none"/>
                <w:lang w:val="en-US" w:eastAsia="zh-CN"/>
              </w:rPr>
              <w:object>
                <v:shape id="_x0000_i1026" o:spt="75" type="#_x0000_t75" style="height:13pt;width:10pt;" o:ole="t" filled="f" o:preferrelative="t" stroked="f" coordsize="21600,21600">
                  <v:path/>
                  <v:fill on="f" focussize="0,0"/>
                  <v:stroke on="f"/>
                  <v:imagedata r:id="rId12" o:title=""/>
                  <o:lock v:ext="edit" aspectratio="t"/>
                  <w10:wrap type="none"/>
                  <w10:anchorlock/>
                </v:shape>
                <o:OLEObject Type="Embed" ProgID="Equation.KSEE3" ShapeID="_x0000_i1026" DrawAspect="Content" ObjectID="_1468075726" r:id="rId13">
                  <o:LockedField>false</o:LockedField>
                </o:OLEObject>
              </w:objec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排风罩罩口平均</w:t>
            </w:r>
            <w:r>
              <w:rPr>
                <w:rFonts w:hint="eastAsia" w:ascii="Times New Roman" w:hAnsi="Times New Roman" w:eastAsia="宋体" w:cs="Times New Roman"/>
                <w:color w:val="auto"/>
                <w:sz w:val="24"/>
                <w:highlight w:val="none"/>
                <w:lang w:val="en-US" w:eastAsia="zh-CN"/>
              </w:rPr>
              <w:t>风速，m/s。</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snapToGrid w:val="0"/>
                <w:color w:val="auto"/>
                <w:sz w:val="24"/>
                <w:szCs w:val="20"/>
                <w:highlight w:val="none"/>
                <w:lang w:val="en-US" w:eastAsia="zh-CN"/>
              </w:rPr>
            </w:pPr>
            <w:r>
              <w:rPr>
                <w:rFonts w:hint="eastAsia" w:ascii="Times New Roman" w:hAnsi="Times New Roman" w:eastAsia="宋体" w:cs="Times New Roman"/>
                <w:snapToGrid w:val="0"/>
                <w:color w:val="auto"/>
                <w:sz w:val="24"/>
                <w:szCs w:val="20"/>
                <w:highlight w:val="none"/>
                <w:lang w:val="en-US" w:eastAsia="zh-CN"/>
              </w:rPr>
              <w:t>根据《局部排风设施控制风速检测与评估技术规范》（AO/T 4274-2016）中要求，本项目</w:t>
            </w:r>
            <w:r>
              <w:rPr>
                <w:rFonts w:hint="eastAsia" w:cs="Times New Roman"/>
                <w:snapToGrid w:val="0"/>
                <w:color w:val="auto"/>
                <w:sz w:val="24"/>
                <w:szCs w:val="20"/>
                <w:highlight w:val="none"/>
                <w:lang w:val="en-US" w:eastAsia="zh-CN"/>
              </w:rPr>
              <w:t>给料机</w:t>
            </w:r>
            <w:r>
              <w:rPr>
                <w:rFonts w:hint="eastAsia" w:ascii="Times New Roman" w:hAnsi="Times New Roman" w:eastAsia="宋体" w:cs="Times New Roman"/>
                <w:snapToGrid w:val="0"/>
                <w:color w:val="auto"/>
                <w:sz w:val="24"/>
                <w:szCs w:val="20"/>
                <w:highlight w:val="none"/>
                <w:lang w:val="en-US" w:eastAsia="zh-CN"/>
              </w:rPr>
              <w:t>罩口风速取1.2m/s。</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snapToGrid w:val="0"/>
                <w:color w:val="auto"/>
                <w:sz w:val="24"/>
                <w:szCs w:val="20"/>
                <w:highlight w:val="none"/>
                <w:lang w:val="en-US" w:eastAsia="zh-CN"/>
              </w:rPr>
            </w:pPr>
            <w:r>
              <w:rPr>
                <w:rFonts w:hint="eastAsia"/>
                <w:color w:val="auto"/>
                <w:sz w:val="24"/>
                <w:highlight w:val="none"/>
              </w:rPr>
              <w:t>经计算，</w:t>
            </w:r>
            <w:r>
              <w:rPr>
                <w:rFonts w:hint="eastAsia"/>
                <w:color w:val="auto"/>
                <w:sz w:val="24"/>
                <w:highlight w:val="none"/>
                <w:lang w:val="en-US" w:eastAsia="zh-CN"/>
              </w:rPr>
              <w:t>给料工序</w:t>
            </w:r>
            <w:r>
              <w:rPr>
                <w:rFonts w:hint="eastAsia"/>
                <w:color w:val="auto"/>
                <w:sz w:val="24"/>
                <w:highlight w:val="none"/>
              </w:rPr>
              <w:t>需配套的风量见下表4</w:t>
            </w:r>
            <w:r>
              <w:rPr>
                <w:rFonts w:hint="default"/>
                <w:color w:val="auto"/>
                <w:sz w:val="24"/>
                <w:highlight w:val="none"/>
              </w:rPr>
              <w:t>-</w:t>
            </w:r>
            <w:r>
              <w:rPr>
                <w:rFonts w:hint="eastAsia"/>
                <w:color w:val="auto"/>
                <w:sz w:val="24"/>
                <w:highlight w:val="none"/>
                <w:lang w:val="en-US" w:eastAsia="zh-CN"/>
              </w:rPr>
              <w:t>3</w:t>
            </w:r>
            <w:r>
              <w:rPr>
                <w:rFonts w:hint="eastAsia"/>
                <w:color w:val="auto"/>
                <w:sz w:val="24"/>
                <w:highlight w:val="none"/>
              </w:rPr>
              <w:t>。</w:t>
            </w:r>
          </w:p>
          <w:p>
            <w:pPr>
              <w:keepNext w:val="0"/>
              <w:keepLines w:val="0"/>
              <w:suppressLineNumbers w:val="0"/>
              <w:spacing w:before="0" w:beforeAutospacing="0" w:after="0" w:afterAutospacing="0" w:line="480" w:lineRule="exact"/>
              <w:ind w:left="0" w:right="0"/>
              <w:jc w:val="center"/>
              <w:rPr>
                <w:rFonts w:hint="default" w:eastAsia="黑体"/>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该工序需配套的风量一览表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9"/>
              <w:gridCol w:w="2104"/>
              <w:gridCol w:w="2072"/>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auto"/>
                      <w:szCs w:val="21"/>
                      <w:highlight w:val="none"/>
                      <w:lang w:val="en-US" w:eastAsia="zh-CN"/>
                    </w:rPr>
                  </w:pPr>
                  <w:r>
                    <w:rPr>
                      <w:rFonts w:hint="eastAsia"/>
                      <w:b/>
                      <w:bCs/>
                      <w:color w:val="auto"/>
                      <w:highlight w:val="none"/>
                      <w:lang w:val="en-US" w:eastAsia="zh-CN"/>
                    </w:rPr>
                    <w:t>集气罩点位</w:t>
                  </w:r>
                </w:p>
              </w:tc>
              <w:tc>
                <w:tcPr>
                  <w:tcW w:w="125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计算风量（m</w:t>
                  </w:r>
                  <w:r>
                    <w:rPr>
                      <w:rFonts w:hint="default"/>
                      <w:b/>
                      <w:bCs/>
                      <w:color w:val="auto"/>
                      <w:szCs w:val="21"/>
                      <w:highlight w:val="none"/>
                      <w:vertAlign w:val="superscript"/>
                    </w:rPr>
                    <w:t>3</w:t>
                  </w:r>
                  <w:r>
                    <w:rPr>
                      <w:rFonts w:hint="default"/>
                      <w:b/>
                      <w:bCs/>
                      <w:color w:val="auto"/>
                      <w:szCs w:val="21"/>
                      <w:highlight w:val="none"/>
                    </w:rPr>
                    <w:t>/h）</w:t>
                  </w:r>
                </w:p>
              </w:tc>
              <w:tc>
                <w:tcPr>
                  <w:tcW w:w="1239"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处理设备</w:t>
                  </w:r>
                </w:p>
              </w:tc>
              <w:tc>
                <w:tcPr>
                  <w:tcW w:w="1096"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排气筒编号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val="en-US" w:eastAsia="zh-CN"/>
                    </w:rPr>
                  </w:pPr>
                  <w:r>
                    <w:rPr>
                      <w:rFonts w:hint="eastAsia"/>
                      <w:color w:val="auto"/>
                      <w:szCs w:val="21"/>
                      <w:highlight w:val="none"/>
                      <w:lang w:val="en-US" w:eastAsia="zh-CN"/>
                    </w:rPr>
                    <w:t>1#给料机</w:t>
                  </w:r>
                </w:p>
              </w:tc>
              <w:tc>
                <w:tcPr>
                  <w:tcW w:w="125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6480</w:t>
                  </w:r>
                </w:p>
              </w:tc>
              <w:tc>
                <w:tcPr>
                  <w:tcW w:w="1239" w:type="pct"/>
                  <w:vMerge w:val="restar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val="en-US" w:eastAsia="zh-CN"/>
                    </w:rPr>
                  </w:pPr>
                  <w:r>
                    <w:rPr>
                      <w:rFonts w:hint="default"/>
                      <w:color w:val="auto"/>
                      <w:szCs w:val="21"/>
                      <w:highlight w:val="none"/>
                    </w:rPr>
                    <w:t>布袋除尘器</w:t>
                  </w:r>
                  <w:r>
                    <w:rPr>
                      <w:rFonts w:hint="eastAsia"/>
                      <w:color w:val="auto"/>
                      <w:szCs w:val="21"/>
                      <w:highlight w:val="none"/>
                      <w:lang w:eastAsia="zh-CN"/>
                    </w:rPr>
                    <w:t>（</w:t>
                  </w:r>
                  <w:r>
                    <w:rPr>
                      <w:rFonts w:hint="eastAsia"/>
                      <w:color w:val="auto"/>
                      <w:szCs w:val="21"/>
                      <w:highlight w:val="none"/>
                      <w:lang w:val="en-US" w:eastAsia="zh-CN"/>
                    </w:rPr>
                    <w:t>TA001</w:t>
                  </w:r>
                  <w:r>
                    <w:rPr>
                      <w:rFonts w:hint="eastAsia"/>
                      <w:color w:val="auto"/>
                      <w:szCs w:val="21"/>
                      <w:highlight w:val="none"/>
                      <w:lang w:eastAsia="zh-CN"/>
                    </w:rPr>
                    <w:t>）</w:t>
                  </w:r>
                </w:p>
              </w:tc>
              <w:tc>
                <w:tcPr>
                  <w:tcW w:w="1096" w:type="pct"/>
                  <w:vMerge w:val="restar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eastAsia="zh-CN"/>
                    </w:rPr>
                  </w:pPr>
                  <w:r>
                    <w:rPr>
                      <w:rFonts w:hint="default"/>
                      <w:color w:val="auto"/>
                      <w:szCs w:val="21"/>
                      <w:highlight w:val="none"/>
                    </w:rPr>
                    <w:t>DA00</w:t>
                  </w: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2#给料机</w:t>
                  </w:r>
                </w:p>
              </w:tc>
              <w:tc>
                <w:tcPr>
                  <w:tcW w:w="125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6480</w:t>
                  </w:r>
                </w:p>
              </w:tc>
              <w:tc>
                <w:tcPr>
                  <w:tcW w:w="1239"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1096"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eastAsia"/>
                      <w:color w:val="auto"/>
                      <w:szCs w:val="21"/>
                      <w:highlight w:val="none"/>
                      <w:lang w:val="en-US" w:eastAsia="zh-CN"/>
                    </w:rPr>
                    <w:t>合计</w:t>
                  </w:r>
                </w:p>
              </w:tc>
              <w:tc>
                <w:tcPr>
                  <w:tcW w:w="125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12960</w:t>
                  </w:r>
                </w:p>
              </w:tc>
              <w:tc>
                <w:tcPr>
                  <w:tcW w:w="1239"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1096"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bl>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snapToGrid w:val="0"/>
                <w:color w:val="auto"/>
                <w:sz w:val="24"/>
                <w:szCs w:val="20"/>
                <w:highlight w:val="none"/>
                <w:lang w:val="en-US" w:eastAsia="zh-CN"/>
              </w:rPr>
            </w:pPr>
            <w:r>
              <w:rPr>
                <w:rFonts w:hint="eastAsia" w:cs="Times New Roman"/>
                <w:snapToGrid w:val="0"/>
                <w:color w:val="auto"/>
                <w:sz w:val="24"/>
                <w:szCs w:val="20"/>
                <w:highlight w:val="none"/>
                <w:lang w:val="en-US" w:eastAsia="zh-CN"/>
              </w:rPr>
              <w:t>根据建设单位提供的资料，每台锤式破碎机所需风量为3000</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w:t>
            </w:r>
            <w:r>
              <w:rPr>
                <w:rFonts w:hint="eastAsia"/>
                <w:color w:val="auto"/>
                <w:sz w:val="24"/>
                <w:highlight w:val="none"/>
                <w:lang w:val="en-US" w:eastAsia="zh-CN"/>
              </w:rPr>
              <w:t>，</w:t>
            </w:r>
            <w:r>
              <w:rPr>
                <w:rFonts w:hint="eastAsia" w:cs="Times New Roman"/>
                <w:snapToGrid w:val="0"/>
                <w:color w:val="auto"/>
                <w:sz w:val="24"/>
                <w:szCs w:val="20"/>
                <w:highlight w:val="none"/>
                <w:lang w:val="en-US" w:eastAsia="zh-CN"/>
              </w:rPr>
              <w:t>因此，本项目给料、破碎工序所需风量为18960</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w:t>
            </w:r>
            <w:r>
              <w:rPr>
                <w:rFonts w:hint="eastAsia" w:ascii="Times New Roman" w:hAnsi="Times New Roman" w:eastAsia="宋体" w:cs="Times New Roman"/>
                <w:snapToGrid w:val="0"/>
                <w:color w:val="auto"/>
                <w:sz w:val="24"/>
                <w:szCs w:val="20"/>
                <w:highlight w:val="none"/>
                <w:lang w:val="en-US" w:eastAsia="zh-CN"/>
              </w:rPr>
              <w:t>布袋材质：覆膜（PTFE）涤纶针刺毡，过滤风速0.7m/min，过滤面积</w:t>
            </w:r>
            <w:r>
              <w:rPr>
                <w:rFonts w:hint="eastAsia" w:cs="Times New Roman"/>
                <w:snapToGrid w:val="0"/>
                <w:color w:val="auto"/>
                <w:sz w:val="24"/>
                <w:szCs w:val="20"/>
                <w:highlight w:val="none"/>
                <w:lang w:val="en-US" w:eastAsia="zh-CN"/>
              </w:rPr>
              <w:t>451.5</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2</w:t>
            </w:r>
            <w:r>
              <w:rPr>
                <w:rFonts w:hint="eastAsia" w:cs="Times New Roman"/>
                <w:snapToGrid w:val="0"/>
                <w:color w:val="auto"/>
                <w:sz w:val="24"/>
                <w:szCs w:val="20"/>
                <w:highlight w:val="none"/>
                <w:lang w:val="en-US"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b w:val="0"/>
                <w:bCs w:val="0"/>
                <w:color w:val="auto"/>
                <w:sz w:val="24"/>
                <w:highlight w:val="none"/>
                <w:lang w:val="en-US" w:eastAsia="zh-CN"/>
              </w:rPr>
            </w:pPr>
            <w:r>
              <w:rPr>
                <w:rFonts w:hint="eastAsia" w:ascii="Times New Roman" w:hAnsi="Times New Roman"/>
                <w:color w:val="auto"/>
                <w:sz w:val="24"/>
                <w:highlight w:val="none"/>
                <w:lang w:eastAsia="zh-CN"/>
              </w:rPr>
              <w:t>本项目生产所需的原料（煤矸石）由装载机平行倒入给料机内，由给料机经过全封闭皮带将物料送入</w:t>
            </w:r>
            <w:r>
              <w:rPr>
                <w:rFonts w:hint="eastAsia"/>
                <w:color w:val="auto"/>
                <w:sz w:val="24"/>
                <w:highlight w:val="none"/>
                <w:lang w:val="en-US" w:eastAsia="zh-CN"/>
              </w:rPr>
              <w:t>锤式</w:t>
            </w:r>
            <w:r>
              <w:rPr>
                <w:rFonts w:hint="eastAsia" w:ascii="Times New Roman" w:hAnsi="Times New Roman"/>
                <w:color w:val="auto"/>
                <w:sz w:val="24"/>
                <w:highlight w:val="none"/>
                <w:lang w:eastAsia="zh-CN"/>
              </w:rPr>
              <w:t>破碎机</w:t>
            </w:r>
            <w:r>
              <w:rPr>
                <w:rFonts w:hint="eastAsia"/>
                <w:color w:val="auto"/>
                <w:sz w:val="24"/>
                <w:highlight w:val="none"/>
                <w:lang w:val="en-US" w:eastAsia="zh-CN"/>
              </w:rPr>
              <w:t>进行</w:t>
            </w:r>
            <w:r>
              <w:rPr>
                <w:rFonts w:hint="eastAsia" w:ascii="Times New Roman" w:hAnsi="Times New Roman"/>
                <w:color w:val="auto"/>
                <w:sz w:val="24"/>
                <w:highlight w:val="none"/>
                <w:lang w:eastAsia="zh-CN"/>
              </w:rPr>
              <w:t>破碎，上料过程中会产生一定量粉尘，因本项目入场原料表层含尘量较少，在跌落过程中产生较少，参考物料粒径及含水率，参照《逸散性工业粉尘控制技术》，上料工序产尘系数按0.1kg/t·原料计算，本项目年使用煤矸石</w:t>
            </w:r>
            <w:r>
              <w:rPr>
                <w:rFonts w:ascii="Times New Roman" w:hAnsi="Times New Roman"/>
                <w:color w:val="auto"/>
                <w:sz w:val="24"/>
                <w:highlight w:val="none"/>
                <w:lang w:eastAsia="zh-CN"/>
              </w:rPr>
              <w:t>1</w:t>
            </w:r>
            <w:r>
              <w:rPr>
                <w:rFonts w:hint="eastAsia"/>
                <w:color w:val="auto"/>
                <w:sz w:val="24"/>
                <w:highlight w:val="none"/>
                <w:lang w:val="en-US" w:eastAsia="zh-CN"/>
              </w:rPr>
              <w:t>5</w:t>
            </w:r>
            <w:r>
              <w:rPr>
                <w:rFonts w:ascii="Times New Roman" w:hAnsi="Times New Roman"/>
                <w:color w:val="auto"/>
                <w:sz w:val="24"/>
                <w:highlight w:val="none"/>
                <w:lang w:eastAsia="zh-CN"/>
              </w:rPr>
              <w:t>0万</w:t>
            </w:r>
            <w:r>
              <w:rPr>
                <w:rFonts w:hint="eastAsia" w:ascii="Times New Roman" w:hAnsi="Times New Roman"/>
                <w:color w:val="auto"/>
                <w:sz w:val="24"/>
                <w:highlight w:val="none"/>
                <w:lang w:eastAsia="zh-CN"/>
              </w:rPr>
              <w:t>吨，</w:t>
            </w:r>
            <w:r>
              <w:rPr>
                <w:rFonts w:hint="eastAsia"/>
                <w:color w:val="auto"/>
                <w:sz w:val="24"/>
                <w:highlight w:val="none"/>
                <w:lang w:val="en-US" w:eastAsia="zh-CN"/>
              </w:rPr>
              <w:t>上料工序进料量为165</w:t>
            </w:r>
            <w:r>
              <w:rPr>
                <w:rFonts w:hint="eastAsia" w:ascii="Times New Roman" w:hAnsi="Times New Roman"/>
                <w:color w:val="auto"/>
                <w:sz w:val="24"/>
                <w:highlight w:val="none"/>
                <w:lang w:eastAsia="zh-CN"/>
              </w:rPr>
              <w:t>万</w:t>
            </w:r>
            <w:r>
              <w:rPr>
                <w:rFonts w:ascii="Times New Roman" w:hAnsi="Times New Roman"/>
                <w:color w:val="auto"/>
                <w:sz w:val="24"/>
                <w:highlight w:val="none"/>
                <w:lang w:eastAsia="zh-CN"/>
              </w:rPr>
              <w:t>t/a</w:t>
            </w:r>
            <w:r>
              <w:rPr>
                <w:rFonts w:hint="eastAsia" w:ascii="Times New Roman" w:hAnsi="Times New Roman"/>
                <w:color w:val="auto"/>
                <w:sz w:val="24"/>
                <w:highlight w:val="none"/>
                <w:lang w:eastAsia="zh-CN"/>
              </w:rPr>
              <w:t>（考虑10%返料），则上料工序粉尘产生量约</w:t>
            </w:r>
            <w:r>
              <w:rPr>
                <w:rFonts w:hint="eastAsia"/>
                <w:color w:val="auto"/>
                <w:sz w:val="24"/>
                <w:highlight w:val="none"/>
                <w:lang w:val="en-US" w:eastAsia="zh-CN"/>
              </w:rPr>
              <w:t>165</w:t>
            </w:r>
            <w:r>
              <w:rPr>
                <w:rFonts w:hint="eastAsia" w:ascii="Times New Roman" w:hAnsi="Times New Roman"/>
                <w:color w:val="auto"/>
                <w:sz w:val="24"/>
                <w:highlight w:val="none"/>
                <w:lang w:eastAsia="zh-CN"/>
              </w:rPr>
              <w:t>t/a</w:t>
            </w:r>
            <w:r>
              <w:rPr>
                <w:rFonts w:hint="eastAsia"/>
                <w:color w:val="auto"/>
                <w:sz w:val="24"/>
                <w:highlight w:val="none"/>
                <w:lang w:eastAsia="zh-CN"/>
              </w:rPr>
              <w:t>，</w:t>
            </w:r>
            <w:r>
              <w:rPr>
                <w:rFonts w:hint="eastAsia"/>
                <w:color w:val="auto"/>
                <w:sz w:val="24"/>
                <w:highlight w:val="none"/>
                <w:lang w:val="en-US" w:eastAsia="zh-CN"/>
              </w:rPr>
              <w:t>产生</w:t>
            </w:r>
            <w:r>
              <w:rPr>
                <w:rFonts w:hint="eastAsia" w:ascii="Times New Roman" w:hAnsi="Times New Roman"/>
                <w:color w:val="auto"/>
                <w:sz w:val="24"/>
                <w:highlight w:val="none"/>
                <w:lang w:val="en-US" w:eastAsia="zh-CN"/>
              </w:rPr>
              <w:t>速率</w:t>
            </w:r>
            <w:r>
              <w:rPr>
                <w:rFonts w:hint="eastAsia"/>
                <w:color w:val="auto"/>
                <w:sz w:val="24"/>
                <w:highlight w:val="none"/>
                <w:lang w:val="en-US" w:eastAsia="zh-CN"/>
              </w:rPr>
              <w:t>34.375</w:t>
            </w:r>
            <w:r>
              <w:rPr>
                <w:rFonts w:hint="default" w:ascii="Times New Roman" w:hAnsi="Times New Roman" w:cs="Times New Roman"/>
                <w:color w:val="auto"/>
                <w:sz w:val="24"/>
                <w:szCs w:val="24"/>
                <w:highlight w:val="none"/>
                <w:lang w:val="en-US" w:eastAsia="zh-CN"/>
              </w:rPr>
              <w:t>kg/h</w:t>
            </w:r>
            <w:r>
              <w:rPr>
                <w:rFonts w:hint="default" w:ascii="Times New Roman" w:hAnsi="Times New Roman" w:cs="Times New Roman"/>
                <w:color w:val="auto"/>
                <w:sz w:val="24"/>
                <w:szCs w:val="24"/>
                <w:highlight w:val="none"/>
                <w:vertAlign w:val="baseline"/>
                <w:lang w:val="en-US" w:eastAsia="zh-CN"/>
              </w:rPr>
              <w:t>。</w:t>
            </w:r>
          </w:p>
          <w:p>
            <w:pPr>
              <w:pStyle w:val="4"/>
              <w:spacing w:line="480" w:lineRule="exact"/>
              <w:ind w:firstLine="480"/>
              <w:rPr>
                <w:rFonts w:ascii="Times New Roman" w:hAnsi="Times New Roman"/>
                <w:color w:val="auto"/>
                <w:sz w:val="24"/>
                <w:highlight w:val="none"/>
                <w:lang w:eastAsia="zh-CN"/>
              </w:rPr>
            </w:pPr>
            <w:r>
              <w:rPr>
                <w:rFonts w:hint="eastAsia" w:cs="Times New Roman"/>
                <w:b w:val="0"/>
                <w:bCs w:val="0"/>
                <w:color w:val="auto"/>
                <w:sz w:val="24"/>
                <w:highlight w:val="none"/>
                <w:lang w:val="en-US" w:eastAsia="zh-CN"/>
              </w:rPr>
              <w:t>破碎工序</w:t>
            </w:r>
            <w:r>
              <w:rPr>
                <w:rFonts w:hint="eastAsia"/>
                <w:color w:val="auto"/>
                <w:sz w:val="24"/>
                <w:highlight w:val="none"/>
                <w:lang w:val="en-US" w:eastAsia="zh-CN"/>
              </w:rPr>
              <w:t>根据</w:t>
            </w:r>
            <w:r>
              <w:rPr>
                <w:rFonts w:hint="eastAsia" w:ascii="Times New Roman" w:hAnsi="Times New Roman"/>
                <w:color w:val="auto"/>
                <w:sz w:val="24"/>
                <w:highlight w:val="none"/>
                <w:lang w:eastAsia="zh-CN"/>
              </w:rPr>
              <w:t>物料粒径及含水率</w:t>
            </w:r>
            <w:r>
              <w:rPr>
                <w:rFonts w:ascii="Times New Roman" w:hAnsi="Times New Roman"/>
                <w:color w:val="auto"/>
                <w:sz w:val="24"/>
                <w:highlight w:val="none"/>
                <w:lang w:eastAsia="zh-CN"/>
              </w:rPr>
              <w:t>，参照《逸散性工业粉尘控制技术》，</w:t>
            </w:r>
            <w:r>
              <w:rPr>
                <w:rFonts w:hint="eastAsia" w:ascii="Times New Roman" w:hAnsi="Times New Roman"/>
                <w:color w:val="auto"/>
                <w:sz w:val="24"/>
                <w:highlight w:val="none"/>
                <w:lang w:eastAsia="zh-CN"/>
              </w:rPr>
              <w:t>破碎工段</w:t>
            </w:r>
            <w:r>
              <w:rPr>
                <w:rFonts w:ascii="Times New Roman" w:hAnsi="Times New Roman"/>
                <w:color w:val="auto"/>
                <w:sz w:val="24"/>
                <w:highlight w:val="none"/>
                <w:lang w:eastAsia="zh-CN"/>
              </w:rPr>
              <w:t>产尘系数为0.</w:t>
            </w:r>
            <w:r>
              <w:rPr>
                <w:rFonts w:hint="eastAsia" w:ascii="Times New Roman" w:hAnsi="Times New Roman"/>
                <w:color w:val="auto"/>
                <w:sz w:val="24"/>
                <w:highlight w:val="none"/>
                <w:lang w:eastAsia="zh-CN"/>
              </w:rPr>
              <w:t>2</w:t>
            </w:r>
            <w:r>
              <w:rPr>
                <w:rFonts w:ascii="Times New Roman" w:hAnsi="Times New Roman"/>
                <w:color w:val="auto"/>
                <w:sz w:val="24"/>
                <w:highlight w:val="none"/>
                <w:lang w:eastAsia="zh-CN"/>
              </w:rPr>
              <w:t>kg/t，</w:t>
            </w:r>
            <w:r>
              <w:rPr>
                <w:rFonts w:hint="eastAsia" w:ascii="Times New Roman" w:hAnsi="Times New Roman"/>
                <w:color w:val="auto"/>
                <w:sz w:val="24"/>
                <w:highlight w:val="none"/>
                <w:lang w:eastAsia="zh-CN"/>
              </w:rPr>
              <w:t>破碎工段进料量</w:t>
            </w:r>
            <w:r>
              <w:rPr>
                <w:rFonts w:hint="eastAsia"/>
                <w:color w:val="auto"/>
                <w:sz w:val="24"/>
                <w:highlight w:val="none"/>
                <w:lang w:val="en-US" w:eastAsia="zh-CN"/>
              </w:rPr>
              <w:t>165</w:t>
            </w:r>
            <w:r>
              <w:rPr>
                <w:rFonts w:hint="eastAsia" w:ascii="Times New Roman" w:hAnsi="Times New Roman"/>
                <w:color w:val="auto"/>
                <w:sz w:val="24"/>
                <w:highlight w:val="none"/>
                <w:lang w:eastAsia="zh-CN"/>
              </w:rPr>
              <w:t>万</w:t>
            </w:r>
            <w:r>
              <w:rPr>
                <w:rFonts w:ascii="Times New Roman" w:hAnsi="Times New Roman"/>
                <w:color w:val="auto"/>
                <w:sz w:val="24"/>
                <w:highlight w:val="none"/>
                <w:lang w:eastAsia="zh-CN"/>
              </w:rPr>
              <w:t>t/a</w:t>
            </w:r>
            <w:r>
              <w:rPr>
                <w:rFonts w:hint="eastAsia" w:ascii="Times New Roman" w:hAnsi="Times New Roman"/>
                <w:color w:val="auto"/>
                <w:sz w:val="24"/>
                <w:highlight w:val="none"/>
                <w:lang w:eastAsia="zh-CN"/>
              </w:rPr>
              <w:t>（考虑10%返料），</w:t>
            </w:r>
            <w:r>
              <w:rPr>
                <w:rFonts w:ascii="Times New Roman" w:hAnsi="Times New Roman"/>
                <w:color w:val="auto"/>
                <w:sz w:val="24"/>
                <w:highlight w:val="none"/>
                <w:lang w:eastAsia="zh-CN"/>
              </w:rPr>
              <w:t>则</w:t>
            </w:r>
            <w:r>
              <w:rPr>
                <w:rFonts w:hint="eastAsia" w:ascii="Times New Roman" w:hAnsi="Times New Roman"/>
                <w:color w:val="auto"/>
                <w:sz w:val="24"/>
                <w:highlight w:val="none"/>
                <w:lang w:eastAsia="zh-CN"/>
              </w:rPr>
              <w:t>破碎工段</w:t>
            </w:r>
            <w:r>
              <w:rPr>
                <w:rFonts w:ascii="Times New Roman" w:hAnsi="Times New Roman"/>
                <w:color w:val="auto"/>
                <w:sz w:val="24"/>
                <w:highlight w:val="none"/>
                <w:lang w:eastAsia="zh-CN"/>
              </w:rPr>
              <w:t>粉尘产生量为</w:t>
            </w:r>
            <w:r>
              <w:rPr>
                <w:rFonts w:hint="eastAsia"/>
                <w:color w:val="auto"/>
                <w:sz w:val="24"/>
                <w:highlight w:val="none"/>
                <w:lang w:val="en-US" w:eastAsia="zh-CN"/>
              </w:rPr>
              <w:t>330</w:t>
            </w:r>
            <w:r>
              <w:rPr>
                <w:rFonts w:ascii="Times New Roman" w:hAnsi="Times New Roman"/>
                <w:color w:val="auto"/>
                <w:sz w:val="24"/>
                <w:highlight w:val="none"/>
                <w:lang w:eastAsia="zh-CN"/>
              </w:rPr>
              <w:t>t/a</w:t>
            </w:r>
            <w:r>
              <w:rPr>
                <w:rFonts w:hint="eastAsia"/>
                <w:color w:val="auto"/>
                <w:sz w:val="24"/>
                <w:highlight w:val="none"/>
                <w:lang w:eastAsia="zh-CN"/>
              </w:rPr>
              <w:t>，</w:t>
            </w:r>
            <w:r>
              <w:rPr>
                <w:rFonts w:hint="eastAsia"/>
                <w:color w:val="auto"/>
                <w:sz w:val="24"/>
                <w:highlight w:val="none"/>
                <w:lang w:val="en-US" w:eastAsia="zh-CN"/>
              </w:rPr>
              <w:t>产生</w:t>
            </w:r>
            <w:r>
              <w:rPr>
                <w:rFonts w:hint="eastAsia" w:ascii="Times New Roman" w:hAnsi="Times New Roman"/>
                <w:color w:val="auto"/>
                <w:sz w:val="24"/>
                <w:highlight w:val="none"/>
                <w:lang w:val="en-US" w:eastAsia="zh-CN"/>
              </w:rPr>
              <w:t>速率</w:t>
            </w:r>
            <w:r>
              <w:rPr>
                <w:rFonts w:hint="eastAsia"/>
                <w:color w:val="auto"/>
                <w:sz w:val="24"/>
                <w:highlight w:val="none"/>
                <w:lang w:val="en-US" w:eastAsia="zh-CN"/>
              </w:rPr>
              <w:t>68.75</w:t>
            </w:r>
            <w:r>
              <w:rPr>
                <w:rFonts w:hint="default" w:ascii="Times New Roman" w:hAnsi="Times New Roman" w:cs="Times New Roman"/>
                <w:color w:val="auto"/>
                <w:sz w:val="24"/>
                <w:szCs w:val="24"/>
                <w:highlight w:val="none"/>
                <w:lang w:val="en-US" w:eastAsia="zh-CN"/>
              </w:rPr>
              <w:t>kg/h</w:t>
            </w:r>
            <w:r>
              <w:rPr>
                <w:rFonts w:ascii="Times New Roman" w:hAnsi="Times New Roman"/>
                <w:color w:val="auto"/>
                <w:sz w:val="24"/>
                <w:highlight w:val="none"/>
                <w:lang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则总产生</w:t>
            </w:r>
            <w:r>
              <w:rPr>
                <w:rFonts w:hint="eastAsia" w:ascii="Times New Roman" w:hAnsi="Times New Roman"/>
                <w:color w:val="auto"/>
                <w:sz w:val="24"/>
                <w:highlight w:val="none"/>
                <w:lang w:val="en-US" w:eastAsia="zh-CN"/>
              </w:rPr>
              <w:t>速率</w:t>
            </w:r>
            <w:r>
              <w:rPr>
                <w:rFonts w:hint="eastAsia"/>
                <w:color w:val="auto"/>
                <w:sz w:val="24"/>
                <w:highlight w:val="none"/>
                <w:lang w:val="en-US" w:eastAsia="zh-CN"/>
              </w:rPr>
              <w:t>103.125</w:t>
            </w:r>
            <w:r>
              <w:rPr>
                <w:rFonts w:hint="default" w:ascii="Times New Roman" w:hAnsi="Times New Roman" w:cs="Times New Roman"/>
                <w:color w:val="auto"/>
                <w:sz w:val="24"/>
                <w:szCs w:val="24"/>
                <w:highlight w:val="none"/>
                <w:lang w:val="en-US" w:eastAsia="zh-CN"/>
              </w:rPr>
              <w:t>kg/h</w:t>
            </w:r>
            <w:r>
              <w:rPr>
                <w:rFonts w:hint="eastAsia" w:cs="Times New Roman"/>
                <w:color w:val="auto"/>
                <w:sz w:val="24"/>
                <w:szCs w:val="24"/>
                <w:highlight w:val="none"/>
                <w:lang w:val="en-US" w:eastAsia="zh-CN"/>
              </w:rPr>
              <w:t>，产生浓度为5439</w:t>
            </w:r>
            <w:r>
              <w:rPr>
                <w:rFonts w:hint="default" w:ascii="Times New Roman" w:hAnsi="Times New Roman" w:eastAsia="宋体" w:cs="Times New Roman"/>
                <w:color w:val="auto"/>
                <w:spacing w:val="0"/>
                <w:position w:val="0"/>
                <w:sz w:val="24"/>
                <w:highlight w:val="none"/>
                <w:lang w:val="en-US" w:eastAsia="zh-CN"/>
              </w:rPr>
              <w:t>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eastAsia" w:cs="Times New Roman"/>
                <w:color w:val="auto"/>
                <w:spacing w:val="0"/>
                <w:position w:val="0"/>
                <w:sz w:val="24"/>
                <w:highlight w:val="none"/>
                <w:vertAlign w:val="baseline"/>
                <w:lang w:val="en-US"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pacing w:val="4"/>
                <w:sz w:val="24"/>
                <w:highlight w:val="none"/>
                <w:lang w:eastAsia="zh-CN"/>
              </w:rPr>
            </w:pPr>
            <w:r>
              <w:rPr>
                <w:rFonts w:hint="eastAsia" w:ascii="Times New Roman" w:hAnsi="Times New Roman" w:eastAsia="宋体" w:cs="Times New Roman"/>
                <w:color w:val="auto"/>
                <w:spacing w:val="0"/>
                <w:position w:val="0"/>
                <w:sz w:val="24"/>
                <w:highlight w:val="none"/>
                <w:lang w:val="en-US" w:eastAsia="zh-CN"/>
              </w:rPr>
              <w:t>有组织颗粒物</w:t>
            </w:r>
            <w:r>
              <w:rPr>
                <w:rFonts w:hint="default" w:ascii="Times New Roman" w:hAnsi="Times New Roman" w:eastAsia="宋体" w:cs="Times New Roman"/>
                <w:color w:val="auto"/>
                <w:spacing w:val="0"/>
                <w:position w:val="0"/>
                <w:sz w:val="24"/>
                <w:highlight w:val="none"/>
              </w:rPr>
              <w:t>排放浓度</w:t>
            </w:r>
            <w:r>
              <w:rPr>
                <w:rFonts w:hint="default" w:ascii="Times New Roman" w:hAnsi="Times New Roman" w:eastAsia="宋体" w:cs="Times New Roman"/>
                <w:color w:val="auto"/>
                <w:spacing w:val="0"/>
                <w:position w:val="0"/>
                <w:sz w:val="24"/>
                <w:highlight w:val="none"/>
                <w:lang w:val="en-US" w:eastAsia="zh-CN"/>
              </w:rPr>
              <w:t>执行《长治市大气污染防治工作领导组办公室文件关于印发长治市工业企业无组织排放治理实施方案的通知》（长气防办[2019]9号）特别排放限值要求（颗粒物≤10mg/m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default" w:ascii="Times New Roman" w:hAnsi="Times New Roman" w:eastAsia="宋体" w:cs="Times New Roman"/>
                <w:color w:val="auto"/>
                <w:spacing w:val="0"/>
                <w:position w:val="0"/>
                <w:sz w:val="24"/>
                <w:highlight w:val="none"/>
                <w:lang w:val="en-US" w:eastAsia="zh-CN"/>
              </w:rPr>
              <w:t>）</w:t>
            </w:r>
            <w:r>
              <w:rPr>
                <w:rFonts w:hint="eastAsia"/>
                <w:color w:val="auto"/>
                <w:spacing w:val="4"/>
                <w:sz w:val="24"/>
                <w:highlight w:val="none"/>
                <w:lang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auto"/>
                <w:sz w:val="24"/>
                <w:highlight w:val="none"/>
                <w:lang w:val="en-US" w:eastAsia="zh-CN"/>
              </w:rPr>
            </w:pPr>
            <w:r>
              <w:rPr>
                <w:rFonts w:hint="default"/>
                <w:bCs/>
                <w:color w:val="auto"/>
                <w:sz w:val="24"/>
                <w:highlight w:val="none"/>
              </w:rPr>
              <w:t>有组织</w:t>
            </w:r>
            <w:r>
              <w:rPr>
                <w:rFonts w:hint="eastAsia"/>
                <w:bCs/>
                <w:color w:val="auto"/>
                <w:sz w:val="24"/>
                <w:highlight w:val="none"/>
                <w:lang w:val="en-US" w:eastAsia="zh-CN"/>
              </w:rPr>
              <w:t>颗粒物</w:t>
            </w:r>
            <w:r>
              <w:rPr>
                <w:rFonts w:hint="default"/>
                <w:bCs/>
                <w:color w:val="auto"/>
                <w:sz w:val="24"/>
                <w:highlight w:val="none"/>
              </w:rPr>
              <w:t>排放量：10mg/m</w:t>
            </w:r>
            <w:r>
              <w:rPr>
                <w:rFonts w:hint="default"/>
                <w:bCs/>
                <w:color w:val="auto"/>
                <w:sz w:val="24"/>
                <w:highlight w:val="none"/>
                <w:vertAlign w:val="superscript"/>
              </w:rPr>
              <w:t>3</w:t>
            </w:r>
            <w:r>
              <w:rPr>
                <w:rFonts w:hint="default"/>
                <w:bCs/>
                <w:color w:val="auto"/>
                <w:sz w:val="24"/>
                <w:highlight w:val="none"/>
              </w:rPr>
              <w:t>×</w:t>
            </w:r>
            <w:r>
              <w:rPr>
                <w:rFonts w:hint="eastAsia" w:cs="Times New Roman"/>
                <w:snapToGrid w:val="0"/>
                <w:color w:val="auto"/>
                <w:sz w:val="24"/>
                <w:szCs w:val="20"/>
                <w:highlight w:val="none"/>
                <w:lang w:val="en-US" w:eastAsia="zh-CN"/>
              </w:rPr>
              <w:t>18960</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/h</w:t>
            </w:r>
            <w:r>
              <w:rPr>
                <w:rFonts w:hint="default"/>
                <w:bCs/>
                <w:color w:val="auto"/>
                <w:sz w:val="24"/>
                <w:highlight w:val="none"/>
              </w:rPr>
              <w:t>×</w:t>
            </w:r>
            <w:r>
              <w:rPr>
                <w:rFonts w:hint="eastAsia"/>
                <w:bCs/>
                <w:color w:val="auto"/>
                <w:sz w:val="24"/>
                <w:highlight w:val="none"/>
                <w:lang w:val="en-US" w:eastAsia="zh-CN"/>
              </w:rPr>
              <w:t>4800h</w:t>
            </w:r>
            <w:r>
              <w:rPr>
                <w:rFonts w:hint="default"/>
                <w:bCs/>
                <w:color w:val="auto"/>
                <w:sz w:val="24"/>
                <w:highlight w:val="none"/>
              </w:rPr>
              <w:t>÷10</w:t>
            </w:r>
            <w:r>
              <w:rPr>
                <w:rFonts w:hint="default"/>
                <w:bCs/>
                <w:color w:val="auto"/>
                <w:sz w:val="24"/>
                <w:highlight w:val="none"/>
                <w:vertAlign w:val="superscript"/>
              </w:rPr>
              <w:t>9</w:t>
            </w:r>
            <w:r>
              <w:rPr>
                <w:rFonts w:hint="default"/>
                <w:bCs/>
                <w:color w:val="auto"/>
                <w:sz w:val="24"/>
                <w:highlight w:val="none"/>
              </w:rPr>
              <w:t>=</w:t>
            </w:r>
            <w:r>
              <w:rPr>
                <w:rFonts w:hint="eastAsia"/>
                <w:bCs/>
                <w:color w:val="auto"/>
                <w:sz w:val="24"/>
                <w:highlight w:val="none"/>
                <w:lang w:val="en-US" w:eastAsia="zh-CN"/>
              </w:rPr>
              <w:t>0.91</w:t>
            </w:r>
            <w:r>
              <w:rPr>
                <w:rFonts w:hint="default"/>
                <w:bCs/>
                <w:color w:val="auto"/>
                <w:sz w:val="24"/>
                <w:highlight w:val="none"/>
              </w:rPr>
              <w:t>t/a</w:t>
            </w:r>
            <w:r>
              <w:rPr>
                <w:rFonts w:hint="eastAsia"/>
                <w:bCs/>
                <w:color w:val="auto"/>
                <w:sz w:val="24"/>
                <w:highlight w:val="none"/>
                <w:lang w:eastAsia="zh-CN"/>
              </w:rPr>
              <w:t>，</w:t>
            </w:r>
            <w:r>
              <w:rPr>
                <w:rFonts w:hint="default"/>
                <w:color w:val="auto"/>
                <w:sz w:val="24"/>
                <w:highlight w:val="none"/>
              </w:rPr>
              <w:t>排放</w:t>
            </w:r>
            <w:r>
              <w:rPr>
                <w:rFonts w:hint="eastAsia"/>
                <w:color w:val="auto"/>
                <w:sz w:val="24"/>
                <w:highlight w:val="none"/>
                <w:lang w:val="en-US" w:eastAsia="zh-CN"/>
              </w:rPr>
              <w:t>速率</w:t>
            </w:r>
            <w:r>
              <w:rPr>
                <w:rFonts w:hint="default"/>
                <w:color w:val="auto"/>
                <w:sz w:val="24"/>
                <w:highlight w:val="none"/>
              </w:rPr>
              <w:t>为</w:t>
            </w:r>
            <w:r>
              <w:rPr>
                <w:rFonts w:hint="eastAsia"/>
                <w:color w:val="auto"/>
                <w:sz w:val="24"/>
                <w:highlight w:val="none"/>
                <w:lang w:val="en-US" w:eastAsia="zh-CN"/>
              </w:rPr>
              <w:t>0.19kg/h</w:t>
            </w:r>
            <w:r>
              <w:rPr>
                <w:rFonts w:hint="default"/>
                <w:color w:val="auto"/>
                <w:sz w:val="24"/>
                <w:highlight w:val="none"/>
              </w:rPr>
              <w:t>。</w:t>
            </w: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G3：筛分、粉磨、粉料仓废气</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olor w:val="auto"/>
                <w:sz w:val="24"/>
                <w:highlight w:val="none"/>
              </w:rPr>
            </w:pPr>
            <w:r>
              <w:rPr>
                <w:rFonts w:hint="eastAsia" w:cs="Times New Roman"/>
                <w:color w:val="auto"/>
                <w:sz w:val="24"/>
                <w:highlight w:val="none"/>
                <w:lang w:val="en-US" w:eastAsia="zh-CN"/>
              </w:rPr>
              <w:t>本项目设置1台振动筛和1台球磨机，年运行4800h，振动筛、球磨机运行时会产生一定的粉尘，</w:t>
            </w:r>
            <w:r>
              <w:rPr>
                <w:rFonts w:hint="eastAsia"/>
                <w:color w:val="auto"/>
                <w:sz w:val="24"/>
                <w:highlight w:val="none"/>
                <w:lang w:val="en-US" w:eastAsia="zh-CN"/>
              </w:rPr>
              <w:t>球磨机和振动筛均为全封闭式，</w:t>
            </w:r>
            <w:r>
              <w:rPr>
                <w:rFonts w:hint="default"/>
                <w:color w:val="auto"/>
                <w:sz w:val="24"/>
                <w:highlight w:val="none"/>
              </w:rPr>
              <w:t>设置</w:t>
            </w:r>
            <w:r>
              <w:rPr>
                <w:rFonts w:hint="eastAsia"/>
                <w:color w:val="auto"/>
                <w:sz w:val="24"/>
                <w:highlight w:val="none"/>
                <w:lang w:val="en-US" w:eastAsia="zh-CN"/>
              </w:rPr>
              <w:t>集气管道</w:t>
            </w:r>
            <w:r>
              <w:rPr>
                <w:rFonts w:hint="eastAsia"/>
                <w:color w:val="auto"/>
                <w:sz w:val="24"/>
                <w:highlight w:val="none"/>
                <w:lang w:eastAsia="zh-CN"/>
              </w:rPr>
              <w:t>，</w:t>
            </w:r>
            <w:r>
              <w:rPr>
                <w:rFonts w:hint="eastAsia"/>
                <w:color w:val="auto"/>
                <w:sz w:val="24"/>
                <w:highlight w:val="none"/>
              </w:rPr>
              <w:t>废气经集气</w:t>
            </w:r>
            <w:r>
              <w:rPr>
                <w:rFonts w:hint="eastAsia"/>
                <w:color w:val="auto"/>
                <w:sz w:val="24"/>
                <w:highlight w:val="none"/>
                <w:lang w:val="en-US" w:eastAsia="zh-CN"/>
              </w:rPr>
              <w:t>管道</w:t>
            </w:r>
            <w:r>
              <w:rPr>
                <w:rFonts w:hint="eastAsia"/>
                <w:color w:val="auto"/>
                <w:sz w:val="24"/>
                <w:highlight w:val="none"/>
              </w:rPr>
              <w:t>送至</w:t>
            </w:r>
            <w:r>
              <w:rPr>
                <w:rFonts w:hint="eastAsia"/>
                <w:color w:val="auto"/>
                <w:sz w:val="24"/>
                <w:highlight w:val="none"/>
                <w:lang w:val="en-US" w:eastAsia="zh-CN"/>
              </w:rPr>
              <w:t>1台</w:t>
            </w:r>
            <w:r>
              <w:rPr>
                <w:rFonts w:hint="eastAsia"/>
                <w:color w:val="auto"/>
                <w:sz w:val="24"/>
                <w:highlight w:val="none"/>
              </w:rPr>
              <w:t>布袋除尘器</w:t>
            </w:r>
            <w:r>
              <w:rPr>
                <w:rFonts w:hint="eastAsia"/>
                <w:color w:val="auto"/>
                <w:sz w:val="24"/>
                <w:highlight w:val="none"/>
                <w:lang w:eastAsia="zh-CN"/>
              </w:rPr>
              <w:t>（</w:t>
            </w:r>
            <w:r>
              <w:rPr>
                <w:rFonts w:hint="eastAsia"/>
                <w:color w:val="auto"/>
                <w:sz w:val="24"/>
                <w:highlight w:val="none"/>
                <w:lang w:val="en-US" w:eastAsia="zh-CN"/>
              </w:rPr>
              <w:t>TA002</w:t>
            </w:r>
            <w:r>
              <w:rPr>
                <w:rFonts w:hint="eastAsia"/>
                <w:color w:val="auto"/>
                <w:sz w:val="24"/>
                <w:highlight w:val="none"/>
                <w:lang w:eastAsia="zh-CN"/>
              </w:rPr>
              <w:t>）</w:t>
            </w:r>
            <w:r>
              <w:rPr>
                <w:rFonts w:hint="eastAsia"/>
                <w:color w:val="auto"/>
                <w:sz w:val="24"/>
                <w:highlight w:val="none"/>
              </w:rPr>
              <w:t>处理，</w:t>
            </w:r>
            <w:r>
              <w:rPr>
                <w:rFonts w:hint="eastAsia"/>
                <w:color w:val="auto"/>
                <w:sz w:val="24"/>
                <w:highlight w:val="none"/>
                <w:lang w:val="en-US" w:eastAsia="zh-CN"/>
              </w:rPr>
              <w:t>煤矸石设置1台粉料仓，仓顶自带1台布袋除尘器（TA005），处理后的废气共同由</w:t>
            </w:r>
            <w:r>
              <w:rPr>
                <w:rFonts w:hint="default"/>
                <w:color w:val="auto"/>
                <w:sz w:val="24"/>
                <w:highlight w:val="none"/>
              </w:rPr>
              <w:t>1根</w:t>
            </w:r>
            <w:r>
              <w:rPr>
                <w:rFonts w:hint="eastAsia"/>
                <w:color w:val="auto"/>
                <w:sz w:val="24"/>
                <w:highlight w:val="none"/>
                <w:lang w:val="en-US" w:eastAsia="zh-CN"/>
              </w:rPr>
              <w:t>20</w:t>
            </w:r>
            <w:r>
              <w:rPr>
                <w:rFonts w:hint="default"/>
                <w:color w:val="auto"/>
                <w:sz w:val="24"/>
                <w:highlight w:val="none"/>
              </w:rPr>
              <w:t>m高排气筒（</w:t>
            </w:r>
            <w:r>
              <w:rPr>
                <w:rFonts w:hint="eastAsia"/>
                <w:color w:val="auto"/>
                <w:sz w:val="24"/>
                <w:highlight w:val="none"/>
              </w:rPr>
              <w:t>D</w:t>
            </w:r>
            <w:r>
              <w:rPr>
                <w:rFonts w:hint="default"/>
                <w:color w:val="auto"/>
                <w:sz w:val="24"/>
                <w:highlight w:val="none"/>
              </w:rPr>
              <w:t>A00</w:t>
            </w:r>
            <w:r>
              <w:rPr>
                <w:rFonts w:hint="eastAsia"/>
                <w:color w:val="auto"/>
                <w:sz w:val="24"/>
                <w:highlight w:val="none"/>
                <w:lang w:val="en-US" w:eastAsia="zh-CN"/>
              </w:rPr>
              <w:t>2</w:t>
            </w:r>
            <w:r>
              <w:rPr>
                <w:rFonts w:hint="default"/>
                <w:color w:val="auto"/>
                <w:sz w:val="24"/>
                <w:highlight w:val="none"/>
              </w:rPr>
              <w:t>）排放。</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snapToGrid w:val="0"/>
                <w:color w:val="auto"/>
                <w:sz w:val="24"/>
                <w:szCs w:val="20"/>
                <w:highlight w:val="none"/>
                <w:lang w:val="en-US" w:eastAsia="zh-CN"/>
              </w:rPr>
            </w:pPr>
            <w:r>
              <w:rPr>
                <w:rFonts w:hint="eastAsia"/>
                <w:color w:val="auto"/>
                <w:sz w:val="24"/>
                <w:highlight w:val="none"/>
                <w:lang w:val="en-US" w:eastAsia="zh-CN"/>
              </w:rPr>
              <w:t>振动筛</w:t>
            </w:r>
            <w:r>
              <w:rPr>
                <w:rFonts w:hint="eastAsia" w:ascii="Times New Roman" w:hAnsi="Times New Roman"/>
                <w:color w:val="auto"/>
                <w:sz w:val="24"/>
                <w:highlight w:val="none"/>
                <w:lang w:val="en-US" w:eastAsia="zh-CN"/>
              </w:rPr>
              <w:t>筛面面积</w:t>
            </w:r>
            <w:r>
              <w:rPr>
                <w:rFonts w:hint="eastAsia"/>
                <w:color w:val="auto"/>
                <w:sz w:val="24"/>
                <w:highlight w:val="none"/>
                <w:lang w:val="en-US" w:eastAsia="zh-CN"/>
              </w:rPr>
              <w:t>为15</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2</w:t>
            </w:r>
            <w:r>
              <w:rPr>
                <w:rFonts w:hint="eastAsia" w:ascii="Times New Roman" w:hAnsi="Times New Roman"/>
                <w:color w:val="auto"/>
                <w:sz w:val="24"/>
                <w:highlight w:val="none"/>
                <w:lang w:val="en-US" w:eastAsia="zh-CN"/>
              </w:rPr>
              <w:t>，振动筛接风管，依据《钢铁采暖通风设计手册》振动筛上部除尘排风量根据给料高度、密闭状况、物料性质和筛子规格等因素，按每平方米筛面面积排风量800m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/h计，安全系数（设计风量通常不小于计算风量的1.2倍，本次取1.2）</w:t>
            </w:r>
            <w:r>
              <w:rPr>
                <w:rFonts w:hint="eastAsia"/>
                <w:color w:val="auto"/>
                <w:sz w:val="24"/>
                <w:highlight w:val="none"/>
                <w:lang w:val="en-US" w:eastAsia="zh-CN"/>
              </w:rPr>
              <w:t>，</w:t>
            </w:r>
            <w:r>
              <w:rPr>
                <w:rFonts w:hint="eastAsia" w:ascii="Times New Roman" w:hAnsi="Times New Roman"/>
                <w:color w:val="auto"/>
                <w:sz w:val="24"/>
                <w:highlight w:val="none"/>
                <w:lang w:val="en-US" w:eastAsia="zh-CN"/>
              </w:rPr>
              <w:t>则筛分工序设计所需风量为</w:t>
            </w:r>
            <w:r>
              <w:rPr>
                <w:rFonts w:hint="eastAsia"/>
                <w:color w:val="auto"/>
                <w:sz w:val="24"/>
                <w:highlight w:val="none"/>
                <w:lang w:val="en-US" w:eastAsia="zh-CN"/>
              </w:rPr>
              <w:t>15</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2</w:t>
            </w:r>
            <w:r>
              <w:rPr>
                <w:rFonts w:hint="eastAsia" w:ascii="Times New Roman" w:hAnsi="Times New Roman"/>
                <w:color w:val="auto"/>
                <w:sz w:val="24"/>
                <w:highlight w:val="none"/>
                <w:lang w:val="en-US" w:eastAsia="zh-CN"/>
              </w:rPr>
              <w:t>×800m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/h×1.2=</w:t>
            </w:r>
            <w:r>
              <w:rPr>
                <w:rFonts w:hint="eastAsia"/>
                <w:color w:val="auto"/>
                <w:sz w:val="24"/>
                <w:highlight w:val="none"/>
                <w:lang w:val="en-US" w:eastAsia="zh-CN"/>
              </w:rPr>
              <w:t>14400</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snapToGrid w:val="0"/>
                <w:color w:val="auto"/>
                <w:sz w:val="24"/>
                <w:szCs w:val="20"/>
                <w:highlight w:val="none"/>
                <w:vertAlign w:val="baseline"/>
                <w:lang w:val="en-US" w:eastAsia="zh-CN"/>
              </w:rPr>
            </w:pPr>
            <w:r>
              <w:rPr>
                <w:rFonts w:hint="eastAsia" w:cs="Times New Roman"/>
                <w:color w:val="auto"/>
                <w:sz w:val="24"/>
                <w:highlight w:val="none"/>
                <w:lang w:val="en-US" w:eastAsia="zh-CN"/>
              </w:rPr>
              <w:t>根据建设单位提供的资料，球磨工序所需风量为10000</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w:t>
            </w:r>
            <w:r>
              <w:rPr>
                <w:rFonts w:hint="eastAsia"/>
                <w:color w:val="auto"/>
                <w:sz w:val="24"/>
                <w:highlight w:val="none"/>
                <w:lang w:val="en-US" w:eastAsia="zh-CN"/>
              </w:rPr>
              <w:t>，粉料仓设置1台2000</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w:t>
            </w:r>
            <w:r>
              <w:rPr>
                <w:rFonts w:hint="eastAsia"/>
                <w:color w:val="auto"/>
                <w:sz w:val="24"/>
                <w:highlight w:val="none"/>
                <w:lang w:val="en-US" w:eastAsia="zh-CN"/>
              </w:rPr>
              <w:t>的布袋除尘器，因此，筛分、球磨、</w:t>
            </w:r>
            <w:r>
              <w:rPr>
                <w:rFonts w:hint="eastAsia" w:cs="Times New Roman"/>
                <w:color w:val="auto"/>
                <w:sz w:val="24"/>
                <w:highlight w:val="none"/>
                <w:lang w:val="en-US" w:eastAsia="zh-CN"/>
              </w:rPr>
              <w:t>粉料仓</w:t>
            </w:r>
            <w:r>
              <w:rPr>
                <w:rFonts w:hint="eastAsia"/>
                <w:color w:val="auto"/>
                <w:sz w:val="24"/>
                <w:highlight w:val="none"/>
                <w:lang w:val="en-US" w:eastAsia="zh-CN"/>
              </w:rPr>
              <w:t>所需风量为26400</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w:t>
            </w:r>
            <w:r>
              <w:rPr>
                <w:rFonts w:hint="eastAsia" w:ascii="Times New Roman" w:hAnsi="Times New Roman" w:eastAsia="宋体" w:cs="Times New Roman"/>
                <w:snapToGrid w:val="0"/>
                <w:color w:val="auto"/>
                <w:sz w:val="24"/>
                <w:szCs w:val="20"/>
                <w:highlight w:val="none"/>
                <w:lang w:val="en-US" w:eastAsia="zh-CN"/>
              </w:rPr>
              <w:t>布袋材质：覆膜（PTFE）涤纶针刺毡，过滤风速0.</w:t>
            </w:r>
            <w:r>
              <w:rPr>
                <w:rFonts w:hint="eastAsia" w:cs="Times New Roman"/>
                <w:snapToGrid w:val="0"/>
                <w:color w:val="auto"/>
                <w:sz w:val="24"/>
                <w:szCs w:val="20"/>
                <w:highlight w:val="none"/>
                <w:lang w:val="en-US" w:eastAsia="zh-CN"/>
              </w:rPr>
              <w:t>7</w:t>
            </w:r>
            <w:r>
              <w:rPr>
                <w:rFonts w:hint="eastAsia" w:ascii="Times New Roman" w:hAnsi="Times New Roman" w:eastAsia="宋体" w:cs="Times New Roman"/>
                <w:snapToGrid w:val="0"/>
                <w:color w:val="auto"/>
                <w:sz w:val="24"/>
                <w:szCs w:val="20"/>
                <w:highlight w:val="none"/>
                <w:lang w:val="en-US" w:eastAsia="zh-CN"/>
              </w:rPr>
              <w:t>m/min，过滤面积</w:t>
            </w:r>
            <w:r>
              <w:rPr>
                <w:rFonts w:hint="eastAsia" w:cs="Times New Roman"/>
                <w:snapToGrid w:val="0"/>
                <w:color w:val="auto"/>
                <w:sz w:val="24"/>
                <w:szCs w:val="20"/>
                <w:highlight w:val="none"/>
                <w:lang w:val="en-US" w:eastAsia="zh-CN"/>
              </w:rPr>
              <w:t>628.6</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2</w:t>
            </w:r>
            <w:r>
              <w:rPr>
                <w:rFonts w:hint="eastAsia" w:cs="Times New Roman"/>
                <w:snapToGrid w:val="0"/>
                <w:color w:val="auto"/>
                <w:sz w:val="24"/>
                <w:szCs w:val="20"/>
                <w:highlight w:val="none"/>
                <w:vertAlign w:val="baseline"/>
                <w:lang w:val="en-US" w:eastAsia="zh-CN"/>
              </w:rPr>
              <w:t>。</w:t>
            </w:r>
          </w:p>
          <w:p>
            <w:pPr>
              <w:pStyle w:val="4"/>
              <w:spacing w:line="480" w:lineRule="exact"/>
              <w:ind w:firstLine="480"/>
              <w:rPr>
                <w:rFonts w:hint="eastAsia" w:cs="Times New Roman"/>
                <w:color w:val="auto"/>
                <w:spacing w:val="0"/>
                <w:position w:val="0"/>
                <w:sz w:val="24"/>
                <w:highlight w:val="none"/>
                <w:vertAlign w:val="baseline"/>
                <w:lang w:val="en-US" w:eastAsia="zh-CN"/>
              </w:rPr>
            </w:pPr>
            <w:r>
              <w:rPr>
                <w:rFonts w:hint="eastAsia" w:ascii="Times New Roman" w:hAnsi="Times New Roman"/>
                <w:color w:val="auto"/>
                <w:sz w:val="24"/>
                <w:highlight w:val="none"/>
                <w:lang w:val="en-US" w:eastAsia="zh-CN"/>
              </w:rPr>
              <w:t>筛分工序产生的粉尘参照</w:t>
            </w:r>
            <w:r>
              <w:rPr>
                <w:rFonts w:hint="default" w:ascii="Times New Roman" w:hAnsi="Times New Roman"/>
                <w:color w:val="auto"/>
                <w:sz w:val="24"/>
                <w:highlight w:val="none"/>
                <w:lang w:eastAsia="zh-CN"/>
              </w:rPr>
              <w:t>《逸散性工业粉尘控制技术》，筛分工段产尘系数为0.2kg/t，筛分工段进料量</w:t>
            </w:r>
            <w:r>
              <w:rPr>
                <w:rFonts w:hint="eastAsia"/>
                <w:color w:val="auto"/>
                <w:sz w:val="24"/>
                <w:highlight w:val="none"/>
                <w:lang w:val="en-US" w:eastAsia="zh-CN"/>
              </w:rPr>
              <w:t>165</w:t>
            </w:r>
            <w:r>
              <w:rPr>
                <w:rFonts w:hint="default" w:ascii="Times New Roman" w:hAnsi="Times New Roman"/>
                <w:color w:val="auto"/>
                <w:sz w:val="24"/>
                <w:highlight w:val="none"/>
                <w:lang w:eastAsia="zh-CN"/>
              </w:rPr>
              <w:t>万t/a（考虑10%返料），则筛分粉尘产生量为</w:t>
            </w:r>
            <w:r>
              <w:rPr>
                <w:rFonts w:hint="eastAsia"/>
                <w:color w:val="auto"/>
                <w:sz w:val="24"/>
                <w:highlight w:val="none"/>
                <w:lang w:val="en-US" w:eastAsia="zh-CN"/>
              </w:rPr>
              <w:t>330</w:t>
            </w:r>
            <w:r>
              <w:rPr>
                <w:rFonts w:hint="default" w:ascii="Times New Roman" w:hAnsi="Times New Roman"/>
                <w:color w:val="auto"/>
                <w:sz w:val="24"/>
                <w:highlight w:val="none"/>
                <w:lang w:eastAsia="zh-CN"/>
              </w:rPr>
              <w:t>t/a</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产生速率</w:t>
            </w:r>
            <w:r>
              <w:rPr>
                <w:rFonts w:hint="eastAsia"/>
                <w:color w:val="auto"/>
                <w:sz w:val="24"/>
                <w:highlight w:val="none"/>
                <w:lang w:val="en-US" w:eastAsia="zh-CN"/>
              </w:rPr>
              <w:t>68.75</w:t>
            </w:r>
            <w:r>
              <w:rPr>
                <w:rFonts w:hint="default" w:ascii="Times New Roman" w:hAnsi="Times New Roman" w:cs="Times New Roman"/>
                <w:color w:val="auto"/>
                <w:sz w:val="24"/>
                <w:szCs w:val="24"/>
                <w:highlight w:val="none"/>
                <w:lang w:val="en-US" w:eastAsia="zh-CN"/>
              </w:rPr>
              <w:t>kg/h</w:t>
            </w:r>
            <w:r>
              <w:rPr>
                <w:rFonts w:hint="eastAsia" w:cs="Times New Roman"/>
                <w:color w:val="auto"/>
                <w:spacing w:val="0"/>
                <w:position w:val="0"/>
                <w:sz w:val="24"/>
                <w:highlight w:val="none"/>
                <w:vertAlign w:val="baseline"/>
                <w:lang w:val="en-US" w:eastAsia="zh-CN"/>
              </w:rPr>
              <w:t>。</w:t>
            </w:r>
          </w:p>
          <w:p>
            <w:pPr>
              <w:pStyle w:val="4"/>
              <w:keepNext w:val="0"/>
              <w:keepLines w:val="0"/>
              <w:suppressLineNumbers w:val="0"/>
              <w:spacing w:before="0" w:beforeAutospacing="0" w:after="0" w:afterAutospacing="0" w:line="480" w:lineRule="exact"/>
              <w:ind w:left="0" w:right="0" w:firstLine="480"/>
              <w:rPr>
                <w:rFonts w:hint="eastAsia" w:cs="Times New Roman"/>
                <w:color w:val="auto"/>
                <w:sz w:val="24"/>
                <w:szCs w:val="24"/>
                <w:highlight w:val="none"/>
                <w:lang w:val="en-US" w:eastAsia="zh-CN"/>
              </w:rPr>
            </w:pPr>
            <w:r>
              <w:rPr>
                <w:rFonts w:hint="eastAsia" w:cs="Times New Roman"/>
                <w:snapToGrid w:val="0"/>
                <w:color w:val="auto"/>
                <w:sz w:val="24"/>
                <w:szCs w:val="20"/>
                <w:highlight w:val="none"/>
                <w:vertAlign w:val="baseline"/>
                <w:lang w:val="en-US" w:eastAsia="zh-CN"/>
              </w:rPr>
              <w:t>粉磨粉尘</w:t>
            </w:r>
            <w:r>
              <w:rPr>
                <w:rFonts w:hint="eastAsia" w:ascii="Times New Roman" w:hAnsi="Times New Roman"/>
                <w:color w:val="auto"/>
                <w:sz w:val="24"/>
                <w:highlight w:val="none"/>
                <w:lang w:val="en-US" w:eastAsia="zh-CN"/>
              </w:rPr>
              <w:t>参照</w:t>
            </w:r>
            <w:r>
              <w:rPr>
                <w:rFonts w:hint="default" w:ascii="Times New Roman" w:hAnsi="Times New Roman"/>
                <w:color w:val="auto"/>
                <w:sz w:val="24"/>
                <w:highlight w:val="none"/>
                <w:lang w:eastAsia="zh-CN"/>
              </w:rPr>
              <w:t>《逸散性工业粉尘控制技术》，</w:t>
            </w:r>
            <w:r>
              <w:rPr>
                <w:rFonts w:hint="eastAsia"/>
                <w:color w:val="auto"/>
                <w:sz w:val="24"/>
                <w:highlight w:val="none"/>
                <w:lang w:val="en-US" w:eastAsia="zh-CN"/>
              </w:rPr>
              <w:t>粉磨</w:t>
            </w:r>
            <w:r>
              <w:rPr>
                <w:rFonts w:hint="default" w:ascii="Times New Roman" w:hAnsi="Times New Roman"/>
                <w:color w:val="auto"/>
                <w:sz w:val="24"/>
                <w:highlight w:val="none"/>
                <w:lang w:eastAsia="zh-CN"/>
              </w:rPr>
              <w:t>工段产尘系数为0.</w:t>
            </w:r>
            <w:r>
              <w:rPr>
                <w:rFonts w:hint="eastAsia"/>
                <w:color w:val="auto"/>
                <w:sz w:val="24"/>
                <w:highlight w:val="none"/>
                <w:lang w:val="en-US" w:eastAsia="zh-CN"/>
              </w:rPr>
              <w:t>2</w:t>
            </w:r>
            <w:r>
              <w:rPr>
                <w:rFonts w:hint="default" w:ascii="Times New Roman" w:hAnsi="Times New Roman"/>
                <w:color w:val="auto"/>
                <w:sz w:val="24"/>
                <w:highlight w:val="none"/>
                <w:lang w:eastAsia="zh-CN"/>
              </w:rPr>
              <w:t>kg/t，</w:t>
            </w:r>
            <w:r>
              <w:rPr>
                <w:rFonts w:hint="eastAsia"/>
                <w:color w:val="auto"/>
                <w:sz w:val="24"/>
                <w:highlight w:val="none"/>
                <w:lang w:val="en-US" w:eastAsia="zh-CN"/>
              </w:rPr>
              <w:t>粉磨</w:t>
            </w:r>
            <w:r>
              <w:rPr>
                <w:rFonts w:hint="default" w:ascii="Times New Roman" w:hAnsi="Times New Roman"/>
                <w:color w:val="auto"/>
                <w:sz w:val="24"/>
                <w:highlight w:val="none"/>
                <w:lang w:eastAsia="zh-CN"/>
              </w:rPr>
              <w:t>工段进料用量共</w:t>
            </w:r>
            <w:r>
              <w:rPr>
                <w:rFonts w:hint="eastAsia"/>
                <w:color w:val="auto"/>
                <w:sz w:val="24"/>
                <w:highlight w:val="none"/>
                <w:lang w:val="en-US" w:eastAsia="zh-CN"/>
              </w:rPr>
              <w:t>165</w:t>
            </w:r>
            <w:r>
              <w:rPr>
                <w:rFonts w:hint="default" w:ascii="Times New Roman" w:hAnsi="Times New Roman"/>
                <w:color w:val="auto"/>
                <w:sz w:val="24"/>
                <w:highlight w:val="none"/>
                <w:lang w:eastAsia="zh-CN"/>
              </w:rPr>
              <w:t>万t/a（考虑10%返料），则</w:t>
            </w:r>
            <w:r>
              <w:rPr>
                <w:rFonts w:hint="eastAsia"/>
                <w:color w:val="auto"/>
                <w:sz w:val="24"/>
                <w:highlight w:val="none"/>
                <w:lang w:val="en-US" w:eastAsia="zh-CN"/>
              </w:rPr>
              <w:t>粉磨</w:t>
            </w:r>
            <w:r>
              <w:rPr>
                <w:rFonts w:hint="default" w:ascii="Times New Roman" w:hAnsi="Times New Roman"/>
                <w:color w:val="auto"/>
                <w:sz w:val="24"/>
                <w:highlight w:val="none"/>
                <w:lang w:eastAsia="zh-CN"/>
              </w:rPr>
              <w:t>工序粉尘产生量为</w:t>
            </w:r>
            <w:r>
              <w:rPr>
                <w:rFonts w:hint="eastAsia"/>
                <w:color w:val="auto"/>
                <w:sz w:val="24"/>
                <w:highlight w:val="none"/>
                <w:lang w:val="en-US" w:eastAsia="zh-CN"/>
              </w:rPr>
              <w:t>330</w:t>
            </w:r>
            <w:r>
              <w:rPr>
                <w:rFonts w:hint="default" w:ascii="Times New Roman" w:hAnsi="Times New Roman"/>
                <w:color w:val="auto"/>
                <w:sz w:val="24"/>
                <w:highlight w:val="none"/>
                <w:lang w:eastAsia="zh-CN"/>
              </w:rPr>
              <w:t>t/a</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产生速率</w:t>
            </w:r>
            <w:r>
              <w:rPr>
                <w:rFonts w:hint="eastAsia"/>
                <w:color w:val="auto"/>
                <w:sz w:val="24"/>
                <w:highlight w:val="none"/>
                <w:lang w:val="en-US" w:eastAsia="zh-CN"/>
              </w:rPr>
              <w:t>68.75</w:t>
            </w:r>
            <w:r>
              <w:rPr>
                <w:rFonts w:hint="default" w:ascii="Times New Roman" w:hAnsi="Times New Roman" w:cs="Times New Roman"/>
                <w:color w:val="auto"/>
                <w:sz w:val="24"/>
                <w:szCs w:val="24"/>
                <w:highlight w:val="none"/>
                <w:lang w:val="en-US" w:eastAsia="zh-CN"/>
              </w:rPr>
              <w:t>kg/h</w:t>
            </w:r>
            <w:r>
              <w:rPr>
                <w:rFonts w:hint="eastAsia" w:cs="Times New Roman"/>
                <w:color w:val="auto"/>
                <w:sz w:val="24"/>
                <w:szCs w:val="24"/>
                <w:highlight w:val="none"/>
                <w:lang w:val="en-US" w:eastAsia="zh-CN"/>
              </w:rPr>
              <w:t>。</w:t>
            </w:r>
          </w:p>
          <w:p>
            <w:pPr>
              <w:pStyle w:val="4"/>
              <w:keepNext w:val="0"/>
              <w:keepLines w:val="0"/>
              <w:suppressLineNumbers w:val="0"/>
              <w:spacing w:before="0" w:beforeAutospacing="0" w:after="0" w:afterAutospacing="0" w:line="480" w:lineRule="exact"/>
              <w:ind w:left="0" w:right="0" w:firstLine="48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粉料仓粉尘</w:t>
            </w:r>
            <w:r>
              <w:rPr>
                <w:rFonts w:hint="eastAsia" w:ascii="Times New Roman" w:hAnsi="Times New Roman"/>
                <w:color w:val="auto"/>
                <w:sz w:val="24"/>
                <w:highlight w:val="none"/>
                <w:lang w:val="en-US" w:eastAsia="zh-CN"/>
              </w:rPr>
              <w:t>参照</w:t>
            </w:r>
            <w:r>
              <w:rPr>
                <w:rFonts w:hint="default" w:ascii="Times New Roman" w:hAnsi="Times New Roman"/>
                <w:color w:val="auto"/>
                <w:sz w:val="24"/>
                <w:highlight w:val="none"/>
                <w:lang w:eastAsia="zh-CN"/>
              </w:rPr>
              <w:t>《逸散性工业粉尘控制技术》</w:t>
            </w:r>
            <w:r>
              <w:rPr>
                <w:rFonts w:hint="eastAsia"/>
                <w:color w:val="auto"/>
                <w:sz w:val="24"/>
                <w:highlight w:val="none"/>
                <w:lang w:val="en-US" w:eastAsia="zh-CN"/>
              </w:rPr>
              <w:t>中</w:t>
            </w:r>
            <w:r>
              <w:rPr>
                <w:rFonts w:hint="default" w:ascii="Times New Roman" w:hAnsi="Times New Roman"/>
                <w:color w:val="auto"/>
                <w:sz w:val="24"/>
                <w:highlight w:val="none"/>
                <w:lang w:eastAsia="zh-CN"/>
              </w:rPr>
              <w:t>产尘系数为0.</w:t>
            </w:r>
            <w:r>
              <w:rPr>
                <w:rFonts w:hint="eastAsia"/>
                <w:color w:val="auto"/>
                <w:sz w:val="24"/>
                <w:highlight w:val="none"/>
                <w:lang w:val="en-US" w:eastAsia="zh-CN"/>
              </w:rPr>
              <w:t>1</w:t>
            </w:r>
            <w:r>
              <w:rPr>
                <w:rFonts w:hint="default" w:ascii="Times New Roman" w:hAnsi="Times New Roman"/>
                <w:color w:val="auto"/>
                <w:sz w:val="24"/>
                <w:highlight w:val="none"/>
                <w:lang w:eastAsia="zh-CN"/>
              </w:rPr>
              <w:t>kg/t，</w:t>
            </w:r>
            <w:r>
              <w:rPr>
                <w:rFonts w:hint="eastAsia"/>
                <w:color w:val="auto"/>
                <w:sz w:val="24"/>
                <w:highlight w:val="none"/>
                <w:lang w:val="en-US" w:eastAsia="zh-CN"/>
              </w:rPr>
              <w:t>煤矸石年用量为150</w:t>
            </w:r>
            <w:r>
              <w:rPr>
                <w:rFonts w:hint="default" w:ascii="Times New Roman" w:hAnsi="Times New Roman"/>
                <w:color w:val="auto"/>
                <w:sz w:val="24"/>
                <w:highlight w:val="none"/>
                <w:lang w:eastAsia="zh-CN"/>
              </w:rPr>
              <w:t>万t/a，则</w:t>
            </w:r>
            <w:r>
              <w:rPr>
                <w:rFonts w:hint="eastAsia" w:cs="Times New Roman"/>
                <w:color w:val="auto"/>
                <w:sz w:val="24"/>
                <w:szCs w:val="24"/>
                <w:highlight w:val="none"/>
                <w:lang w:val="en-US" w:eastAsia="zh-CN"/>
              </w:rPr>
              <w:t>粉料仓</w:t>
            </w:r>
            <w:r>
              <w:rPr>
                <w:rFonts w:hint="default" w:ascii="Times New Roman" w:hAnsi="Times New Roman"/>
                <w:color w:val="auto"/>
                <w:sz w:val="24"/>
                <w:highlight w:val="none"/>
                <w:lang w:eastAsia="zh-CN"/>
              </w:rPr>
              <w:t>粉尘产生量为</w:t>
            </w:r>
            <w:r>
              <w:rPr>
                <w:rFonts w:hint="eastAsia"/>
                <w:color w:val="auto"/>
                <w:sz w:val="24"/>
                <w:highlight w:val="none"/>
                <w:lang w:val="en-US" w:eastAsia="zh-CN"/>
              </w:rPr>
              <w:t>150</w:t>
            </w:r>
            <w:r>
              <w:rPr>
                <w:rFonts w:hint="default" w:ascii="Times New Roman" w:hAnsi="Times New Roman"/>
                <w:color w:val="auto"/>
                <w:sz w:val="24"/>
                <w:highlight w:val="none"/>
                <w:lang w:eastAsia="zh-CN"/>
              </w:rPr>
              <w:t>t/a</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产生速率</w:t>
            </w:r>
            <w:r>
              <w:rPr>
                <w:rFonts w:hint="eastAsia"/>
                <w:color w:val="auto"/>
                <w:sz w:val="24"/>
                <w:highlight w:val="none"/>
                <w:lang w:val="en-US" w:eastAsia="zh-CN"/>
              </w:rPr>
              <w:t>31.25</w:t>
            </w:r>
            <w:r>
              <w:rPr>
                <w:rFonts w:hint="default" w:ascii="Times New Roman" w:hAnsi="Times New Roman" w:cs="Times New Roman"/>
                <w:color w:val="auto"/>
                <w:sz w:val="24"/>
                <w:szCs w:val="24"/>
                <w:highlight w:val="none"/>
                <w:lang w:val="en-US" w:eastAsia="zh-CN"/>
              </w:rPr>
              <w:t>kg/h</w:t>
            </w:r>
            <w:r>
              <w:rPr>
                <w:rFonts w:hint="eastAsia" w:cs="Times New Roman"/>
                <w:color w:val="auto"/>
                <w:sz w:val="24"/>
                <w:szCs w:val="24"/>
                <w:highlight w:val="none"/>
                <w:lang w:val="en-US" w:eastAsia="zh-CN"/>
              </w:rPr>
              <w:t>。</w:t>
            </w:r>
          </w:p>
          <w:p>
            <w:pPr>
              <w:pStyle w:val="4"/>
              <w:keepNext w:val="0"/>
              <w:keepLines w:val="0"/>
              <w:suppressLineNumbers w:val="0"/>
              <w:spacing w:before="0" w:beforeAutospacing="0" w:after="0" w:afterAutospacing="0" w:line="480" w:lineRule="exact"/>
              <w:ind w:left="0" w:right="0" w:firstLine="480"/>
              <w:rPr>
                <w:rFonts w:hint="default" w:ascii="Times New Roman" w:hAnsi="Times New Roman"/>
                <w:color w:val="auto"/>
                <w:sz w:val="24"/>
                <w:highlight w:val="none"/>
                <w:lang w:eastAsia="zh-CN"/>
              </w:rPr>
            </w:pPr>
            <w:r>
              <w:rPr>
                <w:rFonts w:hint="eastAsia" w:cs="Times New Roman"/>
                <w:color w:val="auto"/>
                <w:sz w:val="24"/>
                <w:szCs w:val="24"/>
                <w:highlight w:val="none"/>
                <w:lang w:val="en-US" w:eastAsia="zh-CN"/>
              </w:rPr>
              <w:t>则总产生速率为168.75</w:t>
            </w:r>
            <w:r>
              <w:rPr>
                <w:rFonts w:hint="default" w:ascii="Times New Roman" w:hAnsi="Times New Roman" w:cs="Times New Roman"/>
                <w:color w:val="auto"/>
                <w:sz w:val="24"/>
                <w:szCs w:val="24"/>
                <w:highlight w:val="none"/>
                <w:lang w:val="en-US" w:eastAsia="zh-CN"/>
              </w:rPr>
              <w:t>kg/h</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产生浓度为6392</w:t>
            </w:r>
            <w:r>
              <w:rPr>
                <w:rFonts w:hint="default" w:ascii="Times New Roman" w:hAnsi="Times New Roman" w:eastAsia="宋体" w:cs="Times New Roman"/>
                <w:color w:val="auto"/>
                <w:spacing w:val="0"/>
                <w:position w:val="0"/>
                <w:sz w:val="24"/>
                <w:highlight w:val="none"/>
                <w:lang w:val="en-US" w:eastAsia="zh-CN"/>
              </w:rPr>
              <w:t>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default" w:ascii="Times New Roman" w:hAnsi="Times New Roman"/>
                <w:color w:val="auto"/>
                <w:sz w:val="24"/>
                <w:highlight w:val="none"/>
                <w:lang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pacing w:val="4"/>
                <w:sz w:val="24"/>
                <w:highlight w:val="none"/>
                <w:lang w:eastAsia="zh-CN"/>
              </w:rPr>
            </w:pPr>
            <w:r>
              <w:rPr>
                <w:rFonts w:hint="eastAsia" w:ascii="Times New Roman" w:hAnsi="Times New Roman" w:eastAsia="宋体" w:cs="Times New Roman"/>
                <w:color w:val="auto"/>
                <w:spacing w:val="0"/>
                <w:position w:val="0"/>
                <w:sz w:val="24"/>
                <w:highlight w:val="none"/>
                <w:lang w:val="en-US" w:eastAsia="zh-CN"/>
              </w:rPr>
              <w:t>有组织颗粒物</w:t>
            </w:r>
            <w:r>
              <w:rPr>
                <w:rFonts w:hint="default" w:ascii="Times New Roman" w:hAnsi="Times New Roman" w:eastAsia="宋体" w:cs="Times New Roman"/>
                <w:color w:val="auto"/>
                <w:spacing w:val="0"/>
                <w:position w:val="0"/>
                <w:sz w:val="24"/>
                <w:highlight w:val="none"/>
              </w:rPr>
              <w:t>排放浓度</w:t>
            </w:r>
            <w:r>
              <w:rPr>
                <w:rFonts w:hint="default" w:ascii="Times New Roman" w:hAnsi="Times New Roman" w:eastAsia="宋体" w:cs="Times New Roman"/>
                <w:color w:val="auto"/>
                <w:spacing w:val="0"/>
                <w:position w:val="0"/>
                <w:sz w:val="24"/>
                <w:highlight w:val="none"/>
                <w:lang w:val="en-US" w:eastAsia="zh-CN"/>
              </w:rPr>
              <w:t>执行《长治市大气污染防治工作领导组办公室文件关于印发长治市工业企业无组织排放治理实施方案的通知》（长气防办[2019]9号）特别排放限值要求（颗粒物≤10mg/m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default" w:ascii="Times New Roman" w:hAnsi="Times New Roman" w:eastAsia="宋体" w:cs="Times New Roman"/>
                <w:color w:val="auto"/>
                <w:spacing w:val="0"/>
                <w:position w:val="0"/>
                <w:sz w:val="24"/>
                <w:highlight w:val="none"/>
                <w:lang w:val="en-US" w:eastAsia="zh-CN"/>
              </w:rPr>
              <w:t>）</w:t>
            </w:r>
            <w:r>
              <w:rPr>
                <w:rFonts w:hint="eastAsia"/>
                <w:color w:val="auto"/>
                <w:spacing w:val="4"/>
                <w:sz w:val="24"/>
                <w:highlight w:val="none"/>
                <w:lang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auto"/>
                <w:sz w:val="24"/>
                <w:highlight w:val="none"/>
                <w:lang w:val="en-US" w:eastAsia="zh-CN"/>
              </w:rPr>
            </w:pPr>
            <w:r>
              <w:rPr>
                <w:rFonts w:hint="default"/>
                <w:bCs/>
                <w:color w:val="auto"/>
                <w:sz w:val="24"/>
                <w:highlight w:val="none"/>
              </w:rPr>
              <w:t>有组织</w:t>
            </w:r>
            <w:r>
              <w:rPr>
                <w:rFonts w:hint="eastAsia"/>
                <w:bCs/>
                <w:color w:val="auto"/>
                <w:sz w:val="24"/>
                <w:highlight w:val="none"/>
                <w:lang w:val="en-US" w:eastAsia="zh-CN"/>
              </w:rPr>
              <w:t>颗粒物</w:t>
            </w:r>
            <w:r>
              <w:rPr>
                <w:rFonts w:hint="default"/>
                <w:bCs/>
                <w:color w:val="auto"/>
                <w:sz w:val="24"/>
                <w:highlight w:val="none"/>
              </w:rPr>
              <w:t>排放量：10mg/m</w:t>
            </w:r>
            <w:r>
              <w:rPr>
                <w:rFonts w:hint="default"/>
                <w:bCs/>
                <w:color w:val="auto"/>
                <w:sz w:val="24"/>
                <w:highlight w:val="none"/>
                <w:vertAlign w:val="superscript"/>
              </w:rPr>
              <w:t>3</w:t>
            </w:r>
            <w:r>
              <w:rPr>
                <w:rFonts w:hint="default"/>
                <w:bCs/>
                <w:color w:val="auto"/>
                <w:sz w:val="24"/>
                <w:highlight w:val="none"/>
              </w:rPr>
              <w:t>×</w:t>
            </w:r>
            <w:r>
              <w:rPr>
                <w:rFonts w:hint="eastAsia"/>
                <w:bCs/>
                <w:color w:val="auto"/>
                <w:sz w:val="24"/>
                <w:highlight w:val="none"/>
                <w:lang w:val="en-US" w:eastAsia="zh-CN"/>
              </w:rPr>
              <w:t>26400</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/h</w:t>
            </w:r>
            <w:r>
              <w:rPr>
                <w:rFonts w:hint="default"/>
                <w:bCs/>
                <w:color w:val="auto"/>
                <w:sz w:val="24"/>
                <w:highlight w:val="none"/>
              </w:rPr>
              <w:t>×</w:t>
            </w:r>
            <w:r>
              <w:rPr>
                <w:rFonts w:hint="eastAsia"/>
                <w:bCs/>
                <w:color w:val="auto"/>
                <w:sz w:val="24"/>
                <w:highlight w:val="none"/>
                <w:lang w:val="en-US" w:eastAsia="zh-CN"/>
              </w:rPr>
              <w:t>4800h</w:t>
            </w:r>
            <w:r>
              <w:rPr>
                <w:rFonts w:hint="default"/>
                <w:bCs/>
                <w:color w:val="auto"/>
                <w:sz w:val="24"/>
                <w:highlight w:val="none"/>
              </w:rPr>
              <w:t>÷10</w:t>
            </w:r>
            <w:r>
              <w:rPr>
                <w:rFonts w:hint="default"/>
                <w:bCs/>
                <w:color w:val="auto"/>
                <w:sz w:val="24"/>
                <w:highlight w:val="none"/>
                <w:vertAlign w:val="superscript"/>
              </w:rPr>
              <w:t>9</w:t>
            </w:r>
            <w:r>
              <w:rPr>
                <w:rFonts w:hint="default"/>
                <w:bCs/>
                <w:color w:val="auto"/>
                <w:sz w:val="24"/>
                <w:highlight w:val="none"/>
              </w:rPr>
              <w:t>=</w:t>
            </w:r>
            <w:r>
              <w:rPr>
                <w:rFonts w:hint="eastAsia"/>
                <w:bCs/>
                <w:color w:val="auto"/>
                <w:sz w:val="24"/>
                <w:highlight w:val="none"/>
                <w:lang w:val="en-US" w:eastAsia="zh-CN"/>
              </w:rPr>
              <w:t>1.267</w:t>
            </w:r>
            <w:r>
              <w:rPr>
                <w:rFonts w:hint="default"/>
                <w:bCs/>
                <w:color w:val="auto"/>
                <w:sz w:val="24"/>
                <w:highlight w:val="none"/>
              </w:rPr>
              <w:t>t/a</w:t>
            </w:r>
            <w:r>
              <w:rPr>
                <w:rFonts w:hint="eastAsia"/>
                <w:bCs/>
                <w:color w:val="auto"/>
                <w:sz w:val="24"/>
                <w:highlight w:val="none"/>
                <w:lang w:eastAsia="zh-CN"/>
              </w:rPr>
              <w:t>，</w:t>
            </w:r>
            <w:r>
              <w:rPr>
                <w:rFonts w:hint="default"/>
                <w:color w:val="auto"/>
                <w:sz w:val="24"/>
                <w:highlight w:val="none"/>
              </w:rPr>
              <w:t>排放</w:t>
            </w:r>
            <w:r>
              <w:rPr>
                <w:rFonts w:hint="eastAsia"/>
                <w:color w:val="auto"/>
                <w:sz w:val="24"/>
                <w:highlight w:val="none"/>
                <w:lang w:val="en-US" w:eastAsia="zh-CN"/>
              </w:rPr>
              <w:t>速率</w:t>
            </w:r>
            <w:r>
              <w:rPr>
                <w:rFonts w:hint="default"/>
                <w:color w:val="auto"/>
                <w:sz w:val="24"/>
                <w:highlight w:val="none"/>
              </w:rPr>
              <w:t>为</w:t>
            </w:r>
            <w:r>
              <w:rPr>
                <w:rFonts w:hint="eastAsia"/>
                <w:color w:val="auto"/>
                <w:sz w:val="24"/>
                <w:highlight w:val="none"/>
                <w:lang w:val="en-US" w:eastAsia="zh-CN"/>
              </w:rPr>
              <w:t>0.26kg/h</w:t>
            </w:r>
            <w:r>
              <w:rPr>
                <w:rFonts w:hint="default"/>
                <w:color w:val="auto"/>
                <w:sz w:val="24"/>
                <w:highlight w:val="none"/>
              </w:rPr>
              <w:t>。</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highlight w:val="none"/>
                <w:lang w:val="en-US" w:eastAsia="zh-CN"/>
              </w:rPr>
              <w:t>G4：发酵废气</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设有3次发酵，共有60个常温常压发酵罐，混合搅拌、发酵工序会产生恶臭，本项目采取过滤法对发酵罐内的废气进行处置，发酵过程中，使用纳米膜将发酵池覆盖，采取密闭发酵，发酵池进行全封闭，在发酵池末端通过管道和引风机，将发酵池内废气引入1套生物除臭装置（TA003）进行处理后，由1根20m高排气筒（DA003）排放。</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color w:val="auto"/>
                <w:sz w:val="24"/>
                <w:highlight w:val="none"/>
                <w:vertAlign w:val="baseline"/>
                <w:lang w:val="en-US" w:eastAsia="zh-CN"/>
              </w:rPr>
            </w:pPr>
            <w:r>
              <w:rPr>
                <w:rFonts w:hint="eastAsia" w:cs="Times New Roman"/>
                <w:color w:val="auto"/>
                <w:sz w:val="24"/>
                <w:highlight w:val="none"/>
                <w:lang w:val="en-US" w:eastAsia="zh-CN"/>
              </w:rPr>
              <w:t>由于有机肥及微生物肥制造行业系数手册内未规定氨、硫化氢的产污系数，本项目氨、硫化氢产生系数类比同类型同规模的项目，氨产生系数为4.35g/（m</w:t>
            </w:r>
            <w:r>
              <w:rPr>
                <w:rFonts w:hint="eastAsia"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d）硫化氢产生系数为0.87</w:t>
            </w:r>
            <w:r>
              <w:rPr>
                <w:rFonts w:hint="eastAsia" w:cs="Times New Roman"/>
                <w:color w:val="auto"/>
                <w:sz w:val="24"/>
                <w:highlight w:val="none"/>
                <w:lang w:val="en-US" w:eastAsia="zh-CN"/>
              </w:rPr>
              <w:t>g/（m</w:t>
            </w:r>
            <w:r>
              <w:rPr>
                <w:rFonts w:hint="eastAsia"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d），年工作时间7200h</w:t>
            </w:r>
            <w:r>
              <w:rPr>
                <w:rFonts w:hint="eastAsia" w:cs="Times New Roman"/>
                <w:color w:val="auto"/>
                <w:sz w:val="24"/>
                <w:highlight w:val="none"/>
                <w:lang w:val="en-US" w:eastAsia="zh-CN"/>
              </w:rPr>
              <w:t>（300d×24h）</w:t>
            </w:r>
            <w:r>
              <w:rPr>
                <w:rFonts w:hint="eastAsia" w:ascii="Times New Roman" w:hAnsi="Times New Roman" w:cs="Times New Roman"/>
                <w:color w:val="auto"/>
                <w:sz w:val="24"/>
                <w:highlight w:val="none"/>
                <w:lang w:val="en-US" w:eastAsia="zh-CN"/>
              </w:rPr>
              <w:t>，发酵区面积为2</w:t>
            </w:r>
            <w:r>
              <w:rPr>
                <w:rFonts w:hint="eastAsia" w:cs="Times New Roman"/>
                <w:color w:val="auto"/>
                <w:sz w:val="24"/>
                <w:highlight w:val="none"/>
                <w:lang w:val="en-US" w:eastAsia="zh-CN"/>
              </w:rPr>
              <w:t>52</w:t>
            </w:r>
            <w:r>
              <w:rPr>
                <w:rFonts w:hint="eastAsia"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m</w:t>
            </w:r>
            <w:r>
              <w:rPr>
                <w:rFonts w:hint="eastAsia" w:cs="Times New Roman"/>
                <w:color w:val="auto"/>
                <w:sz w:val="24"/>
                <w:highlight w:val="none"/>
                <w:vertAlign w:val="superscript"/>
                <w:lang w:val="en-US" w:eastAsia="zh-CN"/>
              </w:rPr>
              <w:t>2</w:t>
            </w:r>
            <w:r>
              <w:rPr>
                <w:rFonts w:hint="eastAsia" w:cs="Times New Roman"/>
                <w:color w:val="auto"/>
                <w:sz w:val="24"/>
                <w:highlight w:val="none"/>
                <w:vertAlign w:val="baseline"/>
                <w:lang w:val="en-US" w:eastAsia="zh-CN"/>
              </w:rPr>
              <w:t>，经计算，氨产生量为3.289t/a，产生速率为0.457kg/h，产生浓度为2.54</w:t>
            </w:r>
            <w:r>
              <w:rPr>
                <w:color w:val="auto"/>
                <w:sz w:val="24"/>
                <w:szCs w:val="22"/>
                <w:highlight w:val="none"/>
              </w:rPr>
              <w:t>mg/m</w:t>
            </w:r>
            <w:r>
              <w:rPr>
                <w:color w:val="auto"/>
                <w:sz w:val="24"/>
                <w:szCs w:val="22"/>
                <w:highlight w:val="none"/>
                <w:vertAlign w:val="superscript"/>
              </w:rPr>
              <w:t>3</w:t>
            </w:r>
            <w:r>
              <w:rPr>
                <w:rFonts w:hint="eastAsia" w:cs="Times New Roman"/>
                <w:color w:val="auto"/>
                <w:sz w:val="24"/>
                <w:highlight w:val="none"/>
                <w:vertAlign w:val="baseline"/>
                <w:lang w:val="en-US" w:eastAsia="zh-CN"/>
              </w:rPr>
              <w:t>；硫化氢产生量为0.658t/a，产生速率为0.091kg/h，产生浓度为0.506</w:t>
            </w:r>
            <w:r>
              <w:rPr>
                <w:color w:val="auto"/>
                <w:sz w:val="24"/>
                <w:szCs w:val="22"/>
                <w:highlight w:val="none"/>
              </w:rPr>
              <w:t>mg/m</w:t>
            </w:r>
            <w:r>
              <w:rPr>
                <w:color w:val="auto"/>
                <w:sz w:val="24"/>
                <w:szCs w:val="22"/>
                <w:highlight w:val="none"/>
                <w:vertAlign w:val="superscript"/>
              </w:rPr>
              <w:t>3</w:t>
            </w:r>
            <w:r>
              <w:rPr>
                <w:rFonts w:hint="eastAsia" w:cs="Times New Roman"/>
                <w:color w:val="auto"/>
                <w:sz w:val="24"/>
                <w:highlight w:val="none"/>
                <w:vertAlign w:val="baseline"/>
                <w:lang w:val="en-US"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color w:val="auto"/>
                <w:sz w:val="24"/>
                <w:szCs w:val="22"/>
                <w:highlight w:val="none"/>
              </w:rPr>
            </w:pPr>
            <w:r>
              <w:rPr>
                <w:rFonts w:hint="eastAsia"/>
                <w:color w:val="auto"/>
                <w:sz w:val="24"/>
                <w:szCs w:val="22"/>
                <w:highlight w:val="none"/>
                <w:lang w:val="en-US" w:eastAsia="zh-CN"/>
              </w:rPr>
              <w:t>根据建设单位提供的资料，每个发酵区设置1台60000</w:t>
            </w:r>
            <w:r>
              <w:rPr>
                <w:color w:val="auto"/>
                <w:sz w:val="24"/>
                <w:szCs w:val="22"/>
                <w:highlight w:val="none"/>
              </w:rPr>
              <w:t>m</w:t>
            </w:r>
            <w:r>
              <w:rPr>
                <w:color w:val="auto"/>
                <w:sz w:val="24"/>
                <w:szCs w:val="22"/>
                <w:highlight w:val="none"/>
                <w:vertAlign w:val="superscript"/>
              </w:rPr>
              <w:t>3</w:t>
            </w:r>
            <w:r>
              <w:rPr>
                <w:color w:val="auto"/>
                <w:sz w:val="24"/>
                <w:szCs w:val="22"/>
                <w:highlight w:val="none"/>
              </w:rPr>
              <w:t>/</w:t>
            </w:r>
            <w:r>
              <w:rPr>
                <w:rFonts w:hint="eastAsia"/>
                <w:color w:val="auto"/>
                <w:sz w:val="24"/>
                <w:szCs w:val="22"/>
                <w:highlight w:val="none"/>
                <w:lang w:val="en-US" w:eastAsia="zh-CN"/>
              </w:rPr>
              <w:t>h的风机（共3台，风量为180000</w:t>
            </w:r>
            <w:r>
              <w:rPr>
                <w:color w:val="auto"/>
                <w:sz w:val="24"/>
                <w:szCs w:val="22"/>
                <w:highlight w:val="none"/>
              </w:rPr>
              <w:t>m</w:t>
            </w:r>
            <w:r>
              <w:rPr>
                <w:color w:val="auto"/>
                <w:sz w:val="24"/>
                <w:szCs w:val="22"/>
                <w:highlight w:val="none"/>
                <w:vertAlign w:val="superscript"/>
              </w:rPr>
              <w:t>3</w:t>
            </w:r>
            <w:r>
              <w:rPr>
                <w:color w:val="auto"/>
                <w:sz w:val="24"/>
                <w:szCs w:val="22"/>
                <w:highlight w:val="none"/>
              </w:rPr>
              <w:t>/</w:t>
            </w:r>
            <w:r>
              <w:rPr>
                <w:rFonts w:hint="eastAsia"/>
                <w:color w:val="auto"/>
                <w:sz w:val="24"/>
                <w:szCs w:val="22"/>
                <w:highlight w:val="none"/>
                <w:lang w:val="en-US" w:eastAsia="zh-CN"/>
              </w:rPr>
              <w:t>h）</w:t>
            </w:r>
            <w:r>
              <w:rPr>
                <w:color w:val="auto"/>
                <w:sz w:val="24"/>
                <w:szCs w:val="22"/>
                <w:highlight w:val="none"/>
              </w:rPr>
              <w:t>。</w:t>
            </w:r>
            <w:r>
              <w:rPr>
                <w:rFonts w:hint="eastAsia"/>
                <w:color w:val="auto"/>
                <w:sz w:val="24"/>
                <w:szCs w:val="22"/>
                <w:highlight w:val="none"/>
              </w:rPr>
              <w:t>生物</w:t>
            </w:r>
            <w:r>
              <w:rPr>
                <w:rFonts w:hint="eastAsia"/>
                <w:color w:val="auto"/>
                <w:sz w:val="24"/>
                <w:szCs w:val="22"/>
                <w:highlight w:val="none"/>
                <w:lang w:val="en-US" w:eastAsia="zh-CN"/>
              </w:rPr>
              <w:t>除臭装置</w:t>
            </w:r>
            <w:r>
              <w:rPr>
                <w:color w:val="auto"/>
                <w:sz w:val="24"/>
                <w:szCs w:val="22"/>
                <w:highlight w:val="none"/>
              </w:rPr>
              <w:t>处理效率以</w:t>
            </w:r>
            <w:r>
              <w:rPr>
                <w:rFonts w:hint="eastAsia"/>
                <w:color w:val="auto"/>
                <w:sz w:val="24"/>
                <w:szCs w:val="22"/>
                <w:highlight w:val="none"/>
                <w:lang w:val="en-US" w:eastAsia="zh-CN"/>
              </w:rPr>
              <w:t>9</w:t>
            </w:r>
            <w:r>
              <w:rPr>
                <w:rFonts w:hint="eastAsia"/>
                <w:color w:val="auto"/>
                <w:sz w:val="24"/>
                <w:szCs w:val="22"/>
                <w:highlight w:val="none"/>
              </w:rPr>
              <w:t>0</w:t>
            </w:r>
            <w:r>
              <w:rPr>
                <w:color w:val="auto"/>
                <w:sz w:val="24"/>
                <w:szCs w:val="22"/>
                <w:highlight w:val="none"/>
              </w:rPr>
              <w:t>%计，则NH</w:t>
            </w:r>
            <w:r>
              <w:rPr>
                <w:color w:val="auto"/>
                <w:sz w:val="24"/>
                <w:szCs w:val="22"/>
                <w:highlight w:val="none"/>
                <w:vertAlign w:val="subscript"/>
              </w:rPr>
              <w:t>3</w:t>
            </w:r>
            <w:r>
              <w:rPr>
                <w:color w:val="auto"/>
                <w:sz w:val="24"/>
                <w:szCs w:val="22"/>
                <w:highlight w:val="none"/>
              </w:rPr>
              <w:t>排放量为</w:t>
            </w:r>
            <w:r>
              <w:rPr>
                <w:rFonts w:hint="eastAsia"/>
                <w:color w:val="auto"/>
                <w:sz w:val="24"/>
                <w:szCs w:val="22"/>
                <w:highlight w:val="none"/>
              </w:rPr>
              <w:t>0.3</w:t>
            </w:r>
            <w:r>
              <w:rPr>
                <w:rFonts w:hint="eastAsia"/>
                <w:color w:val="auto"/>
                <w:sz w:val="24"/>
                <w:szCs w:val="22"/>
                <w:highlight w:val="none"/>
                <w:lang w:val="en-US" w:eastAsia="zh-CN"/>
              </w:rPr>
              <w:t>289</w:t>
            </w:r>
            <w:r>
              <w:rPr>
                <w:color w:val="auto"/>
                <w:sz w:val="24"/>
                <w:szCs w:val="22"/>
                <w:highlight w:val="none"/>
              </w:rPr>
              <w:t>t/a，排放速率0.</w:t>
            </w:r>
            <w:r>
              <w:rPr>
                <w:rFonts w:hint="eastAsia"/>
                <w:color w:val="auto"/>
                <w:sz w:val="24"/>
                <w:szCs w:val="22"/>
                <w:highlight w:val="none"/>
              </w:rPr>
              <w:t>0</w:t>
            </w:r>
            <w:r>
              <w:rPr>
                <w:rFonts w:hint="eastAsia"/>
                <w:color w:val="auto"/>
                <w:sz w:val="24"/>
                <w:szCs w:val="22"/>
                <w:highlight w:val="none"/>
                <w:lang w:val="en-US" w:eastAsia="zh-CN"/>
              </w:rPr>
              <w:t>5</w:t>
            </w:r>
            <w:r>
              <w:rPr>
                <w:color w:val="auto"/>
                <w:sz w:val="24"/>
                <w:szCs w:val="22"/>
                <w:highlight w:val="none"/>
              </w:rPr>
              <w:t>kg/h，排放浓度为</w:t>
            </w:r>
            <w:r>
              <w:rPr>
                <w:rFonts w:hint="eastAsia"/>
                <w:color w:val="auto"/>
                <w:sz w:val="24"/>
                <w:szCs w:val="22"/>
                <w:highlight w:val="none"/>
                <w:lang w:val="en-US" w:eastAsia="zh-CN"/>
              </w:rPr>
              <w:t>0.28</w:t>
            </w:r>
            <w:r>
              <w:rPr>
                <w:color w:val="auto"/>
                <w:sz w:val="24"/>
                <w:szCs w:val="22"/>
                <w:highlight w:val="none"/>
              </w:rPr>
              <w:t>mg/m</w:t>
            </w:r>
            <w:r>
              <w:rPr>
                <w:color w:val="auto"/>
                <w:sz w:val="24"/>
                <w:szCs w:val="22"/>
                <w:highlight w:val="none"/>
                <w:vertAlign w:val="superscript"/>
              </w:rPr>
              <w:t>3</w:t>
            </w:r>
            <w:r>
              <w:rPr>
                <w:color w:val="auto"/>
                <w:sz w:val="24"/>
                <w:szCs w:val="22"/>
                <w:highlight w:val="none"/>
              </w:rPr>
              <w:t>；H</w:t>
            </w:r>
            <w:r>
              <w:rPr>
                <w:color w:val="auto"/>
                <w:sz w:val="24"/>
                <w:szCs w:val="22"/>
                <w:highlight w:val="none"/>
                <w:vertAlign w:val="subscript"/>
              </w:rPr>
              <w:t>2</w:t>
            </w:r>
            <w:r>
              <w:rPr>
                <w:color w:val="auto"/>
                <w:sz w:val="24"/>
                <w:szCs w:val="22"/>
                <w:highlight w:val="none"/>
              </w:rPr>
              <w:t>S排放量为</w:t>
            </w:r>
            <w:r>
              <w:rPr>
                <w:rFonts w:hint="eastAsia"/>
                <w:color w:val="auto"/>
                <w:sz w:val="24"/>
                <w:szCs w:val="22"/>
                <w:highlight w:val="none"/>
              </w:rPr>
              <w:t>0.0</w:t>
            </w:r>
            <w:r>
              <w:rPr>
                <w:rFonts w:hint="eastAsia"/>
                <w:color w:val="auto"/>
                <w:sz w:val="24"/>
                <w:szCs w:val="22"/>
                <w:highlight w:val="none"/>
                <w:lang w:val="en-US" w:eastAsia="zh-CN"/>
              </w:rPr>
              <w:t>658</w:t>
            </w:r>
            <w:r>
              <w:rPr>
                <w:rFonts w:hint="eastAsia"/>
                <w:color w:val="auto"/>
                <w:sz w:val="24"/>
                <w:szCs w:val="22"/>
                <w:highlight w:val="none"/>
              </w:rPr>
              <w:t>t</w:t>
            </w:r>
            <w:r>
              <w:rPr>
                <w:color w:val="auto"/>
                <w:sz w:val="24"/>
                <w:szCs w:val="22"/>
                <w:highlight w:val="none"/>
              </w:rPr>
              <w:t>/a，排放速率0.00</w:t>
            </w:r>
            <w:r>
              <w:rPr>
                <w:rFonts w:hint="eastAsia"/>
                <w:color w:val="auto"/>
                <w:sz w:val="24"/>
                <w:szCs w:val="22"/>
                <w:highlight w:val="none"/>
                <w:lang w:val="en-US" w:eastAsia="zh-CN"/>
              </w:rPr>
              <w:t>9</w:t>
            </w:r>
            <w:r>
              <w:rPr>
                <w:color w:val="auto"/>
                <w:sz w:val="24"/>
                <w:szCs w:val="22"/>
                <w:highlight w:val="none"/>
              </w:rPr>
              <w:t>kg/h，排放浓度为0.</w:t>
            </w:r>
            <w:r>
              <w:rPr>
                <w:rFonts w:hint="eastAsia"/>
                <w:color w:val="auto"/>
                <w:sz w:val="24"/>
                <w:szCs w:val="22"/>
                <w:highlight w:val="none"/>
                <w:lang w:val="en-US" w:eastAsia="zh-CN"/>
              </w:rPr>
              <w:t>05</w:t>
            </w:r>
            <w:r>
              <w:rPr>
                <w:color w:val="auto"/>
                <w:sz w:val="24"/>
                <w:szCs w:val="22"/>
                <w:highlight w:val="none"/>
              </w:rPr>
              <w:t>mg/m</w:t>
            </w:r>
            <w:r>
              <w:rPr>
                <w:color w:val="auto"/>
                <w:sz w:val="24"/>
                <w:szCs w:val="22"/>
                <w:highlight w:val="none"/>
                <w:vertAlign w:val="superscript"/>
              </w:rPr>
              <w:t>3</w:t>
            </w:r>
            <w:r>
              <w:rPr>
                <w:color w:val="auto"/>
                <w:sz w:val="24"/>
                <w:szCs w:val="22"/>
                <w:highlight w:val="none"/>
              </w:rPr>
              <w:t>，满足《恶臭污染物排放标准》（GB14554-93）排放浓度限值。</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eastAsia="宋体"/>
                <w:color w:val="auto"/>
                <w:sz w:val="24"/>
                <w:szCs w:val="22"/>
                <w:highlight w:val="none"/>
                <w:lang w:val="en-US" w:eastAsia="zh-CN"/>
              </w:rPr>
            </w:pPr>
            <w:r>
              <w:rPr>
                <w:rFonts w:hint="eastAsia"/>
                <w:color w:val="auto"/>
                <w:sz w:val="24"/>
                <w:szCs w:val="22"/>
                <w:highlight w:val="none"/>
                <w:lang w:val="en-US" w:eastAsia="zh-CN"/>
              </w:rPr>
              <w:t>G5：</w:t>
            </w:r>
            <w:r>
              <w:rPr>
                <w:rFonts w:hint="eastAsia" w:ascii="Times New Roman" w:hAnsi="Times New Roman" w:eastAsia="宋体" w:cs="Times New Roman"/>
                <w:color w:val="auto"/>
                <w:sz w:val="24"/>
                <w:szCs w:val="21"/>
                <w:highlight w:val="none"/>
                <w:lang w:val="en-US" w:eastAsia="zh-CN"/>
              </w:rPr>
              <w:t>造粒、筛分、袋装废气</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eastAsia="宋体"/>
                <w:color w:val="auto"/>
                <w:sz w:val="24"/>
                <w:szCs w:val="22"/>
                <w:highlight w:val="none"/>
                <w:lang w:val="en-US" w:eastAsia="zh-CN"/>
              </w:rPr>
            </w:pPr>
            <w:r>
              <w:rPr>
                <w:rFonts w:hint="eastAsia"/>
                <w:color w:val="auto"/>
                <w:sz w:val="24"/>
                <w:szCs w:val="22"/>
                <w:highlight w:val="none"/>
                <w:lang w:val="en-US" w:eastAsia="zh-CN"/>
              </w:rPr>
              <w:t>本项目设置1台挤压成型机、1台筛分机和5台计量袋装机。物料在成型造粒、筛分和袋装工序会产生粉尘。评价要求在挤压成型机进料口上方设置1台集气罩，筛分机为全封闭式设置集气管道，每台计量袋装机进料口设置1个侧吸罩（共5个），</w:t>
            </w:r>
            <w:r>
              <w:rPr>
                <w:rFonts w:hint="eastAsia"/>
                <w:color w:val="auto"/>
                <w:sz w:val="24"/>
                <w:highlight w:val="none"/>
              </w:rPr>
              <w:t>收集后的废气</w:t>
            </w:r>
            <w:r>
              <w:rPr>
                <w:rFonts w:hint="eastAsia"/>
                <w:color w:val="auto"/>
                <w:sz w:val="24"/>
                <w:highlight w:val="none"/>
                <w:lang w:val="en-US" w:eastAsia="zh-CN"/>
              </w:rPr>
              <w:t>引入</w:t>
            </w:r>
            <w:r>
              <w:rPr>
                <w:color w:val="auto"/>
                <w:sz w:val="24"/>
                <w:highlight w:val="none"/>
              </w:rPr>
              <w:t>1</w:t>
            </w:r>
            <w:r>
              <w:rPr>
                <w:rFonts w:hint="eastAsia"/>
                <w:color w:val="auto"/>
                <w:sz w:val="24"/>
                <w:highlight w:val="none"/>
                <w:lang w:val="en-US" w:eastAsia="zh-CN"/>
              </w:rPr>
              <w:t>台</w:t>
            </w:r>
            <w:r>
              <w:rPr>
                <w:rFonts w:hint="eastAsia"/>
                <w:color w:val="auto"/>
                <w:sz w:val="24"/>
                <w:highlight w:val="none"/>
              </w:rPr>
              <w:t>布袋除尘器（</w:t>
            </w:r>
            <w:r>
              <w:rPr>
                <w:rFonts w:hint="eastAsia"/>
                <w:color w:val="auto"/>
                <w:sz w:val="24"/>
                <w:highlight w:val="none"/>
                <w:lang w:val="en-US" w:eastAsia="zh-CN"/>
              </w:rPr>
              <w:t>TA004</w:t>
            </w:r>
            <w:r>
              <w:rPr>
                <w:rFonts w:hint="eastAsia"/>
                <w:color w:val="auto"/>
                <w:sz w:val="24"/>
                <w:highlight w:val="none"/>
              </w:rPr>
              <w:t>），处理后由1根</w:t>
            </w:r>
            <w:r>
              <w:rPr>
                <w:rFonts w:hint="eastAsia"/>
                <w:color w:val="auto"/>
                <w:sz w:val="24"/>
                <w:highlight w:val="none"/>
                <w:lang w:val="en-US" w:eastAsia="zh-CN"/>
              </w:rPr>
              <w:t>20</w:t>
            </w:r>
            <w:r>
              <w:rPr>
                <w:rFonts w:hint="eastAsia"/>
                <w:color w:val="auto"/>
                <w:sz w:val="24"/>
                <w:highlight w:val="none"/>
              </w:rPr>
              <w:t>m高排气筒（D</w:t>
            </w:r>
            <w:r>
              <w:rPr>
                <w:color w:val="auto"/>
                <w:sz w:val="24"/>
                <w:highlight w:val="none"/>
              </w:rPr>
              <w:t>A00</w:t>
            </w:r>
            <w:r>
              <w:rPr>
                <w:rFonts w:hint="eastAsia"/>
                <w:color w:val="auto"/>
                <w:sz w:val="24"/>
                <w:highlight w:val="none"/>
                <w:lang w:val="en-US" w:eastAsia="zh-CN"/>
              </w:rPr>
              <w:t>4</w:t>
            </w:r>
            <w:r>
              <w:rPr>
                <w:rFonts w:hint="eastAsia"/>
                <w:color w:val="auto"/>
                <w:sz w:val="24"/>
                <w:highlight w:val="none"/>
              </w:rPr>
              <w:t>）排放。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eastAsia="黑体"/>
                <w:color w:val="auto"/>
                <w:sz w:val="24"/>
                <w:highlight w:val="none"/>
                <w:lang w:val="en-US" w:eastAsia="zh-CN"/>
              </w:rPr>
            </w:pPr>
            <w:r>
              <w:rPr>
                <w:rFonts w:hint="default"/>
                <w:color w:val="auto"/>
                <w:sz w:val="24"/>
                <w:highlight w:val="none"/>
              </w:rPr>
              <w:t>该工序集气罩技术参数表见表</w:t>
            </w:r>
            <w:r>
              <w:rPr>
                <w:rFonts w:hint="default" w:ascii="Times New Roman" w:hAnsi="Times New Roman" w:eastAsia="黑体" w:cs="Times New Roman"/>
                <w:b w:val="0"/>
                <w:bCs w:val="0"/>
                <w:color w:val="auto"/>
                <w:sz w:val="24"/>
                <w:szCs w:val="24"/>
                <w:highlight w:val="none"/>
              </w:rPr>
              <w:t>4-</w:t>
            </w:r>
            <w:r>
              <w:rPr>
                <w:rFonts w:hint="eastAsia" w:ascii="Times New Roman" w:hAnsi="Times New Roman" w:eastAsia="黑体" w:cs="Times New Roman"/>
                <w:b w:val="0"/>
                <w:bCs w:val="0"/>
                <w:color w:val="auto"/>
                <w:sz w:val="24"/>
                <w:szCs w:val="24"/>
                <w:highlight w:val="none"/>
                <w:lang w:val="en-US" w:eastAsia="zh-CN"/>
              </w:rPr>
              <w:t>4</w:t>
            </w:r>
            <w:r>
              <w:rPr>
                <w:rFonts w:hint="eastAsia" w:eastAsia="黑体" w:cs="Times New Roman"/>
                <w:b w:val="0"/>
                <w:bCs w:val="0"/>
                <w:color w:val="auto"/>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集气罩设置</w:t>
            </w:r>
            <w:r>
              <w:rPr>
                <w:rFonts w:hint="default" w:ascii="Times New Roman" w:hAnsi="Times New Roman" w:eastAsia="宋体" w:cs="Times New Roman"/>
                <w:b/>
                <w:bCs/>
                <w:color w:val="auto"/>
                <w:highlight w:val="none"/>
              </w:rPr>
              <w:t>参数一览表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1333"/>
              <w:gridCol w:w="1517"/>
              <w:gridCol w:w="1300"/>
              <w:gridCol w:w="1273"/>
              <w:gridCol w:w="1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设备名称</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风罩位置</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进料口尺寸m</w:t>
                  </w:r>
                </w:p>
              </w:tc>
              <w:tc>
                <w:tcPr>
                  <w:tcW w:w="77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auto"/>
                      <w:szCs w:val="21"/>
                      <w:highlight w:val="none"/>
                      <w:lang w:val="en-US" w:eastAsia="zh-CN"/>
                    </w:rPr>
                  </w:pPr>
                  <w:r>
                    <w:rPr>
                      <w:rFonts w:hint="eastAsia"/>
                      <w:b/>
                      <w:bCs/>
                      <w:color w:val="auto"/>
                      <w:szCs w:val="21"/>
                      <w:highlight w:val="none"/>
                      <w:lang w:val="en-US" w:eastAsia="zh-CN"/>
                    </w:rPr>
                    <w:t>集气效率%</w:t>
                  </w:r>
                </w:p>
              </w:tc>
              <w:tc>
                <w:tcPr>
                  <w:tcW w:w="761"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处理设备</w:t>
                  </w:r>
                </w:p>
              </w:tc>
              <w:tc>
                <w:tcPr>
                  <w:tcW w:w="83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排气筒编号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eastAsia"/>
                      <w:color w:val="auto"/>
                      <w:szCs w:val="21"/>
                      <w:highlight w:val="none"/>
                      <w:lang w:val="en-US" w:eastAsia="zh-CN"/>
                    </w:rPr>
                    <w:t>1#挤压成型机</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顶吸罩</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1.0</w:t>
                  </w:r>
                  <w:r>
                    <w:rPr>
                      <w:rFonts w:hint="default"/>
                      <w:color w:val="auto"/>
                      <w:szCs w:val="21"/>
                      <w:highlight w:val="none"/>
                    </w:rPr>
                    <w:t>×</w:t>
                  </w:r>
                  <w:r>
                    <w:rPr>
                      <w:rFonts w:hint="eastAsia"/>
                      <w:color w:val="auto"/>
                      <w:szCs w:val="21"/>
                      <w:highlight w:val="none"/>
                      <w:lang w:val="en-US" w:eastAsia="zh-CN"/>
                    </w:rPr>
                    <w:t>0.8</w:t>
                  </w:r>
                </w:p>
              </w:tc>
              <w:tc>
                <w:tcPr>
                  <w:tcW w:w="77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90</w:t>
                  </w:r>
                </w:p>
              </w:tc>
              <w:tc>
                <w:tcPr>
                  <w:tcW w:w="761" w:type="pct"/>
                  <w:vMerge w:val="restar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eastAsia="zh-CN"/>
                    </w:rPr>
                  </w:pPr>
                  <w:r>
                    <w:rPr>
                      <w:rFonts w:hint="default"/>
                      <w:color w:val="auto"/>
                      <w:szCs w:val="21"/>
                      <w:highlight w:val="none"/>
                    </w:rPr>
                    <w:t>布袋除尘器</w:t>
                  </w:r>
                  <w:r>
                    <w:rPr>
                      <w:rFonts w:hint="eastAsia"/>
                      <w:color w:val="auto"/>
                      <w:szCs w:val="21"/>
                      <w:highlight w:val="none"/>
                      <w:lang w:eastAsia="zh-CN"/>
                    </w:rPr>
                    <w:t>（</w:t>
                  </w:r>
                  <w:r>
                    <w:rPr>
                      <w:rFonts w:hint="eastAsia"/>
                      <w:color w:val="auto"/>
                      <w:szCs w:val="21"/>
                      <w:highlight w:val="none"/>
                      <w:lang w:val="en-US" w:eastAsia="zh-CN"/>
                    </w:rPr>
                    <w:t>TA004</w:t>
                  </w:r>
                  <w:r>
                    <w:rPr>
                      <w:rFonts w:hint="eastAsia"/>
                      <w:color w:val="auto"/>
                      <w:szCs w:val="21"/>
                      <w:highlight w:val="none"/>
                      <w:lang w:eastAsia="zh-CN"/>
                    </w:rPr>
                    <w:t>）</w:t>
                  </w:r>
                </w:p>
              </w:tc>
              <w:tc>
                <w:tcPr>
                  <w:tcW w:w="837" w:type="pct"/>
                  <w:vMerge w:val="restar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eastAsia="zh-CN"/>
                    </w:rPr>
                  </w:pPr>
                  <w:r>
                    <w:rPr>
                      <w:rFonts w:hint="default"/>
                      <w:color w:val="auto"/>
                      <w:szCs w:val="21"/>
                      <w:highlight w:val="none"/>
                    </w:rPr>
                    <w:t>DA00</w:t>
                  </w:r>
                  <w:r>
                    <w:rPr>
                      <w:rFonts w:hint="eastAsia"/>
                      <w:color w:val="auto"/>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1#计量袋装机</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顶吸罩</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color w:val="auto"/>
                      <w:szCs w:val="21"/>
                      <w:highlight w:val="none"/>
                      <w:lang w:val="en-US" w:eastAsia="zh-CN"/>
                    </w:rPr>
                    <w:t>0.8</w:t>
                  </w:r>
                  <w:r>
                    <w:rPr>
                      <w:rFonts w:hint="default"/>
                      <w:color w:val="auto"/>
                      <w:szCs w:val="21"/>
                      <w:highlight w:val="none"/>
                    </w:rPr>
                    <w:t>×</w:t>
                  </w:r>
                  <w:r>
                    <w:rPr>
                      <w:rFonts w:hint="eastAsia"/>
                      <w:color w:val="auto"/>
                      <w:szCs w:val="21"/>
                      <w:highlight w:val="none"/>
                      <w:lang w:val="en-US" w:eastAsia="zh-CN"/>
                    </w:rPr>
                    <w:t>0.8</w:t>
                  </w:r>
                </w:p>
              </w:tc>
              <w:tc>
                <w:tcPr>
                  <w:tcW w:w="77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90</w:t>
                  </w:r>
                </w:p>
              </w:tc>
              <w:tc>
                <w:tcPr>
                  <w:tcW w:w="761"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37"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2#计量袋装机</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顶吸罩</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color w:val="auto"/>
                      <w:szCs w:val="21"/>
                      <w:highlight w:val="none"/>
                      <w:lang w:val="en-US" w:eastAsia="zh-CN"/>
                    </w:rPr>
                    <w:t>0.8</w:t>
                  </w:r>
                  <w:r>
                    <w:rPr>
                      <w:rFonts w:hint="default"/>
                      <w:color w:val="auto"/>
                      <w:szCs w:val="21"/>
                      <w:highlight w:val="none"/>
                    </w:rPr>
                    <w:t>×</w:t>
                  </w:r>
                  <w:r>
                    <w:rPr>
                      <w:rFonts w:hint="eastAsia"/>
                      <w:color w:val="auto"/>
                      <w:szCs w:val="21"/>
                      <w:highlight w:val="none"/>
                      <w:lang w:val="en-US" w:eastAsia="zh-CN"/>
                    </w:rPr>
                    <w:t>0.8</w:t>
                  </w:r>
                </w:p>
              </w:tc>
              <w:tc>
                <w:tcPr>
                  <w:tcW w:w="777" w:type="pct"/>
                  <w:tcBorders>
                    <w:tl2br w:val="nil"/>
                    <w:tr2bl w:val="nil"/>
                  </w:tcBorders>
                  <w:noWrap w:val="0"/>
                  <w:vAlign w:val="center"/>
                </w:tcPr>
                <w:p>
                  <w:pPr>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90</w:t>
                  </w:r>
                </w:p>
              </w:tc>
              <w:tc>
                <w:tcPr>
                  <w:tcW w:w="761"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37"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color w:val="auto"/>
                      <w:szCs w:val="21"/>
                      <w:highlight w:val="none"/>
                      <w:lang w:val="en-US" w:eastAsia="zh-CN"/>
                    </w:rPr>
                    <w:t>3#计量袋装机</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顶吸罩</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0.8</w:t>
                  </w:r>
                  <w:r>
                    <w:rPr>
                      <w:rFonts w:hint="default"/>
                      <w:color w:val="auto"/>
                      <w:szCs w:val="21"/>
                      <w:highlight w:val="none"/>
                    </w:rPr>
                    <w:t>×</w:t>
                  </w:r>
                  <w:r>
                    <w:rPr>
                      <w:rFonts w:hint="eastAsia"/>
                      <w:color w:val="auto"/>
                      <w:szCs w:val="21"/>
                      <w:highlight w:val="none"/>
                      <w:lang w:val="en-US" w:eastAsia="zh-CN"/>
                    </w:rPr>
                    <w:t>0.8</w:t>
                  </w:r>
                </w:p>
              </w:tc>
              <w:tc>
                <w:tcPr>
                  <w:tcW w:w="777" w:type="pct"/>
                  <w:tcBorders>
                    <w:tl2br w:val="nil"/>
                    <w:tr2bl w:val="nil"/>
                  </w:tcBorders>
                  <w:noWrap w:val="0"/>
                  <w:vAlign w:val="center"/>
                </w:tcPr>
                <w:p>
                  <w:pPr>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90</w:t>
                  </w:r>
                </w:p>
              </w:tc>
              <w:tc>
                <w:tcPr>
                  <w:tcW w:w="761"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37"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color w:val="auto"/>
                      <w:szCs w:val="21"/>
                      <w:highlight w:val="none"/>
                      <w:lang w:val="en-US" w:eastAsia="zh-CN"/>
                    </w:rPr>
                    <w:t>4#计量袋装机</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顶吸罩</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0.8</w:t>
                  </w:r>
                  <w:r>
                    <w:rPr>
                      <w:rFonts w:hint="default"/>
                      <w:color w:val="auto"/>
                      <w:szCs w:val="21"/>
                      <w:highlight w:val="none"/>
                    </w:rPr>
                    <w:t>×</w:t>
                  </w:r>
                  <w:r>
                    <w:rPr>
                      <w:rFonts w:hint="eastAsia"/>
                      <w:color w:val="auto"/>
                      <w:szCs w:val="21"/>
                      <w:highlight w:val="none"/>
                      <w:lang w:val="en-US" w:eastAsia="zh-CN"/>
                    </w:rPr>
                    <w:t>0.8</w:t>
                  </w:r>
                </w:p>
              </w:tc>
              <w:tc>
                <w:tcPr>
                  <w:tcW w:w="777" w:type="pct"/>
                  <w:tcBorders>
                    <w:tl2br w:val="nil"/>
                    <w:tr2bl w:val="nil"/>
                  </w:tcBorders>
                  <w:noWrap w:val="0"/>
                  <w:vAlign w:val="center"/>
                </w:tcPr>
                <w:p>
                  <w:pPr>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90</w:t>
                  </w:r>
                </w:p>
              </w:tc>
              <w:tc>
                <w:tcPr>
                  <w:tcW w:w="761"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37"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8"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color w:val="auto"/>
                      <w:szCs w:val="21"/>
                      <w:highlight w:val="none"/>
                      <w:lang w:val="en-US" w:eastAsia="zh-CN"/>
                    </w:rPr>
                    <w:t>5#计量袋装机</w:t>
                  </w:r>
                </w:p>
              </w:tc>
              <w:tc>
                <w:tcPr>
                  <w:tcW w:w="79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default"/>
                      <w:color w:val="auto"/>
                      <w:szCs w:val="21"/>
                      <w:highlight w:val="none"/>
                    </w:rPr>
                    <w:t>顶吸罩</w:t>
                  </w:r>
                </w:p>
              </w:tc>
              <w:tc>
                <w:tcPr>
                  <w:tcW w:w="907"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0.8</w:t>
                  </w:r>
                  <w:r>
                    <w:rPr>
                      <w:rFonts w:hint="default"/>
                      <w:color w:val="auto"/>
                      <w:szCs w:val="21"/>
                      <w:highlight w:val="none"/>
                    </w:rPr>
                    <w:t>×</w:t>
                  </w:r>
                  <w:r>
                    <w:rPr>
                      <w:rFonts w:hint="eastAsia"/>
                      <w:color w:val="auto"/>
                      <w:szCs w:val="21"/>
                      <w:highlight w:val="none"/>
                      <w:lang w:val="en-US" w:eastAsia="zh-CN"/>
                    </w:rPr>
                    <w:t>0.8</w:t>
                  </w:r>
                </w:p>
              </w:tc>
              <w:tc>
                <w:tcPr>
                  <w:tcW w:w="777" w:type="pct"/>
                  <w:tcBorders>
                    <w:tl2br w:val="nil"/>
                    <w:tr2bl w:val="nil"/>
                  </w:tcBorders>
                  <w:noWrap w:val="0"/>
                  <w:vAlign w:val="center"/>
                </w:tcPr>
                <w:p>
                  <w:pPr>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90</w:t>
                  </w:r>
                </w:p>
              </w:tc>
              <w:tc>
                <w:tcPr>
                  <w:tcW w:w="761"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37"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根据《排风罩的分类及技术条件》（GB/T 16758-2008）附录A中排风罩的排风量计算公式：</w:t>
            </w:r>
          </w:p>
          <w:p>
            <w:pPr>
              <w:pStyle w:val="38"/>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Q</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F</w:t>
            </w:r>
            <w:r>
              <w:rPr>
                <w:rFonts w:hint="eastAsia" w:ascii="Times New Roman" w:hAnsi="Times New Roman" w:eastAsia="宋体" w:cs="Times New Roman"/>
                <w:snapToGrid w:val="0"/>
                <w:color w:val="auto"/>
                <w:position w:val="-6"/>
                <w:sz w:val="24"/>
                <w:szCs w:val="20"/>
                <w:highlight w:val="none"/>
                <w:lang w:val="en-US" w:eastAsia="zh-CN"/>
              </w:rPr>
              <w:object>
                <v:shape id="_x0000_i1027" o:spt="75" type="#_x0000_t75" style="height:13pt;width:10pt;" o:ole="t" filled="f" o:preferrelative="t" stroked="f" coordsize="21600,21600">
                  <v:path/>
                  <v:fill on="f" focussize="0,0"/>
                  <v:stroke on="f"/>
                  <v:imagedata r:id="rId12" o:title=""/>
                  <o:lock v:ext="edit" aspectratio="t"/>
                  <w10:wrap type="none"/>
                  <w10:anchorlock/>
                </v:shape>
                <o:OLEObject Type="Embed" ProgID="Equation.KSEE3" ShapeID="_x0000_i1027" DrawAspect="Content" ObjectID="_1468075727" r:id="rId14">
                  <o:LockedField>false</o:LockedField>
                </o:OLEObject>
              </w:object>
            </w:r>
            <w:r>
              <w:rPr>
                <w:rFonts w:hint="eastAsia"/>
                <w:color w:val="auto"/>
                <w:highlight w:val="none"/>
                <w:lang w:val="en-US" w:eastAsia="zh-CN"/>
              </w:rPr>
              <w:t>×3600</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式中：Q—</w:t>
            </w:r>
            <w:r>
              <w:rPr>
                <w:rFonts w:hint="eastAsia" w:cs="Times New Roman"/>
                <w:color w:val="auto"/>
                <w:sz w:val="24"/>
                <w:highlight w:val="none"/>
                <w:lang w:val="en-US" w:eastAsia="zh-CN"/>
              </w:rPr>
              <w:t>排风罩的</w:t>
            </w:r>
            <w:r>
              <w:rPr>
                <w:rFonts w:hint="eastAsia" w:ascii="Times New Roman" w:hAnsi="Times New Roman" w:eastAsia="宋体" w:cs="Times New Roman"/>
                <w:color w:val="auto"/>
                <w:sz w:val="24"/>
                <w:highlight w:val="none"/>
                <w:lang w:val="en-US" w:eastAsia="zh-CN"/>
              </w:rPr>
              <w:t>排气量，m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/h；</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F—</w:t>
            </w:r>
            <w:r>
              <w:rPr>
                <w:rFonts w:hint="eastAsia" w:cs="Times New Roman"/>
                <w:color w:val="auto"/>
                <w:sz w:val="24"/>
                <w:highlight w:val="none"/>
                <w:lang w:val="en-US" w:eastAsia="zh-CN"/>
              </w:rPr>
              <w:t>排风罩罩口面积</w:t>
            </w:r>
            <w:r>
              <w:rPr>
                <w:rFonts w:hint="eastAsia" w:ascii="Times New Roman" w:hAnsi="Times New Roman" w:eastAsia="宋体" w:cs="Times New Roman"/>
                <w:color w:val="auto"/>
                <w:sz w:val="24"/>
                <w:highlight w:val="none"/>
                <w:lang w:val="en-US" w:eastAsia="zh-CN"/>
              </w:rPr>
              <w:t>，m；</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80" w:lineRule="exact"/>
              <w:ind w:left="0" w:right="0" w:firstLine="1200" w:firstLineChars="5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snapToGrid w:val="0"/>
                <w:color w:val="auto"/>
                <w:position w:val="-6"/>
                <w:sz w:val="24"/>
                <w:szCs w:val="20"/>
                <w:highlight w:val="none"/>
                <w:lang w:val="en-US" w:eastAsia="zh-CN"/>
              </w:rPr>
              <w:object>
                <v:shape id="_x0000_i1028" o:spt="75" type="#_x0000_t75" style="height:13pt;width:10pt;" o:ole="t" filled="f" o:preferrelative="t" stroked="f" coordsize="21600,21600">
                  <v:path/>
                  <v:fill on="f" focussize="0,0"/>
                  <v:stroke on="f"/>
                  <v:imagedata r:id="rId12" o:title=""/>
                  <o:lock v:ext="edit" aspectratio="t"/>
                  <w10:wrap type="none"/>
                  <w10:anchorlock/>
                </v:shape>
                <o:OLEObject Type="Embed" ProgID="Equation.KSEE3" ShapeID="_x0000_i1028" DrawAspect="Content" ObjectID="_1468075728" r:id="rId15">
                  <o:LockedField>false</o:LockedField>
                </o:OLEObject>
              </w:objec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排风罩罩口平均</w:t>
            </w:r>
            <w:r>
              <w:rPr>
                <w:rFonts w:hint="eastAsia" w:ascii="Times New Roman" w:hAnsi="Times New Roman" w:eastAsia="宋体" w:cs="Times New Roman"/>
                <w:color w:val="auto"/>
                <w:sz w:val="24"/>
                <w:highlight w:val="none"/>
                <w:lang w:val="en-US" w:eastAsia="zh-CN"/>
              </w:rPr>
              <w:t>风速，m/s。</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snapToGrid w:val="0"/>
                <w:color w:val="auto"/>
                <w:sz w:val="24"/>
                <w:szCs w:val="20"/>
                <w:highlight w:val="none"/>
                <w:lang w:val="en-US" w:eastAsia="zh-CN"/>
              </w:rPr>
            </w:pPr>
            <w:r>
              <w:rPr>
                <w:rFonts w:hint="eastAsia" w:ascii="Times New Roman" w:hAnsi="Times New Roman" w:eastAsia="宋体" w:cs="Times New Roman"/>
                <w:snapToGrid w:val="0"/>
                <w:color w:val="auto"/>
                <w:sz w:val="24"/>
                <w:szCs w:val="20"/>
                <w:highlight w:val="none"/>
                <w:lang w:val="en-US" w:eastAsia="zh-CN"/>
              </w:rPr>
              <w:t>根据《局部排风设施控制风速检测与评估技术规范》（AO/T 4274-2016）中要求，本项目</w:t>
            </w:r>
            <w:r>
              <w:rPr>
                <w:rFonts w:hint="eastAsia" w:cs="Times New Roman"/>
                <w:snapToGrid w:val="0"/>
                <w:color w:val="auto"/>
                <w:sz w:val="24"/>
                <w:szCs w:val="20"/>
                <w:highlight w:val="none"/>
                <w:lang w:val="en-US" w:eastAsia="zh-CN"/>
              </w:rPr>
              <w:t>挤压成型机、计量袋装机</w:t>
            </w:r>
            <w:r>
              <w:rPr>
                <w:rFonts w:hint="eastAsia" w:ascii="Times New Roman" w:hAnsi="Times New Roman" w:eastAsia="宋体" w:cs="Times New Roman"/>
                <w:snapToGrid w:val="0"/>
                <w:color w:val="auto"/>
                <w:sz w:val="24"/>
                <w:szCs w:val="20"/>
                <w:highlight w:val="none"/>
                <w:lang w:val="en-US" w:eastAsia="zh-CN"/>
              </w:rPr>
              <w:t>罩口风速取1.2m/s。</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eastAsia="宋体" w:cs="Times New Roman"/>
                <w:snapToGrid w:val="0"/>
                <w:color w:val="auto"/>
                <w:sz w:val="24"/>
                <w:szCs w:val="20"/>
                <w:highlight w:val="none"/>
                <w:lang w:val="en-US" w:eastAsia="zh-CN"/>
              </w:rPr>
            </w:pPr>
            <w:r>
              <w:rPr>
                <w:rFonts w:hint="eastAsia"/>
                <w:color w:val="auto"/>
                <w:sz w:val="24"/>
                <w:highlight w:val="none"/>
              </w:rPr>
              <w:t>经计算，</w:t>
            </w:r>
            <w:r>
              <w:rPr>
                <w:rFonts w:hint="eastAsia"/>
                <w:color w:val="auto"/>
                <w:sz w:val="24"/>
                <w:highlight w:val="none"/>
                <w:lang w:val="en-US" w:eastAsia="zh-CN"/>
              </w:rPr>
              <w:t>造粒、包装工序</w:t>
            </w:r>
            <w:r>
              <w:rPr>
                <w:rFonts w:hint="eastAsia"/>
                <w:color w:val="auto"/>
                <w:sz w:val="24"/>
                <w:highlight w:val="none"/>
              </w:rPr>
              <w:t>需配套的风量见下表4</w:t>
            </w:r>
            <w:r>
              <w:rPr>
                <w:rFonts w:hint="default"/>
                <w:color w:val="auto"/>
                <w:sz w:val="24"/>
                <w:highlight w:val="none"/>
              </w:rPr>
              <w:t>-</w:t>
            </w:r>
            <w:r>
              <w:rPr>
                <w:rFonts w:hint="eastAsia"/>
                <w:color w:val="auto"/>
                <w:sz w:val="24"/>
                <w:highlight w:val="none"/>
                <w:lang w:val="en-US" w:eastAsia="zh-CN"/>
              </w:rPr>
              <w:t>5</w:t>
            </w:r>
            <w:r>
              <w:rPr>
                <w:rFonts w:hint="eastAsia"/>
                <w:color w:val="auto"/>
                <w:sz w:val="24"/>
                <w:highlight w:val="none"/>
              </w:rPr>
              <w:t>。</w:t>
            </w:r>
          </w:p>
          <w:p>
            <w:pPr>
              <w:keepNext w:val="0"/>
              <w:keepLines w:val="0"/>
              <w:suppressLineNumbers w:val="0"/>
              <w:spacing w:before="0" w:beforeAutospacing="0" w:after="0" w:afterAutospacing="0" w:line="480" w:lineRule="exact"/>
              <w:ind w:left="0" w:right="0"/>
              <w:jc w:val="center"/>
              <w:rPr>
                <w:rFonts w:hint="default" w:eastAsia="黑体"/>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该工序需配套的风量一览表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2316"/>
              <w:gridCol w:w="1915"/>
              <w:gridCol w:w="1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b/>
                      <w:bCs/>
                      <w:color w:val="auto"/>
                      <w:szCs w:val="21"/>
                      <w:highlight w:val="none"/>
                      <w:lang w:val="en-US" w:eastAsia="zh-CN"/>
                    </w:rPr>
                  </w:pPr>
                  <w:r>
                    <w:rPr>
                      <w:rFonts w:hint="eastAsia"/>
                      <w:b/>
                      <w:bCs/>
                      <w:color w:val="auto"/>
                      <w:highlight w:val="none"/>
                      <w:lang w:val="en-US" w:eastAsia="zh-CN"/>
                    </w:rPr>
                    <w:t>集气罩点位</w:t>
                  </w:r>
                </w:p>
              </w:tc>
              <w:tc>
                <w:tcPr>
                  <w:tcW w:w="138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计算风量（m</w:t>
                  </w:r>
                  <w:r>
                    <w:rPr>
                      <w:rFonts w:hint="default"/>
                      <w:b/>
                      <w:bCs/>
                      <w:color w:val="auto"/>
                      <w:szCs w:val="21"/>
                      <w:highlight w:val="none"/>
                      <w:vertAlign w:val="superscript"/>
                    </w:rPr>
                    <w:t>3</w:t>
                  </w:r>
                  <w:r>
                    <w:rPr>
                      <w:rFonts w:hint="default"/>
                      <w:b/>
                      <w:bCs/>
                      <w:color w:val="auto"/>
                      <w:szCs w:val="21"/>
                      <w:highlight w:val="none"/>
                    </w:rPr>
                    <w:t>/h）</w:t>
                  </w:r>
                </w:p>
              </w:tc>
              <w:tc>
                <w:tcPr>
                  <w:tcW w:w="114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处理设备</w:t>
                  </w:r>
                </w:p>
              </w:tc>
              <w:tc>
                <w:tcPr>
                  <w:tcW w:w="89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b/>
                      <w:bCs/>
                      <w:color w:val="auto"/>
                      <w:szCs w:val="21"/>
                      <w:highlight w:val="none"/>
                    </w:rPr>
                  </w:pPr>
                  <w:r>
                    <w:rPr>
                      <w:rFonts w:hint="default"/>
                      <w:b/>
                      <w:bCs/>
                      <w:color w:val="auto"/>
                      <w:szCs w:val="21"/>
                      <w:highlight w:val="none"/>
                    </w:rPr>
                    <w:t>排气筒编号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val="en-US" w:eastAsia="zh-CN"/>
                    </w:rPr>
                  </w:pPr>
                  <w:r>
                    <w:rPr>
                      <w:rFonts w:hint="eastAsia"/>
                      <w:color w:val="auto"/>
                      <w:szCs w:val="21"/>
                      <w:highlight w:val="none"/>
                      <w:lang w:val="en-US" w:eastAsia="zh-CN"/>
                    </w:rPr>
                    <w:t>1#挤压成型机</w:t>
                  </w:r>
                </w:p>
              </w:tc>
              <w:tc>
                <w:tcPr>
                  <w:tcW w:w="138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eastAsia="宋体"/>
                      <w:color w:val="auto"/>
                      <w:szCs w:val="21"/>
                      <w:highlight w:val="none"/>
                      <w:lang w:val="en-US" w:eastAsia="zh-CN"/>
                    </w:rPr>
                    <w:t>3456</w:t>
                  </w:r>
                </w:p>
              </w:tc>
              <w:tc>
                <w:tcPr>
                  <w:tcW w:w="1145" w:type="pct"/>
                  <w:vMerge w:val="restar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val="en-US" w:eastAsia="zh-CN"/>
                    </w:rPr>
                  </w:pPr>
                  <w:r>
                    <w:rPr>
                      <w:rFonts w:hint="default"/>
                      <w:color w:val="auto"/>
                      <w:szCs w:val="21"/>
                      <w:highlight w:val="none"/>
                    </w:rPr>
                    <w:t>布袋除尘器</w:t>
                  </w:r>
                  <w:r>
                    <w:rPr>
                      <w:rFonts w:hint="eastAsia"/>
                      <w:color w:val="auto"/>
                      <w:szCs w:val="21"/>
                      <w:highlight w:val="none"/>
                      <w:lang w:eastAsia="zh-CN"/>
                    </w:rPr>
                    <w:t>（</w:t>
                  </w:r>
                  <w:r>
                    <w:rPr>
                      <w:rFonts w:hint="eastAsia"/>
                      <w:color w:val="auto"/>
                      <w:szCs w:val="21"/>
                      <w:highlight w:val="none"/>
                      <w:lang w:val="en-US" w:eastAsia="zh-CN"/>
                    </w:rPr>
                    <w:t>TA004</w:t>
                  </w:r>
                  <w:r>
                    <w:rPr>
                      <w:rFonts w:hint="eastAsia"/>
                      <w:color w:val="auto"/>
                      <w:szCs w:val="21"/>
                      <w:highlight w:val="none"/>
                      <w:lang w:eastAsia="zh-CN"/>
                    </w:rPr>
                    <w:t>）</w:t>
                  </w:r>
                </w:p>
              </w:tc>
              <w:tc>
                <w:tcPr>
                  <w:tcW w:w="894" w:type="pct"/>
                  <w:vMerge w:val="restar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eastAsia="宋体"/>
                      <w:color w:val="auto"/>
                      <w:szCs w:val="21"/>
                      <w:highlight w:val="none"/>
                      <w:lang w:eastAsia="zh-CN"/>
                    </w:rPr>
                  </w:pPr>
                  <w:r>
                    <w:rPr>
                      <w:rFonts w:hint="default"/>
                      <w:color w:val="auto"/>
                      <w:szCs w:val="21"/>
                      <w:highlight w:val="none"/>
                    </w:rPr>
                    <w:t>DA00</w:t>
                  </w:r>
                  <w:r>
                    <w:rPr>
                      <w:rFonts w:hint="eastAsia"/>
                      <w:color w:val="auto"/>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1#计量袋装机</w:t>
                  </w:r>
                </w:p>
              </w:tc>
              <w:tc>
                <w:tcPr>
                  <w:tcW w:w="138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eastAsia="宋体"/>
                      <w:color w:val="auto"/>
                      <w:szCs w:val="21"/>
                      <w:highlight w:val="none"/>
                      <w:lang w:val="en-US" w:eastAsia="zh-CN"/>
                    </w:rPr>
                    <w:t>2765</w:t>
                  </w:r>
                </w:p>
              </w:tc>
              <w:tc>
                <w:tcPr>
                  <w:tcW w:w="1145"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94"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2#计量袋装机</w:t>
                  </w:r>
                </w:p>
              </w:tc>
              <w:tc>
                <w:tcPr>
                  <w:tcW w:w="138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eastAsia="宋体"/>
                      <w:color w:val="auto"/>
                      <w:szCs w:val="21"/>
                      <w:highlight w:val="none"/>
                      <w:lang w:val="en-US" w:eastAsia="zh-CN"/>
                    </w:rPr>
                    <w:t>2765</w:t>
                  </w:r>
                </w:p>
              </w:tc>
              <w:tc>
                <w:tcPr>
                  <w:tcW w:w="1145"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94"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3#计量袋装机</w:t>
                  </w:r>
                </w:p>
              </w:tc>
              <w:tc>
                <w:tcPr>
                  <w:tcW w:w="138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eastAsia="宋体"/>
                      <w:color w:val="auto"/>
                      <w:szCs w:val="21"/>
                      <w:highlight w:val="none"/>
                      <w:lang w:val="en-US" w:eastAsia="zh-CN"/>
                    </w:rPr>
                    <w:t>2765</w:t>
                  </w:r>
                </w:p>
              </w:tc>
              <w:tc>
                <w:tcPr>
                  <w:tcW w:w="1145"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94"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r>
                    <w:rPr>
                      <w:rFonts w:hint="eastAsia"/>
                      <w:color w:val="auto"/>
                      <w:szCs w:val="21"/>
                      <w:highlight w:val="none"/>
                      <w:lang w:val="en-US" w:eastAsia="zh-CN"/>
                    </w:rPr>
                    <w:t>4#计量袋装机</w:t>
                  </w:r>
                </w:p>
              </w:tc>
              <w:tc>
                <w:tcPr>
                  <w:tcW w:w="138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eastAsia="宋体"/>
                      <w:color w:val="auto"/>
                      <w:szCs w:val="21"/>
                      <w:highlight w:val="none"/>
                      <w:lang w:val="en-US" w:eastAsia="zh-CN"/>
                    </w:rPr>
                  </w:pPr>
                  <w:r>
                    <w:rPr>
                      <w:rFonts w:hint="eastAsia" w:eastAsia="宋体"/>
                      <w:color w:val="auto"/>
                      <w:szCs w:val="21"/>
                      <w:highlight w:val="none"/>
                      <w:lang w:val="en-US" w:eastAsia="zh-CN"/>
                    </w:rPr>
                    <w:t>2765</w:t>
                  </w:r>
                </w:p>
              </w:tc>
              <w:tc>
                <w:tcPr>
                  <w:tcW w:w="1145"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94"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color w:val="auto"/>
                      <w:szCs w:val="21"/>
                      <w:highlight w:val="none"/>
                      <w:lang w:val="en-US" w:eastAsia="zh-CN"/>
                    </w:rPr>
                    <w:t>5#计量袋装机</w:t>
                  </w:r>
                </w:p>
              </w:tc>
              <w:tc>
                <w:tcPr>
                  <w:tcW w:w="138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eastAsia"/>
                      <w:color w:val="auto"/>
                      <w:szCs w:val="21"/>
                      <w:highlight w:val="none"/>
                      <w:lang w:val="en-US" w:eastAsia="zh-CN"/>
                    </w:rPr>
                  </w:pPr>
                  <w:r>
                    <w:rPr>
                      <w:rFonts w:hint="eastAsia" w:eastAsia="宋体"/>
                      <w:color w:val="auto"/>
                      <w:szCs w:val="21"/>
                      <w:highlight w:val="none"/>
                      <w:lang w:val="en-US" w:eastAsia="zh-CN"/>
                    </w:rPr>
                    <w:t>2765</w:t>
                  </w:r>
                </w:p>
              </w:tc>
              <w:tc>
                <w:tcPr>
                  <w:tcW w:w="1145"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94"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74"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color w:val="auto"/>
                      <w:szCs w:val="21"/>
                      <w:highlight w:val="none"/>
                      <w:lang w:val="en-US" w:eastAsia="zh-CN"/>
                    </w:rPr>
                    <w:t>合计</w:t>
                  </w:r>
                </w:p>
              </w:tc>
              <w:tc>
                <w:tcPr>
                  <w:tcW w:w="1385" w:type="pct"/>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lang w:val="en-US" w:eastAsia="zh-CN"/>
                    </w:rPr>
                  </w:pPr>
                  <w:r>
                    <w:rPr>
                      <w:rFonts w:hint="eastAsia"/>
                      <w:color w:val="auto"/>
                      <w:szCs w:val="21"/>
                      <w:highlight w:val="none"/>
                      <w:lang w:val="en-US" w:eastAsia="zh-CN"/>
                    </w:rPr>
                    <w:t>17281</w:t>
                  </w:r>
                </w:p>
              </w:tc>
              <w:tc>
                <w:tcPr>
                  <w:tcW w:w="1145"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c>
                <w:tcPr>
                  <w:tcW w:w="894" w:type="pct"/>
                  <w:vMerge w:val="continue"/>
                  <w:tcBorders>
                    <w:tl2br w:val="nil"/>
                    <w:tr2bl w:val="nil"/>
                  </w:tcBorders>
                  <w:noWrap w:val="0"/>
                  <w:vAlign w:val="center"/>
                </w:tcPr>
                <w:p>
                  <w:pPr>
                    <w:pStyle w:val="11"/>
                    <w:keepNext w:val="0"/>
                    <w:keepLines w:val="0"/>
                    <w:suppressLineNumbers w:val="0"/>
                    <w:spacing w:before="100" w:beforeAutospacing="1" w:after="100" w:afterAutospacing="1" w:line="240" w:lineRule="auto"/>
                    <w:ind w:left="0" w:leftChars="0" w:right="0" w:rightChars="0" w:firstLine="0" w:firstLineChars="0"/>
                    <w:jc w:val="center"/>
                    <w:rPr>
                      <w:rFonts w:hint="default"/>
                      <w:color w:val="auto"/>
                      <w:szCs w:val="21"/>
                      <w:highlight w:val="none"/>
                    </w:rPr>
                  </w:pPr>
                </w:p>
              </w:tc>
            </w:tr>
          </w:tbl>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auto"/>
                <w:sz w:val="24"/>
                <w:highlight w:val="none"/>
                <w:lang w:val="en-US" w:eastAsia="zh-CN"/>
              </w:rPr>
            </w:pPr>
            <w:r>
              <w:rPr>
                <w:rFonts w:hint="eastAsia"/>
                <w:color w:val="auto"/>
                <w:sz w:val="24"/>
                <w:highlight w:val="none"/>
                <w:lang w:val="en-US" w:eastAsia="zh-CN"/>
              </w:rPr>
              <w:t>筛分机为全封闭式，</w:t>
            </w:r>
            <w:r>
              <w:rPr>
                <w:rFonts w:hint="eastAsia" w:ascii="Times New Roman" w:hAnsi="Times New Roman"/>
                <w:color w:val="auto"/>
                <w:sz w:val="24"/>
                <w:highlight w:val="none"/>
                <w:lang w:val="en-US" w:eastAsia="zh-CN"/>
              </w:rPr>
              <w:t>筛面面积</w:t>
            </w:r>
            <w:r>
              <w:rPr>
                <w:rFonts w:hint="eastAsia"/>
                <w:color w:val="auto"/>
                <w:sz w:val="24"/>
                <w:highlight w:val="none"/>
                <w:lang w:val="en-US" w:eastAsia="zh-CN"/>
              </w:rPr>
              <w:t>为18</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2</w:t>
            </w:r>
            <w:r>
              <w:rPr>
                <w:rFonts w:hint="eastAsia" w:ascii="Times New Roman" w:hAnsi="Times New Roman"/>
                <w:color w:val="auto"/>
                <w:sz w:val="24"/>
                <w:highlight w:val="none"/>
                <w:lang w:val="en-US" w:eastAsia="zh-CN"/>
              </w:rPr>
              <w:t>，依据《钢铁采暖通风设计手册》振动筛上部除尘排风量根据给料高度、密闭状况、物料性质和筛子规格等因素，按每平方米筛面面积排风量800m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/h计，安全系数（设计风量通常不小于计算风量的1.2倍，本次取1.2）</w:t>
            </w:r>
            <w:r>
              <w:rPr>
                <w:rFonts w:hint="eastAsia"/>
                <w:color w:val="auto"/>
                <w:sz w:val="24"/>
                <w:highlight w:val="none"/>
                <w:lang w:val="en-US" w:eastAsia="zh-CN"/>
              </w:rPr>
              <w:t>，</w:t>
            </w:r>
            <w:r>
              <w:rPr>
                <w:rFonts w:hint="eastAsia" w:ascii="Times New Roman" w:hAnsi="Times New Roman"/>
                <w:color w:val="auto"/>
                <w:sz w:val="24"/>
                <w:highlight w:val="none"/>
                <w:lang w:val="en-US" w:eastAsia="zh-CN"/>
              </w:rPr>
              <w:t>则筛分工序设计所需风量为</w:t>
            </w:r>
            <w:r>
              <w:rPr>
                <w:rFonts w:hint="eastAsia"/>
                <w:color w:val="auto"/>
                <w:sz w:val="24"/>
                <w:highlight w:val="none"/>
                <w:lang w:val="en-US" w:eastAsia="zh-CN"/>
              </w:rPr>
              <w:t>18</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2</w:t>
            </w:r>
            <w:r>
              <w:rPr>
                <w:rFonts w:hint="eastAsia" w:ascii="Times New Roman" w:hAnsi="Times New Roman"/>
                <w:color w:val="auto"/>
                <w:sz w:val="24"/>
                <w:highlight w:val="none"/>
                <w:lang w:val="en-US" w:eastAsia="zh-CN"/>
              </w:rPr>
              <w:t>×800m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/h×1.2=</w:t>
            </w:r>
            <w:r>
              <w:rPr>
                <w:rFonts w:hint="eastAsia"/>
                <w:color w:val="auto"/>
                <w:sz w:val="24"/>
                <w:highlight w:val="none"/>
                <w:lang w:val="en-US" w:eastAsia="zh-CN"/>
              </w:rPr>
              <w:t>17280</w:t>
            </w:r>
            <w:r>
              <w:rPr>
                <w:rFonts w:hint="eastAsia" w:ascii="Times New Roman" w:hAnsi="Times New Roman"/>
                <w:color w:val="auto"/>
                <w:sz w:val="24"/>
                <w:highlight w:val="none"/>
                <w:lang w:val="en-US" w:eastAsia="zh-CN"/>
              </w:rPr>
              <w:t>m</w:t>
            </w:r>
            <w:r>
              <w:rPr>
                <w:rFonts w:hint="eastAsia" w:ascii="Times New Roman" w:hAnsi="Times New Roman"/>
                <w:color w:val="auto"/>
                <w:sz w:val="24"/>
                <w:highlight w:val="none"/>
                <w:vertAlign w:val="superscript"/>
                <w:lang w:val="en-US" w:eastAsia="zh-CN"/>
              </w:rPr>
              <w:t>3</w:t>
            </w:r>
            <w:r>
              <w:rPr>
                <w:rFonts w:hint="eastAsia" w:ascii="Times New Roman" w:hAnsi="Times New Roman"/>
                <w:color w:val="auto"/>
                <w:sz w:val="24"/>
                <w:highlight w:val="none"/>
                <w:lang w:val="en-US" w:eastAsia="zh-CN"/>
              </w:rPr>
              <w:t>/h。</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olor w:val="auto"/>
                <w:sz w:val="24"/>
                <w:highlight w:val="none"/>
              </w:rPr>
            </w:pPr>
            <w:r>
              <w:rPr>
                <w:rFonts w:hint="eastAsia" w:ascii="Times New Roman" w:hAnsi="Times New Roman"/>
                <w:color w:val="auto"/>
                <w:sz w:val="24"/>
                <w:highlight w:val="none"/>
                <w:lang w:val="en-US" w:eastAsia="zh-CN"/>
              </w:rPr>
              <w:t>因此，造粒、筛分、袋装工序所需风量为34561</w:t>
            </w:r>
            <w:r>
              <w:rPr>
                <w:color w:val="auto"/>
                <w:sz w:val="24"/>
                <w:szCs w:val="22"/>
                <w:highlight w:val="none"/>
              </w:rPr>
              <w:t>m</w:t>
            </w:r>
            <w:r>
              <w:rPr>
                <w:color w:val="auto"/>
                <w:sz w:val="24"/>
                <w:szCs w:val="22"/>
                <w:highlight w:val="none"/>
                <w:vertAlign w:val="superscript"/>
              </w:rPr>
              <w:t>3</w:t>
            </w:r>
            <w:r>
              <w:rPr>
                <w:color w:val="auto"/>
                <w:sz w:val="24"/>
                <w:szCs w:val="22"/>
                <w:highlight w:val="none"/>
              </w:rPr>
              <w:t>/</w:t>
            </w:r>
            <w:r>
              <w:rPr>
                <w:rFonts w:hint="eastAsia"/>
                <w:color w:val="auto"/>
                <w:sz w:val="24"/>
                <w:szCs w:val="22"/>
                <w:highlight w:val="none"/>
                <w:lang w:val="en-US" w:eastAsia="zh-CN"/>
              </w:rPr>
              <w:t>h，</w:t>
            </w:r>
            <w:r>
              <w:rPr>
                <w:rFonts w:hint="eastAsia" w:ascii="Times New Roman" w:hAnsi="Times New Roman" w:eastAsia="宋体" w:cs="Times New Roman"/>
                <w:snapToGrid w:val="0"/>
                <w:color w:val="auto"/>
                <w:sz w:val="24"/>
                <w:szCs w:val="20"/>
                <w:highlight w:val="none"/>
                <w:lang w:val="en-US" w:eastAsia="zh-CN"/>
              </w:rPr>
              <w:t>布袋材质：覆膜（PTFE）涤纶针刺毡，过滤风速0.7m/min，过滤面积</w:t>
            </w:r>
            <w:r>
              <w:rPr>
                <w:rFonts w:hint="eastAsia" w:cs="Times New Roman"/>
                <w:snapToGrid w:val="0"/>
                <w:color w:val="auto"/>
                <w:sz w:val="24"/>
                <w:szCs w:val="20"/>
                <w:highlight w:val="none"/>
                <w:lang w:val="en-US" w:eastAsia="zh-CN"/>
              </w:rPr>
              <w:t>822.9</w:t>
            </w:r>
            <w:r>
              <w:rPr>
                <w:rFonts w:hint="eastAsia" w:ascii="Times New Roman" w:hAnsi="Times New Roman" w:eastAsia="宋体" w:cs="Times New Roman"/>
                <w:snapToGrid w:val="0"/>
                <w:color w:val="auto"/>
                <w:sz w:val="24"/>
                <w:szCs w:val="20"/>
                <w:highlight w:val="none"/>
                <w:lang w:val="en-US" w:eastAsia="zh-CN"/>
              </w:rPr>
              <w:t>m</w:t>
            </w:r>
            <w:r>
              <w:rPr>
                <w:rFonts w:hint="eastAsia" w:ascii="Times New Roman" w:hAnsi="Times New Roman" w:eastAsia="宋体" w:cs="Times New Roman"/>
                <w:snapToGrid w:val="0"/>
                <w:color w:val="auto"/>
                <w:sz w:val="24"/>
                <w:szCs w:val="20"/>
                <w:highlight w:val="none"/>
                <w:vertAlign w:val="superscript"/>
                <w:lang w:val="en-US" w:eastAsia="zh-CN"/>
              </w:rPr>
              <w:t>2</w:t>
            </w:r>
            <w:r>
              <w:rPr>
                <w:rFonts w:hint="eastAsia" w:cs="Times New Roman"/>
                <w:snapToGrid w:val="0"/>
                <w:color w:val="auto"/>
                <w:sz w:val="24"/>
                <w:szCs w:val="20"/>
                <w:highlight w:val="none"/>
                <w:lang w:val="en-US"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根据《排放源统计调查产排污核算方法和系数手册》中“2625有机肥料及微生物肥料制造行业手册”-“2625有机肥及微生物肥制造行业系数表”-有机肥/生物有机肥前后处理过程中混配/混配造粒颗粒物产污系数0.370kg/t-产品”，本项目有机肥料生产规模为140万t/a，年工作时间为4800h/a，则造粒工序颗粒物的产生量为518t/a，产生速率为107.9kg/h。</w:t>
            </w:r>
          </w:p>
          <w:p>
            <w:pPr>
              <w:pStyle w:val="4"/>
              <w:spacing w:line="480" w:lineRule="exact"/>
              <w:ind w:firstLine="480"/>
              <w:rPr>
                <w:rFonts w:ascii="Times New Roman" w:hAnsi="Times New Roman"/>
                <w:color w:val="auto"/>
                <w:sz w:val="24"/>
                <w:highlight w:val="none"/>
                <w:lang w:eastAsia="zh-CN"/>
              </w:rPr>
            </w:pPr>
            <w:r>
              <w:rPr>
                <w:rFonts w:hint="eastAsia" w:ascii="Times New Roman" w:hAnsi="Times New Roman"/>
                <w:color w:val="auto"/>
                <w:sz w:val="24"/>
                <w:highlight w:val="none"/>
                <w:lang w:val="en-US" w:eastAsia="zh-CN"/>
              </w:rPr>
              <w:t>筛分工序产生的粉尘参照</w:t>
            </w:r>
            <w:r>
              <w:rPr>
                <w:rFonts w:hint="default" w:ascii="Times New Roman" w:hAnsi="Times New Roman"/>
                <w:color w:val="auto"/>
                <w:sz w:val="24"/>
                <w:highlight w:val="none"/>
                <w:lang w:eastAsia="zh-CN"/>
              </w:rPr>
              <w:t>《逸散性工业粉尘控制技术》，筛分工段产尘系数为0.</w:t>
            </w:r>
            <w:r>
              <w:rPr>
                <w:rFonts w:hint="eastAsia" w:ascii="Times New Roman" w:hAnsi="Times New Roman"/>
                <w:color w:val="auto"/>
                <w:sz w:val="24"/>
                <w:highlight w:val="none"/>
                <w:lang w:val="en-US" w:eastAsia="zh-CN"/>
              </w:rPr>
              <w:t>1</w:t>
            </w:r>
            <w:r>
              <w:rPr>
                <w:rFonts w:hint="default" w:ascii="Times New Roman" w:hAnsi="Times New Roman"/>
                <w:color w:val="auto"/>
                <w:sz w:val="24"/>
                <w:highlight w:val="none"/>
                <w:lang w:eastAsia="zh-CN"/>
              </w:rPr>
              <w:t>kg/t，筛分工段进料量</w:t>
            </w:r>
            <w:r>
              <w:rPr>
                <w:rFonts w:hint="eastAsia"/>
                <w:color w:val="auto"/>
                <w:sz w:val="24"/>
                <w:highlight w:val="none"/>
                <w:lang w:val="en-US" w:eastAsia="zh-CN"/>
              </w:rPr>
              <w:t>165</w:t>
            </w:r>
            <w:r>
              <w:rPr>
                <w:rFonts w:hint="default" w:ascii="Times New Roman" w:hAnsi="Times New Roman"/>
                <w:color w:val="auto"/>
                <w:sz w:val="24"/>
                <w:highlight w:val="none"/>
                <w:lang w:eastAsia="zh-CN"/>
              </w:rPr>
              <w:t>万t/a（考虑10%返料），则筛分粉尘产生量为</w:t>
            </w:r>
            <w:r>
              <w:rPr>
                <w:rFonts w:hint="eastAsia"/>
                <w:color w:val="auto"/>
                <w:sz w:val="24"/>
                <w:highlight w:val="none"/>
                <w:lang w:val="en-US" w:eastAsia="zh-CN"/>
              </w:rPr>
              <w:t>165</w:t>
            </w:r>
            <w:r>
              <w:rPr>
                <w:rFonts w:hint="default" w:ascii="Times New Roman" w:hAnsi="Times New Roman"/>
                <w:color w:val="auto"/>
                <w:sz w:val="24"/>
                <w:highlight w:val="none"/>
                <w:lang w:eastAsia="zh-CN"/>
              </w:rPr>
              <w:t>t/a</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产生速率</w:t>
            </w:r>
            <w:r>
              <w:rPr>
                <w:rFonts w:hint="eastAsia"/>
                <w:color w:val="auto"/>
                <w:sz w:val="24"/>
                <w:highlight w:val="none"/>
                <w:lang w:val="en-US" w:eastAsia="zh-CN"/>
              </w:rPr>
              <w:t>34.375</w:t>
            </w:r>
            <w:r>
              <w:rPr>
                <w:rFonts w:hint="default" w:ascii="Times New Roman" w:hAnsi="Times New Roman" w:cs="Times New Roman"/>
                <w:color w:val="auto"/>
                <w:sz w:val="24"/>
                <w:szCs w:val="24"/>
                <w:highlight w:val="none"/>
                <w:lang w:val="en-US" w:eastAsia="zh-CN"/>
              </w:rPr>
              <w:t>kg/h</w:t>
            </w:r>
            <w:r>
              <w:rPr>
                <w:rFonts w:hint="eastAsia" w:cs="Times New Roman"/>
                <w:color w:val="auto"/>
                <w:spacing w:val="0"/>
                <w:position w:val="0"/>
                <w:sz w:val="24"/>
                <w:highlight w:val="none"/>
                <w:vertAlign w:val="baseline"/>
                <w:lang w:val="en-US"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袋装粉尘</w:t>
            </w:r>
            <w:r>
              <w:rPr>
                <w:rFonts w:hint="eastAsia" w:ascii="Times New Roman" w:hAnsi="Times New Roman" w:eastAsia="宋体" w:cs="Times New Roman"/>
                <w:snapToGrid w:val="0"/>
                <w:color w:val="auto"/>
                <w:sz w:val="24"/>
                <w:szCs w:val="24"/>
                <w:highlight w:val="none"/>
                <w:lang w:val="en-US" w:eastAsia="zh-CN"/>
              </w:rPr>
              <w:t>参考《逸散性工业粉尘控制技术》中包装和装运工序排放因子，</w:t>
            </w:r>
            <w:r>
              <w:rPr>
                <w:rFonts w:hint="eastAsia" w:cs="Times New Roman"/>
                <w:snapToGrid w:val="0"/>
                <w:color w:val="auto"/>
                <w:sz w:val="24"/>
                <w:szCs w:val="24"/>
                <w:highlight w:val="none"/>
                <w:lang w:val="en-US" w:eastAsia="zh-CN"/>
              </w:rPr>
              <w:t>颗粒物</w:t>
            </w:r>
            <w:r>
              <w:rPr>
                <w:rFonts w:hint="eastAsia" w:ascii="Times New Roman" w:hAnsi="Times New Roman" w:eastAsia="宋体" w:cs="Times New Roman"/>
                <w:snapToGrid w:val="0"/>
                <w:color w:val="auto"/>
                <w:sz w:val="24"/>
                <w:szCs w:val="24"/>
                <w:highlight w:val="none"/>
                <w:lang w:val="en-US" w:eastAsia="zh-CN"/>
              </w:rPr>
              <w:t>产污系数为0.125kg/t物料，则</w:t>
            </w:r>
            <w:r>
              <w:rPr>
                <w:rFonts w:hint="eastAsia" w:cs="Times New Roman"/>
                <w:snapToGrid w:val="0"/>
                <w:color w:val="auto"/>
                <w:sz w:val="24"/>
                <w:szCs w:val="24"/>
                <w:highlight w:val="none"/>
                <w:lang w:val="en-US" w:eastAsia="zh-CN"/>
              </w:rPr>
              <w:t>颗粒物</w:t>
            </w:r>
            <w:r>
              <w:rPr>
                <w:rFonts w:hint="eastAsia" w:ascii="Times New Roman" w:hAnsi="Times New Roman" w:eastAsia="宋体" w:cs="Times New Roman"/>
                <w:snapToGrid w:val="0"/>
                <w:color w:val="auto"/>
                <w:sz w:val="24"/>
                <w:szCs w:val="24"/>
                <w:highlight w:val="none"/>
                <w:lang w:val="en-US" w:eastAsia="zh-CN"/>
              </w:rPr>
              <w:t>产生量为</w:t>
            </w:r>
            <w:r>
              <w:rPr>
                <w:rFonts w:hint="eastAsia" w:cs="Times New Roman"/>
                <w:snapToGrid w:val="0"/>
                <w:color w:val="auto"/>
                <w:sz w:val="24"/>
                <w:szCs w:val="24"/>
                <w:highlight w:val="none"/>
                <w:lang w:val="en-US" w:eastAsia="zh-CN"/>
              </w:rPr>
              <w:t>187.5</w:t>
            </w:r>
            <w:r>
              <w:rPr>
                <w:rFonts w:hint="eastAsia" w:ascii="Times New Roman" w:hAnsi="Times New Roman" w:eastAsia="宋体" w:cs="Times New Roman"/>
                <w:snapToGrid w:val="0"/>
                <w:color w:val="auto"/>
                <w:sz w:val="24"/>
                <w:szCs w:val="24"/>
                <w:highlight w:val="none"/>
                <w:lang w:val="en-US" w:eastAsia="zh-CN"/>
              </w:rPr>
              <w:t>t/a</w:t>
            </w:r>
            <w:r>
              <w:rPr>
                <w:rFonts w:hint="eastAsia" w:ascii="Times New Roman" w:hAnsi="Times New Roman" w:eastAsia="宋体" w:cs="Times New Roman"/>
                <w:color w:val="auto"/>
                <w:sz w:val="24"/>
                <w:highlight w:val="none"/>
                <w:lang w:val="en-US" w:eastAsia="zh-CN"/>
              </w:rPr>
              <w:t>，产生速率为</w:t>
            </w:r>
            <w:r>
              <w:rPr>
                <w:rFonts w:hint="eastAsia" w:cs="Times New Roman"/>
                <w:color w:val="auto"/>
                <w:sz w:val="24"/>
                <w:highlight w:val="none"/>
                <w:lang w:val="en-US" w:eastAsia="zh-CN"/>
              </w:rPr>
              <w:t>39.06</w:t>
            </w:r>
            <w:r>
              <w:rPr>
                <w:rFonts w:hint="eastAsia" w:ascii="Times New Roman" w:hAnsi="Times New Roman" w:eastAsia="宋体" w:cs="Times New Roman"/>
                <w:color w:val="auto"/>
                <w:sz w:val="24"/>
                <w:highlight w:val="none"/>
                <w:lang w:val="en-US" w:eastAsia="zh-CN"/>
              </w:rPr>
              <w:t>kg/h</w:t>
            </w:r>
            <w:r>
              <w:rPr>
                <w:rFonts w:hint="eastAsia" w:ascii="Times New Roman" w:hAnsi="Times New Roman" w:eastAsia="宋体" w:cs="Times New Roman"/>
                <w:snapToGrid w:val="0"/>
                <w:color w:val="auto"/>
                <w:sz w:val="24"/>
                <w:szCs w:val="20"/>
                <w:highlight w:val="none"/>
                <w:lang w:val="en-US"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default"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则总产生速率为181.335kg/h，产生浓度为</w:t>
            </w:r>
            <w:r>
              <w:rPr>
                <w:rFonts w:hint="eastAsia" w:cs="Times New Roman"/>
                <w:color w:val="auto"/>
                <w:sz w:val="24"/>
                <w:highlight w:val="none"/>
                <w:lang w:val="en-US" w:eastAsia="zh-CN"/>
              </w:rPr>
              <w:t>5247</w:t>
            </w:r>
            <w:r>
              <w:rPr>
                <w:rFonts w:hint="eastAsia" w:ascii="Times New Roman" w:hAnsi="Times New Roman" w:eastAsia="宋体" w:cs="Times New Roman"/>
                <w:snapToGrid w:val="0"/>
                <w:color w:val="auto"/>
                <w:sz w:val="24"/>
                <w:szCs w:val="20"/>
                <w:highlight w:val="none"/>
                <w:lang w:val="en-US" w:eastAsia="zh-CN"/>
              </w:rPr>
              <w:t>mg/m</w:t>
            </w:r>
            <w:r>
              <w:rPr>
                <w:rFonts w:hint="eastAsia" w:ascii="Times New Roman" w:hAnsi="Times New Roman" w:eastAsia="宋体" w:cs="Times New Roman"/>
                <w:snapToGrid w:val="0"/>
                <w:color w:val="auto"/>
                <w:sz w:val="24"/>
                <w:szCs w:val="20"/>
                <w:highlight w:val="none"/>
                <w:vertAlign w:val="superscript"/>
                <w:lang w:val="en-US" w:eastAsia="zh-CN"/>
              </w:rPr>
              <w:t>3</w:t>
            </w:r>
            <w:r>
              <w:rPr>
                <w:rFonts w:hint="eastAsia" w:ascii="Times New Roman" w:hAnsi="Times New Roman" w:eastAsia="宋体" w:cs="Times New Roman"/>
                <w:snapToGrid w:val="0"/>
                <w:color w:val="auto"/>
                <w:sz w:val="24"/>
                <w:szCs w:val="20"/>
                <w:highlight w:val="none"/>
                <w:lang w:val="en-US"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color w:val="auto"/>
                <w:spacing w:val="4"/>
                <w:sz w:val="24"/>
                <w:highlight w:val="none"/>
                <w:lang w:eastAsia="zh-CN"/>
              </w:rPr>
            </w:pPr>
            <w:r>
              <w:rPr>
                <w:rFonts w:hint="eastAsia" w:ascii="Times New Roman" w:hAnsi="Times New Roman" w:eastAsia="宋体" w:cs="Times New Roman"/>
                <w:color w:val="auto"/>
                <w:spacing w:val="0"/>
                <w:position w:val="0"/>
                <w:sz w:val="24"/>
                <w:highlight w:val="none"/>
                <w:lang w:val="en-US" w:eastAsia="zh-CN"/>
              </w:rPr>
              <w:t>有组织颗粒物</w:t>
            </w:r>
            <w:r>
              <w:rPr>
                <w:rFonts w:hint="default" w:ascii="Times New Roman" w:hAnsi="Times New Roman" w:eastAsia="宋体" w:cs="Times New Roman"/>
                <w:color w:val="auto"/>
                <w:spacing w:val="0"/>
                <w:position w:val="0"/>
                <w:sz w:val="24"/>
                <w:highlight w:val="none"/>
              </w:rPr>
              <w:t>排放浓度</w:t>
            </w:r>
            <w:r>
              <w:rPr>
                <w:rFonts w:hint="default" w:ascii="Times New Roman" w:hAnsi="Times New Roman" w:eastAsia="宋体" w:cs="Times New Roman"/>
                <w:color w:val="auto"/>
                <w:spacing w:val="0"/>
                <w:position w:val="0"/>
                <w:sz w:val="24"/>
                <w:highlight w:val="none"/>
                <w:lang w:val="en-US" w:eastAsia="zh-CN"/>
              </w:rPr>
              <w:t>执行《长治市大气污染防治工作领导组办公室文件关于印发长治市工业企业无组织排放治理实施方案的通知》（长气防办[2019]9号）特别排放限值要求（颗粒物≤10mg/m</w:t>
            </w:r>
            <w:r>
              <w:rPr>
                <w:rFonts w:hint="default" w:ascii="Times New Roman" w:hAnsi="Times New Roman" w:eastAsia="宋体" w:cs="Times New Roman"/>
                <w:color w:val="auto"/>
                <w:spacing w:val="0"/>
                <w:position w:val="0"/>
                <w:sz w:val="24"/>
                <w:highlight w:val="none"/>
                <w:vertAlign w:val="superscript"/>
                <w:lang w:val="en-US" w:eastAsia="zh-CN"/>
              </w:rPr>
              <w:t>3</w:t>
            </w:r>
            <w:r>
              <w:rPr>
                <w:rFonts w:hint="default" w:ascii="Times New Roman" w:hAnsi="Times New Roman" w:eastAsia="宋体" w:cs="Times New Roman"/>
                <w:color w:val="auto"/>
                <w:spacing w:val="0"/>
                <w:position w:val="0"/>
                <w:sz w:val="24"/>
                <w:highlight w:val="none"/>
                <w:lang w:val="en-US" w:eastAsia="zh-CN"/>
              </w:rPr>
              <w:t>）</w:t>
            </w:r>
            <w:r>
              <w:rPr>
                <w:rFonts w:hint="eastAsia"/>
                <w:color w:val="auto"/>
                <w:spacing w:val="4"/>
                <w:sz w:val="24"/>
                <w:highlight w:val="none"/>
                <w:lang w:eastAsia="zh-CN"/>
              </w:rPr>
              <w:t>。</w:t>
            </w:r>
          </w:p>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textAlignment w:val="auto"/>
              <w:rPr>
                <w:rFonts w:hint="eastAsia" w:ascii="Times New Roman" w:hAnsi="Times New Roman"/>
                <w:color w:val="auto"/>
                <w:sz w:val="24"/>
                <w:highlight w:val="none"/>
                <w:lang w:val="en-US" w:eastAsia="zh-CN"/>
              </w:rPr>
            </w:pPr>
            <w:r>
              <w:rPr>
                <w:rFonts w:hint="default"/>
                <w:bCs/>
                <w:color w:val="auto"/>
                <w:sz w:val="24"/>
                <w:highlight w:val="none"/>
              </w:rPr>
              <w:t>有组织</w:t>
            </w:r>
            <w:r>
              <w:rPr>
                <w:rFonts w:hint="eastAsia"/>
                <w:bCs/>
                <w:color w:val="auto"/>
                <w:sz w:val="24"/>
                <w:highlight w:val="none"/>
                <w:lang w:val="en-US" w:eastAsia="zh-CN"/>
              </w:rPr>
              <w:t>颗粒物</w:t>
            </w:r>
            <w:r>
              <w:rPr>
                <w:rFonts w:hint="default"/>
                <w:bCs/>
                <w:color w:val="auto"/>
                <w:sz w:val="24"/>
                <w:highlight w:val="none"/>
              </w:rPr>
              <w:t>排放量：10mg/m</w:t>
            </w:r>
            <w:r>
              <w:rPr>
                <w:rFonts w:hint="default"/>
                <w:bCs/>
                <w:color w:val="auto"/>
                <w:sz w:val="24"/>
                <w:highlight w:val="none"/>
                <w:vertAlign w:val="superscript"/>
              </w:rPr>
              <w:t>3</w:t>
            </w:r>
            <w:r>
              <w:rPr>
                <w:rFonts w:hint="default"/>
                <w:bCs/>
                <w:color w:val="auto"/>
                <w:sz w:val="24"/>
                <w:highlight w:val="none"/>
              </w:rPr>
              <w:t>×</w:t>
            </w:r>
            <w:r>
              <w:rPr>
                <w:rFonts w:hint="eastAsia" w:ascii="Times New Roman" w:hAnsi="Times New Roman"/>
                <w:color w:val="auto"/>
                <w:sz w:val="24"/>
                <w:highlight w:val="none"/>
                <w:lang w:val="en-US" w:eastAsia="zh-CN"/>
              </w:rPr>
              <w:t>34561</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/h</w:t>
            </w:r>
            <w:r>
              <w:rPr>
                <w:rFonts w:hint="default"/>
                <w:bCs/>
                <w:color w:val="auto"/>
                <w:sz w:val="24"/>
                <w:highlight w:val="none"/>
              </w:rPr>
              <w:t>×</w:t>
            </w:r>
            <w:r>
              <w:rPr>
                <w:rFonts w:hint="eastAsia"/>
                <w:bCs/>
                <w:color w:val="auto"/>
                <w:sz w:val="24"/>
                <w:highlight w:val="none"/>
                <w:lang w:val="en-US" w:eastAsia="zh-CN"/>
              </w:rPr>
              <w:t>4800h</w:t>
            </w:r>
            <w:r>
              <w:rPr>
                <w:rFonts w:hint="default"/>
                <w:bCs/>
                <w:color w:val="auto"/>
                <w:sz w:val="24"/>
                <w:highlight w:val="none"/>
              </w:rPr>
              <w:t>÷10</w:t>
            </w:r>
            <w:r>
              <w:rPr>
                <w:rFonts w:hint="default"/>
                <w:bCs/>
                <w:color w:val="auto"/>
                <w:sz w:val="24"/>
                <w:highlight w:val="none"/>
                <w:vertAlign w:val="superscript"/>
              </w:rPr>
              <w:t>9</w:t>
            </w:r>
            <w:r>
              <w:rPr>
                <w:rFonts w:hint="default"/>
                <w:bCs/>
                <w:color w:val="auto"/>
                <w:sz w:val="24"/>
                <w:highlight w:val="none"/>
              </w:rPr>
              <w:t>=</w:t>
            </w:r>
            <w:r>
              <w:rPr>
                <w:rFonts w:hint="eastAsia"/>
                <w:bCs/>
                <w:color w:val="auto"/>
                <w:sz w:val="24"/>
                <w:highlight w:val="none"/>
                <w:lang w:val="en-US" w:eastAsia="zh-CN"/>
              </w:rPr>
              <w:t>1.659</w:t>
            </w:r>
            <w:r>
              <w:rPr>
                <w:rFonts w:hint="default"/>
                <w:bCs/>
                <w:color w:val="auto"/>
                <w:sz w:val="24"/>
                <w:highlight w:val="none"/>
              </w:rPr>
              <w:t>t/a</w:t>
            </w:r>
            <w:r>
              <w:rPr>
                <w:rFonts w:hint="eastAsia"/>
                <w:bCs/>
                <w:color w:val="auto"/>
                <w:sz w:val="24"/>
                <w:highlight w:val="none"/>
                <w:lang w:eastAsia="zh-CN"/>
              </w:rPr>
              <w:t>，</w:t>
            </w:r>
            <w:r>
              <w:rPr>
                <w:rFonts w:hint="default"/>
                <w:color w:val="auto"/>
                <w:sz w:val="24"/>
                <w:highlight w:val="none"/>
              </w:rPr>
              <w:t>排放</w:t>
            </w:r>
            <w:r>
              <w:rPr>
                <w:rFonts w:hint="eastAsia"/>
                <w:color w:val="auto"/>
                <w:sz w:val="24"/>
                <w:highlight w:val="none"/>
                <w:lang w:val="en-US" w:eastAsia="zh-CN"/>
              </w:rPr>
              <w:t>速率</w:t>
            </w:r>
            <w:r>
              <w:rPr>
                <w:rFonts w:hint="default"/>
                <w:color w:val="auto"/>
                <w:sz w:val="24"/>
                <w:highlight w:val="none"/>
              </w:rPr>
              <w:t>为</w:t>
            </w:r>
            <w:r>
              <w:rPr>
                <w:rFonts w:hint="eastAsia"/>
                <w:color w:val="auto"/>
                <w:sz w:val="24"/>
                <w:highlight w:val="none"/>
                <w:lang w:val="en-US" w:eastAsia="zh-CN"/>
              </w:rPr>
              <w:t>0.35kg/h</w:t>
            </w:r>
            <w:r>
              <w:rPr>
                <w:rFonts w:hint="default"/>
                <w:color w:val="auto"/>
                <w:sz w:val="24"/>
                <w:highlight w:val="none"/>
              </w:rPr>
              <w:t>。</w:t>
            </w:r>
          </w:p>
          <w:p>
            <w:pPr>
              <w:pStyle w:val="38"/>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G6：成品堆放与装卸扬尘</w:t>
            </w:r>
          </w:p>
          <w:p>
            <w:pPr>
              <w:pStyle w:val="38"/>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本项目成品为袋装颗粒状生物有机肥料，在生产车间一层西侧成品堆放区贮存，成品装卸时设有移动式雾炮机，因为成品堆放与装卸扬尘可忽略不计。</w:t>
            </w:r>
          </w:p>
          <w:p>
            <w:pPr>
              <w:pStyle w:val="38"/>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G7：</w:t>
            </w:r>
            <w:r>
              <w:rPr>
                <w:rFonts w:hint="eastAsia" w:cs="Times New Roman"/>
                <w:snapToGrid w:val="0"/>
                <w:color w:val="auto"/>
                <w:sz w:val="24"/>
                <w:szCs w:val="24"/>
                <w:highlight w:val="none"/>
                <w:lang w:val="en-US" w:eastAsia="zh-CN"/>
              </w:rPr>
              <w:t>道路运输扬尘</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根据《汽车道路煤扬尘规律研究》（朱景韩、俞济清等，交通环保（水运版），1986），车辆行驶产生的扬尘，在道路完全干燥的情况下，可按下列经验公式计算：</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Q=0.123(V/5)(W/6.8)</w:t>
            </w:r>
            <w:r>
              <w:rPr>
                <w:rFonts w:hint="default" w:ascii="Times New Roman" w:hAnsi="Times New Roman" w:eastAsia="宋体" w:cs="Times New Roman"/>
                <w:color w:val="auto"/>
                <w:sz w:val="24"/>
                <w:szCs w:val="24"/>
                <w:highlight w:val="none"/>
                <w:vertAlign w:val="superscript"/>
              </w:rPr>
              <w:t>0.85</w:t>
            </w:r>
            <w:r>
              <w:rPr>
                <w:rFonts w:hint="default" w:ascii="Times New Roman" w:hAnsi="Times New Roman" w:eastAsia="宋体" w:cs="Times New Roman"/>
                <w:color w:val="auto"/>
                <w:sz w:val="24"/>
                <w:szCs w:val="24"/>
                <w:highlight w:val="none"/>
              </w:rPr>
              <w:t>(P/0.5)</w:t>
            </w:r>
            <w:r>
              <w:rPr>
                <w:rFonts w:hint="default" w:ascii="Times New Roman" w:hAnsi="Times New Roman" w:eastAsia="宋体" w:cs="Times New Roman"/>
                <w:color w:val="auto"/>
                <w:sz w:val="24"/>
                <w:szCs w:val="24"/>
                <w:highlight w:val="none"/>
                <w:vertAlign w:val="superscript"/>
              </w:rPr>
              <w:t>0.75</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式中：Q—汽车行驶时的扬尘，</w:t>
            </w:r>
            <w:r>
              <w:rPr>
                <w:rFonts w:hint="default" w:ascii="Times New Roman" w:hAnsi="Times New Roman" w:eastAsia="宋体" w:cs="Times New Roman"/>
                <w:color w:val="auto"/>
                <w:sz w:val="24"/>
                <w:szCs w:val="24"/>
                <w:highlight w:val="none"/>
                <w:lang w:eastAsia="zh-CN"/>
              </w:rPr>
              <w:t>kg</w:t>
            </w:r>
            <w:r>
              <w:rPr>
                <w:rFonts w:hint="default" w:ascii="Times New Roman" w:hAnsi="Times New Roman" w:eastAsia="宋体" w:cs="Times New Roman"/>
                <w:color w:val="auto"/>
                <w:sz w:val="24"/>
                <w:szCs w:val="24"/>
                <w:highlight w:val="none"/>
              </w:rPr>
              <w:t>/km</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rPr>
              <w:t>辆；</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V—汽车速度，</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km/h；</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W—汽车载重量，</w:t>
            </w:r>
            <w:r>
              <w:rPr>
                <w:rFonts w:hint="eastAsia" w:cs="Times New Roman"/>
                <w:color w:val="auto"/>
                <w:sz w:val="24"/>
                <w:szCs w:val="24"/>
                <w:highlight w:val="none"/>
                <w:lang w:val="en-US" w:eastAsia="zh-CN"/>
              </w:rPr>
              <w:t>57</w:t>
            </w:r>
            <w:r>
              <w:rPr>
                <w:rFonts w:hint="eastAsia" w:ascii="Times New Roman" w:hAnsi="Times New Roman" w:eastAsia="宋体" w:cs="Times New Roman"/>
                <w:color w:val="auto"/>
                <w:sz w:val="24"/>
                <w:szCs w:val="24"/>
                <w:highlight w:val="none"/>
                <w:lang w:val="en-US" w:eastAsia="zh-CN"/>
              </w:rPr>
              <w:t>t（车身自重17t+载重量</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0t</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P—道路表面粉尘量，</w:t>
            </w:r>
            <w:r>
              <w:rPr>
                <w:rFonts w:hint="default" w:ascii="Times New Roman" w:hAnsi="Times New Roman" w:eastAsia="宋体" w:cs="Times New Roman"/>
                <w:color w:val="auto"/>
                <w:sz w:val="24"/>
                <w:szCs w:val="24"/>
                <w:highlight w:val="none"/>
                <w:lang w:eastAsia="zh-CN"/>
              </w:rPr>
              <w:t>kg</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rPr>
              <w:t>=（Q×L×D×T）/1000</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vertAlign w:val="subscript"/>
              </w:rPr>
            </w:pPr>
            <w:r>
              <w:rPr>
                <w:rFonts w:hint="default" w:ascii="Times New Roman" w:hAnsi="Times New Roman" w:eastAsia="宋体" w:cs="Times New Roman"/>
                <w:color w:val="auto"/>
                <w:sz w:val="24"/>
                <w:szCs w:val="24"/>
                <w:highlight w:val="none"/>
              </w:rPr>
              <w:t>式中：Q</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rPr>
              <w:t>—道路扬尘产生量，t/a；</w:t>
            </w:r>
          </w:p>
          <w:p>
            <w:pPr>
              <w:keepNext w:val="0"/>
              <w:keepLines w:val="0"/>
              <w:pageBreakBefore w:val="0"/>
              <w:widowControl w:val="0"/>
              <w:kinsoku/>
              <w:wordWrap/>
              <w:overflowPunct/>
              <w:topLinePunct w:val="0"/>
              <w:autoSpaceDE/>
              <w:autoSpaceDN/>
              <w:bidi w:val="0"/>
              <w:adjustRightInd w:val="0"/>
              <w:snapToGrid w:val="0"/>
              <w:spacing w:line="480" w:lineRule="exact"/>
              <w:ind w:firstLine="1195" w:firstLineChars="498"/>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Q—汽车行驶时的扬尘，</w:t>
            </w:r>
            <w:r>
              <w:rPr>
                <w:rFonts w:hint="default" w:ascii="Times New Roman" w:hAnsi="Times New Roman" w:eastAsia="宋体" w:cs="Times New Roman"/>
                <w:color w:val="auto"/>
                <w:sz w:val="24"/>
                <w:szCs w:val="24"/>
                <w:highlight w:val="none"/>
                <w:lang w:eastAsia="zh-CN"/>
              </w:rPr>
              <w:t>kg</w:t>
            </w:r>
            <w:r>
              <w:rPr>
                <w:rFonts w:hint="default" w:ascii="Times New Roman" w:hAnsi="Times New Roman" w:eastAsia="宋体" w:cs="Times New Roman"/>
                <w:color w:val="auto"/>
                <w:sz w:val="24"/>
                <w:szCs w:val="24"/>
                <w:highlight w:val="none"/>
              </w:rPr>
              <w:t>/km</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rPr>
              <w:t>辆；</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L—汽车在</w:t>
            </w:r>
            <w:r>
              <w:rPr>
                <w:rFonts w:hint="default" w:ascii="Times New Roman" w:hAnsi="Times New Roman" w:eastAsia="宋体"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rPr>
              <w:t>内行驶距离，</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km；</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D—年工作天数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0d</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T—每天运输车数</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250</w:t>
            </w:r>
            <w:r>
              <w:rPr>
                <w:rFonts w:hint="eastAsia" w:ascii="Times New Roman" w:hAnsi="Times New Roman" w:eastAsia="宋体" w:cs="Times New Roman"/>
                <w:color w:val="auto"/>
                <w:sz w:val="24"/>
                <w:szCs w:val="24"/>
                <w:highlight w:val="none"/>
                <w:lang w:val="en-US" w:eastAsia="zh-CN"/>
              </w:rPr>
              <w:t>辆</w:t>
            </w:r>
            <w:r>
              <w:rPr>
                <w:rFonts w:hint="default" w:ascii="Times New Roman" w:hAnsi="Times New Roman" w:eastAsia="宋体" w:cs="Times New Roman"/>
                <w:color w:val="auto"/>
                <w:sz w:val="24"/>
                <w:szCs w:val="24"/>
                <w:highlight w:val="none"/>
              </w:rPr>
              <w:t>。</w:t>
            </w:r>
          </w:p>
          <w:p>
            <w:pPr>
              <w:widowControl/>
              <w:snapToGrid w:val="0"/>
              <w:spacing w:line="480" w:lineRule="exact"/>
              <w:ind w:firstLine="489" w:firstLineChars="204"/>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bCs/>
                <w:color w:val="auto"/>
                <w:sz w:val="24"/>
                <w:szCs w:val="20"/>
                <w:highlight w:val="none"/>
              </w:rPr>
              <w:t>根据本项目情况，当路面无人管理时，对道路路况以0.4kg/m</w:t>
            </w:r>
            <w:r>
              <w:rPr>
                <w:rFonts w:hint="default" w:ascii="Times New Roman" w:hAnsi="Times New Roman" w:eastAsia="宋体" w:cs="Times New Roman"/>
                <w:bCs/>
                <w:color w:val="auto"/>
                <w:sz w:val="24"/>
                <w:szCs w:val="20"/>
                <w:highlight w:val="none"/>
                <w:vertAlign w:val="superscript"/>
              </w:rPr>
              <w:t>2</w:t>
            </w:r>
            <w:r>
              <w:rPr>
                <w:rFonts w:hint="default" w:ascii="Times New Roman" w:hAnsi="Times New Roman" w:eastAsia="宋体" w:cs="Times New Roman"/>
                <w:bCs/>
                <w:color w:val="auto"/>
                <w:sz w:val="24"/>
                <w:szCs w:val="20"/>
                <w:highlight w:val="none"/>
              </w:rPr>
              <w:t>计，道路扬尘量为</w:t>
            </w:r>
            <w:r>
              <w:rPr>
                <w:rFonts w:hint="eastAsia" w:cs="Times New Roman"/>
                <w:bCs/>
                <w:color w:val="auto"/>
                <w:sz w:val="24"/>
                <w:szCs w:val="20"/>
                <w:highlight w:val="none"/>
                <w:lang w:val="en-US" w:eastAsia="zh-CN"/>
              </w:rPr>
              <w:t>3.81</w:t>
            </w:r>
            <w:r>
              <w:rPr>
                <w:rFonts w:hint="default" w:ascii="Times New Roman" w:hAnsi="Times New Roman" w:eastAsia="宋体" w:cs="Times New Roman"/>
                <w:bCs/>
                <w:color w:val="auto"/>
                <w:sz w:val="24"/>
                <w:szCs w:val="20"/>
                <w:highlight w:val="none"/>
              </w:rPr>
              <w:t>t/a。</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bCs/>
                <w:color w:val="auto"/>
                <w:sz w:val="24"/>
                <w:szCs w:val="20"/>
                <w:highlight w:val="none"/>
              </w:rPr>
              <w:t>为减少道路扬尘的产生和排放，建设单位应</w:t>
            </w:r>
            <w:r>
              <w:rPr>
                <w:rFonts w:hint="default" w:ascii="Times New Roman" w:hAnsi="Times New Roman" w:eastAsia="宋体" w:cs="Times New Roman"/>
                <w:color w:val="auto"/>
                <w:sz w:val="24"/>
                <w:szCs w:val="20"/>
                <w:highlight w:val="none"/>
              </w:rPr>
              <w:t>派专人定期</w:t>
            </w:r>
            <w:r>
              <w:rPr>
                <w:rFonts w:hint="default" w:ascii="Times New Roman" w:hAnsi="Times New Roman" w:eastAsia="宋体" w:cs="Times New Roman"/>
                <w:bCs/>
                <w:color w:val="auto"/>
                <w:sz w:val="24"/>
                <w:szCs w:val="20"/>
                <w:highlight w:val="none"/>
              </w:rPr>
              <w:t>对厂区地面</w:t>
            </w:r>
            <w:r>
              <w:rPr>
                <w:rFonts w:hint="default" w:ascii="Times New Roman" w:hAnsi="Times New Roman" w:eastAsia="宋体" w:cs="Times New Roman"/>
                <w:color w:val="auto"/>
                <w:sz w:val="24"/>
                <w:szCs w:val="20"/>
                <w:highlight w:val="none"/>
              </w:rPr>
              <w:t>进行清扫、洒水</w:t>
            </w:r>
            <w:r>
              <w:rPr>
                <w:rFonts w:hint="eastAsia" w:ascii="Times New Roman" w:hAnsi="Times New Roman" w:eastAsia="宋体" w:cs="Times New Roman"/>
                <w:bCs/>
                <w:color w:val="auto"/>
                <w:sz w:val="24"/>
                <w:szCs w:val="24"/>
                <w:highlight w:val="none"/>
                <w:lang w:val="en-US" w:eastAsia="zh-CN"/>
              </w:rPr>
              <w:t>，保持路面清洁和相对湿度</w:t>
            </w:r>
            <w:r>
              <w:rPr>
                <w:rFonts w:hint="default" w:ascii="Times New Roman" w:hAnsi="Times New Roman" w:eastAsia="宋体" w:cs="Times New Roman"/>
                <w:bCs/>
                <w:color w:val="auto"/>
                <w:sz w:val="24"/>
                <w:szCs w:val="20"/>
                <w:highlight w:val="none"/>
              </w:rPr>
              <w:t>，</w:t>
            </w:r>
            <w:r>
              <w:rPr>
                <w:rFonts w:hint="eastAsia" w:ascii="Times New Roman" w:hAnsi="Times New Roman" w:eastAsia="宋体" w:cs="Times New Roman"/>
                <w:bCs/>
                <w:color w:val="auto"/>
                <w:sz w:val="24"/>
                <w:szCs w:val="24"/>
                <w:highlight w:val="none"/>
                <w:lang w:val="en-US" w:eastAsia="zh-CN"/>
              </w:rPr>
              <w:t>在厂区的易起尘路段减速慢行；运输汽车离开厂区时，对汽车轮胎清洗后方可上路</w:t>
            </w:r>
            <w:r>
              <w:rPr>
                <w:rFonts w:hint="default" w:ascii="Times New Roman" w:hAnsi="Times New Roman" w:cs="Times New Roman"/>
                <w:bCs/>
                <w:color w:val="auto"/>
                <w:sz w:val="24"/>
                <w:highlight w:val="none"/>
              </w:rPr>
              <w:t>。基于这种情况，道路路况以0.2kg/m</w:t>
            </w:r>
            <w:r>
              <w:rPr>
                <w:rFonts w:hint="default" w:ascii="Times New Roman" w:hAnsi="Times New Roman" w:cs="Times New Roman"/>
                <w:bCs/>
                <w:color w:val="auto"/>
                <w:sz w:val="24"/>
                <w:highlight w:val="none"/>
                <w:vertAlign w:val="superscript"/>
              </w:rPr>
              <w:t>2</w:t>
            </w:r>
            <w:r>
              <w:rPr>
                <w:rFonts w:hint="default" w:ascii="Times New Roman" w:hAnsi="Times New Roman" w:cs="Times New Roman"/>
                <w:bCs/>
                <w:color w:val="auto"/>
                <w:sz w:val="24"/>
                <w:highlight w:val="none"/>
              </w:rPr>
              <w:t>计，经计算，项目道路扬尘量为</w:t>
            </w:r>
            <w:r>
              <w:rPr>
                <w:rFonts w:hint="eastAsia" w:cs="Times New Roman"/>
                <w:bCs/>
                <w:color w:val="auto"/>
                <w:sz w:val="24"/>
                <w:highlight w:val="none"/>
                <w:lang w:val="en-US" w:eastAsia="zh-CN"/>
              </w:rPr>
              <w:t>1.905</w:t>
            </w:r>
            <w:r>
              <w:rPr>
                <w:rFonts w:hint="default" w:ascii="Times New Roman" w:hAnsi="Times New Roman" w:cs="Times New Roman"/>
                <w:bCs/>
                <w:color w:val="auto"/>
                <w:sz w:val="24"/>
                <w:highlight w:val="none"/>
              </w:rPr>
              <w:t>t/a</w:t>
            </w:r>
            <w:r>
              <w:rPr>
                <w:rFonts w:hint="default" w:ascii="Times New Roman" w:hAnsi="Times New Roman" w:eastAsia="宋体" w:cs="Times New Roman"/>
                <w:bCs/>
                <w:color w:val="auto"/>
                <w:sz w:val="24"/>
                <w:szCs w:val="20"/>
                <w:highlight w:val="none"/>
              </w:rPr>
              <w:t>。</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厂区道理均全部硬化，厂外运输道路至主干路区间均要求全部硬化。</w:t>
            </w:r>
            <w:r>
              <w:rPr>
                <w:rFonts w:hint="default" w:ascii="Times New Roman" w:hAnsi="Times New Roman" w:cs="Times New Roman"/>
                <w:b w:val="0"/>
                <w:bCs w:val="0"/>
                <w:color w:val="auto"/>
                <w:sz w:val="24"/>
                <w:szCs w:val="24"/>
                <w:highlight w:val="none"/>
                <w:lang w:val="en-US" w:eastAsia="zh-CN"/>
              </w:rPr>
              <w:t>为保证清洁运输，应合理规划路线及运输时间，错开高峰期，减轻车辆堵塞、怠速等尾气排放，要求供货单位采用全封闭货车运输，优化供货渠道；厂区内非移动机械使用国四排放标准或新能源机械。运输车辆使用国六标准以上的运输车辆或新能源清洁燃料车辆。</w:t>
            </w:r>
            <w:r>
              <w:rPr>
                <w:rFonts w:hint="eastAsia" w:cs="Times New Roman"/>
                <w:b w:val="0"/>
                <w:bCs w:val="0"/>
                <w:color w:val="auto"/>
                <w:sz w:val="24"/>
                <w:szCs w:val="24"/>
                <w:highlight w:val="none"/>
                <w:lang w:val="en-US" w:eastAsia="zh-CN"/>
              </w:rPr>
              <w:t>要求进出厂车辆</w:t>
            </w:r>
            <w:r>
              <w:rPr>
                <w:rFonts w:hint="default" w:ascii="Times New Roman" w:hAnsi="Times New Roman" w:cs="Times New Roman"/>
                <w:b w:val="0"/>
                <w:bCs w:val="0"/>
                <w:color w:val="auto"/>
                <w:sz w:val="24"/>
                <w:szCs w:val="24"/>
                <w:highlight w:val="none"/>
                <w:lang w:val="en-US" w:eastAsia="zh-CN"/>
              </w:rPr>
              <w:t>对轮胎、车厢外体、车牌和车灯均进行冲洗，保障车辆在运输过程中箱体无挂料、无撒漏、轮胎不带粉</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泥</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、行驶无扬尘</w:t>
            </w:r>
            <w:r>
              <w:rPr>
                <w:rFonts w:hint="eastAsia" w:ascii="Times New Roman" w:hAnsi="Times New Roman" w:cs="Times New Roman"/>
                <w:b w:val="0"/>
                <w:bCs w:val="0"/>
                <w:color w:val="auto"/>
                <w:sz w:val="24"/>
                <w:szCs w:val="24"/>
                <w:highlight w:val="none"/>
                <w:lang w:val="en-US" w:eastAsia="zh-CN"/>
              </w:rPr>
              <w:t>。</w:t>
            </w:r>
          </w:p>
          <w:p>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textAlignment w:val="auto"/>
              <w:rPr>
                <w:rFonts w:hint="eastAsia" w:cs="Times New Roman"/>
                <w:color w:val="auto"/>
                <w:sz w:val="24"/>
                <w:highlight w:val="none"/>
                <w:lang w:val="en-US" w:eastAsia="zh-CN"/>
              </w:rPr>
            </w:pPr>
            <w:r>
              <w:rPr>
                <w:rFonts w:hint="default" w:ascii="Times New Roman" w:hAnsi="Times New Roman"/>
                <w:color w:val="auto"/>
                <w:sz w:val="24"/>
                <w:highlight w:val="none"/>
                <w:lang w:val="en-US" w:eastAsia="zh-CN"/>
              </w:rPr>
              <w:t>采取以上措施，</w:t>
            </w:r>
            <w:r>
              <w:rPr>
                <w:rFonts w:hint="default" w:ascii="Times New Roman" w:hAnsi="Times New Roman"/>
                <w:color w:val="auto"/>
                <w:sz w:val="24"/>
                <w:highlight w:val="none"/>
                <w:lang w:eastAsia="zh-CN"/>
              </w:rPr>
              <w:t>抑尘效率</w:t>
            </w:r>
            <w:r>
              <w:rPr>
                <w:rFonts w:hint="default" w:ascii="Times New Roman" w:hAnsi="Times New Roman"/>
                <w:color w:val="auto"/>
                <w:sz w:val="24"/>
                <w:highlight w:val="none"/>
                <w:lang w:val="en-US" w:eastAsia="zh-CN"/>
              </w:rPr>
              <w:t>可达</w:t>
            </w:r>
            <w:r>
              <w:rPr>
                <w:rFonts w:hint="default" w:ascii="Times New Roman" w:hAnsi="Times New Roman"/>
                <w:color w:val="auto"/>
                <w:sz w:val="24"/>
                <w:highlight w:val="none"/>
                <w:lang w:eastAsia="zh-CN"/>
              </w:rPr>
              <w:t>90%以上，则无组织扬尘排放量约为</w:t>
            </w:r>
            <w:r>
              <w:rPr>
                <w:rFonts w:hint="eastAsia" w:ascii="Times New Roman" w:hAnsi="Times New Roman"/>
                <w:color w:val="auto"/>
                <w:sz w:val="24"/>
                <w:highlight w:val="none"/>
                <w:lang w:val="en-US" w:eastAsia="zh-CN"/>
              </w:rPr>
              <w:t>0.</w:t>
            </w:r>
            <w:r>
              <w:rPr>
                <w:rFonts w:hint="eastAsia"/>
                <w:color w:val="auto"/>
                <w:sz w:val="24"/>
                <w:highlight w:val="none"/>
                <w:lang w:val="en-US" w:eastAsia="zh-CN"/>
              </w:rPr>
              <w:t>191</w:t>
            </w:r>
            <w:r>
              <w:rPr>
                <w:rFonts w:hint="default" w:ascii="Times New Roman" w:hAnsi="Times New Roman"/>
                <w:color w:val="auto"/>
                <w:sz w:val="24"/>
                <w:highlight w:val="none"/>
                <w:lang w:eastAsia="zh-CN"/>
              </w:rPr>
              <w:t>t/a。</w:t>
            </w:r>
          </w:p>
          <w:p>
            <w:pPr>
              <w:adjustRightInd w:val="0"/>
              <w:snapToGrid w:val="0"/>
              <w:spacing w:line="480" w:lineRule="exact"/>
              <w:ind w:firstLine="480" w:firstLineChars="200"/>
              <w:rPr>
                <w:rFonts w:hint="default"/>
                <w:color w:val="auto"/>
                <w:sz w:val="24"/>
                <w:highlight w:val="none"/>
                <w:lang w:val="en-US" w:eastAsia="zh-CN" w:bidi="ar"/>
              </w:rPr>
            </w:pPr>
            <w:r>
              <w:rPr>
                <w:rFonts w:hint="eastAsia"/>
                <w:color w:val="auto"/>
                <w:sz w:val="24"/>
                <w:highlight w:val="none"/>
                <w:lang w:val="en-US" w:eastAsia="zh-CN" w:bidi="ar"/>
              </w:rPr>
              <w:t>G8：物料运输转载废气</w:t>
            </w:r>
          </w:p>
          <w:p>
            <w:pPr>
              <w:adjustRightInd w:val="0"/>
              <w:snapToGrid w:val="0"/>
              <w:spacing w:line="480" w:lineRule="exact"/>
              <w:ind w:firstLine="480" w:firstLineChars="200"/>
              <w:rPr>
                <w:rFonts w:hint="default"/>
                <w:color w:val="auto"/>
                <w:sz w:val="24"/>
                <w:highlight w:val="none"/>
                <w:lang w:val="en-US" w:eastAsia="zh-CN" w:bidi="ar"/>
              </w:rPr>
            </w:pPr>
            <w:r>
              <w:rPr>
                <w:rFonts w:hint="eastAsia"/>
                <w:color w:val="auto"/>
                <w:sz w:val="24"/>
                <w:highlight w:val="none"/>
                <w:lang w:val="en-US" w:eastAsia="zh-CN" w:bidi="ar"/>
              </w:rPr>
              <w:t>本项目生产位于全封闭生产车间内，物料运输采用皮带输送机、螺旋输送机和提升机均为全封闭式，运输转载粉尘就近接入相应的除尘器中。</w:t>
            </w:r>
          </w:p>
          <w:p>
            <w:pPr>
              <w:adjustRightInd w:val="0"/>
              <w:snapToGrid w:val="0"/>
              <w:spacing w:line="480" w:lineRule="exact"/>
              <w:ind w:firstLine="480" w:firstLineChars="200"/>
              <w:rPr>
                <w:rFonts w:hint="default" w:eastAsia="宋体"/>
                <w:color w:val="auto"/>
                <w:sz w:val="24"/>
                <w:highlight w:val="none"/>
                <w:lang w:val="en-US" w:eastAsia="zh-CN" w:bidi="ar"/>
              </w:rPr>
            </w:pPr>
          </w:p>
          <w:p>
            <w:pPr>
              <w:adjustRightInd w:val="0"/>
              <w:snapToGrid w:val="0"/>
              <w:spacing w:line="480" w:lineRule="exact"/>
              <w:ind w:firstLine="480" w:firstLineChars="200"/>
              <w:rPr>
                <w:rFonts w:hint="default" w:eastAsia="宋体"/>
                <w:color w:val="auto"/>
                <w:sz w:val="24"/>
                <w:highlight w:val="none"/>
                <w:lang w:val="en-US" w:eastAsia="zh-CN" w:bidi="ar"/>
              </w:rPr>
            </w:pPr>
          </w:p>
          <w:p>
            <w:pPr>
              <w:adjustRightInd w:val="0"/>
              <w:snapToGrid w:val="0"/>
              <w:spacing w:line="480" w:lineRule="exact"/>
              <w:ind w:firstLine="480" w:firstLineChars="200"/>
              <w:rPr>
                <w:rFonts w:hint="default" w:eastAsia="宋体"/>
                <w:color w:val="auto"/>
                <w:sz w:val="24"/>
                <w:highlight w:val="none"/>
                <w:lang w:val="en-US" w:eastAsia="zh-CN" w:bidi="ar"/>
              </w:rPr>
            </w:pPr>
          </w:p>
          <w:p>
            <w:pPr>
              <w:adjustRightInd w:val="0"/>
              <w:snapToGrid w:val="0"/>
              <w:spacing w:line="480" w:lineRule="exact"/>
              <w:ind w:firstLine="480" w:firstLineChars="200"/>
              <w:rPr>
                <w:rFonts w:hint="default" w:eastAsia="宋体"/>
                <w:color w:val="auto"/>
                <w:sz w:val="24"/>
                <w:highlight w:val="none"/>
                <w:lang w:val="en-US" w:eastAsia="zh-CN" w:bidi="ar"/>
              </w:rPr>
            </w:pPr>
          </w:p>
          <w:p>
            <w:pPr>
              <w:adjustRightInd w:val="0"/>
              <w:snapToGrid w:val="0"/>
              <w:spacing w:line="480" w:lineRule="exact"/>
              <w:ind w:firstLine="480" w:firstLineChars="200"/>
              <w:rPr>
                <w:rFonts w:hint="default" w:eastAsia="宋体"/>
                <w:color w:val="auto"/>
                <w:sz w:val="24"/>
                <w:highlight w:val="none"/>
                <w:lang w:val="en-US" w:eastAsia="zh-CN" w:bidi="ar"/>
              </w:rPr>
            </w:pPr>
          </w:p>
        </w:tc>
      </w:tr>
    </w:tbl>
    <w:p>
      <w:pPr>
        <w:spacing w:line="40" w:lineRule="exact"/>
        <w:rPr>
          <w:color w:val="FF0000"/>
          <w:highlight w:val="none"/>
        </w:rPr>
        <w:sectPr>
          <w:pgSz w:w="11906" w:h="16838"/>
          <w:pgMar w:top="1701" w:right="1531" w:bottom="1701" w:left="1531" w:header="1134" w:footer="992" w:gutter="0"/>
          <w:pgBorders>
            <w:top w:val="none" w:sz="0" w:space="0"/>
            <w:left w:val="none" w:sz="0" w:space="0"/>
            <w:bottom w:val="none" w:sz="0" w:space="0"/>
            <w:right w:val="none" w:sz="0" w:space="0"/>
          </w:pgBorders>
          <w:cols w:space="425" w:num="1"/>
          <w:docGrid w:type="lines" w:linePitch="312" w:charSpace="0"/>
        </w:sectPr>
      </w:pPr>
    </w:p>
    <w:tbl>
      <w:tblPr>
        <w:tblStyle w:val="29"/>
        <w:tblW w:w="14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42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519" w:type="dxa"/>
            <w:tcBorders>
              <w:tl2br w:val="nil"/>
              <w:tr2bl w:val="nil"/>
            </w:tcBorders>
            <w:vAlign w:val="center"/>
          </w:tcPr>
          <w:p>
            <w:pPr>
              <w:adjustRightInd w:val="0"/>
              <w:snapToGrid w:val="0"/>
              <w:jc w:val="center"/>
              <w:rPr>
                <w:rFonts w:hint="eastAsia" w:ascii="Times New Roman" w:hAnsi="Times New Roman" w:eastAsia="宋体" w:cs="Times New Roman"/>
                <w:b w:val="0"/>
                <w:bCs/>
                <w:color w:val="auto"/>
                <w:spacing w:val="-10"/>
                <w:sz w:val="24"/>
                <w:szCs w:val="24"/>
                <w:highlight w:val="none"/>
                <w:vertAlign w:val="baseline"/>
                <w:lang w:val="en-US" w:eastAsia="zh-CN"/>
              </w:rPr>
            </w:pPr>
            <w:r>
              <w:rPr>
                <w:rFonts w:hint="default" w:ascii="Times New Roman" w:hAnsi="Times New Roman" w:eastAsia="宋体" w:cs="Times New Roman"/>
                <w:b w:val="0"/>
                <w:bCs/>
                <w:color w:val="auto"/>
                <w:sz w:val="24"/>
                <w:szCs w:val="24"/>
                <w:highlight w:val="none"/>
                <w:lang w:val="en-US" w:eastAsia="zh-CN"/>
              </w:rPr>
              <w:t>运营期环境影响和保护措施</w:t>
            </w:r>
          </w:p>
        </w:tc>
        <w:tc>
          <w:tcPr>
            <w:tcW w:w="14221" w:type="dxa"/>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auto"/>
              <w:rPr>
                <w:rFonts w:hint="default" w:ascii="Times New Roman" w:hAnsi="Times New Roman" w:eastAsia="黑体" w:cs="Times New Roman"/>
                <w:b/>
                <w:bCs w:val="0"/>
                <w:color w:val="auto"/>
                <w:spacing w:val="0"/>
                <w:kern w:val="2"/>
                <w:sz w:val="21"/>
                <w:szCs w:val="21"/>
                <w:highlight w:val="none"/>
                <w:lang w:val="en-US" w:eastAsia="zh-CN" w:bidi="ar-SA"/>
              </w:rPr>
            </w:pPr>
            <w:r>
              <w:rPr>
                <w:rFonts w:hint="eastAsia" w:ascii="Times New Roman" w:hAnsi="Times New Roman" w:eastAsia="宋体" w:cs="Times New Roman"/>
                <w:b/>
                <w:bCs w:val="0"/>
                <w:color w:val="auto"/>
                <w:spacing w:val="0"/>
                <w:sz w:val="24"/>
                <w:szCs w:val="24"/>
                <w:highlight w:val="none"/>
                <w:lang w:val="en-US" w:eastAsia="zh-CN"/>
              </w:rPr>
              <w:t>2.废气污染物排放口基本情况</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6</w:t>
            </w:r>
            <w:r>
              <w:rPr>
                <w:rFonts w:hint="default" w:ascii="Times New Roman" w:hAnsi="Times New Roman" w:eastAsia="宋体" w:cs="Times New Roman"/>
                <w:b/>
                <w:bCs/>
                <w:color w:val="auto"/>
                <w:kern w:val="2"/>
                <w:sz w:val="21"/>
                <w:szCs w:val="21"/>
                <w:highlight w:val="none"/>
                <w:lang w:val="en-US" w:eastAsia="zh-CN" w:bidi="ar-SA"/>
              </w:rPr>
              <w:t xml:space="preserve">  废气污染物排放口基本情况表</w:t>
            </w:r>
          </w:p>
          <w:tbl>
            <w:tblPr>
              <w:tblStyle w:val="28"/>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71"/>
              <w:gridCol w:w="2924"/>
              <w:gridCol w:w="1294"/>
              <w:gridCol w:w="1557"/>
              <w:gridCol w:w="1563"/>
              <w:gridCol w:w="1358"/>
              <w:gridCol w:w="1543"/>
              <w:gridCol w:w="1101"/>
              <w:gridCol w:w="14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8"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排放口编号</w:t>
                  </w:r>
                </w:p>
              </w:tc>
              <w:tc>
                <w:tcPr>
                  <w:tcW w:w="1044"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排放口名称</w:t>
                  </w:r>
                </w:p>
              </w:tc>
              <w:tc>
                <w:tcPr>
                  <w:tcW w:w="462"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污染物种类</w:t>
                  </w:r>
                </w:p>
              </w:tc>
              <w:tc>
                <w:tcPr>
                  <w:tcW w:w="1114"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排放口地理坐标</w:t>
                  </w:r>
                </w:p>
              </w:tc>
              <w:tc>
                <w:tcPr>
                  <w:tcW w:w="485"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排气筒高度（</w:t>
                  </w:r>
                  <w:r>
                    <w:rPr>
                      <w:rFonts w:hint="default" w:ascii="Times New Roman" w:hAnsi="Times New Roman" w:eastAsia="宋体" w:cs="Times New Roman"/>
                      <w:b/>
                      <w:bCs w:val="0"/>
                      <w:color w:val="auto"/>
                      <w:kern w:val="28"/>
                      <w:sz w:val="21"/>
                      <w:szCs w:val="21"/>
                      <w:highlight w:val="none"/>
                      <w:lang w:val="en-US"/>
                    </w:rPr>
                    <w:t>m</w:t>
                  </w:r>
                  <w:r>
                    <w:rPr>
                      <w:rFonts w:hint="default" w:ascii="Times New Roman" w:hAnsi="Times New Roman" w:eastAsia="宋体" w:cs="Times New Roman"/>
                      <w:b/>
                      <w:bCs w:val="0"/>
                      <w:color w:val="auto"/>
                      <w:kern w:val="28"/>
                      <w:sz w:val="21"/>
                      <w:szCs w:val="21"/>
                      <w:highlight w:val="none"/>
                    </w:rPr>
                    <w:t>）</w:t>
                  </w:r>
                </w:p>
              </w:tc>
              <w:tc>
                <w:tcPr>
                  <w:tcW w:w="551"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排气筒出口内径（</w:t>
                  </w:r>
                  <w:r>
                    <w:rPr>
                      <w:rFonts w:hint="default" w:ascii="Times New Roman" w:hAnsi="Times New Roman" w:eastAsia="宋体" w:cs="Times New Roman"/>
                      <w:b/>
                      <w:bCs w:val="0"/>
                      <w:color w:val="auto"/>
                      <w:kern w:val="28"/>
                      <w:sz w:val="21"/>
                      <w:szCs w:val="21"/>
                      <w:highlight w:val="none"/>
                      <w:lang w:val="en-US"/>
                    </w:rPr>
                    <w:t>m</w:t>
                  </w:r>
                  <w:r>
                    <w:rPr>
                      <w:rFonts w:hint="default" w:ascii="Times New Roman" w:hAnsi="Times New Roman" w:eastAsia="宋体" w:cs="Times New Roman"/>
                      <w:b/>
                      <w:bCs w:val="0"/>
                      <w:color w:val="auto"/>
                      <w:kern w:val="28"/>
                      <w:sz w:val="21"/>
                      <w:szCs w:val="21"/>
                      <w:highlight w:val="none"/>
                    </w:rPr>
                    <w:t>）</w:t>
                  </w:r>
                </w:p>
              </w:tc>
              <w:tc>
                <w:tcPr>
                  <w:tcW w:w="393"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bCs w:val="0"/>
                      <w:color w:val="auto"/>
                      <w:kern w:val="28"/>
                      <w:sz w:val="21"/>
                      <w:szCs w:val="21"/>
                      <w:highlight w:val="none"/>
                      <w:lang w:val="en-US"/>
                    </w:rPr>
                  </w:pPr>
                  <w:r>
                    <w:rPr>
                      <w:rFonts w:hint="default" w:ascii="Times New Roman" w:hAnsi="Times New Roman" w:eastAsia="宋体" w:cs="Times New Roman"/>
                      <w:b/>
                      <w:bCs w:val="0"/>
                      <w:color w:val="auto"/>
                      <w:kern w:val="28"/>
                      <w:sz w:val="21"/>
                      <w:szCs w:val="21"/>
                      <w:highlight w:val="none"/>
                    </w:rPr>
                    <w:t>排气温度（℃）</w:t>
                  </w:r>
                </w:p>
              </w:tc>
              <w:tc>
                <w:tcPr>
                  <w:tcW w:w="530"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Times New Roman" w:hAnsi="Times New Roman" w:eastAsia="宋体" w:cs="Times New Roman"/>
                      <w:b/>
                      <w:bCs w:val="0"/>
                      <w:color w:val="auto"/>
                      <w:kern w:val="28"/>
                      <w:sz w:val="21"/>
                      <w:szCs w:val="21"/>
                      <w:highlight w:val="none"/>
                      <w:lang w:val="en-US" w:eastAsia="zh-CN"/>
                    </w:rPr>
                  </w:pPr>
                  <w:r>
                    <w:rPr>
                      <w:rFonts w:hint="eastAsia" w:ascii="Times New Roman" w:hAnsi="Times New Roman" w:eastAsia="宋体" w:cs="Times New Roman"/>
                      <w:b/>
                      <w:bCs w:val="0"/>
                      <w:color w:val="auto"/>
                      <w:kern w:val="28"/>
                      <w:sz w:val="21"/>
                      <w:szCs w:val="21"/>
                      <w:highlight w:val="none"/>
                      <w:lang w:val="en-US" w:eastAsia="zh-CN"/>
                    </w:rPr>
                    <w:t>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8"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1044"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462"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55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经度</w:t>
                  </w:r>
                </w:p>
              </w:tc>
              <w:tc>
                <w:tcPr>
                  <w:tcW w:w="55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lang w:val="en-US"/>
                    </w:rPr>
                  </w:pPr>
                  <w:r>
                    <w:rPr>
                      <w:rFonts w:hint="default" w:ascii="Times New Roman" w:hAnsi="Times New Roman" w:eastAsia="宋体" w:cs="Times New Roman"/>
                      <w:b w:val="0"/>
                      <w:bCs/>
                      <w:color w:val="auto"/>
                      <w:kern w:val="28"/>
                      <w:sz w:val="21"/>
                      <w:szCs w:val="21"/>
                      <w:highlight w:val="none"/>
                    </w:rPr>
                    <w:t>纬度</w:t>
                  </w:r>
                </w:p>
              </w:tc>
              <w:tc>
                <w:tcPr>
                  <w:tcW w:w="485"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551"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393"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c>
                <w:tcPr>
                  <w:tcW w:w="530"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宋体" w:cs="Times New Roman"/>
                      <w:b w:val="0"/>
                      <w:bCs/>
                      <w:color w:val="auto"/>
                      <w:kern w:val="28"/>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DA001</w:t>
                  </w:r>
                </w:p>
              </w:tc>
              <w:tc>
                <w:tcPr>
                  <w:tcW w:w="104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给料、破碎废气排放口</w:t>
                  </w:r>
                </w:p>
              </w:tc>
              <w:tc>
                <w:tcPr>
                  <w:tcW w:w="4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55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112°50′25.31″</w:t>
                  </w:r>
                </w:p>
              </w:tc>
              <w:tc>
                <w:tcPr>
                  <w:tcW w:w="55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36°22′11.90″</w:t>
                  </w:r>
                </w:p>
              </w:tc>
              <w:tc>
                <w:tcPr>
                  <w:tcW w:w="48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55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0.35</w:t>
                  </w:r>
                </w:p>
              </w:tc>
              <w:tc>
                <w:tcPr>
                  <w:tcW w:w="39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53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DA002</w:t>
                  </w:r>
                </w:p>
              </w:tc>
              <w:tc>
                <w:tcPr>
                  <w:tcW w:w="10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筛分、</w:t>
                  </w:r>
                  <w:r>
                    <w:rPr>
                      <w:rFonts w:hint="eastAsia" w:cs="Times New Roman"/>
                      <w:b w:val="0"/>
                      <w:bCs w:val="0"/>
                      <w:color w:val="auto"/>
                      <w:kern w:val="2"/>
                      <w:sz w:val="21"/>
                      <w:szCs w:val="21"/>
                      <w:highlight w:val="none"/>
                      <w:u w:val="none"/>
                      <w:lang w:val="en-US" w:eastAsia="zh-CN" w:bidi="ar-SA"/>
                    </w:rPr>
                    <w:t>粉</w:t>
                  </w:r>
                  <w:r>
                    <w:rPr>
                      <w:rFonts w:hint="eastAsia" w:ascii="Times New Roman" w:hAnsi="Times New Roman" w:eastAsia="宋体" w:cs="Times New Roman"/>
                      <w:b w:val="0"/>
                      <w:bCs w:val="0"/>
                      <w:color w:val="auto"/>
                      <w:kern w:val="2"/>
                      <w:sz w:val="21"/>
                      <w:szCs w:val="21"/>
                      <w:highlight w:val="none"/>
                      <w:u w:val="none"/>
                      <w:lang w:val="en-US" w:eastAsia="zh-CN" w:bidi="ar-SA"/>
                    </w:rPr>
                    <w:t>磨</w:t>
                  </w:r>
                  <w:r>
                    <w:rPr>
                      <w:rFonts w:hint="eastAsia" w:cs="Times New Roman"/>
                      <w:b w:val="0"/>
                      <w:bCs w:val="0"/>
                      <w:color w:val="auto"/>
                      <w:kern w:val="2"/>
                      <w:sz w:val="21"/>
                      <w:szCs w:val="21"/>
                      <w:highlight w:val="none"/>
                      <w:u w:val="none"/>
                      <w:lang w:val="en-US" w:eastAsia="zh-CN" w:bidi="ar-SA"/>
                    </w:rPr>
                    <w:t>、粉料仓</w:t>
                  </w:r>
                  <w:r>
                    <w:rPr>
                      <w:rFonts w:hint="eastAsia" w:ascii="Times New Roman" w:hAnsi="Times New Roman" w:eastAsia="宋体" w:cs="Times New Roman"/>
                      <w:b w:val="0"/>
                      <w:bCs w:val="0"/>
                      <w:color w:val="auto"/>
                      <w:kern w:val="2"/>
                      <w:sz w:val="21"/>
                      <w:szCs w:val="21"/>
                      <w:highlight w:val="none"/>
                      <w:u w:val="none"/>
                      <w:lang w:val="en-US" w:eastAsia="zh-CN" w:bidi="ar-SA"/>
                    </w:rPr>
                    <w:t>废气排放口</w:t>
                  </w:r>
                </w:p>
              </w:tc>
              <w:tc>
                <w:tcPr>
                  <w:tcW w:w="4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55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112°50′26.25″</w:t>
                  </w:r>
                </w:p>
              </w:tc>
              <w:tc>
                <w:tcPr>
                  <w:tcW w:w="55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36°22′11.80″</w:t>
                  </w:r>
                </w:p>
              </w:tc>
              <w:tc>
                <w:tcPr>
                  <w:tcW w:w="48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55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0.35</w:t>
                  </w:r>
                </w:p>
              </w:tc>
              <w:tc>
                <w:tcPr>
                  <w:tcW w:w="39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53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cs="Times New Roman"/>
                      <w:b w:val="0"/>
                      <w:bCs w:val="0"/>
                      <w:color w:val="auto"/>
                      <w:kern w:val="2"/>
                      <w:sz w:val="21"/>
                      <w:szCs w:val="21"/>
                      <w:highlight w:val="none"/>
                      <w:u w:val="none"/>
                      <w:lang w:val="en-US" w:eastAsia="zh-CN" w:bidi="ar-SA"/>
                    </w:rPr>
                    <w:t>DA00</w:t>
                  </w:r>
                  <w:r>
                    <w:rPr>
                      <w:rFonts w:hint="eastAsia" w:cs="Times New Roman"/>
                      <w:b w:val="0"/>
                      <w:bCs w:val="0"/>
                      <w:color w:val="auto"/>
                      <w:kern w:val="2"/>
                      <w:sz w:val="21"/>
                      <w:szCs w:val="21"/>
                      <w:highlight w:val="none"/>
                      <w:u w:val="none"/>
                      <w:lang w:val="en-US" w:eastAsia="zh-CN" w:bidi="ar-SA"/>
                    </w:rPr>
                    <w:t>3</w:t>
                  </w:r>
                </w:p>
              </w:tc>
              <w:tc>
                <w:tcPr>
                  <w:tcW w:w="104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发酵废气排放口</w:t>
                  </w:r>
                </w:p>
              </w:tc>
              <w:tc>
                <w:tcPr>
                  <w:tcW w:w="4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color w:val="auto"/>
                      <w:sz w:val="21"/>
                      <w:szCs w:val="21"/>
                    </w:rPr>
                    <w:t>NH</w:t>
                  </w:r>
                  <w:r>
                    <w:rPr>
                      <w:color w:val="auto"/>
                      <w:sz w:val="21"/>
                      <w:szCs w:val="21"/>
                      <w:vertAlign w:val="subscript"/>
                    </w:rPr>
                    <w:t>3</w:t>
                  </w:r>
                  <w:r>
                    <w:rPr>
                      <w:rFonts w:hint="eastAsia"/>
                      <w:color w:val="auto"/>
                      <w:sz w:val="21"/>
                      <w:szCs w:val="21"/>
                      <w:vertAlign w:val="baseline"/>
                      <w:lang w:eastAsia="zh-CN"/>
                    </w:rPr>
                    <w:t>、</w:t>
                  </w:r>
                  <w:r>
                    <w:rPr>
                      <w:color w:val="auto"/>
                      <w:sz w:val="21"/>
                      <w:szCs w:val="21"/>
                    </w:rPr>
                    <w:t>H</w:t>
                  </w:r>
                  <w:r>
                    <w:rPr>
                      <w:color w:val="auto"/>
                      <w:sz w:val="21"/>
                      <w:szCs w:val="21"/>
                      <w:vertAlign w:val="subscript"/>
                    </w:rPr>
                    <w:t>2</w:t>
                  </w:r>
                  <w:r>
                    <w:rPr>
                      <w:color w:val="auto"/>
                      <w:sz w:val="21"/>
                      <w:szCs w:val="21"/>
                    </w:rPr>
                    <w:t>S</w:t>
                  </w:r>
                </w:p>
              </w:tc>
              <w:tc>
                <w:tcPr>
                  <w:tcW w:w="556"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112°50′25.44″</w:t>
                  </w:r>
                </w:p>
              </w:tc>
              <w:tc>
                <w:tcPr>
                  <w:tcW w:w="55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36°22′14.04″</w:t>
                  </w:r>
                </w:p>
              </w:tc>
              <w:tc>
                <w:tcPr>
                  <w:tcW w:w="4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5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0.35</w:t>
                  </w:r>
                </w:p>
              </w:tc>
              <w:tc>
                <w:tcPr>
                  <w:tcW w:w="39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53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41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DA004</w:t>
                  </w:r>
                </w:p>
              </w:tc>
              <w:tc>
                <w:tcPr>
                  <w:tcW w:w="104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造粒、筛分、包装废气排放口</w:t>
                  </w:r>
                </w:p>
              </w:tc>
              <w:tc>
                <w:tcPr>
                  <w:tcW w:w="46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5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112°50′25.00″</w:t>
                  </w:r>
                </w:p>
              </w:tc>
              <w:tc>
                <w:tcPr>
                  <w:tcW w:w="557"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default" w:ascii="Times New Roman" w:hAnsi="Times New Roman" w:eastAsia="宋体" w:cs="Times New Roman"/>
                      <w:b w:val="0"/>
                      <w:bCs/>
                      <w:color w:val="auto"/>
                      <w:kern w:val="28"/>
                      <w:sz w:val="21"/>
                      <w:szCs w:val="21"/>
                      <w:highlight w:val="none"/>
                      <w:lang w:val="en-US" w:eastAsia="zh-CN" w:bidi="ar-SA"/>
                    </w:rPr>
                    <w:t>36°22′13.87″</w:t>
                  </w:r>
                </w:p>
              </w:tc>
              <w:tc>
                <w:tcPr>
                  <w:tcW w:w="485"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20</w:t>
                  </w:r>
                </w:p>
              </w:tc>
              <w:tc>
                <w:tcPr>
                  <w:tcW w:w="551"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宋体" w:cs="Times New Roman"/>
                      <w:b w:val="0"/>
                      <w:bCs/>
                      <w:color w:val="auto"/>
                      <w:kern w:val="28"/>
                      <w:sz w:val="21"/>
                      <w:szCs w:val="21"/>
                      <w:highlight w:val="none"/>
                      <w:lang w:val="en-US" w:eastAsia="zh-CN" w:bidi="ar-SA"/>
                    </w:rPr>
                  </w:pPr>
                  <w:r>
                    <w:rPr>
                      <w:rFonts w:hint="eastAsia" w:cs="Times New Roman"/>
                      <w:b w:val="0"/>
                      <w:bCs/>
                      <w:color w:val="auto"/>
                      <w:kern w:val="28"/>
                      <w:sz w:val="21"/>
                      <w:szCs w:val="21"/>
                      <w:highlight w:val="none"/>
                      <w:lang w:val="en-US" w:eastAsia="zh-CN" w:bidi="ar-SA"/>
                    </w:rPr>
                    <w:t>0.35</w:t>
                  </w:r>
                </w:p>
              </w:tc>
              <w:tc>
                <w:tcPr>
                  <w:tcW w:w="393"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常温</w:t>
                  </w:r>
                </w:p>
              </w:tc>
              <w:tc>
                <w:tcPr>
                  <w:tcW w:w="530" w:type="pc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Times New Roman" w:hAnsi="Times New Roman" w:eastAsia="宋体" w:cs="Times New Roman"/>
                      <w:b w:val="0"/>
                      <w:bCs/>
                      <w:color w:val="auto"/>
                      <w:kern w:val="28"/>
                      <w:sz w:val="21"/>
                      <w:szCs w:val="21"/>
                      <w:highlight w:val="none"/>
                      <w:lang w:val="en-US" w:eastAsia="zh-CN" w:bidi="ar-SA"/>
                    </w:rPr>
                  </w:pPr>
                  <w:r>
                    <w:rPr>
                      <w:rFonts w:hint="eastAsia" w:ascii="Times New Roman" w:hAnsi="Times New Roman" w:eastAsia="宋体" w:cs="Times New Roman"/>
                      <w:b w:val="0"/>
                      <w:bCs/>
                      <w:color w:val="auto"/>
                      <w:kern w:val="28"/>
                      <w:sz w:val="21"/>
                      <w:szCs w:val="21"/>
                      <w:highlight w:val="none"/>
                      <w:lang w:val="en-US" w:eastAsia="zh-CN" w:bidi="ar-SA"/>
                    </w:rPr>
                    <w:t>一般排放口</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auto"/>
              <w:rPr>
                <w:rFonts w:hint="eastAsia" w:ascii="Times New Roman" w:hAnsi="Times New Roman" w:eastAsia="宋体" w:cs="Times New Roman"/>
                <w:b/>
                <w:bCs w:val="0"/>
                <w:color w:val="auto"/>
                <w:spacing w:val="0"/>
                <w:sz w:val="24"/>
                <w:szCs w:val="24"/>
                <w:highlight w:val="none"/>
                <w:lang w:val="en-US" w:eastAsia="zh-CN"/>
              </w:rPr>
            </w:pPr>
            <w:r>
              <w:rPr>
                <w:rFonts w:hint="eastAsia" w:ascii="Times New Roman" w:hAnsi="Times New Roman" w:eastAsia="宋体" w:cs="Times New Roman"/>
                <w:b/>
                <w:bCs w:val="0"/>
                <w:color w:val="auto"/>
                <w:spacing w:val="0"/>
                <w:sz w:val="24"/>
                <w:szCs w:val="24"/>
                <w:highlight w:val="none"/>
                <w:lang w:val="en-US" w:eastAsia="zh-CN"/>
              </w:rPr>
              <w:t>3.非正常工况排放情况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b w:val="0"/>
                <w:bCs/>
                <w:color w:val="auto"/>
                <w:spacing w:val="0"/>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lang w:val="en-US" w:eastAsia="zh-CN"/>
              </w:rPr>
              <w:t>非正常排放是指生产过程中开停车、设备检修、工艺设备运转异常等非正常工况下的污染物排放，以及污染物排放控制措施达不到应有效率等情况下的排放。本</w:t>
            </w:r>
            <w:r>
              <w:rPr>
                <w:rFonts w:hint="eastAsia" w:ascii="Times New Roman" w:hAnsi="Times New Roman" w:eastAsia="宋体" w:cs="Times New Roman"/>
                <w:b w:val="0"/>
                <w:bCs/>
                <w:color w:val="auto"/>
                <w:spacing w:val="0"/>
                <w:sz w:val="24"/>
                <w:szCs w:val="24"/>
                <w:highlight w:val="none"/>
                <w:lang w:val="en-US" w:eastAsia="zh-CN"/>
              </w:rPr>
              <w:t>项目</w:t>
            </w:r>
            <w:r>
              <w:rPr>
                <w:rFonts w:hint="default" w:ascii="Times New Roman" w:hAnsi="Times New Roman" w:eastAsia="宋体" w:cs="Times New Roman"/>
                <w:b w:val="0"/>
                <w:bCs/>
                <w:color w:val="auto"/>
                <w:spacing w:val="0"/>
                <w:sz w:val="24"/>
                <w:szCs w:val="24"/>
                <w:highlight w:val="none"/>
                <w:lang w:val="en-US" w:eastAsia="zh-CN"/>
              </w:rPr>
              <w:t>非正常情况排放主要为废气处理设施故障，具体详见表</w:t>
            </w:r>
            <w:r>
              <w:rPr>
                <w:rFonts w:hint="eastAsia" w:ascii="Times New Roman" w:hAnsi="Times New Roman" w:eastAsia="宋体" w:cs="Times New Roman"/>
                <w:b w:val="0"/>
                <w:bCs/>
                <w:color w:val="auto"/>
                <w:spacing w:val="0"/>
                <w:sz w:val="24"/>
                <w:szCs w:val="24"/>
                <w:highlight w:val="none"/>
                <w:lang w:val="en-US" w:eastAsia="zh-CN"/>
              </w:rPr>
              <w:t>4-7。</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w:t>
            </w:r>
            <w:r>
              <w:rPr>
                <w:rFonts w:hint="eastAsia" w:ascii="Times New Roman" w:hAnsi="Times New Roman" w:eastAsia="宋体" w:cs="Times New Roman"/>
                <w:b/>
                <w:bCs/>
                <w:color w:val="auto"/>
                <w:kern w:val="2"/>
                <w:sz w:val="21"/>
                <w:szCs w:val="21"/>
                <w:highlight w:val="none"/>
                <w:lang w:val="en-US" w:eastAsia="zh-CN" w:bidi="ar-SA"/>
              </w:rPr>
              <w:t>4</w:t>
            </w:r>
            <w:r>
              <w:rPr>
                <w:rFonts w:hint="eastAsia" w:cs="Times New Roman"/>
                <w:b/>
                <w:bCs/>
                <w:color w:val="auto"/>
                <w:kern w:val="2"/>
                <w:sz w:val="21"/>
                <w:szCs w:val="21"/>
                <w:highlight w:val="none"/>
                <w:lang w:val="en-US" w:eastAsia="zh-CN" w:bidi="ar-SA"/>
              </w:rPr>
              <w:t>-7</w:t>
            </w:r>
            <w:r>
              <w:rPr>
                <w:rFonts w:hint="eastAsia" w:ascii="Times New Roman" w:hAnsi="Times New Roman"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 xml:space="preserve"> 废气污染物非正常排放量核算表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62"/>
              <w:gridCol w:w="2228"/>
              <w:gridCol w:w="1530"/>
              <w:gridCol w:w="2012"/>
              <w:gridCol w:w="1780"/>
              <w:gridCol w:w="1682"/>
              <w:gridCol w:w="1334"/>
              <w:gridCol w:w="1152"/>
              <w:gridCol w:w="1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序号</w:t>
                  </w:r>
                </w:p>
              </w:tc>
              <w:tc>
                <w:tcPr>
                  <w:tcW w:w="7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污染源</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污染物种类</w:t>
                  </w:r>
                </w:p>
              </w:tc>
              <w:tc>
                <w:tcPr>
                  <w:tcW w:w="7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非正常排放原因</w:t>
                  </w:r>
                </w:p>
              </w:tc>
              <w:tc>
                <w:tcPr>
                  <w:tcW w:w="6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非正常排放浓度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mg/m</w:t>
                  </w:r>
                  <w:r>
                    <w:rPr>
                      <w:rFonts w:ascii="Times New Roman" w:hAnsi="Times New Roman" w:eastAsia="宋体" w:cs="Times New Roman"/>
                      <w:b/>
                      <w:bCs/>
                      <w:color w:val="auto"/>
                      <w:kern w:val="2"/>
                      <w:sz w:val="21"/>
                      <w:szCs w:val="21"/>
                      <w:highlight w:val="none"/>
                      <w:vertAlign w:val="superscript"/>
                      <w:lang w:val="en-US" w:eastAsia="zh-CN" w:bidi="ar-SA"/>
                    </w:rPr>
                    <w:t>3</w:t>
                  </w:r>
                </w:p>
              </w:tc>
              <w:tc>
                <w:tcPr>
                  <w:tcW w:w="600" w:type="pct"/>
                  <w:tcBorders>
                    <w:tl2br w:val="nil"/>
                    <w:tr2bl w:val="nil"/>
                  </w:tcBorders>
                  <w:vAlign w:val="center"/>
                </w:tcPr>
                <w:p>
                  <w:pPr>
                    <w:pStyle w:val="22"/>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非正常排放速率kg/h</w:t>
                  </w:r>
                </w:p>
              </w:tc>
              <w:tc>
                <w:tcPr>
                  <w:tcW w:w="476" w:type="pct"/>
                  <w:tcBorders>
                    <w:tl2br w:val="nil"/>
                    <w:tr2bl w:val="nil"/>
                  </w:tcBorders>
                  <w:vAlign w:val="center"/>
                </w:tcPr>
                <w:p>
                  <w:pPr>
                    <w:pStyle w:val="22"/>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单次持续时间h</w:t>
                  </w:r>
                </w:p>
              </w:tc>
              <w:tc>
                <w:tcPr>
                  <w:tcW w:w="411" w:type="pct"/>
                  <w:tcBorders>
                    <w:tl2br w:val="nil"/>
                    <w:tr2bl w:val="nil"/>
                  </w:tcBorders>
                  <w:vAlign w:val="center"/>
                </w:tcPr>
                <w:p>
                  <w:pPr>
                    <w:pStyle w:val="22"/>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年发生频次</w:t>
                  </w:r>
                </w:p>
                <w:p>
                  <w:pPr>
                    <w:pStyle w:val="22"/>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次</w:t>
                  </w:r>
                </w:p>
              </w:tc>
              <w:tc>
                <w:tcPr>
                  <w:tcW w:w="541" w:type="pct"/>
                  <w:tcBorders>
                    <w:tl2br w:val="nil"/>
                    <w:tr2bl w:val="nil"/>
                  </w:tcBorders>
                  <w:vAlign w:val="center"/>
                </w:tcPr>
                <w:p>
                  <w:pPr>
                    <w:pStyle w:val="22"/>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 w:hRule="atLeast"/>
                <w:jc w:val="center"/>
              </w:trPr>
              <w:tc>
                <w:tcPr>
                  <w:tcW w:w="2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79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给料废气</w:t>
                  </w:r>
                </w:p>
              </w:tc>
              <w:tc>
                <w:tcPr>
                  <w:tcW w:w="54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废气处理设施故障</w:t>
                  </w:r>
                </w:p>
              </w:tc>
              <w:tc>
                <w:tcPr>
                  <w:tcW w:w="635"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5439</w:t>
                  </w:r>
                </w:p>
              </w:tc>
              <w:tc>
                <w:tcPr>
                  <w:tcW w:w="600"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103.125</w:t>
                  </w:r>
                </w:p>
              </w:tc>
              <w:tc>
                <w:tcPr>
                  <w:tcW w:w="47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立即停止生产，及时检修，故障解决后，恢复生产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0" w:hRule="atLeast"/>
                <w:jc w:val="center"/>
              </w:trPr>
              <w:tc>
                <w:tcPr>
                  <w:tcW w:w="2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p>
              </w:tc>
              <w:tc>
                <w:tcPr>
                  <w:tcW w:w="79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破碎</w:t>
                  </w:r>
                  <w:r>
                    <w:rPr>
                      <w:rFonts w:hint="default" w:ascii="Times New Roman" w:hAnsi="Times New Roman" w:cs="Times New Roman"/>
                      <w:color w:val="auto"/>
                      <w:kern w:val="2"/>
                      <w:sz w:val="21"/>
                      <w:szCs w:val="21"/>
                      <w:highlight w:val="none"/>
                      <w:lang w:val="en-US" w:eastAsia="zh-CN" w:bidi="ar-SA"/>
                    </w:rPr>
                    <w:t>废气</w:t>
                  </w:r>
                </w:p>
              </w:tc>
              <w:tc>
                <w:tcPr>
                  <w:tcW w:w="54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7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635"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600"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47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79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筛分废气</w:t>
                  </w:r>
                </w:p>
              </w:tc>
              <w:tc>
                <w:tcPr>
                  <w:tcW w:w="54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635" w:type="pct"/>
                  <w:vMerge w:val="restart"/>
                  <w:tcBorders>
                    <w:tl2br w:val="nil"/>
                    <w:tr2bl w:val="nil"/>
                  </w:tcBorders>
                  <w:vAlign w:val="center"/>
                </w:tcPr>
                <w:p>
                  <w:pPr>
                    <w:keepNext w:val="0"/>
                    <w:keepLines w:val="0"/>
                    <w:pageBreakBefore w:val="0"/>
                    <w:widowControl/>
                    <w:suppressLineNumbers w:val="0"/>
                    <w:kinsoku/>
                    <w:overflowPunct/>
                    <w:topLinePunct w:val="0"/>
                    <w:autoSpaceDE/>
                    <w:autoSpaceDN/>
                    <w:bidi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6392</w:t>
                  </w:r>
                </w:p>
              </w:tc>
              <w:tc>
                <w:tcPr>
                  <w:tcW w:w="600"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137.5</w:t>
                  </w:r>
                </w:p>
              </w:tc>
              <w:tc>
                <w:tcPr>
                  <w:tcW w:w="47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79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cs="Times New Roman"/>
                      <w:b w:val="0"/>
                      <w:bCs w:val="0"/>
                      <w:color w:val="auto"/>
                      <w:kern w:val="2"/>
                      <w:sz w:val="21"/>
                      <w:szCs w:val="21"/>
                      <w:highlight w:val="none"/>
                      <w:u w:val="none"/>
                      <w:lang w:val="en-US" w:eastAsia="zh-CN" w:bidi="ar-SA"/>
                    </w:rPr>
                    <w:t>粉</w:t>
                  </w:r>
                  <w:r>
                    <w:rPr>
                      <w:rFonts w:hint="eastAsia" w:ascii="Times New Roman" w:hAnsi="Times New Roman" w:eastAsia="宋体" w:cs="Times New Roman"/>
                      <w:b w:val="0"/>
                      <w:bCs w:val="0"/>
                      <w:color w:val="auto"/>
                      <w:kern w:val="2"/>
                      <w:sz w:val="21"/>
                      <w:szCs w:val="21"/>
                      <w:highlight w:val="none"/>
                      <w:u w:val="none"/>
                      <w:lang w:val="en-US" w:eastAsia="zh-CN" w:bidi="ar-SA"/>
                    </w:rPr>
                    <w:t>磨</w:t>
                  </w:r>
                  <w:r>
                    <w:rPr>
                      <w:rFonts w:hint="eastAsia" w:ascii="Times New Roman" w:hAnsi="Times New Roman" w:cs="Times New Roman"/>
                      <w:color w:val="auto"/>
                      <w:kern w:val="2"/>
                      <w:sz w:val="21"/>
                      <w:szCs w:val="21"/>
                      <w:highlight w:val="none"/>
                      <w:lang w:val="en-US" w:eastAsia="zh-CN" w:bidi="ar-SA"/>
                    </w:rPr>
                    <w:t>废气</w:t>
                  </w:r>
                </w:p>
              </w:tc>
              <w:tc>
                <w:tcPr>
                  <w:tcW w:w="54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7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6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60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47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7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79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cs="Times New Roman"/>
                      <w:b w:val="0"/>
                      <w:bCs w:val="0"/>
                      <w:color w:val="auto"/>
                      <w:kern w:val="2"/>
                      <w:sz w:val="21"/>
                      <w:szCs w:val="21"/>
                      <w:highlight w:val="none"/>
                      <w:u w:val="none"/>
                      <w:lang w:val="en-US" w:eastAsia="zh-CN" w:bidi="ar-SA"/>
                    </w:rPr>
                  </w:pPr>
                  <w:r>
                    <w:rPr>
                      <w:rFonts w:hint="eastAsia" w:cs="Times New Roman"/>
                      <w:b w:val="0"/>
                      <w:bCs w:val="0"/>
                      <w:color w:val="auto"/>
                      <w:kern w:val="2"/>
                      <w:sz w:val="21"/>
                      <w:szCs w:val="21"/>
                      <w:highlight w:val="none"/>
                      <w:u w:val="none"/>
                      <w:lang w:val="en-US" w:eastAsia="zh-CN" w:bidi="ar-SA"/>
                    </w:rPr>
                    <w:t>粉料仓废气</w:t>
                  </w:r>
                </w:p>
              </w:tc>
              <w:tc>
                <w:tcPr>
                  <w:tcW w:w="54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7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6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6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eastAsia"/>
                      <w:color w:val="auto"/>
                      <w:sz w:val="21"/>
                      <w:szCs w:val="18"/>
                      <w:lang w:val="en-US" w:eastAsia="zh-CN"/>
                    </w:rPr>
                    <w:t>31.25</w:t>
                  </w:r>
                </w:p>
              </w:tc>
              <w:tc>
                <w:tcPr>
                  <w:tcW w:w="47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795"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发酵</w:t>
                  </w:r>
                  <w:r>
                    <w:rPr>
                      <w:rFonts w:hint="default" w:ascii="Times New Roman" w:hAnsi="Times New Roman" w:cs="Times New Roman"/>
                      <w:color w:val="auto"/>
                      <w:sz w:val="21"/>
                      <w:szCs w:val="21"/>
                      <w:highlight w:val="none"/>
                      <w:lang w:val="en-US" w:eastAsia="zh-CN"/>
                    </w:rPr>
                    <w:t>废气</w:t>
                  </w:r>
                </w:p>
              </w:tc>
              <w:tc>
                <w:tcPr>
                  <w:tcW w:w="54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rPr>
                    <w:t>NH</w:t>
                  </w:r>
                  <w:r>
                    <w:rPr>
                      <w:color w:val="auto"/>
                      <w:sz w:val="21"/>
                      <w:szCs w:val="21"/>
                      <w:vertAlign w:val="subscript"/>
                    </w:rPr>
                    <w:t>3</w:t>
                  </w:r>
                  <w:r>
                    <w:rPr>
                      <w:rFonts w:hint="eastAsia"/>
                      <w:color w:val="auto"/>
                      <w:sz w:val="21"/>
                      <w:szCs w:val="21"/>
                      <w:vertAlign w:val="baseline"/>
                      <w:lang w:eastAsia="zh-CN"/>
                    </w:rPr>
                    <w:t>、</w:t>
                  </w:r>
                  <w:r>
                    <w:rPr>
                      <w:color w:val="auto"/>
                      <w:sz w:val="21"/>
                      <w:szCs w:val="21"/>
                    </w:rPr>
                    <w:t>H</w:t>
                  </w:r>
                  <w:r>
                    <w:rPr>
                      <w:color w:val="auto"/>
                      <w:sz w:val="21"/>
                      <w:szCs w:val="21"/>
                      <w:vertAlign w:val="subscript"/>
                    </w:rPr>
                    <w:t>2</w:t>
                  </w:r>
                  <w:r>
                    <w:rPr>
                      <w:color w:val="auto"/>
                      <w:sz w:val="21"/>
                      <w:szCs w:val="21"/>
                    </w:rPr>
                    <w:t>S</w:t>
                  </w:r>
                </w:p>
              </w:tc>
              <w:tc>
                <w:tcPr>
                  <w:tcW w:w="7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63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2.54</w:t>
                  </w:r>
                </w:p>
              </w:tc>
              <w:tc>
                <w:tcPr>
                  <w:tcW w:w="60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vertAlign w:val="baseline"/>
                      <w:lang w:val="en-US" w:eastAsia="zh-CN"/>
                    </w:rPr>
                    <w:t>0.457</w:t>
                  </w:r>
                </w:p>
              </w:tc>
              <w:tc>
                <w:tcPr>
                  <w:tcW w:w="47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272"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rPr>
                  </w:pPr>
                </w:p>
              </w:tc>
              <w:tc>
                <w:tcPr>
                  <w:tcW w:w="795"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rPr>
                  </w:pPr>
                </w:p>
              </w:tc>
              <w:tc>
                <w:tcPr>
                  <w:tcW w:w="546"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rPr>
                  </w:pPr>
                </w:p>
              </w:tc>
              <w:tc>
                <w:tcPr>
                  <w:tcW w:w="718"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color w:val="auto"/>
                    </w:rPr>
                  </w:pPr>
                </w:p>
              </w:tc>
              <w:tc>
                <w:tcPr>
                  <w:tcW w:w="63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0.506</w:t>
                  </w:r>
                </w:p>
              </w:tc>
              <w:tc>
                <w:tcPr>
                  <w:tcW w:w="60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0.091</w:t>
                  </w:r>
                </w:p>
              </w:tc>
              <w:tc>
                <w:tcPr>
                  <w:tcW w:w="476"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411"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541" w:type="pct"/>
                  <w:vMerge w:val="continue"/>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272"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79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造粒</w:t>
                  </w:r>
                  <w:r>
                    <w:rPr>
                      <w:rFonts w:hint="default" w:ascii="Times New Roman" w:hAnsi="Times New Roman" w:cs="Times New Roman"/>
                      <w:color w:val="auto"/>
                      <w:sz w:val="21"/>
                      <w:szCs w:val="21"/>
                      <w:highlight w:val="none"/>
                      <w:lang w:val="en-US" w:eastAsia="zh-CN"/>
                    </w:rPr>
                    <w:t>废气</w:t>
                  </w:r>
                </w:p>
              </w:tc>
              <w:tc>
                <w:tcPr>
                  <w:tcW w:w="54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7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635" w:type="pct"/>
                  <w:vMerge w:val="restar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5247</w:t>
                  </w:r>
                </w:p>
              </w:tc>
              <w:tc>
                <w:tcPr>
                  <w:tcW w:w="60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107.9</w:t>
                  </w:r>
                </w:p>
              </w:tc>
              <w:tc>
                <w:tcPr>
                  <w:tcW w:w="47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41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27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p>
              </w:tc>
              <w:tc>
                <w:tcPr>
                  <w:tcW w:w="79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筛分废气</w:t>
                  </w:r>
                </w:p>
              </w:tc>
              <w:tc>
                <w:tcPr>
                  <w:tcW w:w="54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7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6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60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olor w:val="auto"/>
                      <w:sz w:val="21"/>
                      <w:szCs w:val="21"/>
                      <w:lang w:val="en-US" w:eastAsia="zh-CN"/>
                    </w:rPr>
                    <w:t>34.375</w:t>
                  </w:r>
                </w:p>
              </w:tc>
              <w:tc>
                <w:tcPr>
                  <w:tcW w:w="47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272"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795"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袋装废气</w:t>
                  </w:r>
                </w:p>
              </w:tc>
              <w:tc>
                <w:tcPr>
                  <w:tcW w:w="54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7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63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600" w:type="pct"/>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39.06</w:t>
                  </w:r>
                </w:p>
              </w:tc>
              <w:tc>
                <w:tcPr>
                  <w:tcW w:w="47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41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both"/>
              <w:textAlignment w:val="auto"/>
              <w:rPr>
                <w:rFonts w:hint="default" w:ascii="Times New Roman" w:hAnsi="Times New Roman" w:eastAsia="宋体" w:cs="Times New Roman"/>
                <w:b w:val="0"/>
                <w:bCs/>
                <w:color w:val="auto"/>
                <w:spacing w:val="-10"/>
                <w:sz w:val="24"/>
                <w:szCs w:val="24"/>
                <w:highlight w:val="none"/>
                <w:vertAlign w:val="baseline"/>
                <w:lang w:val="en-US" w:eastAsia="zh-CN"/>
              </w:rPr>
            </w:pPr>
          </w:p>
        </w:tc>
      </w:tr>
    </w:tbl>
    <w:p>
      <w:pPr>
        <w:pStyle w:val="38"/>
        <w:sectPr>
          <w:pgSz w:w="16838" w:h="11906" w:orient="landscape"/>
          <w:pgMar w:top="1531" w:right="1701" w:bottom="1531" w:left="1701" w:header="1134" w:footer="992" w:gutter="0"/>
          <w:pgBorders>
            <w:top w:val="none" w:sz="0" w:space="0"/>
            <w:left w:val="none" w:sz="0" w:space="0"/>
            <w:bottom w:val="none" w:sz="0" w:space="0"/>
            <w:right w:val="none" w:sz="0" w:space="0"/>
          </w:pgBorders>
          <w:cols w:space="425" w:num="1"/>
          <w:docGrid w:type="lines" w:linePitch="312" w:charSpace="0"/>
        </w:sectPr>
      </w:pPr>
    </w:p>
    <w:tbl>
      <w:tblPr>
        <w:tblStyle w:val="29"/>
        <w:tblW w:w="92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85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tcBorders>
              <w:tl2br w:val="nil"/>
              <w:tr2bl w:val="nil"/>
            </w:tcBorders>
            <w:vAlign w:val="center"/>
          </w:tcPr>
          <w:p>
            <w:pPr>
              <w:adjustRightInd w:val="0"/>
              <w:snapToGrid w:val="0"/>
              <w:jc w:val="center"/>
              <w:rPr>
                <w:rFonts w:hint="default"/>
                <w:b w:val="0"/>
                <w:bCs/>
                <w:color w:val="auto"/>
                <w:sz w:val="24"/>
                <w:szCs w:val="24"/>
                <w:highlight w:val="none"/>
                <w:vertAlign w:val="baseline"/>
              </w:rPr>
            </w:pPr>
            <w:r>
              <w:rPr>
                <w:rFonts w:hint="default" w:ascii="Times New Roman" w:hAnsi="Times New Roman" w:eastAsia="宋体" w:cs="Times New Roman"/>
                <w:b w:val="0"/>
                <w:bCs/>
                <w:color w:val="auto"/>
                <w:sz w:val="24"/>
                <w:szCs w:val="24"/>
                <w:highlight w:val="none"/>
              </w:rPr>
              <w:t>运营期环境影响和保护</w:t>
            </w:r>
            <w:r>
              <w:rPr>
                <w:rFonts w:hint="default" w:ascii="Times New Roman" w:hAnsi="Times New Roman" w:eastAsia="宋体" w:cs="Times New Roman"/>
                <w:b w:val="0"/>
                <w:bCs/>
                <w:color w:val="auto"/>
                <w:sz w:val="24"/>
                <w:szCs w:val="24"/>
                <w:highlight w:val="none"/>
                <w:lang w:val="en-US" w:eastAsia="zh-CN"/>
              </w:rPr>
              <w:t>措施</w:t>
            </w:r>
          </w:p>
        </w:tc>
        <w:tc>
          <w:tcPr>
            <w:tcW w:w="85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4.大气环境影响分析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本项目运营期产生的废气污染物为颗粒物</w:t>
            </w:r>
            <w:r>
              <w:rPr>
                <w:rFonts w:hint="eastAsia" w:cs="Times New Roman"/>
                <w:b w:val="0"/>
                <w:bCs/>
                <w:color w:val="auto"/>
                <w:sz w:val="24"/>
                <w:szCs w:val="24"/>
                <w:highlight w:val="none"/>
                <w:lang w:val="en-US" w:eastAsia="zh-CN"/>
              </w:rPr>
              <w:t>、</w:t>
            </w:r>
            <w:r>
              <w:rPr>
                <w:color w:val="auto"/>
                <w:sz w:val="24"/>
                <w:szCs w:val="24"/>
              </w:rPr>
              <w:t>NH</w:t>
            </w:r>
            <w:r>
              <w:rPr>
                <w:color w:val="auto"/>
                <w:sz w:val="24"/>
                <w:szCs w:val="24"/>
                <w:vertAlign w:val="subscript"/>
              </w:rPr>
              <w:t>3</w:t>
            </w:r>
            <w:r>
              <w:rPr>
                <w:rFonts w:hint="eastAsia"/>
                <w:color w:val="auto"/>
                <w:sz w:val="24"/>
                <w:szCs w:val="24"/>
                <w:vertAlign w:val="baseline"/>
                <w:lang w:eastAsia="zh-CN"/>
              </w:rPr>
              <w:t>、</w:t>
            </w:r>
            <w:r>
              <w:rPr>
                <w:color w:val="auto"/>
                <w:sz w:val="24"/>
                <w:szCs w:val="24"/>
              </w:rPr>
              <w:t>H</w:t>
            </w:r>
            <w:r>
              <w:rPr>
                <w:color w:val="auto"/>
                <w:sz w:val="24"/>
                <w:szCs w:val="24"/>
                <w:vertAlign w:val="subscript"/>
              </w:rPr>
              <w:t>2</w:t>
            </w:r>
            <w:r>
              <w:rPr>
                <w:color w:val="auto"/>
                <w:sz w:val="24"/>
                <w:szCs w:val="24"/>
              </w:rPr>
              <w:t>S</w:t>
            </w:r>
            <w:r>
              <w:rPr>
                <w:rFonts w:hint="eastAsia" w:ascii="Times New Roman" w:hAnsi="Times New Roman" w:eastAsia="宋体" w:cs="Times New Roman"/>
                <w:b w:val="0"/>
                <w:bCs/>
                <w:color w:val="auto"/>
                <w:sz w:val="24"/>
                <w:szCs w:val="24"/>
                <w:highlight w:val="none"/>
                <w:lang w:val="en-US" w:eastAsia="zh-CN"/>
              </w:rPr>
              <w:t>，根据现场勘察，项目厂界外500m范围内环境保护目标为</w:t>
            </w:r>
            <w:r>
              <w:rPr>
                <w:rFonts w:hint="eastAsia" w:cs="Times New Roman"/>
                <w:b w:val="0"/>
                <w:bCs/>
                <w:color w:val="auto"/>
                <w:sz w:val="24"/>
                <w:szCs w:val="24"/>
                <w:highlight w:val="none"/>
                <w:lang w:val="en-US" w:eastAsia="zh-CN"/>
              </w:rPr>
              <w:t>西</w:t>
            </w:r>
            <w:r>
              <w:rPr>
                <w:rFonts w:hint="eastAsia" w:ascii="Times New Roman" w:hAnsi="Times New Roman" w:eastAsia="宋体" w:cs="Times New Roman"/>
                <w:b w:val="0"/>
                <w:bCs/>
                <w:color w:val="auto"/>
                <w:sz w:val="24"/>
                <w:szCs w:val="24"/>
                <w:highlight w:val="none"/>
                <w:lang w:val="en-US" w:eastAsia="zh-CN"/>
              </w:rPr>
              <w:t>侧</w:t>
            </w:r>
            <w:r>
              <w:rPr>
                <w:rFonts w:hint="eastAsia" w:cs="Times New Roman"/>
                <w:b w:val="0"/>
                <w:bCs/>
                <w:color w:val="auto"/>
                <w:sz w:val="24"/>
                <w:szCs w:val="24"/>
                <w:highlight w:val="none"/>
                <w:lang w:val="en-US" w:eastAsia="zh-CN"/>
              </w:rPr>
              <w:t>225</w:t>
            </w:r>
            <w:r>
              <w:rPr>
                <w:rFonts w:hint="eastAsia" w:ascii="Times New Roman" w:hAnsi="Times New Roman" w:eastAsia="宋体" w:cs="Times New Roman"/>
                <w:b w:val="0"/>
                <w:bCs/>
                <w:color w:val="auto"/>
                <w:sz w:val="24"/>
                <w:szCs w:val="24"/>
                <w:highlight w:val="none"/>
                <w:lang w:val="en-US" w:eastAsia="zh-CN"/>
              </w:rPr>
              <w:t>m</w:t>
            </w:r>
            <w:r>
              <w:rPr>
                <w:rFonts w:hint="eastAsia" w:cs="Times New Roman"/>
                <w:b w:val="0"/>
                <w:bCs/>
                <w:color w:val="auto"/>
                <w:sz w:val="24"/>
                <w:szCs w:val="24"/>
                <w:highlight w:val="none"/>
                <w:lang w:val="en-US" w:eastAsia="zh-CN"/>
              </w:rPr>
              <w:t>处的南街</w:t>
            </w:r>
            <w:r>
              <w:rPr>
                <w:rFonts w:hint="eastAsia" w:ascii="Times New Roman" w:hAnsi="Times New Roman" w:eastAsia="宋体" w:cs="Times New Roman"/>
                <w:b w:val="0"/>
                <w:bCs/>
                <w:color w:val="auto"/>
                <w:sz w:val="24"/>
                <w:szCs w:val="24"/>
                <w:highlight w:val="none"/>
                <w:lang w:val="en-US" w:eastAsia="zh-CN"/>
              </w:rPr>
              <w:t>村，所在区域环境空气质量为不达标区，当地政府全面贯彻落实大气污染防治攻坚措施，将不断改善区域环境空气质量。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本项目</w:t>
            </w:r>
            <w:r>
              <w:rPr>
                <w:rFonts w:hint="eastAsia" w:cs="Times New Roman"/>
                <w:b w:val="0"/>
                <w:bCs/>
                <w:color w:val="auto"/>
                <w:sz w:val="24"/>
                <w:szCs w:val="24"/>
                <w:highlight w:val="none"/>
                <w:lang w:val="en-US" w:eastAsia="zh-CN"/>
              </w:rPr>
              <w:t>有组织</w:t>
            </w:r>
            <w:r>
              <w:rPr>
                <w:rFonts w:hint="eastAsia" w:ascii="Times New Roman" w:hAnsi="Times New Roman" w:eastAsia="宋体" w:cs="Times New Roman"/>
                <w:b w:val="0"/>
                <w:bCs/>
                <w:color w:val="auto"/>
                <w:sz w:val="24"/>
                <w:szCs w:val="24"/>
                <w:highlight w:val="none"/>
                <w:lang w:val="en-US" w:eastAsia="zh-CN"/>
              </w:rPr>
              <w:t>废气污染源为</w:t>
            </w:r>
            <w:r>
              <w:rPr>
                <w:rFonts w:hint="eastAsia" w:cs="Times New Roman"/>
                <w:b w:val="0"/>
                <w:bCs/>
                <w:color w:val="auto"/>
                <w:sz w:val="24"/>
                <w:szCs w:val="24"/>
                <w:highlight w:val="none"/>
                <w:lang w:val="en-US" w:eastAsia="zh-CN"/>
              </w:rPr>
              <w:t>给料破碎废气、筛分粉磨废气、发酵废气、造粒筛分袋装废气。评价要求发酵工序设置1套生物除臭装置，去除效率为90%，处理后废气由1根20m高排气筒排放。恶臭可以</w:t>
            </w:r>
            <w:r>
              <w:rPr>
                <w:color w:val="auto"/>
                <w:sz w:val="24"/>
                <w:szCs w:val="22"/>
              </w:rPr>
              <w:t>满足《恶臭污染物排放标准》（GB14554-93）排放浓度限值。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2"/>
              </w:rPr>
            </w:pPr>
            <w:r>
              <w:rPr>
                <w:rFonts w:hint="eastAsia"/>
                <w:color w:val="auto"/>
                <w:sz w:val="24"/>
                <w:szCs w:val="22"/>
                <w:lang w:eastAsia="zh-CN"/>
              </w:rPr>
              <w:t>（</w:t>
            </w:r>
            <w:r>
              <w:rPr>
                <w:rFonts w:hint="eastAsia"/>
                <w:color w:val="auto"/>
                <w:sz w:val="24"/>
                <w:szCs w:val="22"/>
                <w:lang w:val="en-US" w:eastAsia="zh-CN"/>
              </w:rPr>
              <w:t>1</w:t>
            </w:r>
            <w:r>
              <w:rPr>
                <w:rFonts w:hint="eastAsia"/>
                <w:color w:val="auto"/>
                <w:sz w:val="24"/>
                <w:szCs w:val="22"/>
                <w:lang w:eastAsia="zh-CN"/>
              </w:rPr>
              <w:t>）</w:t>
            </w:r>
            <w:r>
              <w:rPr>
                <w:color w:val="auto"/>
                <w:sz w:val="24"/>
                <w:szCs w:val="22"/>
              </w:rPr>
              <w:t>生物过滤工艺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2"/>
              </w:rPr>
            </w:pPr>
            <w:r>
              <w:rPr>
                <w:color w:val="auto"/>
                <w:sz w:val="24"/>
                <w:szCs w:val="22"/>
              </w:rPr>
              <w:t>采用了液体吸收和生物处理的组合作用。臭气首先被液体（吸收剂）有选择地吸收形成混合污水，再通过微生物的作用将其中的污染物降解。具体过程是：先将人工筛选的特种微生物菌群固定于填料上，当污染气体经过填料表面初期，可从污染气体中获得营养源的那些微生物菌群，在适宜的温度、湿度、pH值等条件下，将会得到快速生长、繁殖，并在填料表面形成生物膜，当臭气通过其间，有机物被生物膜表面的水层吸收后被微生物吸附和降解，得到净化再生的水被重复使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2"/>
              </w:rPr>
            </w:pPr>
            <w:r>
              <w:rPr>
                <w:color w:val="auto"/>
                <w:sz w:val="24"/>
                <w:szCs w:val="22"/>
              </w:rPr>
              <w:t>污染物去除的实质是以臭气作为营养物质被微生物吸收、代谢及利用。这一过程是微生物的相互协调的过程，比较复杂，它由物理、化学、物理化学以及生物化学反应所组成。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2"/>
              </w:rPr>
            </w:pPr>
            <w:r>
              <w:rPr>
                <w:color w:val="auto"/>
                <w:sz w:val="24"/>
                <w:szCs w:val="22"/>
              </w:rPr>
              <w:t>生物除臭可以表达为：污染物+O</w:t>
            </w:r>
            <w:r>
              <w:rPr>
                <w:color w:val="auto"/>
                <w:sz w:val="24"/>
                <w:szCs w:val="22"/>
                <w:vertAlign w:val="subscript"/>
              </w:rPr>
              <w:t>2</w:t>
            </w:r>
            <w:r>
              <w:rPr>
                <w:color w:val="auto"/>
                <w:sz w:val="24"/>
                <w:szCs w:val="22"/>
              </w:rPr>
              <w:t>→细胞代谢物+CO</w:t>
            </w:r>
            <w:r>
              <w:rPr>
                <w:color w:val="auto"/>
                <w:sz w:val="24"/>
                <w:szCs w:val="22"/>
                <w:vertAlign w:val="subscript"/>
              </w:rPr>
              <w:t>2</w:t>
            </w:r>
            <w:r>
              <w:rPr>
                <w:color w:val="auto"/>
                <w:sz w:val="24"/>
                <w:szCs w:val="22"/>
              </w:rPr>
              <w:t>+H</w:t>
            </w:r>
            <w:r>
              <w:rPr>
                <w:color w:val="auto"/>
                <w:sz w:val="24"/>
                <w:szCs w:val="22"/>
                <w:vertAlign w:val="subscript"/>
              </w:rPr>
              <w:t>2</w:t>
            </w:r>
            <w:r>
              <w:rPr>
                <w:color w:val="auto"/>
                <w:sz w:val="24"/>
                <w:szCs w:val="22"/>
              </w:rPr>
              <w:t>O</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szCs w:val="22"/>
              </w:rPr>
            </w:pPr>
            <w:r>
              <w:rPr>
                <w:color w:val="auto"/>
                <w:sz w:val="24"/>
                <w:szCs w:val="22"/>
              </w:rPr>
              <w:t>污染物的转化机理可用下图表示：</w:t>
            </w:r>
          </w:p>
          <w:p>
            <w:pPr>
              <w:spacing w:line="360" w:lineRule="auto"/>
              <w:ind w:firstLine="480" w:firstLineChars="200"/>
              <w:rPr>
                <w:color w:val="auto"/>
                <w:sz w:val="24"/>
                <w:szCs w:val="22"/>
              </w:rPr>
            </w:pPr>
            <w:r>
              <w:rPr>
                <w:color w:val="auto"/>
                <w:sz w:val="24"/>
                <w:szCs w:val="22"/>
              </w:rPr>
              <w:drawing>
                <wp:anchor distT="0" distB="0" distL="114300" distR="114300" simplePos="0" relativeHeight="251663360" behindDoc="0" locked="0" layoutInCell="1" allowOverlap="1">
                  <wp:simplePos x="0" y="0"/>
                  <wp:positionH relativeFrom="column">
                    <wp:posOffset>328295</wp:posOffset>
                  </wp:positionH>
                  <wp:positionV relativeFrom="paragraph">
                    <wp:posOffset>38100</wp:posOffset>
                  </wp:positionV>
                  <wp:extent cx="4584065" cy="1495425"/>
                  <wp:effectExtent l="0" t="0" r="6985" b="9525"/>
                  <wp:wrapNone/>
                  <wp:docPr id="238" name="图片 4" descr="159469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 descr="1594696387(1)"/>
                          <pic:cNvPicPr>
                            <a:picLocks noChangeAspect="1"/>
                          </pic:cNvPicPr>
                        </pic:nvPicPr>
                        <pic:blipFill>
                          <a:blip r:embed="rId16"/>
                          <a:stretch>
                            <a:fillRect/>
                          </a:stretch>
                        </pic:blipFill>
                        <pic:spPr>
                          <a:xfrm>
                            <a:off x="0" y="0"/>
                            <a:ext cx="4584065" cy="1495425"/>
                          </a:xfrm>
                          <a:prstGeom prst="rect">
                            <a:avLst/>
                          </a:prstGeom>
                          <a:noFill/>
                          <a:ln>
                            <a:noFill/>
                          </a:ln>
                        </pic:spPr>
                      </pic:pic>
                    </a:graphicData>
                  </a:graphic>
                </wp:anchor>
              </w:drawing>
            </w:r>
          </w:p>
          <w:p>
            <w:pPr>
              <w:spacing w:line="360" w:lineRule="auto"/>
              <w:ind w:firstLine="480" w:firstLineChars="200"/>
              <w:rPr>
                <w:color w:val="auto"/>
                <w:sz w:val="24"/>
                <w:szCs w:val="22"/>
              </w:rPr>
            </w:pPr>
          </w:p>
          <w:p>
            <w:pPr>
              <w:spacing w:line="360" w:lineRule="auto"/>
              <w:ind w:firstLine="480" w:firstLineChars="200"/>
              <w:rPr>
                <w:color w:val="auto"/>
                <w:sz w:val="24"/>
                <w:szCs w:val="22"/>
              </w:rPr>
            </w:pPr>
          </w:p>
          <w:p>
            <w:pPr>
              <w:spacing w:line="360" w:lineRule="auto"/>
              <w:ind w:firstLine="480" w:firstLineChars="200"/>
              <w:rPr>
                <w:color w:val="auto"/>
                <w:sz w:val="24"/>
                <w:szCs w:val="22"/>
              </w:rPr>
            </w:pPr>
          </w:p>
          <w:p>
            <w:pPr>
              <w:spacing w:line="360" w:lineRule="auto"/>
              <w:ind w:firstLine="480" w:firstLineChars="200"/>
              <w:rPr>
                <w:color w:val="auto"/>
                <w:sz w:val="24"/>
                <w:szCs w:val="22"/>
              </w:rPr>
            </w:pPr>
          </w:p>
          <w:p>
            <w:pPr>
              <w:spacing w:line="360" w:lineRule="auto"/>
              <w:jc w:val="center"/>
              <w:rPr>
                <w:b/>
                <w:bCs/>
                <w:color w:val="auto"/>
                <w:sz w:val="21"/>
                <w:szCs w:val="20"/>
              </w:rPr>
            </w:pPr>
            <w:r>
              <w:rPr>
                <w:rFonts w:hint="eastAsia"/>
                <w:b/>
                <w:bCs/>
                <w:color w:val="auto"/>
                <w:sz w:val="21"/>
                <w:szCs w:val="20"/>
              </w:rPr>
              <w:t>图</w:t>
            </w:r>
            <w:r>
              <w:rPr>
                <w:rFonts w:hint="eastAsia"/>
                <w:b/>
                <w:bCs/>
                <w:color w:val="auto"/>
                <w:sz w:val="21"/>
                <w:szCs w:val="20"/>
                <w:lang w:val="en-US" w:eastAsia="zh-CN"/>
              </w:rPr>
              <w:t>4-1</w:t>
            </w:r>
            <w:r>
              <w:rPr>
                <w:rFonts w:hint="eastAsia"/>
                <w:b/>
                <w:bCs/>
                <w:color w:val="auto"/>
                <w:sz w:val="21"/>
                <w:szCs w:val="20"/>
              </w:rPr>
              <w:t xml:space="preserve">  </w:t>
            </w:r>
            <w:r>
              <w:rPr>
                <w:b/>
                <w:bCs/>
                <w:color w:val="auto"/>
                <w:sz w:val="21"/>
                <w:szCs w:val="20"/>
              </w:rPr>
              <w:t>污染物的转化机理</w:t>
            </w:r>
            <w:r>
              <w:rPr>
                <w:rFonts w:hint="eastAsia"/>
                <w:b/>
                <w:bCs/>
                <w:color w:val="auto"/>
                <w:sz w:val="21"/>
                <w:szCs w:val="20"/>
              </w:rPr>
              <w:t>示意图</w:t>
            </w:r>
          </w:p>
          <w:p>
            <w:pPr>
              <w:spacing w:line="360" w:lineRule="auto"/>
              <w:ind w:firstLine="480" w:firstLineChars="200"/>
              <w:rPr>
                <w:color w:val="auto"/>
                <w:sz w:val="24"/>
                <w:szCs w:val="22"/>
              </w:rPr>
            </w:pPr>
            <w:r>
              <w:rPr>
                <w:rFonts w:hint="eastAsia"/>
                <w:color w:val="auto"/>
                <w:sz w:val="24"/>
                <w:szCs w:val="22"/>
                <w:lang w:eastAsia="zh-CN"/>
              </w:rPr>
              <w:t>（</w:t>
            </w:r>
            <w:r>
              <w:rPr>
                <w:rFonts w:hint="eastAsia"/>
                <w:color w:val="auto"/>
                <w:sz w:val="24"/>
                <w:szCs w:val="22"/>
                <w:lang w:val="en-US" w:eastAsia="zh-CN"/>
              </w:rPr>
              <w:t>2</w:t>
            </w:r>
            <w:r>
              <w:rPr>
                <w:rFonts w:hint="eastAsia"/>
                <w:color w:val="auto"/>
                <w:sz w:val="24"/>
                <w:szCs w:val="22"/>
                <w:lang w:eastAsia="zh-CN"/>
              </w:rPr>
              <w:t>）</w:t>
            </w:r>
            <w:r>
              <w:rPr>
                <w:color w:val="auto"/>
                <w:sz w:val="24"/>
                <w:szCs w:val="22"/>
              </w:rPr>
              <w:t>生物除臭流程</w:t>
            </w:r>
          </w:p>
          <w:p>
            <w:pPr>
              <w:spacing w:line="360" w:lineRule="auto"/>
              <w:jc w:val="center"/>
              <w:rPr>
                <w:color w:val="auto"/>
                <w:sz w:val="24"/>
                <w:szCs w:val="22"/>
              </w:rPr>
            </w:pPr>
            <w:r>
              <w:rPr>
                <w:rFonts w:hint="eastAsia"/>
                <w:color w:val="auto"/>
                <w:sz w:val="24"/>
                <w:szCs w:val="22"/>
              </w:rPr>
              <mc:AlternateContent>
                <mc:Choice Requires="wpc">
                  <w:drawing>
                    <wp:inline distT="0" distB="0" distL="0" distR="0">
                      <wp:extent cx="4509135" cy="1382395"/>
                      <wp:effectExtent l="0" t="0" r="0" b="0"/>
                      <wp:docPr id="239" name="画布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0" name="矩形 25"/>
                              <wps:cNvSpPr/>
                              <wps:spPr>
                                <a:xfrm>
                                  <a:off x="129403" y="327802"/>
                                  <a:ext cx="629728" cy="31055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臭味源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矩形 205"/>
                              <wps:cNvSpPr/>
                              <wps:spPr>
                                <a:xfrm>
                                  <a:off x="1130067" y="328340"/>
                                  <a:ext cx="810883" cy="309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0"/>
                                      <w:spacing w:before="0" w:beforeAutospacing="0" w:after="0" w:afterAutospacing="0"/>
                                      <w:jc w:val="center"/>
                                    </w:pPr>
                                    <w:r>
                                      <w:rPr>
                                        <w:rFonts w:hint="eastAsia" w:ascii="Times New Roman"/>
                                        <w:color w:val="000000"/>
                                        <w:kern w:val="2"/>
                                        <w:sz w:val="21"/>
                                        <w:szCs w:val="21"/>
                                      </w:rPr>
                                      <w:t>收集管道</w:t>
                                    </w:r>
                                  </w:p>
                                </w:txbxContent>
                              </wps:txbx>
                              <wps:bodyPr rot="0" spcFirstLastPara="0" vert="horz" wrap="square" lIns="91440" tIns="45720" rIns="91440" bIns="45720" numCol="1" spcCol="0" rtlCol="0" fromWordArt="0" anchor="ctr" anchorCtr="0" forceAA="0" compatLnSpc="1">
                                <a:noAutofit/>
                              </wps:bodyPr>
                            </wps:wsp>
                            <wps:wsp>
                              <wps:cNvPr id="242" name="矩形 206"/>
                              <wps:cNvSpPr/>
                              <wps:spPr>
                                <a:xfrm>
                                  <a:off x="2267336" y="327728"/>
                                  <a:ext cx="915811" cy="309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0"/>
                                      <w:spacing w:before="0" w:beforeAutospacing="0" w:after="0" w:afterAutospacing="0"/>
                                      <w:jc w:val="center"/>
                                    </w:pPr>
                                    <w:r>
                                      <w:rPr>
                                        <w:rFonts w:hint="eastAsia" w:ascii="Times New Roman"/>
                                        <w:color w:val="000000"/>
                                        <w:kern w:val="2"/>
                                        <w:sz w:val="21"/>
                                        <w:szCs w:val="21"/>
                                      </w:rPr>
                                      <w:t>生物滤塔</w:t>
                                    </w:r>
                                  </w:p>
                                </w:txbxContent>
                              </wps:txbx>
                              <wps:bodyPr rot="0" spcFirstLastPara="0" vert="horz" wrap="square" lIns="91440" tIns="45720" rIns="91440" bIns="45720" numCol="1" spcCol="0" rtlCol="0" fromWordArt="0" anchor="ctr" anchorCtr="0" forceAA="0" compatLnSpc="1">
                                <a:noAutofit/>
                              </wps:bodyPr>
                            </wps:wsp>
                            <wps:wsp>
                              <wps:cNvPr id="243" name="矩形 208"/>
                              <wps:cNvSpPr/>
                              <wps:spPr>
                                <a:xfrm>
                                  <a:off x="3545654" y="328656"/>
                                  <a:ext cx="629285" cy="3092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0"/>
                                      <w:spacing w:before="0" w:beforeAutospacing="0" w:after="0" w:afterAutospacing="0"/>
                                      <w:jc w:val="center"/>
                                    </w:pPr>
                                    <w:r>
                                      <w:rPr>
                                        <w:rFonts w:ascii="Times New Roman" w:hAnsi="Times New Roman"/>
                                        <w:color w:val="000000"/>
                                        <w:kern w:val="2"/>
                                        <w:sz w:val="21"/>
                                        <w:szCs w:val="21"/>
                                      </w:rPr>
                                      <w:t>过滤塔</w:t>
                                    </w:r>
                                  </w:p>
                                </w:txbxContent>
                              </wps:txbx>
                              <wps:bodyPr rot="0" spcFirstLastPara="0" vert="horz" wrap="square" lIns="91440" tIns="45720" rIns="91440" bIns="45720" numCol="1" spcCol="0" rtlCol="0" fromWordArt="0" anchor="ctr" anchorCtr="0" forceAA="0" compatLnSpc="1">
                                <a:noAutofit/>
                              </wps:bodyPr>
                            </wps:wsp>
                            <wps:wsp>
                              <wps:cNvPr id="244" name="矩形 209"/>
                              <wps:cNvSpPr/>
                              <wps:spPr>
                                <a:xfrm>
                                  <a:off x="2267337" y="947606"/>
                                  <a:ext cx="915442" cy="3092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0"/>
                                      <w:spacing w:before="0" w:beforeAutospacing="0" w:after="0" w:afterAutospacing="0"/>
                                      <w:jc w:val="center"/>
                                    </w:pPr>
                                    <w:r>
                                      <w:rPr>
                                        <w:rFonts w:hint="eastAsia" w:ascii="Times New Roman" w:hAnsi="Times New Roman"/>
                                        <w:color w:val="000000"/>
                                        <w:kern w:val="2"/>
                                        <w:sz w:val="21"/>
                                        <w:szCs w:val="21"/>
                                      </w:rPr>
                                      <w:t>喷淋液</w:t>
                                    </w:r>
                                  </w:p>
                                </w:txbxContent>
                              </wps:txbx>
                              <wps:bodyPr rot="0" spcFirstLastPara="0" vert="horz" wrap="square" lIns="91440" tIns="45720" rIns="91440" bIns="45720" numCol="1" spcCol="0" rtlCol="0" fromWordArt="0" anchor="ctr" anchorCtr="0" forceAA="0" compatLnSpc="1">
                                <a:noAutofit/>
                              </wps:bodyPr>
                            </wps:wsp>
                            <wps:wsp>
                              <wps:cNvPr id="245" name="直接箭头连接符 27"/>
                              <wps:cNvCnPr>
                                <a:stCxn id="25" idx="3"/>
                                <a:endCxn id="205" idx="1"/>
                              </wps:cNvCnPr>
                              <wps:spPr>
                                <a:xfrm>
                                  <a:off x="759131" y="483078"/>
                                  <a:ext cx="370936" cy="20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直接箭头连接符 30"/>
                              <wps:cNvCnPr>
                                <a:stCxn id="205" idx="3"/>
                                <a:endCxn id="206" idx="1"/>
                              </wps:cNvCnPr>
                              <wps:spPr>
                                <a:xfrm flipV="1">
                                  <a:off x="1940950" y="482645"/>
                                  <a:ext cx="326386" cy="63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直接箭头连接符 252"/>
                              <wps:cNvCnPr>
                                <a:endCxn id="208" idx="1"/>
                              </wps:cNvCnPr>
                              <wps:spPr>
                                <a:xfrm flipV="1">
                                  <a:off x="3182902" y="483279"/>
                                  <a:ext cx="362752" cy="13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直接箭头连接符 253"/>
                              <wps:cNvCnPr>
                                <a:stCxn id="209" idx="0"/>
                                <a:endCxn id="206" idx="2"/>
                              </wps:cNvCnPr>
                              <wps:spPr>
                                <a:xfrm flipV="1">
                                  <a:off x="2725058" y="637608"/>
                                  <a:ext cx="184" cy="30999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85pt;width:355.05pt;" coordsize="4509135,1382395" editas="canvas" o:gfxdata="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B5OUEW1gAAAAUBAAAPAAAAAAAAAAEAIAAAACIAAABkcnMvZG93bnJldi54bWxQSwEC&#10;FAAUAAAACACHTuJAuTcfoRQFAADKGgAADgAAAAAAAAABACAAAAAlAQAAZHJzL2Uyb0RvYy54bWxQ&#10;SwUGAAAAAAYABgBZAQAAqwgAAAAA&#10;">
                      <o:lock v:ext="edit" aspectratio="f"/>
                      <v:shape id="_x0000_s1026" o:spid="_x0000_s1026" style="position:absolute;left:0;top:0;height:1382395;width:4509135;" filled="f" stroked="f" coordsize="21600,21600" o:gfxdata="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">
                        <v:fill on="f" focussize="0,0"/>
                        <v:stroke on="f"/>
                        <v:imagedata o:title=""/>
                        <o:lock v:ext="edit" aspectratio="t"/>
                      </v:shape>
                      <v:rect id="矩形 25" o:spid="_x0000_s1026" o:spt="1" style="position:absolute;left:129403;top:327802;height:310551;width:629728;v-text-anchor:middle;" filled="f" stroked="t" coordsize="21600,21600" o:gfxdata="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o7/ANUAAAAFAQAADwAAAAAAAAABACAAAAAiAAAAZHJz&#10;L2Rvd25yZXYueG1sUEsBAhQAFAAAAAgAh07iQJfrLKV5AgAA4gQAAA4AAAAAAAAAAQAgAAAAJAEA&#10;AGRycy9lMm9Eb2MueG1sUEsFBgAAAAAGAAYAWQEAAA8GAAAAAA==&#10;">
                        <v:fill on="f" focussize="0,0"/>
                        <v:stroke weight="1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臭味源</w:t>
                              </w:r>
                            </w:p>
                          </w:txbxContent>
                        </v:textbox>
                      </v:rect>
                      <v:rect id="矩形 205" o:spid="_x0000_s1026" o:spt="1" style="position:absolute;left:1130067;top:328340;height:309880;width:810883;v-text-anchor:middle;" filled="f" stroked="t" coordsize="21600,21600" o:gfxdata="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Wjv8A1QAAAAUBAAAPAAAAAAAAAAEAIAAAACIAAABkcnMvZG93bnJldi54bWxQSwEC&#10;FAAUAAAACACHTuJA5D5SnmkCAAC0BAAADgAAAAAAAAABACAAAAAkAQAAZHJzL2Uyb0RvYy54bWxQ&#10;SwUGAAAAAAYABgBZAQAA/wUAAAAA&#10;">
                        <v:fill on="f" focussize="0,0"/>
                        <v:stroke weight="1pt" color="#000000 [3213]" miterlimit="8" joinstyle="miter"/>
                        <v:imagedata o:title=""/>
                        <o:lock v:ext="edit" aspectratio="f"/>
                        <v:textbox>
                          <w:txbxContent>
                            <w:p>
                              <w:pPr>
                                <w:pStyle w:val="20"/>
                                <w:spacing w:before="0" w:beforeAutospacing="0" w:after="0" w:afterAutospacing="0"/>
                                <w:jc w:val="center"/>
                              </w:pPr>
                              <w:r>
                                <w:rPr>
                                  <w:rFonts w:hint="eastAsia" w:ascii="Times New Roman"/>
                                  <w:color w:val="000000"/>
                                  <w:kern w:val="2"/>
                                  <w:sz w:val="21"/>
                                  <w:szCs w:val="21"/>
                                </w:rPr>
                                <w:t>收集管道</w:t>
                              </w:r>
                            </w:p>
                          </w:txbxContent>
                        </v:textbox>
                      </v:rect>
                      <v:rect id="矩形 206" o:spid="_x0000_s1026" o:spt="1" style="position:absolute;left:2267336;top:327728;height:309880;width:915811;v-text-anchor:middle;" filled="f" stroked="t" coordsize="21600,21600" o:gfxdata="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aO/wDVAAAABQEAAA8AAAAAAAAAAQAgAAAAIgAAAGRycy9kb3ducmV2LnhtbFBL&#10;AQIUABQAAAAIAIdO4kBpOaRNawIAALQEAAAOAAAAAAAAAAEAIAAAACQBAABkcnMvZTJvRG9jLnht&#10;bFBLBQYAAAAABgAGAFkBAAABBgAAAAA=&#10;">
                        <v:fill on="f" focussize="0,0"/>
                        <v:stroke weight="1pt" color="#000000 [3213]" miterlimit="8" joinstyle="miter"/>
                        <v:imagedata o:title=""/>
                        <o:lock v:ext="edit" aspectratio="f"/>
                        <v:textbox>
                          <w:txbxContent>
                            <w:p>
                              <w:pPr>
                                <w:pStyle w:val="20"/>
                                <w:spacing w:before="0" w:beforeAutospacing="0" w:after="0" w:afterAutospacing="0"/>
                                <w:jc w:val="center"/>
                              </w:pPr>
                              <w:r>
                                <w:rPr>
                                  <w:rFonts w:hint="eastAsia" w:ascii="Times New Roman"/>
                                  <w:color w:val="000000"/>
                                  <w:kern w:val="2"/>
                                  <w:sz w:val="21"/>
                                  <w:szCs w:val="21"/>
                                </w:rPr>
                                <w:t>生物滤塔</w:t>
                              </w:r>
                            </w:p>
                          </w:txbxContent>
                        </v:textbox>
                      </v:rect>
                      <v:rect id="矩形 208" o:spid="_x0000_s1026" o:spt="1" style="position:absolute;left:3545654;top:328656;height:309245;width:629285;v-text-anchor:middle;" filled="f" stroked="t" coordsize="21600,21600" o:gfxdata="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aO/wDVAAAABQEAAA8AAAAAAAAAAQAgAAAAIgAAAGRycy9kb3ducmV2LnhtbFBL&#10;AQIUABQAAAAIAIdO4kDlNZ0yawIAALQEAAAOAAAAAAAAAAEAIAAAACQBAABkcnMvZTJvRG9jLnht&#10;bFBLBQYAAAAABgAGAFkBAAABBgAAAAA=&#10;">
                        <v:fill on="f" focussize="0,0"/>
                        <v:stroke weight="1pt" color="#000000 [3213]" miterlimit="8" joinstyle="miter"/>
                        <v:imagedata o:title=""/>
                        <o:lock v:ext="edit" aspectratio="f"/>
                        <v:textbox>
                          <w:txbxContent>
                            <w:p>
                              <w:pPr>
                                <w:pStyle w:val="20"/>
                                <w:spacing w:before="0" w:beforeAutospacing="0" w:after="0" w:afterAutospacing="0"/>
                                <w:jc w:val="center"/>
                              </w:pPr>
                              <w:r>
                                <w:rPr>
                                  <w:rFonts w:ascii="Times New Roman" w:hAnsi="Times New Roman"/>
                                  <w:color w:val="000000"/>
                                  <w:kern w:val="2"/>
                                  <w:sz w:val="21"/>
                                  <w:szCs w:val="21"/>
                                </w:rPr>
                                <w:t>过滤塔</w:t>
                              </w:r>
                            </w:p>
                          </w:txbxContent>
                        </v:textbox>
                      </v:rect>
                      <v:rect id="矩形 209" o:spid="_x0000_s1026" o:spt="1" style="position:absolute;left:2267337;top:947606;height:309245;width:915442;v-text-anchor:middle;" filled="f" stroked="t" coordsize="21600,21600" o:gfxdata="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jv8A1QAAAAUBAAAPAAAAAAAAAAEAIAAAACIAAABkcnMvZG93bnJldi54bWxQ&#10;SwECFAAUAAAACACHTuJA6m9Q0WwCAAC0BAAADgAAAAAAAAABACAAAAAkAQAAZHJzL2Uyb0RvYy54&#10;bWxQSwUGAAAAAAYABgBZAQAAAgYAAAAA&#10;">
                        <v:fill on="f" focussize="0,0"/>
                        <v:stroke weight="1pt" color="#000000 [3213]" miterlimit="8" joinstyle="miter"/>
                        <v:imagedata o:title=""/>
                        <o:lock v:ext="edit" aspectratio="f"/>
                        <v:textbox>
                          <w:txbxContent>
                            <w:p>
                              <w:pPr>
                                <w:pStyle w:val="20"/>
                                <w:spacing w:before="0" w:beforeAutospacing="0" w:after="0" w:afterAutospacing="0"/>
                                <w:jc w:val="center"/>
                              </w:pPr>
                              <w:r>
                                <w:rPr>
                                  <w:rFonts w:hint="eastAsia" w:ascii="Times New Roman" w:hAnsi="Times New Roman"/>
                                  <w:color w:val="000000"/>
                                  <w:kern w:val="2"/>
                                  <w:sz w:val="21"/>
                                  <w:szCs w:val="21"/>
                                </w:rPr>
                                <w:t>喷淋液</w:t>
                              </w:r>
                            </w:p>
                          </w:txbxContent>
                        </v:textbox>
                      </v:rect>
                      <v:shape id="直接箭头连接符 27" o:spid="_x0000_s1026" o:spt="32" type="#_x0000_t32" style="position:absolute;left:759131;top:483078;height:202;width:370936;" filled="f" stroked="t" coordsize="21600,21600" o:gfxdata="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IAYuTTAAAABQEAAA8AAAAAAAAAAQAgAAAAIgAAAGRycy9kb3ducmV2LnhtbFBLAQIUABQA&#10;AAAIAIdO4kD6iJ+eLgIAADIEAAAOAAAAAAAAAAEAIAAAACIBAABkcnMvZTJvRG9jLnhtbFBLBQYA&#10;AAAABgAGAFkBAADCBQAAAAA=&#10;">
                        <v:fill on="f" focussize="0,0"/>
                        <v:stroke weight="0.5pt" color="#000000 [3213]" miterlimit="8" joinstyle="miter" endarrow="block"/>
                        <v:imagedata o:title=""/>
                        <o:lock v:ext="edit" aspectratio="f"/>
                      </v:shape>
                      <v:shape id="直接箭头连接符 30" o:spid="_x0000_s1026" o:spt="32" type="#_x0000_t32" style="position:absolute;left:1940950;top:482645;flip:y;height:635;width:326386;" filled="f" stroked="t" coordsize="21600,21600" o:gfxdata="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Tku//VAAAABQEAAA8AAAAAAAAAAQAgAAAAIgAAAGRycy9kb3ducmV2LnhtbFBL&#10;AQIUABQAAAAIAIdO4kAgnPRrMgIAAD4EAAAOAAAAAAAAAAEAIAAAACQBAABkcnMvZTJvRG9jLnht&#10;bFBLBQYAAAAABgAGAFkBAADIBQAAAAA=&#10;">
                        <v:fill on="f" focussize="0,0"/>
                        <v:stroke weight="0.5pt" color="#000000 [3213]" miterlimit="8" joinstyle="miter" endarrow="block"/>
                        <v:imagedata o:title=""/>
                        <o:lock v:ext="edit" aspectratio="f"/>
                      </v:shape>
                      <v:shape id="_x0000_s1026" o:spid="_x0000_s1026" o:spt="32" type="#_x0000_t32" style="position:absolute;left:3182902;top:483279;flip:y;height:133;width:362752;" filled="f" stroked="t" coordsize="21600,21600" o:gfxdata="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ku//VAAAABQEAAA8AAAAAAAAAAQAgAAAAIgAAAGRycy9kb3ducmV2LnhtbFBLAQIUABQA&#10;AAAIAIdO4kB6vb5RLAIAACQEAAAOAAAAAAAAAAEAIAAAACQBAABkcnMvZTJvRG9jLnhtbFBLBQYA&#10;AAAABgAGAFkBAADCBQAAAAA=&#10;">
                        <v:fill on="f" focussize="0,0"/>
                        <v:stroke weight="0.5pt" color="#000000 [3213]" miterlimit="8" joinstyle="miter" endarrow="block"/>
                        <v:imagedata o:title=""/>
                        <o:lock v:ext="edit" aspectratio="f"/>
                      </v:shape>
                      <v:shape id="_x0000_s1026" o:spid="_x0000_s1026" o:spt="32" type="#_x0000_t32" style="position:absolute;left:2725058;top:637608;flip:y;height:309998;width:184;" filled="f" stroked="t" coordsize="21600,21600" o:gfxdata="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Tku//VAAAABQEAAA8AAAAAAAAAAQAgAAAAIgAAAGRycy9kb3ducmV2Lnht&#10;bFBLAQIUABQAAAAIAIdO4kBG9+5cNQIAAD8EAAAOAAAAAAAAAAEAIAAAACQBAABkcnMvZTJvRG9j&#10;LnhtbFBLBQYAAAAABgAGAFkBAADLBQAAAAA=&#10;">
                        <v:fill on="f" focussize="0,0"/>
                        <v:stroke weight="0.5pt" color="#000000 [3213]" miterlimit="8" joinstyle="miter" endarrow="block"/>
                        <v:imagedata o:title=""/>
                        <o:lock v:ext="edit" aspectratio="f"/>
                      </v:shape>
                      <w10:wrap type="none"/>
                      <w10:anchorlock/>
                    </v:group>
                  </w:pict>
                </mc:Fallback>
              </mc:AlternateContent>
            </w:r>
          </w:p>
          <w:p>
            <w:pPr>
              <w:spacing w:line="360" w:lineRule="auto"/>
              <w:jc w:val="center"/>
              <w:rPr>
                <w:b/>
                <w:bCs/>
                <w:color w:val="auto"/>
                <w:sz w:val="21"/>
                <w:szCs w:val="20"/>
              </w:rPr>
            </w:pPr>
            <w:r>
              <w:rPr>
                <w:rFonts w:hint="eastAsia"/>
                <w:b/>
                <w:bCs/>
                <w:color w:val="auto"/>
                <w:sz w:val="21"/>
                <w:szCs w:val="20"/>
              </w:rPr>
              <w:t>图</w:t>
            </w:r>
            <w:r>
              <w:rPr>
                <w:rFonts w:hint="eastAsia"/>
                <w:b/>
                <w:bCs/>
                <w:color w:val="auto"/>
                <w:sz w:val="21"/>
                <w:szCs w:val="20"/>
                <w:lang w:val="en-US" w:eastAsia="zh-CN"/>
              </w:rPr>
              <w:t>4-2</w:t>
            </w:r>
            <w:r>
              <w:rPr>
                <w:rFonts w:hint="eastAsia"/>
                <w:b/>
                <w:bCs/>
                <w:color w:val="auto"/>
                <w:sz w:val="21"/>
                <w:szCs w:val="20"/>
              </w:rPr>
              <w:t xml:space="preserve">  </w:t>
            </w:r>
            <w:r>
              <w:rPr>
                <w:b/>
                <w:bCs/>
                <w:color w:val="auto"/>
                <w:sz w:val="21"/>
                <w:szCs w:val="20"/>
              </w:rPr>
              <w:t>生物滤塔除臭流程</w:t>
            </w:r>
            <w:r>
              <w:rPr>
                <w:rFonts w:hint="eastAsia"/>
                <w:b/>
                <w:bCs/>
                <w:color w:val="auto"/>
                <w:sz w:val="21"/>
                <w:szCs w:val="20"/>
              </w:rPr>
              <w:t>图</w:t>
            </w:r>
          </w:p>
          <w:p>
            <w:pPr>
              <w:spacing w:line="360" w:lineRule="auto"/>
              <w:ind w:firstLine="480" w:firstLineChars="200"/>
              <w:rPr>
                <w:color w:val="auto"/>
                <w:sz w:val="24"/>
                <w:szCs w:val="22"/>
              </w:rPr>
            </w:pPr>
            <w:r>
              <w:rPr>
                <w:color w:val="auto"/>
                <w:sz w:val="24"/>
                <w:szCs w:val="22"/>
              </w:rPr>
              <w:t>整个生物</w:t>
            </w:r>
            <w:r>
              <w:rPr>
                <w:rFonts w:hint="eastAsia"/>
                <w:color w:val="auto"/>
                <w:sz w:val="24"/>
                <w:szCs w:val="22"/>
              </w:rPr>
              <w:t>滤塔</w:t>
            </w:r>
            <w:r>
              <w:rPr>
                <w:color w:val="auto"/>
                <w:sz w:val="24"/>
                <w:szCs w:val="22"/>
              </w:rPr>
              <w:t>除臭系统主要由管道输送系统、生物滤塔、排放系统和辅助整个除臭系统的控制系统组成，流程如下：</w:t>
            </w:r>
          </w:p>
          <w:p>
            <w:pPr>
              <w:spacing w:line="360" w:lineRule="auto"/>
              <w:ind w:firstLine="480" w:firstLineChars="200"/>
              <w:rPr>
                <w:color w:val="auto"/>
                <w:sz w:val="24"/>
                <w:szCs w:val="22"/>
              </w:rPr>
            </w:pPr>
            <w:r>
              <w:rPr>
                <w:color w:val="auto"/>
                <w:sz w:val="24"/>
                <w:szCs w:val="22"/>
              </w:rPr>
              <w:t>气体经过收集管道进入生物滤塔，臭气从</w:t>
            </w:r>
            <w:r>
              <w:rPr>
                <w:rFonts w:hint="eastAsia"/>
                <w:color w:val="auto"/>
                <w:sz w:val="24"/>
                <w:szCs w:val="22"/>
              </w:rPr>
              <w:t>塔底</w:t>
            </w:r>
            <w:r>
              <w:rPr>
                <w:color w:val="auto"/>
                <w:sz w:val="24"/>
                <w:szCs w:val="22"/>
              </w:rPr>
              <w:t>送入，经气体分布器分布后，在填料表面与喷淋液在逆流连续、充分接触条件下进行传质，</w:t>
            </w:r>
            <w:r>
              <w:rPr>
                <w:rFonts w:hint="eastAsia"/>
                <w:color w:val="auto"/>
                <w:sz w:val="24"/>
                <w:szCs w:val="22"/>
              </w:rPr>
              <w:t>塔内</w:t>
            </w:r>
            <w:r>
              <w:rPr>
                <w:color w:val="auto"/>
                <w:sz w:val="24"/>
                <w:szCs w:val="22"/>
              </w:rPr>
              <w:t>填料层作为气液两相间接触的传质介质，底部装有填料支承板，填料以无序方式堆置在支承板上。喷淋液从</w:t>
            </w:r>
            <w:r>
              <w:rPr>
                <w:rFonts w:hint="eastAsia"/>
                <w:color w:val="auto"/>
                <w:sz w:val="24"/>
                <w:szCs w:val="22"/>
              </w:rPr>
              <w:t>塔顶</w:t>
            </w:r>
            <w:r>
              <w:rPr>
                <w:color w:val="auto"/>
                <w:sz w:val="24"/>
                <w:szCs w:val="22"/>
              </w:rPr>
              <w:t>经液体分布器喷淋到填料上，并沿填料表面流下。臭气先进行水洗喷淋，去除臭气中的粉尘、NH</w:t>
            </w:r>
            <w:r>
              <w:rPr>
                <w:color w:val="auto"/>
                <w:sz w:val="24"/>
                <w:szCs w:val="22"/>
                <w:vertAlign w:val="subscript"/>
              </w:rPr>
              <w:t>3</w:t>
            </w:r>
            <w:r>
              <w:rPr>
                <w:color w:val="auto"/>
                <w:sz w:val="24"/>
                <w:szCs w:val="22"/>
              </w:rPr>
              <w:t>以及少量H</w:t>
            </w:r>
            <w:r>
              <w:rPr>
                <w:color w:val="auto"/>
                <w:sz w:val="24"/>
                <w:szCs w:val="22"/>
                <w:vertAlign w:val="subscript"/>
              </w:rPr>
              <w:t>2</w:t>
            </w:r>
            <w:r>
              <w:rPr>
                <w:color w:val="auto"/>
                <w:sz w:val="24"/>
                <w:szCs w:val="22"/>
              </w:rPr>
              <w:t>S、CH</w:t>
            </w:r>
            <w:r>
              <w:rPr>
                <w:rFonts w:hint="eastAsia"/>
                <w:color w:val="auto"/>
                <w:sz w:val="24"/>
                <w:szCs w:val="22"/>
                <w:vertAlign w:val="subscript"/>
              </w:rPr>
              <w:t>4</w:t>
            </w:r>
            <w:r>
              <w:rPr>
                <w:color w:val="auto"/>
                <w:sz w:val="24"/>
                <w:szCs w:val="22"/>
              </w:rPr>
              <w:t>等气体，氨气溶于水形成碱性溶液，循环喷淋可去除臭气中的H</w:t>
            </w:r>
            <w:r>
              <w:rPr>
                <w:color w:val="auto"/>
                <w:sz w:val="24"/>
                <w:szCs w:val="22"/>
                <w:vertAlign w:val="subscript"/>
              </w:rPr>
              <w:t>2</w:t>
            </w:r>
            <w:r>
              <w:rPr>
                <w:color w:val="auto"/>
                <w:sz w:val="24"/>
                <w:szCs w:val="22"/>
              </w:rPr>
              <w:t>S，同时吸收少量有机臭气污染物。喷淋洗涤</w:t>
            </w:r>
            <w:r>
              <w:rPr>
                <w:rFonts w:hint="eastAsia"/>
                <w:color w:val="auto"/>
                <w:sz w:val="24"/>
                <w:szCs w:val="22"/>
              </w:rPr>
              <w:t>塔</w:t>
            </w:r>
            <w:r>
              <w:rPr>
                <w:color w:val="auto"/>
                <w:sz w:val="24"/>
                <w:szCs w:val="22"/>
              </w:rPr>
              <w:t>上设置了监视窗和检修人孔以便于人员进行监视洗涤塔的工作状况是否正常以及及时更换老化的填料。为了避免尾气排放夹带液滴，在净化装置顶部设置气水分离器。池内喷淋液循环使用，在使用过程中会有部分损失和消耗，需要定期更换喷淋液。喷淋池也可根据实际工况灵活添加或更换化学吸收剂，但是一定要注意化学废水带来二次污染。</w:t>
            </w:r>
          </w:p>
          <w:p>
            <w:pPr>
              <w:spacing w:line="360" w:lineRule="auto"/>
              <w:ind w:firstLine="480" w:firstLineChars="200"/>
              <w:rPr>
                <w:color w:val="auto"/>
                <w:sz w:val="24"/>
                <w:szCs w:val="22"/>
              </w:rPr>
            </w:pPr>
            <w:r>
              <w:rPr>
                <w:color w:val="auto"/>
                <w:sz w:val="24"/>
                <w:szCs w:val="22"/>
              </w:rPr>
              <w:t>定期更换的喷淋液，用于堆肥槽高温堆肥时补充洒水，不外排。</w:t>
            </w:r>
          </w:p>
          <w:p>
            <w:pPr>
              <w:spacing w:line="360" w:lineRule="auto"/>
              <w:ind w:firstLine="480" w:firstLineChars="200"/>
              <w:rPr>
                <w:color w:val="auto"/>
                <w:sz w:val="24"/>
                <w:szCs w:val="22"/>
              </w:rPr>
            </w:pPr>
            <w:r>
              <w:rPr>
                <w:color w:val="auto"/>
                <w:sz w:val="24"/>
                <w:szCs w:val="22"/>
              </w:rPr>
              <w:t>微生物除臭过程分为三步：</w:t>
            </w:r>
          </w:p>
          <w:p>
            <w:pPr>
              <w:spacing w:line="360" w:lineRule="auto"/>
              <w:ind w:firstLine="480" w:firstLineChars="200"/>
              <w:rPr>
                <w:color w:val="auto"/>
                <w:sz w:val="24"/>
                <w:szCs w:val="22"/>
              </w:rPr>
            </w:pPr>
            <w:r>
              <w:rPr>
                <w:rFonts w:hint="eastAsia"/>
                <w:color w:val="auto"/>
                <w:sz w:val="24"/>
                <w:szCs w:val="22"/>
              </w:rPr>
              <w:t>①</w:t>
            </w:r>
            <w:r>
              <w:rPr>
                <w:color w:val="auto"/>
                <w:sz w:val="24"/>
                <w:szCs w:val="22"/>
              </w:rPr>
              <w:t>臭气同水接触并溶解到水中；</w:t>
            </w:r>
          </w:p>
          <w:p>
            <w:pPr>
              <w:spacing w:line="360" w:lineRule="auto"/>
              <w:ind w:firstLine="480" w:firstLineChars="200"/>
              <w:rPr>
                <w:color w:val="auto"/>
                <w:sz w:val="24"/>
                <w:szCs w:val="22"/>
              </w:rPr>
            </w:pPr>
            <w:r>
              <w:rPr>
                <w:rFonts w:hint="eastAsia"/>
                <w:color w:val="auto"/>
                <w:sz w:val="24"/>
                <w:szCs w:val="22"/>
              </w:rPr>
              <w:t>②</w:t>
            </w:r>
            <w:r>
              <w:rPr>
                <w:color w:val="auto"/>
                <w:sz w:val="24"/>
                <w:szCs w:val="22"/>
              </w:rPr>
              <w:t>水溶液中的恶臭成分被微生物吸附、吸收，恶臭成分从水中转移至微生物体内；</w:t>
            </w:r>
          </w:p>
          <w:p>
            <w:pPr>
              <w:spacing w:line="360" w:lineRule="auto"/>
              <w:ind w:firstLine="480" w:firstLineChars="200"/>
              <w:rPr>
                <w:color w:val="auto"/>
                <w:sz w:val="24"/>
                <w:szCs w:val="22"/>
              </w:rPr>
            </w:pPr>
            <w:r>
              <w:rPr>
                <w:rFonts w:hint="eastAsia"/>
                <w:color w:val="auto"/>
                <w:sz w:val="24"/>
                <w:szCs w:val="22"/>
              </w:rPr>
              <w:t>③</w:t>
            </w:r>
            <w:r>
              <w:rPr>
                <w:color w:val="auto"/>
                <w:sz w:val="24"/>
                <w:szCs w:val="22"/>
              </w:rPr>
              <w:t>进入微生物细胞的恶臭成分作为营养物质为微生物所分解、利用，从而使污染物得以去除。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color w:val="auto"/>
                <w:sz w:val="24"/>
                <w:szCs w:val="22"/>
              </w:rPr>
            </w:pPr>
            <w:r>
              <w:rPr>
                <w:color w:val="auto"/>
                <w:sz w:val="24"/>
                <w:szCs w:val="22"/>
              </w:rPr>
              <w:t>微生物除臭是利用微生物细胞对恶臭物质的吸附、吸收和降解功能，对臭气进行处理的一种工艺。主要过程如下：通过收集管道，抽风机将臭气收集到生物滤塔除臭装置，臭气经过加湿器进行加湿后，进入生物滤塔池体，后经过填料微生物的吸附、吸收和降解，将臭气成分去除。</w:t>
            </w:r>
          </w:p>
          <w:p>
            <w:pPr>
              <w:pStyle w:val="2"/>
              <w:keepNext/>
              <w:keepLines w:val="0"/>
              <w:pageBreakBefore w:val="0"/>
              <w:widowControl w:val="0"/>
              <w:kinsoku/>
              <w:wordWrap/>
              <w:overflowPunct w:val="0"/>
              <w:topLinePunct w:val="0"/>
              <w:autoSpaceDE/>
              <w:autoSpaceDN/>
              <w:bidi w:val="0"/>
              <w:adjustRightInd/>
              <w:snapToGrid/>
              <w:spacing w:before="0" w:after="0" w:line="480" w:lineRule="exact"/>
              <w:ind w:left="0" w:firstLine="480" w:firstLineChars="200"/>
              <w:textAlignment w:val="auto"/>
              <w:rPr>
                <w:rFonts w:ascii="Times New Roman" w:hAnsi="Times New Roman" w:eastAsia="宋体" w:cs="Times New Roman"/>
                <w:b w:val="0"/>
                <w:bCs w:val="0"/>
                <w:color w:val="auto"/>
                <w:kern w:val="2"/>
                <w:sz w:val="24"/>
                <w:szCs w:val="22"/>
                <w:lang w:val="en-US" w:eastAsia="zh-CN" w:bidi="ar-SA"/>
              </w:rPr>
            </w:pPr>
            <w:r>
              <w:rPr>
                <w:rFonts w:ascii="Times New Roman" w:hAnsi="Times New Roman" w:eastAsia="宋体" w:cs="Times New Roman"/>
                <w:b w:val="0"/>
                <w:bCs w:val="0"/>
                <w:color w:val="auto"/>
                <w:kern w:val="2"/>
                <w:sz w:val="24"/>
                <w:szCs w:val="22"/>
                <w:lang w:val="en-US" w:eastAsia="zh-CN" w:bidi="ar-SA"/>
              </w:rPr>
              <w:t>根据《</w:t>
            </w:r>
            <w:r>
              <w:rPr>
                <w:rFonts w:hint="eastAsia" w:ascii="Times New Roman" w:hAnsi="Times New Roman" w:eastAsia="宋体" w:cs="Times New Roman"/>
                <w:b w:val="0"/>
                <w:bCs w:val="0"/>
                <w:color w:val="auto"/>
                <w:kern w:val="2"/>
                <w:sz w:val="24"/>
                <w:szCs w:val="22"/>
                <w:lang w:val="en-US" w:eastAsia="zh-CN" w:bidi="ar-SA"/>
              </w:rPr>
              <w:t>排污许可证申请与核发技术规范 环境卫生管理业</w:t>
            </w:r>
            <w:r>
              <w:rPr>
                <w:rFonts w:ascii="Times New Roman" w:hAnsi="Times New Roman" w:eastAsia="宋体"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（HJ 1106—2020）好氧发酵单元中产生的硫化氢、氨、臭气浓度可行技术有生物过滤、化学洗涤、活性炭吸附，</w:t>
            </w:r>
            <w:r>
              <w:rPr>
                <w:rFonts w:ascii="Times New Roman" w:hAnsi="Times New Roman" w:eastAsia="宋体" w:cs="Times New Roman"/>
                <w:b w:val="0"/>
                <w:bCs w:val="0"/>
                <w:color w:val="auto"/>
                <w:kern w:val="2"/>
                <w:sz w:val="24"/>
                <w:szCs w:val="22"/>
                <w:lang w:val="en-US" w:eastAsia="zh-CN" w:bidi="ar-SA"/>
              </w:rPr>
              <w:t>为进一步降低恶臭影响，本项目选用可行技术中的</w:t>
            </w:r>
            <w:r>
              <w:rPr>
                <w:rFonts w:hint="eastAsia" w:ascii="Times New Roman" w:hAnsi="Times New Roman" w:eastAsia="宋体" w:cs="Times New Roman"/>
                <w:b w:val="0"/>
                <w:bCs w:val="0"/>
                <w:color w:val="auto"/>
                <w:kern w:val="2"/>
                <w:sz w:val="24"/>
                <w:szCs w:val="22"/>
                <w:lang w:val="en-US" w:eastAsia="zh-CN" w:bidi="ar-SA"/>
              </w:rPr>
              <w:t>生物过滤工艺</w:t>
            </w:r>
            <w:r>
              <w:rPr>
                <w:rFonts w:ascii="Times New Roman" w:hAnsi="Times New Roman" w:eastAsia="宋体" w:cs="Times New Roman"/>
                <w:b w:val="0"/>
                <w:bCs w:val="0"/>
                <w:color w:val="auto"/>
                <w:kern w:val="2"/>
                <w:sz w:val="24"/>
                <w:szCs w:val="22"/>
                <w:lang w:val="en-US" w:eastAsia="zh-CN" w:bidi="ar-SA"/>
              </w:rPr>
              <w:t>，最终堆肥</w:t>
            </w:r>
            <w:r>
              <w:rPr>
                <w:rFonts w:hint="eastAsia" w:ascii="Times New Roman" w:hAnsi="Times New Roman" w:eastAsia="宋体" w:cs="Times New Roman"/>
                <w:b w:val="0"/>
                <w:bCs w:val="0"/>
                <w:color w:val="auto"/>
                <w:kern w:val="2"/>
                <w:sz w:val="24"/>
                <w:szCs w:val="22"/>
                <w:lang w:val="en-US" w:eastAsia="zh-CN" w:bidi="ar-SA"/>
              </w:rPr>
              <w:t>臭气</w:t>
            </w:r>
            <w:r>
              <w:rPr>
                <w:rFonts w:ascii="Times New Roman" w:hAnsi="Times New Roman" w:eastAsia="宋体" w:cs="Times New Roman"/>
                <w:b w:val="0"/>
                <w:bCs w:val="0"/>
                <w:color w:val="auto"/>
                <w:kern w:val="2"/>
                <w:sz w:val="24"/>
                <w:szCs w:val="22"/>
                <w:lang w:val="en-US" w:eastAsia="zh-CN" w:bidi="ar-SA"/>
              </w:rPr>
              <w:t>采取</w:t>
            </w:r>
            <w:r>
              <w:rPr>
                <w:rFonts w:hint="eastAsia" w:eastAsia="宋体" w:cs="Times New Roman"/>
                <w:b w:val="0"/>
                <w:bCs w:val="0"/>
                <w:color w:val="auto"/>
                <w:kern w:val="2"/>
                <w:sz w:val="24"/>
                <w:szCs w:val="22"/>
                <w:lang w:val="en-US" w:eastAsia="zh-CN" w:bidi="ar-SA"/>
              </w:rPr>
              <w:t>“</w:t>
            </w:r>
            <w:r>
              <w:rPr>
                <w:rFonts w:ascii="Times New Roman" w:hAnsi="Times New Roman" w:eastAsia="宋体" w:cs="Times New Roman"/>
                <w:b w:val="0"/>
                <w:bCs w:val="0"/>
                <w:color w:val="auto"/>
                <w:kern w:val="2"/>
                <w:sz w:val="24"/>
                <w:szCs w:val="22"/>
                <w:lang w:val="en-US" w:eastAsia="zh-CN" w:bidi="ar-SA"/>
              </w:rPr>
              <w:t>全封闭+</w:t>
            </w:r>
            <w:r>
              <w:rPr>
                <w:rFonts w:hint="eastAsia" w:ascii="Times New Roman" w:hAnsi="Times New Roman" w:eastAsia="宋体" w:cs="Times New Roman"/>
                <w:b w:val="0"/>
                <w:bCs w:val="0"/>
                <w:color w:val="auto"/>
                <w:kern w:val="2"/>
                <w:sz w:val="24"/>
                <w:szCs w:val="22"/>
                <w:lang w:val="en-US" w:eastAsia="zh-CN" w:bidi="ar-SA"/>
              </w:rPr>
              <w:t>生物</w:t>
            </w:r>
            <w:r>
              <w:rPr>
                <w:rFonts w:ascii="Times New Roman" w:hAnsi="Times New Roman" w:eastAsia="宋体" w:cs="Times New Roman"/>
                <w:b w:val="0"/>
                <w:bCs w:val="0"/>
                <w:color w:val="auto"/>
                <w:kern w:val="2"/>
                <w:sz w:val="24"/>
                <w:szCs w:val="22"/>
                <w:lang w:val="en-US" w:eastAsia="zh-CN" w:bidi="ar-SA"/>
              </w:rPr>
              <w:t>滤塔除臭</w:t>
            </w:r>
            <w:r>
              <w:rPr>
                <w:rFonts w:hint="eastAsia" w:eastAsia="宋体" w:cs="Times New Roman"/>
                <w:b w:val="0"/>
                <w:bCs w:val="0"/>
                <w:color w:val="auto"/>
                <w:kern w:val="2"/>
                <w:sz w:val="24"/>
                <w:szCs w:val="22"/>
                <w:lang w:val="en-US" w:eastAsia="zh-CN" w:bidi="ar-SA"/>
              </w:rPr>
              <w:t>”</w:t>
            </w:r>
            <w:r>
              <w:rPr>
                <w:rFonts w:hint="eastAsia" w:ascii="Times New Roman" w:hAnsi="Times New Roman" w:eastAsia="宋体" w:cs="Times New Roman"/>
                <w:b w:val="0"/>
                <w:bCs w:val="0"/>
                <w:color w:val="auto"/>
                <w:kern w:val="2"/>
                <w:sz w:val="24"/>
                <w:szCs w:val="22"/>
                <w:lang w:val="en-US" w:eastAsia="zh-CN" w:bidi="ar-SA"/>
              </w:rPr>
              <w:t>，</w:t>
            </w:r>
            <w:r>
              <w:rPr>
                <w:rFonts w:ascii="Times New Roman" w:hAnsi="Times New Roman" w:eastAsia="宋体" w:cs="Times New Roman"/>
                <w:b w:val="0"/>
                <w:bCs w:val="0"/>
                <w:color w:val="auto"/>
                <w:kern w:val="2"/>
                <w:sz w:val="24"/>
                <w:szCs w:val="22"/>
                <w:lang w:val="en-US" w:eastAsia="zh-CN" w:bidi="ar-SA"/>
              </w:rPr>
              <w:t>为可行技术。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评价要求在给料机入料口上方设置2个集气罩，破碎机、振动筛和球磨机为全封闭式，设置集气管道，挤压成型机入料口设置1个集气罩，计量袋装机设置5个侧吸罩，各个产尘工序配套设置了</w:t>
            </w:r>
            <w:r>
              <w:rPr>
                <w:rFonts w:hint="eastAsia" w:ascii="Times New Roman" w:hAnsi="Times New Roman" w:eastAsia="宋体" w:cs="Times New Roman"/>
                <w:b w:val="0"/>
                <w:bCs/>
                <w:color w:val="auto"/>
                <w:sz w:val="24"/>
                <w:szCs w:val="24"/>
                <w:highlight w:val="none"/>
                <w:lang w:val="en-US" w:eastAsia="zh-CN"/>
              </w:rPr>
              <w:t>袋式除尘器，布袋材质均为覆膜滤料，除尘效率较高，</w:t>
            </w:r>
            <w:r>
              <w:rPr>
                <w:rFonts w:hint="eastAsia" w:cs="Times New Roman"/>
                <w:b w:val="0"/>
                <w:bCs/>
                <w:color w:val="auto"/>
                <w:sz w:val="24"/>
                <w:szCs w:val="24"/>
                <w:highlight w:val="none"/>
                <w:lang w:val="en-US" w:eastAsia="zh-CN"/>
              </w:rPr>
              <w:t>废气经</w:t>
            </w:r>
            <w:r>
              <w:rPr>
                <w:rFonts w:hint="eastAsia" w:ascii="Times New Roman" w:hAnsi="Times New Roman" w:eastAsia="宋体" w:cs="Times New Roman"/>
                <w:b w:val="0"/>
                <w:bCs/>
                <w:color w:val="auto"/>
                <w:sz w:val="24"/>
                <w:szCs w:val="24"/>
                <w:highlight w:val="none"/>
                <w:lang w:val="en-US" w:eastAsia="zh-CN"/>
              </w:rPr>
              <w:t>处理后</w:t>
            </w:r>
            <w:r>
              <w:rPr>
                <w:rFonts w:hint="eastAsia" w:cs="Times New Roman"/>
                <w:b w:val="0"/>
                <w:bCs/>
                <w:color w:val="auto"/>
                <w:sz w:val="24"/>
                <w:szCs w:val="24"/>
                <w:highlight w:val="none"/>
                <w:lang w:val="en-US" w:eastAsia="zh-CN"/>
              </w:rPr>
              <w:t>有组织颗粒物</w:t>
            </w:r>
            <w:r>
              <w:rPr>
                <w:rFonts w:hint="eastAsia" w:ascii="Times New Roman" w:hAnsi="Times New Roman" w:eastAsia="宋体" w:cs="Times New Roman"/>
                <w:b w:val="0"/>
                <w:bCs/>
                <w:color w:val="auto"/>
                <w:sz w:val="24"/>
                <w:szCs w:val="24"/>
                <w:highlight w:val="none"/>
                <w:lang w:val="en-US" w:eastAsia="zh-CN"/>
              </w:rPr>
              <w:t>排放浓度均满足《大气污染物综合排放标准》（GB16297-1996）表2二级标准要求，同时满足</w:t>
            </w:r>
            <w:r>
              <w:rPr>
                <w:rFonts w:hint="eastAsia" w:ascii="Times New Roman" w:hAnsi="Times New Roman" w:eastAsia="宋体" w:cs="Times New Roman"/>
                <w:snapToGrid w:val="0"/>
                <w:color w:val="auto"/>
                <w:sz w:val="24"/>
                <w:szCs w:val="20"/>
                <w:highlight w:val="none"/>
                <w:lang w:val="en-US" w:eastAsia="zh-CN"/>
              </w:rPr>
              <w:t>《长治市大气污染防治工作领导组办公室文件关于印发长治市工业企业无组织排放治理实施方案的通知》（长气防办[2019]9号）特别</w:t>
            </w:r>
            <w:r>
              <w:rPr>
                <w:rFonts w:hint="eastAsia" w:ascii="Times New Roman" w:hAnsi="Times New Roman" w:eastAsia="宋体" w:cs="Times New Roman"/>
                <w:b w:val="0"/>
                <w:bCs/>
                <w:color w:val="auto"/>
                <w:sz w:val="24"/>
                <w:szCs w:val="24"/>
                <w:highlight w:val="none"/>
                <w:lang w:val="en-US" w:eastAsia="zh-CN"/>
              </w:rPr>
              <w:t>排放限值要求（颗粒物≤10mg/m</w:t>
            </w:r>
            <w:r>
              <w:rPr>
                <w:rFonts w:hint="eastAsia" w:ascii="Times New Roman" w:hAnsi="Times New Roman" w:eastAsia="宋体" w:cs="Times New Roman"/>
                <w:b w:val="0"/>
                <w:bCs/>
                <w:color w:val="auto"/>
                <w:sz w:val="24"/>
                <w:szCs w:val="24"/>
                <w:highlight w:val="none"/>
                <w:vertAlign w:val="superscript"/>
                <w:lang w:val="en-US" w:eastAsia="zh-CN"/>
              </w:rPr>
              <w:t>3</w:t>
            </w:r>
            <w:r>
              <w:rPr>
                <w:rFonts w:hint="eastAsia" w:ascii="Times New Roman" w:hAnsi="Times New Roman" w:eastAsia="宋体" w:cs="Times New Roman"/>
                <w:b w:val="0"/>
                <w:bCs/>
                <w:color w:val="auto"/>
                <w:sz w:val="24"/>
                <w:szCs w:val="24"/>
                <w:highlight w:val="none"/>
                <w:lang w:val="en-US" w:eastAsia="zh-CN"/>
              </w:rPr>
              <w:t>），能够实现达标排放。</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本项目无组织废气污染源主要为原料和成品储存、装卸、物料提升输送扬尘及道路扬尘，原料堆放区、成品堆放区及成品包装区位于全封闭钢结构生产车间内，且堆放区顶部设有喷雾洒水抑尘装置，装卸时同时设有移动式雾炮机；皮带输送机、提升机、螺旋输送机为全封闭，且在全封闭式生产车间内进行，因此物料运输转载粉尘</w:t>
            </w:r>
            <w:r>
              <w:rPr>
                <w:rFonts w:hint="eastAsia" w:cs="Times New Roman"/>
                <w:color w:val="auto"/>
                <w:sz w:val="24"/>
                <w:szCs w:val="20"/>
                <w:highlight w:val="none"/>
                <w:lang w:val="en-US" w:eastAsia="zh-CN"/>
              </w:rPr>
              <w:t>可忽略不计</w:t>
            </w:r>
            <w:r>
              <w:rPr>
                <w:rFonts w:hint="eastAsia" w:cs="Times New Roman"/>
                <w:b w:val="0"/>
                <w:bCs/>
                <w:color w:val="auto"/>
                <w:sz w:val="24"/>
                <w:szCs w:val="24"/>
                <w:highlight w:val="none"/>
                <w:lang w:val="en-US" w:eastAsia="zh-CN"/>
              </w:rPr>
              <w:t>；厂区出入口建有1座洗车平台，对运输车辆轮胎进行冲洗；对物料运输车辆采取加盖篷布或密闭车辆等封闭措施，并定期对厂区地面进行清扫、洒水等措施，粉状辅料</w:t>
            </w:r>
            <w:r>
              <w:rPr>
                <w:rFonts w:hint="eastAsia"/>
                <w:color w:val="auto"/>
                <w:sz w:val="24"/>
                <w:highlight w:val="none"/>
                <w:lang w:val="en-US" w:eastAsia="zh-CN"/>
              </w:rPr>
              <w:t>加料口设有喷雾抑尘装置，</w:t>
            </w:r>
            <w:r>
              <w:rPr>
                <w:rFonts w:hint="eastAsia" w:cs="Times New Roman"/>
                <w:b w:val="0"/>
                <w:bCs/>
                <w:color w:val="auto"/>
                <w:sz w:val="24"/>
                <w:szCs w:val="24"/>
                <w:highlight w:val="none"/>
                <w:lang w:val="en-US" w:eastAsia="zh-CN"/>
              </w:rPr>
              <w:t>采取以上措施后，可减少无组织废气的排放。</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评价要求</w:t>
            </w:r>
            <w:r>
              <w:rPr>
                <w:rFonts w:hint="default" w:ascii="Times New Roman" w:hAnsi="Times New Roman" w:cs="Times New Roman"/>
                <w:b w:val="0"/>
                <w:bCs w:val="0"/>
                <w:color w:val="auto"/>
                <w:sz w:val="24"/>
                <w:szCs w:val="24"/>
                <w:highlight w:val="none"/>
                <w:lang w:val="en-US" w:eastAsia="zh-CN"/>
              </w:rPr>
              <w:t>为保证清洁运输，应合理规划路线及运输时间，错开高峰期，减轻车辆堵塞、怠速等尾气排放，</w:t>
            </w:r>
            <w:r>
              <w:rPr>
                <w:rFonts w:hint="eastAsia" w:ascii="Times New Roman" w:hAnsi="Times New Roman" w:cs="Times New Roman"/>
                <w:b w:val="0"/>
                <w:bCs w:val="0"/>
                <w:color w:val="auto"/>
                <w:sz w:val="24"/>
                <w:szCs w:val="24"/>
                <w:highlight w:val="none"/>
                <w:lang w:val="en-US" w:eastAsia="zh-CN"/>
              </w:rPr>
              <w:t>煤矸石</w:t>
            </w:r>
            <w:r>
              <w:rPr>
                <w:rFonts w:hint="eastAsia"/>
                <w:color w:val="auto"/>
                <w:sz w:val="24"/>
              </w:rPr>
              <w:t>主要来源为</w:t>
            </w:r>
            <w:r>
              <w:rPr>
                <w:color w:val="auto"/>
                <w:sz w:val="24"/>
              </w:rPr>
              <w:t>潞安集团余吾</w:t>
            </w:r>
            <w:r>
              <w:rPr>
                <w:rFonts w:hint="eastAsia" w:ascii="Times New Roman" w:hAnsi="Times New Roman" w:eastAsia="宋体" w:cs="Times New Roman"/>
                <w:color w:val="auto"/>
                <w:sz w:val="24"/>
                <w:lang w:val="en-US" w:eastAsia="zh-CN"/>
              </w:rPr>
              <w:t>煤业洗煤厂</w:t>
            </w:r>
            <w:r>
              <w:rPr>
                <w:rFonts w:hint="eastAsia"/>
                <w:color w:val="auto"/>
                <w:sz w:val="24"/>
              </w:rPr>
              <w:t>，</w:t>
            </w:r>
            <w:r>
              <w:rPr>
                <w:color w:val="auto"/>
                <w:sz w:val="24"/>
              </w:rPr>
              <w:t>余吾</w:t>
            </w:r>
            <w:r>
              <w:rPr>
                <w:rFonts w:hint="eastAsia" w:ascii="Times New Roman" w:hAnsi="Times New Roman" w:eastAsia="宋体" w:cs="Times New Roman"/>
                <w:color w:val="auto"/>
                <w:sz w:val="24"/>
                <w:lang w:val="en-US" w:eastAsia="zh-CN"/>
              </w:rPr>
              <w:t>煤业</w:t>
            </w:r>
            <w:r>
              <w:rPr>
                <w:rFonts w:hint="eastAsia"/>
                <w:color w:val="auto"/>
                <w:sz w:val="24"/>
                <w:lang w:val="en-US" w:eastAsia="zh-CN"/>
              </w:rPr>
              <w:t>位于本项目东南侧，最远</w:t>
            </w:r>
            <w:r>
              <w:rPr>
                <w:rFonts w:hint="eastAsia" w:ascii="Times New Roman" w:hAnsi="Times New Roman" w:cs="Times New Roman"/>
                <w:b w:val="0"/>
                <w:bCs w:val="0"/>
                <w:color w:val="auto"/>
                <w:sz w:val="24"/>
                <w:szCs w:val="24"/>
                <w:highlight w:val="none"/>
                <w:lang w:val="en-US" w:eastAsia="zh-CN"/>
              </w:rPr>
              <w:t>运输距离约5km，运输道路为园区内道路，沿线村庄较少，以工业企业为主，运输车辆在路过村庄时应禁止鸣笛，限制车速等措施</w:t>
            </w:r>
            <w:r>
              <w:rPr>
                <w:rFonts w:hint="default" w:ascii="Times New Roman" w:hAnsi="Times New Roman" w:cs="Times New Roman"/>
                <w:b w:val="0"/>
                <w:bCs w:val="0"/>
                <w:color w:val="auto"/>
                <w:sz w:val="24"/>
                <w:szCs w:val="24"/>
                <w:highlight w:val="none"/>
                <w:lang w:val="en-US" w:eastAsia="zh-CN"/>
              </w:rPr>
              <w:t>，</w:t>
            </w:r>
            <w:r>
              <w:rPr>
                <w:rFonts w:hint="eastAsia" w:hAnsi="宋体"/>
                <w:bCs/>
                <w:snapToGrid w:val="0"/>
                <w:color w:val="auto"/>
                <w:kern w:val="0"/>
                <w:sz w:val="24"/>
                <w:highlight w:val="none"/>
              </w:rPr>
              <w:t>为本项目服务的所有运输车辆采用国六标准的清洁能源车辆（</w:t>
            </w:r>
            <w:r>
              <w:rPr>
                <w:rFonts w:hint="eastAsia" w:hAnsi="宋体"/>
                <w:bCs/>
                <w:snapToGrid w:val="0"/>
                <w:color w:val="auto"/>
                <w:kern w:val="0"/>
                <w:sz w:val="24"/>
                <w:highlight w:val="none"/>
                <w:lang w:val="en-US" w:eastAsia="zh-CN"/>
              </w:rPr>
              <w:t>厢式</w:t>
            </w:r>
            <w:r>
              <w:rPr>
                <w:rFonts w:hint="eastAsia" w:hAnsi="宋体"/>
                <w:bCs/>
                <w:snapToGrid w:val="0"/>
                <w:color w:val="auto"/>
                <w:kern w:val="0"/>
                <w:sz w:val="24"/>
                <w:highlight w:val="none"/>
              </w:rPr>
              <w:t>车），且需满足清洁运输的要求；厂区内非道路移动机械达到国四及以上排放标准；厂区所有运输通道出入口按要求安装门禁系统，门禁视频监控数据连续保存6个月以上。</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综上所述，本项目对生产环节产生的废气进行收集处理，采取的污染治理措施均为排污许可技术规范中可行技术，污染物均能实现达标排放，对区域大气环境的影响较小。</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auto"/>
              <w:rPr>
                <w:rFonts w:hint="default" w:ascii="Times New Roman" w:hAnsi="Times New Roman" w:eastAsia="宋体" w:cs="Times New Roman"/>
                <w:b/>
                <w:bCs w:val="0"/>
                <w:color w:val="auto"/>
                <w:spacing w:val="0"/>
                <w:sz w:val="24"/>
                <w:szCs w:val="24"/>
                <w:highlight w:val="none"/>
                <w:lang w:val="en-US" w:eastAsia="zh-CN"/>
              </w:rPr>
            </w:pPr>
            <w:r>
              <w:rPr>
                <w:rFonts w:hint="eastAsia" w:ascii="Times New Roman" w:hAnsi="Times New Roman" w:eastAsia="宋体" w:cs="Times New Roman"/>
                <w:b/>
                <w:bCs w:val="0"/>
                <w:color w:val="auto"/>
                <w:spacing w:val="0"/>
                <w:sz w:val="24"/>
                <w:szCs w:val="24"/>
                <w:highlight w:val="none"/>
                <w:lang w:val="en-US" w:eastAsia="zh-CN"/>
              </w:rPr>
              <w:t>5.</w:t>
            </w:r>
            <w:r>
              <w:rPr>
                <w:rFonts w:hint="default" w:ascii="Times New Roman" w:hAnsi="Times New Roman" w:eastAsia="宋体" w:cs="Times New Roman"/>
                <w:b/>
                <w:bCs w:val="0"/>
                <w:color w:val="auto"/>
                <w:spacing w:val="0"/>
                <w:sz w:val="24"/>
                <w:szCs w:val="24"/>
                <w:highlight w:val="none"/>
                <w:lang w:val="en-US" w:eastAsia="zh-CN"/>
              </w:rPr>
              <w:t>大气污染源监测计划</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根据《排污单位自行监测技术指南</w:t>
            </w:r>
            <w:r>
              <w:rPr>
                <w:rFonts w:hint="eastAsia" w:ascii="Times New Roman" w:hAnsi="Times New Roman" w:eastAsia="宋体" w:cs="Times New Roman"/>
                <w:b w:val="0"/>
                <w:bCs/>
                <w:color w:val="auto"/>
                <w:sz w:val="24"/>
                <w:szCs w:val="24"/>
                <w:highlight w:val="none"/>
                <w:lang w:val="en-US" w:eastAsia="zh-CN"/>
              </w:rPr>
              <w:t xml:space="preserve"> 总则</w:t>
            </w:r>
            <w:r>
              <w:rPr>
                <w:rFonts w:hint="default" w:ascii="Times New Roman" w:hAnsi="Times New Roman" w:eastAsia="宋体" w:cs="Times New Roman"/>
                <w:b w:val="0"/>
                <w:bCs/>
                <w:color w:val="auto"/>
                <w:sz w:val="24"/>
                <w:szCs w:val="24"/>
                <w:highlight w:val="none"/>
                <w:lang w:val="en-US" w:eastAsia="zh-CN"/>
              </w:rPr>
              <w:t>》（HJ</w:t>
            </w:r>
            <w:r>
              <w:rPr>
                <w:rFonts w:hint="eastAsia"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lang w:val="en-US" w:eastAsia="zh-CN"/>
              </w:rPr>
              <w:t>819-2017）</w:t>
            </w:r>
            <w:r>
              <w:rPr>
                <w:rFonts w:hint="eastAsia" w:ascii="Times New Roman" w:hAnsi="Times New Roman" w:eastAsia="宋体" w:cs="Times New Roman"/>
                <w:b w:val="0"/>
                <w:bCs/>
                <w:color w:val="auto"/>
                <w:sz w:val="24"/>
                <w:szCs w:val="24"/>
                <w:highlight w:val="none"/>
                <w:lang w:val="en-US" w:eastAsia="zh-CN"/>
              </w:rPr>
              <w:t>和《</w:t>
            </w:r>
            <w:r>
              <w:rPr>
                <w:rFonts w:hint="default" w:ascii="Times New Roman" w:hAnsi="Times New Roman" w:eastAsia="宋体" w:cs="Times New Roman"/>
                <w:b w:val="0"/>
                <w:bCs/>
                <w:color w:val="auto"/>
                <w:sz w:val="24"/>
                <w:szCs w:val="24"/>
                <w:highlight w:val="none"/>
                <w:lang w:val="en-US" w:eastAsia="zh-CN"/>
              </w:rPr>
              <w:t>排污单位自行监测技术指南</w:t>
            </w:r>
            <w:r>
              <w:rPr>
                <w:rFonts w:hint="eastAsia" w:ascii="Times New Roman" w:hAnsi="Times New Roman" w:eastAsia="宋体" w:cs="Times New Roman"/>
                <w:b w:val="0"/>
                <w:bCs/>
                <w:color w:val="auto"/>
                <w:sz w:val="24"/>
                <w:szCs w:val="24"/>
                <w:highlight w:val="none"/>
                <w:lang w:val="en-US" w:eastAsia="zh-CN"/>
              </w:rPr>
              <w:t xml:space="preserve"> 磷肥、钾肥、复合肥料、有机肥料和微生物肥料》（HJ 1088-2020），大气监测计划见下表。</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8</w:t>
            </w:r>
            <w:r>
              <w:rPr>
                <w:rFonts w:hint="default" w:ascii="Times New Roman" w:hAnsi="Times New Roman" w:eastAsia="宋体" w:cs="Times New Roman"/>
                <w:b/>
                <w:bCs/>
                <w:color w:val="auto"/>
                <w:kern w:val="2"/>
                <w:sz w:val="21"/>
                <w:szCs w:val="21"/>
                <w:highlight w:val="none"/>
                <w:lang w:val="en-US" w:eastAsia="zh-CN" w:bidi="ar-SA"/>
              </w:rPr>
              <w:t xml:space="preserve">  大气污染源监测计划一览表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3250"/>
              <w:gridCol w:w="2478"/>
              <w:gridCol w:w="13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eastAsia" w:ascii="Times New Roman" w:hAnsi="Times New Roman" w:eastAsia="宋体" w:cs="Times New Roman"/>
                      <w:b/>
                      <w:bCs/>
                      <w:color w:val="auto"/>
                      <w:sz w:val="21"/>
                      <w:szCs w:val="21"/>
                      <w:highlight w:val="none"/>
                      <w:u w:val="none"/>
                      <w:lang w:val="en-US" w:eastAsia="zh-CN"/>
                    </w:rPr>
                    <w:t>排放形式</w:t>
                  </w:r>
                </w:p>
              </w:tc>
              <w:tc>
                <w:tcPr>
                  <w:tcW w:w="1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kern w:val="2"/>
                      <w:sz w:val="21"/>
                      <w:szCs w:val="21"/>
                      <w:highlight w:val="none"/>
                      <w:u w:val="none"/>
                    </w:rPr>
                  </w:pPr>
                  <w:r>
                    <w:rPr>
                      <w:rFonts w:hint="default" w:ascii="Times New Roman" w:hAnsi="Times New Roman" w:eastAsia="宋体" w:cs="Times New Roman"/>
                      <w:b/>
                      <w:bCs/>
                      <w:color w:val="auto"/>
                      <w:sz w:val="21"/>
                      <w:szCs w:val="21"/>
                      <w:highlight w:val="none"/>
                      <w:u w:val="none"/>
                    </w:rPr>
                    <w:t>监测点位</w:t>
                  </w:r>
                </w:p>
              </w:tc>
              <w:tc>
                <w:tcPr>
                  <w:tcW w:w="14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b/>
                      <w:bCs/>
                      <w:color w:val="auto"/>
                      <w:kern w:val="2"/>
                      <w:sz w:val="21"/>
                      <w:szCs w:val="21"/>
                      <w:highlight w:val="none"/>
                      <w:u w:val="none"/>
                      <w:lang w:eastAsia="zh-CN"/>
                    </w:rPr>
                  </w:pPr>
                  <w:r>
                    <w:rPr>
                      <w:rFonts w:hint="default" w:ascii="Times New Roman" w:hAnsi="Times New Roman" w:eastAsia="宋体" w:cs="Times New Roman"/>
                      <w:b/>
                      <w:bCs/>
                      <w:color w:val="auto"/>
                      <w:sz w:val="21"/>
                      <w:szCs w:val="21"/>
                      <w:highlight w:val="none"/>
                      <w:u w:val="none"/>
                    </w:rPr>
                    <w:t>监测</w:t>
                  </w:r>
                  <w:r>
                    <w:rPr>
                      <w:rFonts w:hint="eastAsia" w:ascii="Times New Roman" w:hAnsi="Times New Roman" w:eastAsia="宋体" w:cs="Times New Roman"/>
                      <w:b/>
                      <w:bCs/>
                      <w:color w:val="auto"/>
                      <w:sz w:val="21"/>
                      <w:szCs w:val="21"/>
                      <w:highlight w:val="none"/>
                      <w:u w:val="none"/>
                      <w:lang w:val="en-US" w:eastAsia="zh-CN"/>
                    </w:rPr>
                    <w:t>因子</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kern w:val="2"/>
                      <w:sz w:val="21"/>
                      <w:szCs w:val="21"/>
                      <w:highlight w:val="none"/>
                      <w:u w:val="none"/>
                    </w:rPr>
                  </w:pPr>
                  <w:r>
                    <w:rPr>
                      <w:rFonts w:hint="default" w:ascii="Times New Roman" w:hAnsi="Times New Roman" w:eastAsia="宋体" w:cs="Times New Roman"/>
                      <w:b/>
                      <w:bCs/>
                      <w:color w:val="auto"/>
                      <w:sz w:val="21"/>
                      <w:szCs w:val="21"/>
                      <w:highlight w:val="none"/>
                      <w:u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有组织</w:t>
                  </w:r>
                </w:p>
              </w:tc>
              <w:tc>
                <w:tcPr>
                  <w:tcW w:w="1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给料、破碎废气排放口</w:t>
                  </w:r>
                </w:p>
              </w:tc>
              <w:tc>
                <w:tcPr>
                  <w:tcW w:w="14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w:t>
                  </w:r>
                  <w:r>
                    <w:rPr>
                      <w:rFonts w:hint="eastAsia" w:cs="Times New Roman"/>
                      <w:color w:val="auto"/>
                      <w:kern w:val="2"/>
                      <w:sz w:val="21"/>
                      <w:szCs w:val="21"/>
                      <w:highlight w:val="none"/>
                      <w:lang w:val="en-US" w:eastAsia="zh-CN" w:bidi="ar-SA"/>
                    </w:rPr>
                    <w:t>半</w:t>
                  </w:r>
                  <w:r>
                    <w:rPr>
                      <w:rFonts w:hint="default" w:ascii="Times New Roman" w:hAnsi="Times New Roman" w:eastAsia="宋体" w:cs="Times New Roman"/>
                      <w:color w:val="auto"/>
                      <w:kern w:val="2"/>
                      <w:sz w:val="21"/>
                      <w:szCs w:val="21"/>
                      <w:highlight w:val="none"/>
                      <w:lang w:val="en-US" w:eastAsia="zh-CN" w:bidi="ar-S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1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筛分、</w:t>
                  </w:r>
                  <w:r>
                    <w:rPr>
                      <w:rFonts w:hint="eastAsia" w:cs="Times New Roman"/>
                      <w:b w:val="0"/>
                      <w:bCs w:val="0"/>
                      <w:color w:val="auto"/>
                      <w:kern w:val="2"/>
                      <w:sz w:val="21"/>
                      <w:szCs w:val="21"/>
                      <w:highlight w:val="none"/>
                      <w:u w:val="none"/>
                      <w:lang w:val="en-US" w:eastAsia="zh-CN" w:bidi="ar-SA"/>
                    </w:rPr>
                    <w:t>粉</w:t>
                  </w:r>
                  <w:r>
                    <w:rPr>
                      <w:rFonts w:hint="eastAsia" w:ascii="Times New Roman" w:hAnsi="Times New Roman" w:eastAsia="宋体" w:cs="Times New Roman"/>
                      <w:b w:val="0"/>
                      <w:bCs w:val="0"/>
                      <w:color w:val="auto"/>
                      <w:kern w:val="2"/>
                      <w:sz w:val="21"/>
                      <w:szCs w:val="21"/>
                      <w:highlight w:val="none"/>
                      <w:u w:val="none"/>
                      <w:lang w:val="en-US" w:eastAsia="zh-CN" w:bidi="ar-SA"/>
                    </w:rPr>
                    <w:t>磨</w:t>
                  </w:r>
                  <w:r>
                    <w:rPr>
                      <w:rFonts w:hint="eastAsia" w:cs="Times New Roman"/>
                      <w:b w:val="0"/>
                      <w:bCs w:val="0"/>
                      <w:color w:val="auto"/>
                      <w:kern w:val="2"/>
                      <w:sz w:val="21"/>
                      <w:szCs w:val="21"/>
                      <w:highlight w:val="none"/>
                      <w:u w:val="none"/>
                      <w:lang w:val="en-US" w:eastAsia="zh-CN" w:bidi="ar-SA"/>
                    </w:rPr>
                    <w:t>、粉料仓</w:t>
                  </w:r>
                  <w:r>
                    <w:rPr>
                      <w:rFonts w:hint="eastAsia" w:ascii="Times New Roman" w:hAnsi="Times New Roman" w:eastAsia="宋体" w:cs="Times New Roman"/>
                      <w:b w:val="0"/>
                      <w:bCs w:val="0"/>
                      <w:color w:val="auto"/>
                      <w:kern w:val="2"/>
                      <w:sz w:val="21"/>
                      <w:szCs w:val="21"/>
                      <w:highlight w:val="none"/>
                      <w:u w:val="none"/>
                      <w:lang w:val="en-US" w:eastAsia="zh-CN" w:bidi="ar-SA"/>
                    </w:rPr>
                    <w:t>废气排放口</w:t>
                  </w:r>
                </w:p>
              </w:tc>
              <w:tc>
                <w:tcPr>
                  <w:tcW w:w="14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w:t>
                  </w:r>
                  <w:r>
                    <w:rPr>
                      <w:rFonts w:hint="eastAsia" w:cs="Times New Roman"/>
                      <w:color w:val="auto"/>
                      <w:kern w:val="2"/>
                      <w:sz w:val="21"/>
                      <w:szCs w:val="21"/>
                      <w:highlight w:val="none"/>
                      <w:lang w:val="en-US" w:eastAsia="zh-CN" w:bidi="ar-SA"/>
                    </w:rPr>
                    <w:t>半</w:t>
                  </w:r>
                  <w:r>
                    <w:rPr>
                      <w:rFonts w:hint="default" w:ascii="Times New Roman" w:hAnsi="Times New Roman" w:eastAsia="宋体" w:cs="Times New Roman"/>
                      <w:color w:val="auto"/>
                      <w:kern w:val="2"/>
                      <w:sz w:val="21"/>
                      <w:szCs w:val="21"/>
                      <w:highlight w:val="none"/>
                      <w:lang w:val="en-US" w:eastAsia="zh-CN" w:bidi="ar-S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1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发酵废气排放口</w:t>
                  </w:r>
                </w:p>
              </w:tc>
              <w:tc>
                <w:tcPr>
                  <w:tcW w:w="14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氨、硫化氢</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w:t>
                  </w:r>
                  <w:r>
                    <w:rPr>
                      <w:rFonts w:hint="eastAsia" w:cs="Times New Roman"/>
                      <w:color w:val="auto"/>
                      <w:kern w:val="2"/>
                      <w:sz w:val="21"/>
                      <w:szCs w:val="21"/>
                      <w:highlight w:val="none"/>
                      <w:lang w:val="en-US" w:eastAsia="zh-CN" w:bidi="ar-SA"/>
                    </w:rPr>
                    <w:t>半</w:t>
                  </w:r>
                  <w:r>
                    <w:rPr>
                      <w:rFonts w:hint="default" w:ascii="Times New Roman" w:hAnsi="Times New Roman" w:eastAsia="宋体" w:cs="Times New Roman"/>
                      <w:color w:val="auto"/>
                      <w:kern w:val="2"/>
                      <w:sz w:val="21"/>
                      <w:szCs w:val="21"/>
                      <w:highlight w:val="none"/>
                      <w:lang w:val="en-US" w:eastAsia="zh-CN" w:bidi="ar-S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1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u w:val="none"/>
                      <w:lang w:val="en-US" w:eastAsia="zh-CN" w:bidi="ar-SA"/>
                    </w:rPr>
                    <w:t>造粒、筛分、包装废气排放口</w:t>
                  </w:r>
                </w:p>
              </w:tc>
              <w:tc>
                <w:tcPr>
                  <w:tcW w:w="14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1次/</w:t>
                  </w:r>
                  <w:r>
                    <w:rPr>
                      <w:rFonts w:hint="eastAsia" w:cs="Times New Roman"/>
                      <w:color w:val="auto"/>
                      <w:kern w:val="2"/>
                      <w:sz w:val="21"/>
                      <w:szCs w:val="21"/>
                      <w:highlight w:val="none"/>
                      <w:lang w:val="en-US" w:eastAsia="zh-CN" w:bidi="ar-SA"/>
                    </w:rPr>
                    <w:t>半</w:t>
                  </w:r>
                  <w:r>
                    <w:rPr>
                      <w:rFonts w:hint="default" w:ascii="Times New Roman" w:hAnsi="Times New Roman" w:eastAsia="宋体" w:cs="Times New Roman"/>
                      <w:color w:val="auto"/>
                      <w:kern w:val="2"/>
                      <w:sz w:val="21"/>
                      <w:szCs w:val="21"/>
                      <w:highlight w:val="none"/>
                      <w:lang w:val="en-US" w:eastAsia="zh-CN" w:bidi="ar-SA"/>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sz w:val="21"/>
                      <w:szCs w:val="21"/>
                      <w:highlight w:val="none"/>
                      <w:u w:val="none"/>
                      <w:lang w:val="en-US" w:eastAsia="zh-CN"/>
                    </w:rPr>
                    <w:t>无组织</w:t>
                  </w:r>
                </w:p>
              </w:tc>
              <w:tc>
                <w:tcPr>
                  <w:tcW w:w="19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厂界</w:t>
                  </w:r>
                  <w:r>
                    <w:rPr>
                      <w:rFonts w:hint="default" w:ascii="Times New Roman" w:hAnsi="Times New Roman" w:eastAsia="宋体" w:cs="Times New Roman"/>
                      <w:color w:val="auto"/>
                      <w:sz w:val="21"/>
                      <w:szCs w:val="21"/>
                      <w:highlight w:val="none"/>
                      <w:u w:val="none"/>
                    </w:rPr>
                    <w:t>上风向1个点位，下风向</w:t>
                  </w:r>
                  <w:r>
                    <w:rPr>
                      <w:rFonts w:hint="eastAsia" w:ascii="Times New Roman" w:hAnsi="Times New Roman" w:eastAsia="宋体" w:cs="Times New Roman"/>
                      <w:color w:val="auto"/>
                      <w:sz w:val="21"/>
                      <w:szCs w:val="21"/>
                      <w:highlight w:val="none"/>
                      <w:u w:val="none"/>
                      <w:lang w:val="en-US" w:eastAsia="zh-CN"/>
                    </w:rPr>
                    <w:t>4</w:t>
                  </w:r>
                  <w:r>
                    <w:rPr>
                      <w:rFonts w:hint="default" w:ascii="Times New Roman" w:hAnsi="Times New Roman" w:eastAsia="宋体" w:cs="Times New Roman"/>
                      <w:color w:val="auto"/>
                      <w:sz w:val="21"/>
                      <w:szCs w:val="21"/>
                      <w:highlight w:val="none"/>
                      <w:u w:val="none"/>
                    </w:rPr>
                    <w:t>个点位</w:t>
                  </w:r>
                </w:p>
              </w:tc>
              <w:tc>
                <w:tcPr>
                  <w:tcW w:w="14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颗粒物</w:t>
                  </w:r>
                  <w:r>
                    <w:rPr>
                      <w:rFonts w:hint="eastAsia" w:cs="Times New Roman"/>
                      <w:color w:val="auto"/>
                      <w:kern w:val="2"/>
                      <w:sz w:val="21"/>
                      <w:szCs w:val="21"/>
                      <w:highlight w:val="none"/>
                      <w:lang w:val="en-US" w:eastAsia="zh-CN" w:bidi="ar-SA"/>
                    </w:rPr>
                    <w:t>、氨、硫化氢、</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cs="Times New Roman"/>
                      <w:color w:val="auto"/>
                      <w:kern w:val="2"/>
                      <w:sz w:val="21"/>
                      <w:szCs w:val="21"/>
                      <w:highlight w:val="none"/>
                      <w:lang w:val="en-US" w:eastAsia="zh-CN" w:bidi="ar-SA"/>
                    </w:rPr>
                    <w:t>臭气浓度</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eastAsia" w:ascii="Times New Roman" w:hAnsi="Times New Roman" w:eastAsia="宋体" w:cs="Times New Roman"/>
                      <w:color w:val="auto"/>
                      <w:sz w:val="21"/>
                      <w:szCs w:val="21"/>
                      <w:highlight w:val="none"/>
                      <w:u w:val="none"/>
                      <w:lang w:val="en-US" w:eastAsia="zh-CN"/>
                    </w:rPr>
                    <w:t>1次/</w:t>
                  </w:r>
                  <w:r>
                    <w:rPr>
                      <w:rFonts w:hint="eastAsia" w:cs="Times New Roman"/>
                      <w:color w:val="auto"/>
                      <w:kern w:val="2"/>
                      <w:sz w:val="21"/>
                      <w:szCs w:val="21"/>
                      <w:highlight w:val="none"/>
                      <w:lang w:val="en-US" w:eastAsia="zh-CN" w:bidi="ar-SA"/>
                    </w:rPr>
                    <w:t>半</w:t>
                  </w:r>
                  <w:r>
                    <w:rPr>
                      <w:rFonts w:hint="default" w:ascii="Times New Roman" w:hAnsi="Times New Roman" w:eastAsia="宋体" w:cs="Times New Roman"/>
                      <w:color w:val="auto"/>
                      <w:kern w:val="2"/>
                      <w:sz w:val="21"/>
                      <w:szCs w:val="21"/>
                      <w:highlight w:val="none"/>
                      <w:lang w:val="en-US" w:eastAsia="zh-CN" w:bidi="ar-SA"/>
                    </w:rPr>
                    <w:t>年</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二、</w:t>
            </w:r>
            <w:r>
              <w:rPr>
                <w:rFonts w:hint="eastAsia" w:ascii="Times New Roman" w:hAnsi="Times New Roman" w:eastAsia="宋体" w:cs="Times New Roman"/>
                <w:b/>
                <w:color w:val="auto"/>
                <w:sz w:val="24"/>
                <w:szCs w:val="24"/>
                <w:highlight w:val="none"/>
                <w:lang w:val="en-US" w:eastAsia="zh-CN"/>
              </w:rPr>
              <w:t>废水</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本项目废水产生环节主要为</w:t>
            </w:r>
            <w:r>
              <w:rPr>
                <w:rFonts w:hint="eastAsia" w:cs="Times New Roman"/>
                <w:bCs/>
                <w:color w:val="auto"/>
                <w:spacing w:val="0"/>
                <w:sz w:val="24"/>
                <w:szCs w:val="24"/>
                <w:highlight w:val="none"/>
                <w:lang w:val="en-US" w:eastAsia="zh-CN"/>
              </w:rPr>
              <w:t>生活污水、</w:t>
            </w:r>
            <w:r>
              <w:rPr>
                <w:rFonts w:hint="eastAsia" w:ascii="Times New Roman" w:hAnsi="Times New Roman" w:eastAsia="宋体" w:cs="Times New Roman"/>
                <w:bCs/>
                <w:color w:val="auto"/>
                <w:spacing w:val="0"/>
                <w:sz w:val="24"/>
                <w:szCs w:val="24"/>
                <w:highlight w:val="none"/>
                <w:lang w:val="en-US" w:eastAsia="zh-CN"/>
              </w:rPr>
              <w:t>洗车废水</w:t>
            </w:r>
            <w:r>
              <w:rPr>
                <w:rFonts w:hint="eastAsia" w:cs="Times New Roman"/>
                <w:bCs/>
                <w:color w:val="auto"/>
                <w:spacing w:val="0"/>
                <w:sz w:val="24"/>
                <w:szCs w:val="24"/>
                <w:highlight w:val="none"/>
                <w:lang w:val="en-US" w:eastAsia="zh-CN"/>
              </w:rPr>
              <w:t>、</w:t>
            </w:r>
            <w:r>
              <w:rPr>
                <w:rFonts w:hint="eastAsia" w:hAnsi="Times New Roman" w:cs="Times New Roman"/>
                <w:bCs/>
                <w:color w:val="auto"/>
                <w:sz w:val="24"/>
                <w:szCs w:val="24"/>
                <w:highlight w:val="none"/>
                <w:lang w:val="en-US" w:eastAsia="zh-CN"/>
              </w:rPr>
              <w:t>车间地坪冲洗废水和初期雨水</w:t>
            </w:r>
            <w:r>
              <w:rPr>
                <w:rFonts w:hint="default" w:ascii="Times New Roman" w:hAnsi="Times New Roman" w:eastAsia="宋体" w:cs="Times New Roman"/>
                <w:bCs/>
                <w:color w:val="auto"/>
                <w:spacing w:val="0"/>
                <w:sz w:val="24"/>
                <w:szCs w:val="24"/>
                <w:highlight w:val="none"/>
                <w:lang w:val="en-US" w:eastAsia="zh-CN"/>
              </w:rPr>
              <w:t>。</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ascii="Times New Roman" w:eastAsia="宋体"/>
                <w:color w:val="auto"/>
                <w:sz w:val="24"/>
                <w:highlight w:val="none"/>
                <w:lang w:val="en-US" w:eastAsia="zh-CN"/>
              </w:rPr>
              <w:t>①</w:t>
            </w:r>
            <w:r>
              <w:rPr>
                <w:rFonts w:hint="eastAsia" w:ascii="Times New Roman" w:hAnsi="Times New Roman" w:cs="Times New Roman"/>
                <w:color w:val="auto"/>
                <w:sz w:val="24"/>
                <w:highlight w:val="none"/>
                <w:lang w:val="en-US" w:eastAsia="zh-CN"/>
              </w:rPr>
              <w:t>生活污水</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职工生活污水按用水量的80%计，则项目生活污水</w:t>
            </w:r>
            <w:r>
              <w:rPr>
                <w:rFonts w:hint="eastAsia" w:cs="Times New Roman"/>
                <w:color w:val="auto"/>
                <w:sz w:val="24"/>
                <w:highlight w:val="none"/>
                <w:lang w:val="en-US" w:eastAsia="zh-CN"/>
              </w:rPr>
              <w:t>排放量</w:t>
            </w:r>
            <w:r>
              <w:rPr>
                <w:rFonts w:hint="eastAsia" w:ascii="Times New Roman" w:hAnsi="Times New Roman" w:cs="Times New Roman"/>
                <w:color w:val="auto"/>
                <w:sz w:val="24"/>
                <w:highlight w:val="none"/>
                <w:lang w:val="en-US" w:eastAsia="zh-CN"/>
              </w:rPr>
              <w:t>为</w:t>
            </w:r>
            <w:r>
              <w:rPr>
                <w:rFonts w:hint="eastAsia" w:cs="Times New Roman"/>
                <w:color w:val="auto"/>
                <w:sz w:val="24"/>
                <w:highlight w:val="none"/>
                <w:lang w:val="en-US" w:eastAsia="zh-CN"/>
              </w:rPr>
              <w:t>1.12</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/d；本项目职工生活污水主要为职工日常洗漱废水，水质简单，</w:t>
            </w:r>
            <w:r>
              <w:rPr>
                <w:rFonts w:hint="eastAsia" w:cs="Times New Roman"/>
                <w:color w:val="auto"/>
                <w:sz w:val="24"/>
                <w:highlight w:val="none"/>
                <w:lang w:val="en-US" w:eastAsia="zh-CN"/>
              </w:rPr>
              <w:t>经化粪池处理后排入园区生活污水管网，最终进入园区污水处理站处理</w:t>
            </w:r>
            <w:r>
              <w:rPr>
                <w:rFonts w:hint="eastAsia" w:ascii="Times New Roman" w:hAnsi="Times New Roman" w:cs="Times New Roman"/>
                <w:color w:val="auto"/>
                <w:sz w:val="24"/>
                <w:highlight w:val="none"/>
                <w:lang w:val="en-US" w:eastAsia="zh-CN"/>
              </w:rPr>
              <w:t>。</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ascii="Times New Roman" w:eastAsia="宋体"/>
                <w:color w:val="auto"/>
                <w:sz w:val="24"/>
                <w:highlight w:val="none"/>
                <w:lang w:val="en-US" w:eastAsia="zh-CN"/>
              </w:rPr>
              <w:t>②</w:t>
            </w:r>
            <w:r>
              <w:rPr>
                <w:rFonts w:hint="eastAsia" w:ascii="Times New Roman" w:hAnsi="Times New Roman" w:cs="Times New Roman"/>
                <w:color w:val="auto"/>
                <w:sz w:val="24"/>
                <w:highlight w:val="none"/>
                <w:lang w:val="en-US" w:eastAsia="zh-CN"/>
              </w:rPr>
              <w:t>洗车废水</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经洗车平台沉淀池沉淀后循环使用，不外排。</w:t>
            </w:r>
          </w:p>
          <w:p>
            <w:pPr>
              <w:adjustRightInd w:val="0"/>
              <w:snapToGrid w:val="0"/>
              <w:spacing w:line="480" w:lineRule="exact"/>
              <w:ind w:firstLine="480" w:firstLineChars="200"/>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③地坪清洗废水：</w:t>
            </w:r>
            <w:r>
              <w:rPr>
                <w:rFonts w:hint="eastAsia" w:ascii="Times New Roman" w:eastAsia="宋体"/>
                <w:color w:val="auto"/>
                <w:sz w:val="24"/>
                <w:highlight w:val="none"/>
                <w:lang w:val="en-US" w:eastAsia="zh-CN"/>
              </w:rPr>
              <w:t>产污系数按0.8计算</w:t>
            </w:r>
            <w:r>
              <w:rPr>
                <w:rFonts w:hint="eastAsia" w:cs="Times New Roman"/>
                <w:color w:val="auto"/>
                <w:sz w:val="24"/>
                <w:highlight w:val="none"/>
                <w:lang w:val="en-US" w:eastAsia="zh-CN"/>
              </w:rPr>
              <w:t>，则地坪清洗废水产生量为6</w:t>
            </w:r>
            <w:r>
              <w:rPr>
                <w:rFonts w:hint="eastAsia" w:ascii="Times New Roman" w:hAnsi="Times New Roman"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，用于搅拌用水</w:t>
            </w:r>
            <w:r>
              <w:rPr>
                <w:rFonts w:hint="eastAsia" w:ascii="Times New Roman" w:hAnsi="Times New Roman"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eastAsia="宋体"/>
                <w:color w:val="auto"/>
                <w:sz w:val="24"/>
                <w:szCs w:val="32"/>
                <w:lang w:val="en-US" w:eastAsia="zh-CN"/>
              </w:rPr>
            </w:pPr>
            <w:r>
              <w:rPr>
                <w:rFonts w:hint="eastAsia"/>
                <w:color w:val="auto"/>
                <w:sz w:val="24"/>
                <w:szCs w:val="32"/>
                <w:lang w:val="en-US" w:eastAsia="zh-CN"/>
              </w:rPr>
              <w:t>④初期雨水</w:t>
            </w:r>
          </w:p>
          <w:p>
            <w:pPr>
              <w:spacing w:line="480" w:lineRule="exact"/>
              <w:ind w:firstLine="480" w:firstLineChars="200"/>
              <w:rPr>
                <w:color w:val="auto"/>
                <w:sz w:val="24"/>
              </w:rPr>
            </w:pPr>
            <w:r>
              <w:rPr>
                <w:color w:val="auto"/>
                <w:sz w:val="24"/>
              </w:rPr>
              <w:t>本项目降雨初期会产生初期雨水，对于初期雨水量，本项目收集到长治市暴雨强度公式，评价按下列公式计算：</w:t>
            </w:r>
          </w:p>
          <w:p>
            <w:pPr>
              <w:spacing w:line="480" w:lineRule="exact"/>
              <w:ind w:firstLine="420" w:firstLineChars="200"/>
              <w:rPr>
                <w:color w:val="auto"/>
                <w:sz w:val="24"/>
              </w:rPr>
            </w:pPr>
            <w:r>
              <w:rPr>
                <w:color w:val="auto"/>
                <w:position w:val="-14"/>
              </w:rPr>
              <w:drawing>
                <wp:anchor distT="0" distB="0" distL="0" distR="0" simplePos="0" relativeHeight="251660288" behindDoc="1" locked="0" layoutInCell="1" allowOverlap="1">
                  <wp:simplePos x="0" y="0"/>
                  <wp:positionH relativeFrom="column">
                    <wp:posOffset>1266825</wp:posOffset>
                  </wp:positionH>
                  <wp:positionV relativeFrom="paragraph">
                    <wp:posOffset>71755</wp:posOffset>
                  </wp:positionV>
                  <wp:extent cx="1677670" cy="440055"/>
                  <wp:effectExtent l="0" t="0" r="17780" b="17145"/>
                  <wp:wrapTight wrapText="bothSides">
                    <wp:wrapPolygon>
                      <wp:start x="8830" y="0"/>
                      <wp:lineTo x="0" y="0"/>
                      <wp:lineTo x="0" y="14026"/>
                      <wp:lineTo x="6622" y="14961"/>
                      <wp:lineTo x="6622" y="20571"/>
                      <wp:lineTo x="6868" y="20571"/>
                      <wp:lineTo x="15207" y="20571"/>
                      <wp:lineTo x="15452" y="20571"/>
                      <wp:lineTo x="15452" y="14961"/>
                      <wp:lineTo x="21338" y="14961"/>
                      <wp:lineTo x="21338" y="9351"/>
                      <wp:lineTo x="20357" y="0"/>
                      <wp:lineTo x="8830" y="0"/>
                    </wp:wrapPolygon>
                  </wp:wrapTight>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7"/>
                          <a:stretch>
                            <a:fillRect/>
                          </a:stretch>
                        </pic:blipFill>
                        <pic:spPr>
                          <a:xfrm>
                            <a:off x="0" y="0"/>
                            <a:ext cx="1678228" cy="440284"/>
                          </a:xfrm>
                          <a:prstGeom prst="rect">
                            <a:avLst/>
                          </a:prstGeom>
                        </pic:spPr>
                      </pic:pic>
                    </a:graphicData>
                  </a:graphic>
                </wp:anchor>
              </w:drawing>
            </w:r>
          </w:p>
          <w:p>
            <w:pPr>
              <w:spacing w:line="480" w:lineRule="exact"/>
              <w:ind w:firstLine="480" w:firstLineChars="200"/>
              <w:rPr>
                <w:color w:val="auto"/>
                <w:sz w:val="24"/>
              </w:rPr>
            </w:pPr>
          </w:p>
          <w:p>
            <w:pPr>
              <w:spacing w:line="480" w:lineRule="exact"/>
              <w:ind w:firstLine="480" w:firstLineChars="200"/>
              <w:rPr>
                <w:color w:val="auto"/>
                <w:sz w:val="24"/>
              </w:rPr>
            </w:pPr>
            <w:r>
              <w:rPr>
                <w:color w:val="auto"/>
                <w:sz w:val="24"/>
              </w:rPr>
              <w:t>其中：q——暴雨强度</w:t>
            </w:r>
            <w:r>
              <w:rPr>
                <w:rFonts w:hint="eastAsia"/>
                <w:color w:val="auto"/>
                <w:sz w:val="24"/>
                <w:lang w:eastAsia="zh-CN"/>
              </w:rPr>
              <w:t>（</w:t>
            </w:r>
            <w:r>
              <w:rPr>
                <w:color w:val="auto"/>
                <w:sz w:val="24"/>
              </w:rPr>
              <w:t>升/秒</w:t>
            </w:r>
            <w:r>
              <w:rPr>
                <w:rFonts w:hint="default" w:ascii="Times New Roman" w:hAnsi="Times New Roman" w:cs="Times New Roman"/>
                <w:color w:val="auto"/>
                <w:sz w:val="24"/>
                <w:lang w:val="en-US" w:eastAsia="zh-CN"/>
              </w:rPr>
              <w:t>·</w:t>
            </w:r>
            <w:r>
              <w:rPr>
                <w:color w:val="auto"/>
                <w:sz w:val="24"/>
              </w:rPr>
              <w:t>公顷</w:t>
            </w:r>
            <w:r>
              <w:rPr>
                <w:rFonts w:hint="eastAsia"/>
                <w:color w:val="auto"/>
                <w:sz w:val="24"/>
                <w:lang w:eastAsia="zh-CN"/>
              </w:rPr>
              <w:t>）</w:t>
            </w:r>
            <w:r>
              <w:rPr>
                <w:color w:val="auto"/>
                <w:sz w:val="24"/>
              </w:rPr>
              <w:t>；</w:t>
            </w:r>
          </w:p>
          <w:p>
            <w:pPr>
              <w:spacing w:line="480" w:lineRule="exact"/>
              <w:ind w:firstLine="1200" w:firstLineChars="500"/>
              <w:rPr>
                <w:color w:val="auto"/>
                <w:sz w:val="24"/>
              </w:rPr>
            </w:pPr>
            <w:r>
              <w:rPr>
                <w:rFonts w:hint="eastAsia"/>
                <w:i w:val="0"/>
                <w:iCs w:val="0"/>
                <w:color w:val="auto"/>
                <w:sz w:val="24"/>
                <w:lang w:val="en-US" w:eastAsia="zh-CN"/>
              </w:rPr>
              <w:t>T</w:t>
            </w:r>
            <w:r>
              <w:rPr>
                <w:color w:val="auto"/>
                <w:sz w:val="24"/>
              </w:rPr>
              <w:t>——暴雨重现期，取</w:t>
            </w:r>
            <w:r>
              <w:rPr>
                <w:rFonts w:hint="eastAsia"/>
                <w:color w:val="auto"/>
                <w:sz w:val="24"/>
                <w:lang w:val="en-US" w:eastAsia="zh-CN"/>
              </w:rPr>
              <w:t>2</w:t>
            </w:r>
            <w:r>
              <w:rPr>
                <w:color w:val="auto"/>
                <w:sz w:val="24"/>
              </w:rPr>
              <w:t>年；</w:t>
            </w:r>
          </w:p>
          <w:p>
            <w:pPr>
              <w:spacing w:line="480" w:lineRule="exact"/>
              <w:ind w:firstLine="1200" w:firstLineChars="500"/>
              <w:rPr>
                <w:color w:val="auto"/>
                <w:sz w:val="24"/>
              </w:rPr>
            </w:pPr>
            <w:r>
              <w:rPr>
                <w:color w:val="auto"/>
                <w:sz w:val="24"/>
              </w:rPr>
              <w:t>t——降雨历时，取15min；</w:t>
            </w:r>
          </w:p>
          <w:p>
            <w:pPr>
              <w:spacing w:line="480" w:lineRule="exact"/>
              <w:ind w:firstLine="480" w:firstLineChars="200"/>
              <w:rPr>
                <w:rFonts w:hint="eastAsia" w:eastAsia="宋体"/>
                <w:color w:val="auto"/>
                <w:sz w:val="24"/>
                <w:highlight w:val="none"/>
                <w:lang w:eastAsia="zh-CN"/>
              </w:rPr>
            </w:pPr>
            <w:r>
              <w:rPr>
                <w:color w:val="auto"/>
                <w:sz w:val="24"/>
                <w:highlight w:val="none"/>
              </w:rPr>
              <w:t>计算结果q=</w:t>
            </w:r>
            <w:r>
              <w:rPr>
                <w:rFonts w:hint="eastAsia"/>
                <w:color w:val="auto"/>
                <w:sz w:val="24"/>
                <w:highlight w:val="none"/>
                <w:lang w:val="en-US" w:eastAsia="zh-CN"/>
              </w:rPr>
              <w:t>197.19</w:t>
            </w:r>
            <w:r>
              <w:rPr>
                <w:color w:val="auto"/>
                <w:sz w:val="24"/>
                <w:highlight w:val="none"/>
              </w:rPr>
              <w:t>升/秒</w:t>
            </w:r>
            <w:r>
              <w:rPr>
                <w:rFonts w:hint="default" w:ascii="Times New Roman" w:hAnsi="Times New Roman" w:cs="Times New Roman"/>
                <w:color w:val="auto"/>
                <w:sz w:val="24"/>
                <w:highlight w:val="none"/>
                <w:lang w:val="en-US" w:eastAsia="zh-CN"/>
              </w:rPr>
              <w:t>·</w:t>
            </w:r>
            <w:r>
              <w:rPr>
                <w:color w:val="auto"/>
                <w:sz w:val="24"/>
                <w:highlight w:val="none"/>
              </w:rPr>
              <w:t>公顷</w:t>
            </w:r>
            <w:r>
              <w:rPr>
                <w:rFonts w:hint="eastAsia"/>
                <w:color w:val="auto"/>
                <w:sz w:val="24"/>
                <w:highlight w:val="none"/>
                <w:lang w:eastAsia="zh-CN"/>
              </w:rPr>
              <w:t>。</w:t>
            </w:r>
          </w:p>
          <w:p>
            <w:pPr>
              <w:spacing w:line="480" w:lineRule="exact"/>
              <w:ind w:firstLine="1200" w:firstLineChars="500"/>
              <w:jc w:val="both"/>
              <w:rPr>
                <w:i w:val="0"/>
                <w:iCs w:val="0"/>
                <w:color w:val="auto"/>
                <w:sz w:val="24"/>
              </w:rPr>
            </w:pPr>
            <w:r>
              <w:rPr>
                <w:i w:val="0"/>
                <w:iCs w:val="0"/>
                <w:color w:val="auto"/>
                <w:sz w:val="24"/>
              </w:rPr>
              <w:t>Q=qFψT</w:t>
            </w:r>
          </w:p>
          <w:p>
            <w:pPr>
              <w:spacing w:line="480" w:lineRule="exact"/>
              <w:ind w:firstLine="480" w:firstLineChars="200"/>
              <w:rPr>
                <w:rFonts w:hint="eastAsia" w:eastAsia="宋体"/>
                <w:color w:val="auto"/>
                <w:sz w:val="24"/>
                <w:lang w:eastAsia="zh-CN"/>
              </w:rPr>
            </w:pPr>
            <w:r>
              <w:rPr>
                <w:color w:val="auto"/>
                <w:sz w:val="24"/>
              </w:rPr>
              <w:t>其中：Q——雨水排放量</w:t>
            </w:r>
            <w:r>
              <w:rPr>
                <w:rFonts w:hint="eastAsia"/>
                <w:color w:val="auto"/>
                <w:sz w:val="24"/>
                <w:lang w:eastAsia="zh-CN"/>
              </w:rPr>
              <w:t>；</w:t>
            </w:r>
          </w:p>
          <w:p>
            <w:pPr>
              <w:spacing w:line="480" w:lineRule="exact"/>
              <w:ind w:firstLine="1200" w:firstLineChars="500"/>
              <w:rPr>
                <w:rFonts w:hint="eastAsia" w:eastAsia="宋体"/>
                <w:color w:val="auto"/>
                <w:sz w:val="24"/>
                <w:lang w:eastAsia="zh-CN"/>
              </w:rPr>
            </w:pPr>
            <w:r>
              <w:rPr>
                <w:color w:val="auto"/>
                <w:sz w:val="24"/>
              </w:rPr>
              <w:t>F——汇水面积</w:t>
            </w:r>
            <w:r>
              <w:rPr>
                <w:rFonts w:hint="eastAsia"/>
                <w:color w:val="auto"/>
                <w:sz w:val="24"/>
                <w:lang w:eastAsia="zh-CN"/>
              </w:rPr>
              <w:t>（</w:t>
            </w:r>
            <w:r>
              <w:rPr>
                <w:color w:val="auto"/>
                <w:sz w:val="24"/>
              </w:rPr>
              <w:t>公顷</w:t>
            </w:r>
            <w:r>
              <w:rPr>
                <w:rFonts w:hint="eastAsia"/>
                <w:color w:val="auto"/>
                <w:sz w:val="24"/>
                <w:lang w:eastAsia="zh-CN"/>
              </w:rPr>
              <w:t>）</w:t>
            </w:r>
            <w:r>
              <w:rPr>
                <w:color w:val="auto"/>
                <w:sz w:val="24"/>
              </w:rPr>
              <w:t>，</w:t>
            </w:r>
            <w:r>
              <w:rPr>
                <w:rFonts w:hint="eastAsia"/>
                <w:color w:val="auto"/>
                <w:sz w:val="24"/>
                <w:lang w:eastAsia="zh-CN"/>
              </w:rPr>
              <w:t>（</w:t>
            </w:r>
            <w:r>
              <w:rPr>
                <w:color w:val="auto"/>
                <w:sz w:val="24"/>
              </w:rPr>
              <w:t>汇水面积</w:t>
            </w:r>
            <w:r>
              <w:rPr>
                <w:rFonts w:hint="eastAsia"/>
                <w:color w:val="auto"/>
                <w:sz w:val="24"/>
                <w:highlight w:val="none"/>
                <w:lang w:val="en-US" w:eastAsia="zh-CN"/>
              </w:rPr>
              <w:t>23267m</w:t>
            </w:r>
            <w:r>
              <w:rPr>
                <w:rFonts w:hint="eastAsia"/>
                <w:color w:val="auto"/>
                <w:sz w:val="24"/>
                <w:highlight w:val="none"/>
                <w:vertAlign w:val="superscript"/>
                <w:lang w:val="en-US" w:eastAsia="zh-CN"/>
              </w:rPr>
              <w:t>2</w:t>
            </w:r>
            <w:r>
              <w:rPr>
                <w:rFonts w:hint="eastAsia"/>
                <w:color w:val="auto"/>
                <w:sz w:val="24"/>
                <w:highlight w:val="none"/>
                <w:lang w:eastAsia="zh-CN"/>
              </w:rPr>
              <w:t>）</w:t>
            </w:r>
            <w:r>
              <w:rPr>
                <w:rFonts w:hint="eastAsia"/>
                <w:color w:val="auto"/>
                <w:sz w:val="24"/>
                <w:lang w:eastAsia="zh-CN"/>
              </w:rPr>
              <w:t>；</w:t>
            </w:r>
          </w:p>
          <w:p>
            <w:pPr>
              <w:spacing w:line="480" w:lineRule="exact"/>
              <w:ind w:firstLine="1200" w:firstLineChars="500"/>
              <w:rPr>
                <w:rFonts w:hint="eastAsia" w:eastAsia="宋体"/>
                <w:color w:val="auto"/>
                <w:sz w:val="24"/>
                <w:lang w:eastAsia="zh-CN"/>
              </w:rPr>
            </w:pPr>
            <w:r>
              <w:rPr>
                <w:color w:val="auto"/>
                <w:sz w:val="24"/>
              </w:rPr>
              <w:t>Ψ——为径流系数（0.4-0.9，水泥硬化地面取0.</w:t>
            </w:r>
            <w:r>
              <w:rPr>
                <w:rFonts w:hint="eastAsia"/>
                <w:color w:val="auto"/>
                <w:sz w:val="24"/>
                <w:lang w:val="en-US" w:eastAsia="zh-CN"/>
              </w:rPr>
              <w:t>8</w:t>
            </w:r>
            <w:r>
              <w:rPr>
                <w:color w:val="auto"/>
                <w:sz w:val="24"/>
              </w:rPr>
              <w:t>）</w:t>
            </w:r>
            <w:r>
              <w:rPr>
                <w:rFonts w:hint="eastAsia"/>
                <w:color w:val="auto"/>
                <w:sz w:val="24"/>
                <w:lang w:eastAsia="zh-CN"/>
              </w:rPr>
              <w:t>；</w:t>
            </w:r>
          </w:p>
          <w:p>
            <w:pPr>
              <w:spacing w:line="480" w:lineRule="exact"/>
              <w:ind w:firstLine="1200" w:firstLineChars="500"/>
              <w:rPr>
                <w:color w:val="auto"/>
                <w:sz w:val="24"/>
              </w:rPr>
            </w:pPr>
            <w:r>
              <w:rPr>
                <w:color w:val="auto"/>
                <w:sz w:val="24"/>
              </w:rPr>
              <w:t>T——为收水时间，取15min。</w:t>
            </w:r>
          </w:p>
          <w:p>
            <w:pPr>
              <w:spacing w:line="480" w:lineRule="exact"/>
              <w:ind w:firstLine="480" w:firstLineChars="200"/>
              <w:rPr>
                <w:bCs/>
                <w:color w:val="auto"/>
                <w:spacing w:val="6"/>
                <w:sz w:val="24"/>
                <w:highlight w:val="none"/>
              </w:rPr>
            </w:pPr>
            <w:r>
              <w:rPr>
                <w:color w:val="auto"/>
                <w:sz w:val="24"/>
                <w:highlight w:val="none"/>
              </w:rPr>
              <w:t>经计算，暴雨状况下收集初期雨水量为</w:t>
            </w:r>
            <w:r>
              <w:rPr>
                <w:rFonts w:hint="eastAsia"/>
                <w:color w:val="auto"/>
                <w:sz w:val="24"/>
                <w:highlight w:val="none"/>
                <w:lang w:val="en-US" w:eastAsia="zh-CN"/>
              </w:rPr>
              <w:t>330.32</w:t>
            </w:r>
            <w:r>
              <w:rPr>
                <w:color w:val="auto"/>
                <w:sz w:val="24"/>
                <w:highlight w:val="none"/>
              </w:rPr>
              <w:t>m</w:t>
            </w:r>
            <w:r>
              <w:rPr>
                <w:color w:val="auto"/>
                <w:sz w:val="24"/>
                <w:highlight w:val="none"/>
                <w:vertAlign w:val="superscript"/>
              </w:rPr>
              <w:t>3</w:t>
            </w:r>
            <w:r>
              <w:rPr>
                <w:color w:val="auto"/>
                <w:spacing w:val="4"/>
                <w:sz w:val="24"/>
                <w:highlight w:val="none"/>
              </w:rPr>
              <w:t>，</w:t>
            </w:r>
            <w:r>
              <w:rPr>
                <w:bCs/>
                <w:color w:val="auto"/>
                <w:spacing w:val="4"/>
                <w:sz w:val="24"/>
                <w:highlight w:val="none"/>
              </w:rPr>
              <w:t>则初期雨水收集池</w:t>
            </w:r>
            <w:r>
              <w:rPr>
                <w:bCs/>
                <w:color w:val="auto"/>
                <w:spacing w:val="6"/>
                <w:sz w:val="24"/>
                <w:highlight w:val="none"/>
              </w:rPr>
              <w:t>容积取</w:t>
            </w:r>
            <w:r>
              <w:rPr>
                <w:rFonts w:hint="eastAsia"/>
                <w:bCs/>
                <w:color w:val="auto"/>
                <w:spacing w:val="6"/>
                <w:sz w:val="24"/>
                <w:highlight w:val="none"/>
                <w:lang w:val="en-US" w:eastAsia="zh-CN"/>
              </w:rPr>
              <w:t>350</w:t>
            </w:r>
            <w:r>
              <w:rPr>
                <w:bCs/>
                <w:color w:val="auto"/>
                <w:spacing w:val="6"/>
                <w:sz w:val="24"/>
                <w:highlight w:val="none"/>
              </w:rPr>
              <w:t>m</w:t>
            </w:r>
            <w:r>
              <w:rPr>
                <w:bCs/>
                <w:color w:val="auto"/>
                <w:spacing w:val="6"/>
                <w:sz w:val="24"/>
                <w:highlight w:val="none"/>
                <w:vertAlign w:val="superscript"/>
              </w:rPr>
              <w:t>3</w:t>
            </w:r>
            <w:r>
              <w:rPr>
                <w:bCs/>
                <w:color w:val="auto"/>
                <w:spacing w:val="6"/>
                <w:sz w:val="24"/>
                <w:highlight w:val="none"/>
              </w:rPr>
              <w:t>。</w:t>
            </w:r>
          </w:p>
          <w:p>
            <w:pPr>
              <w:spacing w:line="480" w:lineRule="exact"/>
              <w:ind w:firstLine="480" w:firstLineChars="200"/>
              <w:rPr>
                <w:rFonts w:hint="default" w:eastAsia="宋体"/>
                <w:color w:val="auto"/>
                <w:sz w:val="24"/>
                <w:lang w:val="en-US" w:eastAsia="zh-CN"/>
              </w:rPr>
            </w:pPr>
            <w:r>
              <w:rPr>
                <w:color w:val="auto"/>
                <w:sz w:val="24"/>
              </w:rPr>
              <w:t>评价要求在厂区地势最低处（</w:t>
            </w:r>
            <w:r>
              <w:rPr>
                <w:rFonts w:hint="eastAsia"/>
                <w:color w:val="auto"/>
                <w:sz w:val="24"/>
                <w:lang w:val="en-US" w:eastAsia="zh-CN"/>
              </w:rPr>
              <w:t>西南</w:t>
            </w:r>
            <w:r>
              <w:rPr>
                <w:color w:val="auto"/>
                <w:sz w:val="24"/>
              </w:rPr>
              <w:t>侧）设置1座</w:t>
            </w:r>
            <w:r>
              <w:rPr>
                <w:rFonts w:hint="eastAsia"/>
                <w:color w:val="auto"/>
                <w:sz w:val="24"/>
                <w:highlight w:val="none"/>
                <w:lang w:val="en-US" w:eastAsia="zh-CN"/>
              </w:rPr>
              <w:t>350</w:t>
            </w:r>
            <w:r>
              <w:rPr>
                <w:color w:val="auto"/>
                <w:sz w:val="24"/>
                <w:highlight w:val="none"/>
              </w:rPr>
              <w:t>m</w:t>
            </w:r>
            <w:r>
              <w:rPr>
                <w:color w:val="auto"/>
                <w:sz w:val="24"/>
                <w:highlight w:val="none"/>
                <w:vertAlign w:val="superscript"/>
              </w:rPr>
              <w:t>3</w:t>
            </w:r>
            <w:r>
              <w:rPr>
                <w:color w:val="auto"/>
                <w:sz w:val="24"/>
              </w:rPr>
              <w:t>的初期雨水收集池，在降雨过程中，为了避免初期雨水与后期雨水混合，收集15min的初期降雨后，通过切换闸阀将后期雨水引流出厂区。初期雨水池平时收集后的初期雨水沉淀后回用于厂区洒水抑尘，不外排。初期雨水池四周设置围栏，初期雨水收集池的设置有专门的收集渠道，利用地势特点沿</w:t>
            </w:r>
            <w:r>
              <w:rPr>
                <w:rFonts w:hint="eastAsia"/>
                <w:color w:val="auto"/>
                <w:sz w:val="24"/>
              </w:rPr>
              <w:t>建筑物</w:t>
            </w:r>
            <w:r>
              <w:rPr>
                <w:color w:val="auto"/>
                <w:sz w:val="24"/>
              </w:rPr>
              <w:t>外围布置雨水收集渠，将初期雨水收集进入收集池，</w:t>
            </w:r>
            <w:r>
              <w:rPr>
                <w:rFonts w:hint="eastAsia"/>
                <w:bCs/>
                <w:color w:val="auto"/>
                <w:sz w:val="24"/>
              </w:rPr>
              <w:t>池底部及内壁采取防渗措施</w:t>
            </w:r>
            <w:r>
              <w:rPr>
                <w:color w:val="auto"/>
                <w:sz w:val="24"/>
              </w:rPr>
              <w:t>。</w:t>
            </w:r>
            <w:r>
              <w:rPr>
                <w:rFonts w:hint="eastAsia"/>
                <w:color w:val="auto"/>
                <w:sz w:val="24"/>
                <w:lang w:val="en-US" w:eastAsia="zh-CN"/>
              </w:rPr>
              <w:t>雨水排放口位于初期雨水收集池北侧，设有专人负责开关阀门，并设有监视设施。</w:t>
            </w:r>
          </w:p>
          <w:p>
            <w:pPr>
              <w:widowControl/>
              <w:adjustRightInd w:val="0"/>
              <w:snapToGrid w:val="0"/>
              <w:spacing w:line="480" w:lineRule="exact"/>
              <w:ind w:firstLine="480" w:firstLineChars="200"/>
              <w:rPr>
                <w:color w:val="auto"/>
                <w:sz w:val="24"/>
                <w:lang w:bidi="ar"/>
              </w:rPr>
            </w:pPr>
            <w:r>
              <w:rPr>
                <w:rFonts w:hint="eastAsia"/>
                <w:color w:val="auto"/>
                <w:kern w:val="0"/>
                <w:sz w:val="24"/>
              </w:rPr>
              <w:t>综上分析，</w:t>
            </w:r>
            <w:r>
              <w:rPr>
                <w:color w:val="auto"/>
                <w:sz w:val="24"/>
                <w:lang w:bidi="ar"/>
              </w:rPr>
              <w:t>经过上述的废水处理设施后</w:t>
            </w:r>
            <w:r>
              <w:rPr>
                <w:rFonts w:hint="eastAsia" w:hAnsi="宋体"/>
                <w:color w:val="auto"/>
                <w:kern w:val="0"/>
                <w:sz w:val="24"/>
              </w:rPr>
              <w:t>，无废水外排，不会对区域内的水环境造成影响</w:t>
            </w:r>
            <w:r>
              <w:rPr>
                <w:color w:val="auto"/>
                <w:sz w:val="24"/>
                <w:lang w:bidi="ar"/>
              </w:rPr>
              <w:t>。</w:t>
            </w:r>
          </w:p>
          <w:p>
            <w:pPr>
              <w:spacing w:line="480" w:lineRule="exact"/>
              <w:rPr>
                <w:rFonts w:hint="eastAsia" w:eastAsia="宋体"/>
                <w:color w:val="auto"/>
                <w:highlight w:val="none"/>
                <w:vertAlign w:val="baseline"/>
                <w:lang w:val="en-US" w:eastAsia="zh-CN"/>
              </w:rPr>
            </w:pPr>
          </w:p>
          <w:p>
            <w:pPr>
              <w:rPr>
                <w:rFonts w:hint="eastAsia"/>
                <w:color w:val="auto"/>
                <w:lang w:val="en-US" w:eastAsia="zh-CN"/>
              </w:rPr>
            </w:pPr>
          </w:p>
          <w:p>
            <w:pPr>
              <w:pStyle w:val="25"/>
              <w:rPr>
                <w:rFonts w:hint="eastAsia"/>
                <w:color w:val="auto"/>
                <w:lang w:val="en-US" w:eastAsia="zh-CN"/>
              </w:rPr>
            </w:pPr>
          </w:p>
          <w:p>
            <w:pPr>
              <w:pStyle w:val="12"/>
              <w:rPr>
                <w:rFonts w:hint="eastAsia"/>
                <w:color w:val="auto"/>
                <w:lang w:val="en-US" w:eastAsia="zh-CN"/>
              </w:rPr>
            </w:pPr>
          </w:p>
          <w:p>
            <w:pPr>
              <w:rPr>
                <w:rFonts w:hint="eastAsia"/>
                <w:color w:val="auto"/>
                <w:lang w:val="en-US" w:eastAsia="zh-CN"/>
              </w:rPr>
            </w:pPr>
          </w:p>
          <w:p>
            <w:pPr>
              <w:spacing w:line="480" w:lineRule="exact"/>
              <w:rPr>
                <w:rFonts w:hint="default" w:eastAsia="宋体"/>
                <w:color w:val="auto"/>
                <w:highlight w:val="none"/>
                <w:vertAlign w:val="baseline"/>
                <w:lang w:val="en-US" w:eastAsia="zh-CN"/>
              </w:rPr>
            </w:pPr>
          </w:p>
        </w:tc>
      </w:tr>
    </w:tbl>
    <w:p>
      <w:pPr>
        <w:pStyle w:val="38"/>
        <w:sectPr>
          <w:pgSz w:w="11906" w:h="16838"/>
          <w:pgMar w:top="1701" w:right="1531" w:bottom="1701" w:left="1531" w:header="1134" w:footer="992" w:gutter="0"/>
          <w:pgBorders>
            <w:top w:val="none" w:sz="0" w:space="0"/>
            <w:left w:val="none" w:sz="0" w:space="0"/>
            <w:bottom w:val="none" w:sz="0" w:space="0"/>
            <w:right w:val="none" w:sz="0" w:space="0"/>
          </w:pgBorders>
          <w:cols w:space="425" w:num="1"/>
          <w:docGrid w:type="lines" w:linePitch="312" w:charSpace="0"/>
        </w:sectPr>
      </w:pPr>
    </w:p>
    <w:tbl>
      <w:tblPr>
        <w:tblStyle w:val="29"/>
        <w:tblW w:w="14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4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1" w:hRule="atLeast"/>
          <w:jc w:val="center"/>
        </w:trPr>
        <w:tc>
          <w:tcPr>
            <w:tcW w:w="554" w:type="dxa"/>
            <w:tcBorders>
              <w:tl2br w:val="nil"/>
              <w:tr2bl w:val="nil"/>
            </w:tcBorders>
            <w:vAlign w:val="center"/>
          </w:tcPr>
          <w:p>
            <w:pPr>
              <w:adjustRightInd w:val="0"/>
              <w:snapToGrid w:val="0"/>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运营</w:t>
            </w:r>
          </w:p>
          <w:p>
            <w:pPr>
              <w:adjustRightInd w:val="0"/>
              <w:snapToGrid w:val="0"/>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期环</w:t>
            </w:r>
          </w:p>
          <w:p>
            <w:pPr>
              <w:adjustRightInd w:val="0"/>
              <w:snapToGrid w:val="0"/>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境影</w:t>
            </w:r>
          </w:p>
          <w:p>
            <w:pPr>
              <w:adjustRightInd w:val="0"/>
              <w:snapToGrid w:val="0"/>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响和</w:t>
            </w:r>
          </w:p>
          <w:p>
            <w:pPr>
              <w:adjustRightInd w:val="0"/>
              <w:snapToGrid w:val="0"/>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保护</w:t>
            </w:r>
          </w:p>
          <w:p>
            <w:pPr>
              <w:adjustRightInd w:val="0"/>
              <w:snapToGrid w:val="0"/>
              <w:jc w:val="center"/>
              <w:rPr>
                <w:rFonts w:hint="eastAsia" w:ascii="Times New Roman" w:hAnsi="Times New Roman" w:eastAsia="宋体" w:cs="Times New Roman"/>
                <w:b/>
                <w:bCs w:val="0"/>
                <w:color w:val="auto"/>
                <w:spacing w:val="-10"/>
                <w:sz w:val="24"/>
                <w:szCs w:val="24"/>
                <w:highlight w:val="none"/>
                <w:vertAlign w:val="baseline"/>
                <w:lang w:val="en-US" w:eastAsia="zh-CN"/>
              </w:rPr>
            </w:pPr>
            <w:r>
              <w:rPr>
                <w:rFonts w:hint="default" w:ascii="Times New Roman" w:hAnsi="Times New Roman" w:eastAsia="宋体" w:cs="Times New Roman"/>
                <w:b w:val="0"/>
                <w:bCs/>
                <w:color w:val="auto"/>
                <w:sz w:val="24"/>
                <w:szCs w:val="24"/>
                <w:highlight w:val="none"/>
                <w:lang w:val="en-US" w:eastAsia="zh-CN"/>
              </w:rPr>
              <w:t>措施</w:t>
            </w:r>
          </w:p>
        </w:tc>
        <w:tc>
          <w:tcPr>
            <w:tcW w:w="14186" w:type="dxa"/>
            <w:tcBorders>
              <w:tl2br w:val="nil"/>
              <w:tr2bl w:val="nil"/>
            </w:tcBorders>
          </w:tcPr>
          <w:p>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rPr>
            </w:pPr>
            <w:r>
              <w:rPr>
                <w:rFonts w:hint="eastAsia" w:cs="Times New Roman"/>
                <w:b/>
                <w:color w:val="auto"/>
                <w:sz w:val="24"/>
                <w:szCs w:val="24"/>
                <w:highlight w:val="none"/>
                <w:lang w:val="en-US" w:eastAsia="zh-CN"/>
              </w:rPr>
              <w:t>三、</w:t>
            </w:r>
            <w:r>
              <w:rPr>
                <w:rFonts w:hint="eastAsia" w:ascii="Times New Roman" w:hAnsi="Times New Roman" w:eastAsia="宋体" w:cs="Times New Roman"/>
                <w:b/>
                <w:color w:val="auto"/>
                <w:sz w:val="24"/>
                <w:szCs w:val="24"/>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噪声源分析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w:t>
            </w:r>
            <w:r>
              <w:rPr>
                <w:rFonts w:hint="eastAsia" w:ascii="Times New Roman" w:hAnsi="Times New Roman" w:eastAsia="宋体" w:cs="Times New Roman"/>
                <w:color w:val="auto"/>
                <w:sz w:val="24"/>
                <w:highlight w:val="none"/>
                <w:lang w:eastAsia="zh-CN"/>
              </w:rPr>
              <w:t>项目</w:t>
            </w:r>
            <w:r>
              <w:rPr>
                <w:rFonts w:hint="eastAsia" w:ascii="Times New Roman" w:hAnsi="Times New Roman" w:eastAsia="宋体" w:cs="Times New Roman"/>
                <w:color w:val="auto"/>
                <w:sz w:val="24"/>
                <w:highlight w:val="none"/>
                <w:lang w:val="en-US" w:eastAsia="zh-CN"/>
              </w:rPr>
              <w:t>噪声源强</w:t>
            </w:r>
            <w:r>
              <w:rPr>
                <w:rFonts w:hint="eastAsia" w:ascii="Times New Roman" w:hAnsi="Times New Roman" w:eastAsia="宋体" w:cs="Times New Roman"/>
                <w:color w:val="auto"/>
                <w:sz w:val="24"/>
                <w:highlight w:val="none"/>
                <w:lang w:eastAsia="zh-CN"/>
              </w:rPr>
              <w:t>见</w:t>
            </w:r>
            <w:r>
              <w:rPr>
                <w:rFonts w:hint="eastAsia" w:ascii="Times New Roman" w:hAnsi="Times New Roman" w:eastAsia="宋体" w:cs="Times New Roman"/>
                <w:color w:val="auto"/>
                <w:sz w:val="24"/>
                <w:highlight w:val="none"/>
                <w:lang w:val="en-US" w:eastAsia="zh-CN"/>
              </w:rPr>
              <w:t>表4</w:t>
            </w:r>
            <w:r>
              <w:rPr>
                <w:rFonts w:hint="eastAsia" w:cs="Times New Roman"/>
                <w:color w:val="auto"/>
                <w:sz w:val="24"/>
                <w:highlight w:val="none"/>
                <w:lang w:val="en-US" w:eastAsia="zh-CN"/>
              </w:rPr>
              <w:t>-9</w:t>
            </w:r>
            <w:r>
              <w:rPr>
                <w:rFonts w:hint="default" w:ascii="Times New Roman" w:hAnsi="Times New Roman" w:eastAsia="宋体" w:cs="Times New Roman"/>
                <w:color w:val="auto"/>
                <w:spacing w:val="4"/>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ascii="宋体" w:hAnsi="宋体" w:eastAsia="宋体" w:cs="宋体"/>
                <w:b/>
                <w:bCs/>
                <w:color w:val="auto"/>
                <w:spacing w:val="0"/>
                <w:kern w:val="2"/>
                <w:sz w:val="21"/>
                <w:szCs w:val="21"/>
                <w:highlight w:val="none"/>
                <w:lang w:val="en-US" w:eastAsia="zh-CN" w:bidi="ar-SA"/>
              </w:rPr>
            </w:pPr>
            <w:r>
              <w:rPr>
                <w:rFonts w:hint="eastAsia" w:ascii="宋体" w:hAnsi="宋体" w:eastAsia="宋体" w:cs="宋体"/>
                <w:b/>
                <w:bCs/>
                <w:color w:val="auto"/>
                <w:spacing w:val="0"/>
                <w:kern w:val="2"/>
                <w:sz w:val="21"/>
                <w:szCs w:val="21"/>
                <w:highlight w:val="none"/>
                <w:lang w:val="en-US" w:eastAsia="zh-CN" w:bidi="ar-SA"/>
              </w:rPr>
              <w:t>表</w:t>
            </w:r>
            <w:r>
              <w:rPr>
                <w:rFonts w:hint="default" w:ascii="Times New Roman" w:hAnsi="Times New Roman" w:eastAsia="宋体" w:cs="Times New Roman"/>
                <w:b/>
                <w:bCs/>
                <w:color w:val="auto"/>
                <w:spacing w:val="0"/>
                <w:kern w:val="2"/>
                <w:sz w:val="21"/>
                <w:szCs w:val="21"/>
                <w:highlight w:val="none"/>
                <w:lang w:val="en-US" w:eastAsia="zh-CN" w:bidi="ar-SA"/>
              </w:rPr>
              <w:t>4-</w:t>
            </w:r>
            <w:r>
              <w:rPr>
                <w:rFonts w:hint="eastAsia" w:cs="Times New Roman"/>
                <w:b/>
                <w:bCs/>
                <w:color w:val="auto"/>
                <w:spacing w:val="0"/>
                <w:kern w:val="2"/>
                <w:sz w:val="21"/>
                <w:szCs w:val="21"/>
                <w:highlight w:val="none"/>
                <w:lang w:val="en-US" w:eastAsia="zh-CN" w:bidi="ar-SA"/>
              </w:rPr>
              <w:t>9</w:t>
            </w:r>
            <w:r>
              <w:rPr>
                <w:rFonts w:hint="eastAsia" w:ascii="宋体" w:hAnsi="宋体" w:eastAsia="宋体" w:cs="宋体"/>
                <w:b/>
                <w:bCs/>
                <w:color w:val="auto"/>
                <w:spacing w:val="0"/>
                <w:kern w:val="2"/>
                <w:sz w:val="21"/>
                <w:szCs w:val="21"/>
                <w:highlight w:val="none"/>
                <w:lang w:val="en-US" w:eastAsia="zh-CN" w:bidi="ar-SA"/>
              </w:rPr>
              <w:t xml:space="preserve">  室内噪声源源强调查清单</w:t>
            </w:r>
          </w:p>
          <w:tbl>
            <w:tblPr>
              <w:tblStyle w:val="28"/>
              <w:tblW w:w="49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745"/>
              <w:gridCol w:w="1835"/>
              <w:gridCol w:w="1110"/>
              <w:gridCol w:w="1110"/>
              <w:gridCol w:w="915"/>
              <w:gridCol w:w="736"/>
              <w:gridCol w:w="571"/>
              <w:gridCol w:w="546"/>
              <w:gridCol w:w="875"/>
              <w:gridCol w:w="947"/>
              <w:gridCol w:w="838"/>
              <w:gridCol w:w="1081"/>
              <w:gridCol w:w="976"/>
              <w:gridCol w:w="1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序号</w:t>
                  </w:r>
                </w:p>
              </w:tc>
              <w:tc>
                <w:tcPr>
                  <w:tcW w:w="267"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建筑物</w:t>
                  </w:r>
                  <w:r>
                    <w:rPr>
                      <w:rFonts w:ascii="Times New Roman" w:hAnsi="Times New Roman" w:eastAsia="宋体" w:cs="Times New Roman"/>
                      <w:b/>
                      <w:bCs/>
                      <w:color w:val="auto"/>
                      <w:spacing w:val="0"/>
                      <w:sz w:val="21"/>
                      <w:szCs w:val="21"/>
                      <w:highlight w:val="none"/>
                    </w:rPr>
                    <w:t>名称</w:t>
                  </w:r>
                </w:p>
              </w:tc>
              <w:tc>
                <w:tcPr>
                  <w:tcW w:w="658"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声源</w:t>
                  </w:r>
                  <w:r>
                    <w:rPr>
                      <w:rFonts w:ascii="Times New Roman" w:hAnsi="Times New Roman" w:eastAsia="宋体" w:cs="Times New Roman"/>
                      <w:b/>
                      <w:bCs/>
                      <w:color w:val="auto"/>
                      <w:spacing w:val="0"/>
                      <w:sz w:val="21"/>
                      <w:szCs w:val="21"/>
                      <w:highlight w:val="none"/>
                    </w:rPr>
                    <w:t>名称</w:t>
                  </w:r>
                </w:p>
              </w:tc>
              <w:tc>
                <w:tcPr>
                  <w:tcW w:w="398"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数量</w:t>
                  </w:r>
                  <w:r>
                    <w:rPr>
                      <w:rFonts w:hint="eastAsia" w:cs="Times New Roman"/>
                      <w:b/>
                      <w:bCs/>
                      <w:color w:val="auto"/>
                      <w:spacing w:val="0"/>
                      <w:sz w:val="21"/>
                      <w:szCs w:val="21"/>
                      <w:highlight w:val="none"/>
                      <w:lang w:val="en-US" w:eastAsia="zh-CN"/>
                    </w:rPr>
                    <w:t>（</w:t>
                  </w:r>
                  <w:r>
                    <w:rPr>
                      <w:rFonts w:hint="eastAsia" w:ascii="Times New Roman" w:hAnsi="Times New Roman" w:eastAsia="宋体" w:cs="Times New Roman"/>
                      <w:b/>
                      <w:bCs/>
                      <w:color w:val="auto"/>
                      <w:spacing w:val="0"/>
                      <w:sz w:val="21"/>
                      <w:szCs w:val="21"/>
                      <w:highlight w:val="none"/>
                      <w:lang w:val="en-US" w:eastAsia="zh-CN"/>
                    </w:rPr>
                    <w:t>台/套）</w:t>
                  </w:r>
                </w:p>
              </w:tc>
              <w:tc>
                <w:tcPr>
                  <w:tcW w:w="398"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声功率级</w:t>
                  </w:r>
                  <w:r>
                    <w:rPr>
                      <w:rFonts w:ascii="Times New Roman" w:hAnsi="Times New Roman" w:eastAsia="宋体" w:cs="Times New Roman"/>
                      <w:b/>
                      <w:bCs/>
                      <w:color w:val="auto"/>
                      <w:spacing w:val="0"/>
                      <w:sz w:val="21"/>
                      <w:szCs w:val="21"/>
                      <w:highlight w:val="none"/>
                    </w:rPr>
                    <w:t>dB</w:t>
                  </w:r>
                  <w:r>
                    <w:rPr>
                      <w:rFonts w:hint="eastAsia" w:ascii="Times New Roman" w:hAnsi="Times New Roman" w:eastAsia="宋体" w:cs="Times New Roman"/>
                      <w:b/>
                      <w:bCs/>
                      <w:color w:val="auto"/>
                      <w:spacing w:val="0"/>
                      <w:sz w:val="21"/>
                      <w:szCs w:val="21"/>
                      <w:highlight w:val="none"/>
                    </w:rPr>
                    <w:t>(</w:t>
                  </w:r>
                  <w:r>
                    <w:rPr>
                      <w:rFonts w:ascii="Times New Roman" w:hAnsi="Times New Roman" w:eastAsia="宋体" w:cs="Times New Roman"/>
                      <w:b/>
                      <w:bCs/>
                      <w:color w:val="auto"/>
                      <w:spacing w:val="0"/>
                      <w:sz w:val="21"/>
                      <w:szCs w:val="21"/>
                      <w:highlight w:val="none"/>
                    </w:rPr>
                    <w:t>A</w:t>
                  </w:r>
                  <w:r>
                    <w:rPr>
                      <w:rFonts w:hint="eastAsia" w:ascii="Times New Roman" w:hAnsi="Times New Roman" w:eastAsia="宋体" w:cs="Times New Roman"/>
                      <w:b/>
                      <w:bCs/>
                      <w:color w:val="auto"/>
                      <w:spacing w:val="0"/>
                      <w:sz w:val="21"/>
                      <w:szCs w:val="21"/>
                      <w:highlight w:val="none"/>
                    </w:rPr>
                    <w:t>)</w:t>
                  </w:r>
                </w:p>
              </w:tc>
              <w:tc>
                <w:tcPr>
                  <w:tcW w:w="328"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声源</w:t>
                  </w:r>
                  <w:r>
                    <w:rPr>
                      <w:rFonts w:ascii="Times New Roman" w:hAnsi="Times New Roman" w:eastAsia="宋体" w:cs="Times New Roman"/>
                      <w:b/>
                      <w:bCs/>
                      <w:color w:val="auto"/>
                      <w:spacing w:val="0"/>
                      <w:sz w:val="21"/>
                      <w:szCs w:val="21"/>
                      <w:highlight w:val="none"/>
                    </w:rPr>
                    <w:t>控制措施</w:t>
                  </w:r>
                </w:p>
              </w:tc>
              <w:tc>
                <w:tcPr>
                  <w:tcW w:w="665"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空间</w:t>
                  </w:r>
                  <w:r>
                    <w:rPr>
                      <w:rFonts w:ascii="Times New Roman" w:hAnsi="Times New Roman" w:eastAsia="宋体" w:cs="Times New Roman"/>
                      <w:b/>
                      <w:bCs/>
                      <w:color w:val="auto"/>
                      <w:spacing w:val="0"/>
                      <w:sz w:val="21"/>
                      <w:szCs w:val="21"/>
                      <w:highlight w:val="none"/>
                    </w:rPr>
                    <w:t>相对位置</w:t>
                  </w:r>
                  <w:r>
                    <w:rPr>
                      <w:rFonts w:hint="eastAsia" w:ascii="Times New Roman" w:hAnsi="Times New Roman" w:eastAsia="宋体" w:cs="Times New Roman"/>
                      <w:b/>
                      <w:bCs/>
                      <w:color w:val="auto"/>
                      <w:spacing w:val="0"/>
                      <w:sz w:val="21"/>
                      <w:szCs w:val="21"/>
                      <w:highlight w:val="none"/>
                    </w:rPr>
                    <w:t>/m</w:t>
                  </w:r>
                </w:p>
              </w:tc>
              <w:tc>
                <w:tcPr>
                  <w:tcW w:w="314"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距</w:t>
                  </w:r>
                  <w:r>
                    <w:rPr>
                      <w:rFonts w:ascii="Times New Roman" w:hAnsi="Times New Roman" w:eastAsia="宋体" w:cs="Times New Roman"/>
                      <w:b/>
                      <w:bCs/>
                      <w:color w:val="auto"/>
                      <w:spacing w:val="0"/>
                      <w:sz w:val="21"/>
                      <w:szCs w:val="21"/>
                      <w:highlight w:val="none"/>
                    </w:rPr>
                    <w:t>室内边界距离</w:t>
                  </w:r>
                  <w:r>
                    <w:rPr>
                      <w:rFonts w:hint="eastAsia" w:ascii="Times New Roman" w:hAnsi="Times New Roman" w:eastAsia="宋体" w:cs="Times New Roman"/>
                      <w:b/>
                      <w:bCs/>
                      <w:color w:val="auto"/>
                      <w:spacing w:val="0"/>
                      <w:sz w:val="21"/>
                      <w:szCs w:val="21"/>
                      <w:highlight w:val="none"/>
                    </w:rPr>
                    <w:t>/m</w:t>
                  </w:r>
                </w:p>
              </w:tc>
              <w:tc>
                <w:tcPr>
                  <w:tcW w:w="339"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室内边界声级dB(A)</w:t>
                  </w:r>
                </w:p>
              </w:tc>
              <w:tc>
                <w:tcPr>
                  <w:tcW w:w="300"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运行</w:t>
                  </w:r>
                  <w:r>
                    <w:rPr>
                      <w:rFonts w:ascii="Times New Roman" w:hAnsi="Times New Roman" w:eastAsia="宋体" w:cs="Times New Roman"/>
                      <w:b/>
                      <w:bCs/>
                      <w:color w:val="auto"/>
                      <w:spacing w:val="0"/>
                      <w:sz w:val="21"/>
                      <w:szCs w:val="21"/>
                      <w:highlight w:val="none"/>
                    </w:rPr>
                    <w:t>时段</w:t>
                  </w:r>
                </w:p>
              </w:tc>
              <w:tc>
                <w:tcPr>
                  <w:tcW w:w="388"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建筑物</w:t>
                  </w:r>
                  <w:r>
                    <w:rPr>
                      <w:rFonts w:ascii="Times New Roman" w:hAnsi="Times New Roman" w:eastAsia="宋体" w:cs="Times New Roman"/>
                      <w:b/>
                      <w:bCs/>
                      <w:color w:val="auto"/>
                      <w:spacing w:val="0"/>
                      <w:sz w:val="21"/>
                      <w:szCs w:val="21"/>
                      <w:highlight w:val="none"/>
                    </w:rPr>
                    <w:t>插入损失</w:t>
                  </w:r>
                  <w:r>
                    <w:rPr>
                      <w:rFonts w:hint="eastAsia" w:ascii="Times New Roman" w:hAnsi="Times New Roman" w:eastAsia="宋体" w:cs="Times New Roman"/>
                      <w:b/>
                      <w:bCs/>
                      <w:color w:val="auto"/>
                      <w:spacing w:val="0"/>
                      <w:sz w:val="21"/>
                      <w:szCs w:val="21"/>
                      <w:highlight w:val="none"/>
                    </w:rPr>
                    <w:t>d</w:t>
                  </w:r>
                  <w:r>
                    <w:rPr>
                      <w:rFonts w:ascii="Times New Roman" w:hAnsi="Times New Roman" w:eastAsia="宋体" w:cs="Times New Roman"/>
                      <w:b/>
                      <w:bCs/>
                      <w:color w:val="auto"/>
                      <w:spacing w:val="0"/>
                      <w:sz w:val="21"/>
                      <w:szCs w:val="21"/>
                      <w:highlight w:val="none"/>
                    </w:rPr>
                    <w:t>B</w:t>
                  </w:r>
                  <w:r>
                    <w:rPr>
                      <w:rFonts w:hint="eastAsia" w:ascii="Times New Roman" w:hAnsi="Times New Roman" w:eastAsia="宋体" w:cs="Times New Roman"/>
                      <w:b/>
                      <w:bCs/>
                      <w:color w:val="auto"/>
                      <w:spacing w:val="0"/>
                      <w:sz w:val="21"/>
                      <w:szCs w:val="21"/>
                      <w:highlight w:val="none"/>
                    </w:rPr>
                    <w:t>(</w:t>
                  </w:r>
                  <w:r>
                    <w:rPr>
                      <w:rFonts w:ascii="Times New Roman" w:hAnsi="Times New Roman" w:eastAsia="宋体" w:cs="Times New Roman"/>
                      <w:b/>
                      <w:bCs/>
                      <w:color w:val="auto"/>
                      <w:spacing w:val="0"/>
                      <w:sz w:val="21"/>
                      <w:szCs w:val="21"/>
                      <w:highlight w:val="none"/>
                    </w:rPr>
                    <w:t>A)</w:t>
                  </w:r>
                </w:p>
              </w:tc>
              <w:tc>
                <w:tcPr>
                  <w:tcW w:w="752" w:type="pct"/>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建筑物</w:t>
                  </w:r>
                  <w:r>
                    <w:rPr>
                      <w:rFonts w:ascii="Times New Roman" w:hAnsi="Times New Roman" w:eastAsia="宋体" w:cs="Times New Roman"/>
                      <w:b/>
                      <w:bCs/>
                      <w:color w:val="auto"/>
                      <w:spacing w:val="0"/>
                      <w:sz w:val="21"/>
                      <w:szCs w:val="21"/>
                      <w:highlight w:val="none"/>
                    </w:rPr>
                    <w:t>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7"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65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9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9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X</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Y</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1"/>
                      <w:szCs w:val="21"/>
                      <w:highlight w:val="none"/>
                    </w:rPr>
                    <w:t>Z</w:t>
                  </w:r>
                </w:p>
              </w:tc>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3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rPr>
                  </w:pP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8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5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声压级dB(A)</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rPr>
                    <w:t>建筑物</w:t>
                  </w:r>
                  <w:r>
                    <w:rPr>
                      <w:rFonts w:ascii="Times New Roman" w:hAnsi="Times New Roman" w:eastAsia="宋体" w:cs="Times New Roman"/>
                      <w:b/>
                      <w:bCs/>
                      <w:color w:val="auto"/>
                      <w:spacing w:val="0"/>
                      <w:sz w:val="21"/>
                      <w:szCs w:val="21"/>
                      <w:highlight w:val="none"/>
                    </w:rPr>
                    <w:t>外距离</w:t>
                  </w:r>
                  <w:r>
                    <w:rPr>
                      <w:rFonts w:hint="eastAsia" w:ascii="Times New Roman" w:hAnsi="Times New Roman" w:eastAsia="宋体" w:cs="Times New Roman"/>
                      <w:b/>
                      <w:bCs/>
                      <w:color w:val="auto"/>
                      <w:spacing w:val="0"/>
                      <w:sz w:val="21"/>
                      <w:szCs w:val="21"/>
                      <w:highlight w:val="no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c>
                <w:tcPr>
                  <w:tcW w:w="267" w:type="pct"/>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r>
                    <w:rPr>
                      <w:rFonts w:hint="eastAsia" w:ascii="Calibri" w:hAnsi="Calibri" w:cs="Times New Roman"/>
                      <w:color w:val="auto"/>
                      <w:spacing w:val="0"/>
                      <w:kern w:val="0"/>
                      <w:sz w:val="21"/>
                      <w:szCs w:val="21"/>
                      <w:highlight w:val="none"/>
                      <w:lang w:val="en-US" w:eastAsia="zh-CN"/>
                    </w:rPr>
                    <w:t>生产</w:t>
                  </w:r>
                  <w:r>
                    <w:rPr>
                      <w:rFonts w:hint="eastAsia" w:ascii="Calibri" w:hAnsi="Calibri" w:eastAsia="宋体" w:cs="Times New Roman"/>
                      <w:color w:val="auto"/>
                      <w:spacing w:val="0"/>
                      <w:kern w:val="0"/>
                      <w:sz w:val="21"/>
                      <w:szCs w:val="21"/>
                      <w:highlight w:val="none"/>
                      <w:lang w:val="en-US" w:eastAsia="zh-CN"/>
                    </w:rPr>
                    <w:t>车间</w:t>
                  </w: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b w:val="0"/>
                      <w:bCs/>
                      <w:color w:val="auto"/>
                      <w:sz w:val="21"/>
                      <w:szCs w:val="21"/>
                      <w:highlight w:val="none"/>
                      <w:vertAlign w:val="baseline"/>
                      <w:lang w:val="en-US" w:eastAsia="zh-CN"/>
                    </w:rPr>
                    <w:t>给料机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328"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rPr>
                  </w:pPr>
                  <w:r>
                    <w:rPr>
                      <w:rFonts w:hint="eastAsia" w:ascii="Times New Roman" w:hAnsi="Times New Roman" w:eastAsia="宋体" w:cs="Times New Roman"/>
                      <w:color w:val="auto"/>
                      <w:spacing w:val="0"/>
                      <w:sz w:val="21"/>
                      <w:szCs w:val="21"/>
                      <w:highlight w:val="none"/>
                    </w:rPr>
                    <w:t>采用低噪声设备；减振；</w:t>
                  </w:r>
                  <w:r>
                    <w:rPr>
                      <w:rFonts w:hint="eastAsia" w:ascii="Times New Roman" w:hAnsi="Times New Roman" w:eastAsia="宋体" w:cs="Times New Roman"/>
                      <w:color w:val="auto"/>
                      <w:spacing w:val="0"/>
                      <w:sz w:val="21"/>
                      <w:szCs w:val="21"/>
                      <w:highlight w:val="none"/>
                      <w:lang w:val="en-US" w:eastAsia="zh-CN"/>
                    </w:rPr>
                    <w:t>隔声；风机出口安装消声器；定期维护</w:t>
                  </w: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108</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42</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30</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40.5</w:t>
                  </w:r>
                </w:p>
              </w:tc>
              <w:tc>
                <w:tcPr>
                  <w:tcW w:w="300"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eastAsia="宋体"/>
                      <w:color w:val="auto"/>
                      <w:spacing w:val="0"/>
                      <w:sz w:val="21"/>
                      <w:szCs w:val="21"/>
                      <w:highlight w:val="none"/>
                      <w:lang w:val="en-US" w:eastAsia="zh-CN"/>
                    </w:rPr>
                  </w:pPr>
                  <w:r>
                    <w:rPr>
                      <w:rFonts w:hint="eastAsia"/>
                      <w:color w:val="auto"/>
                      <w:spacing w:val="0"/>
                      <w:sz w:val="21"/>
                      <w:szCs w:val="21"/>
                      <w:highlight w:val="none"/>
                      <w:lang w:val="en-US" w:eastAsia="zh-CN"/>
                    </w:rPr>
                    <w:t>8</w:t>
                  </w:r>
                  <w:r>
                    <w:rPr>
                      <w:rFonts w:hint="eastAsia" w:eastAsia="宋体"/>
                      <w:color w:val="auto"/>
                      <w:spacing w:val="0"/>
                      <w:sz w:val="21"/>
                      <w:szCs w:val="21"/>
                      <w:highlight w:val="none"/>
                      <w:lang w:val="en-US" w:eastAsia="zh-CN"/>
                    </w:rPr>
                    <w:t>:00~</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olor w:val="auto"/>
                      <w:spacing w:val="0"/>
                      <w:sz w:val="21"/>
                      <w:szCs w:val="21"/>
                      <w:highlight w:val="none"/>
                      <w:lang w:val="en-US" w:eastAsia="zh-CN"/>
                    </w:rPr>
                    <w:t>22:00</w:t>
                  </w: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20.5</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2</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b w:val="0"/>
                      <w:bCs/>
                      <w:color w:val="auto"/>
                      <w:sz w:val="21"/>
                      <w:szCs w:val="21"/>
                      <w:highlight w:val="none"/>
                      <w:vertAlign w:val="baseline"/>
                      <w:lang w:val="en-US" w:eastAsia="zh-CN"/>
                    </w:rPr>
                    <w:t>给料机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120</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42</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41.1</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宋体" w:hAnsi="宋体" w:eastAsia="宋体" w:cs="宋体"/>
                      <w:bCs w:val="0"/>
                      <w:color w:val="auto"/>
                      <w:kern w:val="0"/>
                      <w:sz w:val="21"/>
                      <w:szCs w:val="21"/>
                      <w:highlight w:val="none"/>
                      <w:lang w:val="en-US" w:eastAsia="zh-CN"/>
                    </w:rPr>
                    <w:t>振动筛</w:t>
                  </w:r>
                </w:p>
              </w:tc>
              <w:tc>
                <w:tcPr>
                  <w:tcW w:w="39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c>
                <w:tcPr>
                  <w:tcW w:w="39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64"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130</w:t>
                  </w:r>
                </w:p>
              </w:tc>
              <w:tc>
                <w:tcPr>
                  <w:tcW w:w="204"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45</w:t>
                  </w:r>
                </w:p>
              </w:tc>
              <w:tc>
                <w:tcPr>
                  <w:tcW w:w="196"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w:t>
                  </w:r>
                </w:p>
              </w:tc>
              <w:tc>
                <w:tcPr>
                  <w:tcW w:w="314"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c>
                <w:tcPr>
                  <w:tcW w:w="33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52.0</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4</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eastAsia"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42" w:leftChars="-20" w:right="-42" w:rightChars="-2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b w:val="0"/>
                      <w:bCs/>
                      <w:color w:val="auto"/>
                      <w:sz w:val="21"/>
                      <w:szCs w:val="21"/>
                      <w:highlight w:val="none"/>
                      <w:vertAlign w:val="baseline"/>
                      <w:lang w:val="en-US" w:eastAsia="zh-CN"/>
                    </w:rPr>
                    <w:t>锤式破碎机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107</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46</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26</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56.7</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5</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b w:val="0"/>
                      <w:bCs/>
                      <w:color w:val="auto"/>
                      <w:sz w:val="21"/>
                      <w:szCs w:val="21"/>
                      <w:highlight w:val="none"/>
                      <w:vertAlign w:val="baseline"/>
                      <w:lang w:val="en-US" w:eastAsia="zh-CN"/>
                    </w:rPr>
                    <w:t>锤式破碎机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118</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46</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27</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56.4</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6</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球磨机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135</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51</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26</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56.7</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7</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皮带输送机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108</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43</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27</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41.4</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8</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皮带输送机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120</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43</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26</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41.7</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皮带输送机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110</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26</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41.7</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皮带输送机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122</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41</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25</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42.0</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皮带输送机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130</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47</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25</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42.0</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12</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color w:val="auto"/>
                      <w:sz w:val="21"/>
                      <w:szCs w:val="21"/>
                      <w:highlight w:val="none"/>
                    </w:rPr>
                  </w:pPr>
                  <w:r>
                    <w:rPr>
                      <w:rFonts w:hint="eastAsia" w:cs="Times New Roman"/>
                      <w:color w:val="auto"/>
                      <w:sz w:val="21"/>
                      <w:szCs w:val="21"/>
                      <w:highlight w:val="none"/>
                      <w:shd w:val="clear" w:color="auto" w:fill="auto"/>
                      <w:lang w:val="en-US" w:eastAsia="zh-CN"/>
                    </w:rPr>
                    <w:t>螺旋</w:t>
                  </w:r>
                  <w:r>
                    <w:rPr>
                      <w:rFonts w:hint="default" w:ascii="Times New Roman" w:hAnsi="Times New Roman" w:eastAsia="宋体" w:cs="Times New Roman"/>
                      <w:color w:val="auto"/>
                      <w:sz w:val="21"/>
                      <w:szCs w:val="21"/>
                      <w:highlight w:val="none"/>
                      <w:shd w:val="clear" w:color="auto" w:fill="auto"/>
                      <w:lang w:val="en-US" w:eastAsia="zh-CN"/>
                    </w:rPr>
                    <w:t>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133</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51</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41.1</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13</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shd w:val="clear" w:color="auto" w:fill="auto"/>
                      <w:lang w:val="en-US" w:eastAsia="zh-CN"/>
                    </w:rPr>
                    <w:t>搅拌混合机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106</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92</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58.4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8.4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14</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shd w:val="clear" w:color="auto" w:fill="auto"/>
                      <w:lang w:val="en-US" w:eastAsia="zh-CN"/>
                    </w:rPr>
                    <w:t>搅拌混合机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106</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96</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56.5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6.5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15</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shd w:val="clear" w:color="auto" w:fill="auto"/>
                      <w:lang w:val="en-US" w:eastAsia="zh-CN"/>
                    </w:rPr>
                    <w:t>搅拌混合机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106</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100</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54.9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4.9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16</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提升机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108</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52</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41.4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1.4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17</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提升机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106</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95</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50</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41.0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1.0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18</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提升机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106</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99</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49.0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9.0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19</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提升机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106</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104</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49.9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9.9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提升机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104</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102</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16</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50.9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0.9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21</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提升机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104</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97</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51.5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1.5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22</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顶升输送机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89</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125</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54.2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4.2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23</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顶升输送机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90</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123</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53.4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3.4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24</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顶升输送机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91</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52.7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2.7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顶升输送机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92</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119</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14</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52.1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2.1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26</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b w:val="0"/>
                      <w:bCs/>
                      <w:color w:val="auto"/>
                      <w:sz w:val="21"/>
                      <w:szCs w:val="21"/>
                      <w:highlight w:val="none"/>
                      <w:vertAlign w:val="baseline"/>
                      <w:lang w:val="en-US" w:eastAsia="zh-CN"/>
                    </w:rPr>
                    <w:t>顶升输送机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93</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117</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15</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51.5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1.5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27</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永磁式磁能机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130</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52</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43.4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3.4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28</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挤压成型机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92</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115</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54.9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4.9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29</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双层</w:t>
                  </w:r>
                  <w:r>
                    <w:rPr>
                      <w:rFonts w:hint="eastAsia" w:cs="Times New Roman"/>
                      <w:color w:val="auto"/>
                      <w:kern w:val="0"/>
                      <w:sz w:val="21"/>
                      <w:szCs w:val="21"/>
                      <w:highlight w:val="none"/>
                      <w:lang w:val="en-US" w:eastAsia="zh-CN" w:bidi="ar"/>
                    </w:rPr>
                    <w:t>筛分机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80</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92</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109</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54.0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4.0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30</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计量装袋机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88</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124</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55.0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5.0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31</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计量装袋机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87</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122</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53.4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3.4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32</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计量装袋机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86</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120</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14</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52.1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2.1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33</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计量装袋机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84</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118</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16</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50.9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0.9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34</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计量装袋机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82</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116</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49.9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9.9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35</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color w:val="auto"/>
                      <w:sz w:val="21"/>
                      <w:szCs w:val="21"/>
                      <w:highlight w:val="none"/>
                      <w:vertAlign w:val="baseline"/>
                      <w:lang w:val="en-US" w:eastAsia="zh-CN"/>
                    </w:rPr>
                    <w:t>码垛机器人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76</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125</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10</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55.0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5.0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36</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color w:val="auto"/>
                      <w:sz w:val="21"/>
                      <w:szCs w:val="21"/>
                      <w:highlight w:val="none"/>
                      <w:vertAlign w:val="baseline"/>
                      <w:lang w:val="en-US" w:eastAsia="zh-CN"/>
                    </w:rPr>
                    <w:t>码垛机器人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75</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123</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53.4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3.4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37</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color w:val="auto"/>
                      <w:sz w:val="21"/>
                      <w:szCs w:val="21"/>
                      <w:highlight w:val="none"/>
                      <w:vertAlign w:val="baseline"/>
                      <w:lang w:val="en-US" w:eastAsia="zh-CN"/>
                    </w:rPr>
                    <w:t>码垛机器人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74</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121</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14</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52.1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2.1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38</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color w:val="auto"/>
                      <w:sz w:val="21"/>
                      <w:szCs w:val="21"/>
                      <w:highlight w:val="none"/>
                      <w:vertAlign w:val="baseline"/>
                      <w:lang w:val="en-US" w:eastAsia="zh-CN"/>
                    </w:rPr>
                    <w:t>码垛机器人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73</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119</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16</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50.9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0.9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39</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color w:val="auto"/>
                      <w:sz w:val="21"/>
                      <w:szCs w:val="21"/>
                      <w:highlight w:val="none"/>
                      <w:vertAlign w:val="baseline"/>
                      <w:lang w:val="en-US" w:eastAsia="zh-CN"/>
                    </w:rPr>
                    <w:t>码垛机器人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72</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117</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3</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18</w:t>
                  </w:r>
                </w:p>
              </w:tc>
              <w:tc>
                <w:tcPr>
                  <w:tcW w:w="33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 xml:space="preserve">49.9 </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eastAsia" w:cs="Times New Roman"/>
                      <w:color w:val="auto"/>
                      <w:spacing w:val="0"/>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 xml:space="preserve">9.9 </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7"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40</w:t>
                  </w:r>
                </w:p>
              </w:tc>
              <w:tc>
                <w:tcPr>
                  <w:tcW w:w="267" w:type="pct"/>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320" w:lineRule="exact"/>
                    <w:jc w:val="center"/>
                    <w:textAlignment w:val="auto"/>
                    <w:rPr>
                      <w:rFonts w:hint="default" w:ascii="Calibri" w:hAnsi="Calibri" w:eastAsia="宋体" w:cs="Times New Roman"/>
                      <w:color w:val="auto"/>
                      <w:spacing w:val="0"/>
                      <w:kern w:val="0"/>
                      <w:sz w:val="21"/>
                      <w:szCs w:val="21"/>
                      <w:highlight w:val="none"/>
                      <w:lang w:val="en-US" w:eastAsia="zh-CN"/>
                    </w:rPr>
                  </w:pPr>
                </w:p>
              </w:tc>
              <w:tc>
                <w:tcPr>
                  <w:tcW w:w="658" w:type="pct"/>
                  <w:tcBorders>
                    <w:tl2br w:val="nil"/>
                    <w:tr2bl w:val="nil"/>
                  </w:tcBorders>
                  <w:shd w:val="clear" w:color="auto" w:fill="auto"/>
                  <w:vAlign w:val="center"/>
                </w:tcPr>
                <w:p>
                  <w:pPr>
                    <w:pStyle w:val="56"/>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粉料仓除尘风机</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w:t>
                  </w:r>
                </w:p>
              </w:tc>
              <w:tc>
                <w:tcPr>
                  <w:tcW w:w="3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75</w:t>
                  </w:r>
                </w:p>
              </w:tc>
              <w:tc>
                <w:tcPr>
                  <w:tcW w:w="32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26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135</w:t>
                  </w:r>
                </w:p>
              </w:tc>
              <w:tc>
                <w:tcPr>
                  <w:tcW w:w="20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51</w:t>
                  </w:r>
                </w:p>
              </w:tc>
              <w:tc>
                <w:tcPr>
                  <w:tcW w:w="1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w:t>
                  </w:r>
                </w:p>
              </w:tc>
              <w:tc>
                <w:tcPr>
                  <w:tcW w:w="31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26</w:t>
                  </w:r>
                </w:p>
              </w:tc>
              <w:tc>
                <w:tcPr>
                  <w:tcW w:w="339" w:type="pct"/>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56.7</w:t>
                  </w:r>
                </w:p>
              </w:tc>
              <w:tc>
                <w:tcPr>
                  <w:tcW w:w="30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p>
              </w:tc>
              <w:tc>
                <w:tcPr>
                  <w:tcW w:w="38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20</w:t>
                  </w:r>
                </w:p>
              </w:tc>
              <w:tc>
                <w:tcPr>
                  <w:tcW w:w="350"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46.7</w:t>
                  </w:r>
                </w:p>
              </w:tc>
              <w:tc>
                <w:tcPr>
                  <w:tcW w:w="40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default" w:ascii="Times New Roman" w:hAnsi="Times New Roman" w:eastAsia="宋体" w:cs="Times New Roman"/>
                <w:b/>
                <w:bCs/>
                <w:color w:val="auto"/>
                <w:spacing w:val="0"/>
                <w:kern w:val="2"/>
                <w:sz w:val="21"/>
                <w:szCs w:val="21"/>
                <w:highlight w:val="none"/>
                <w:lang w:val="en-US" w:eastAsia="zh-CN" w:bidi="ar-SA"/>
              </w:rPr>
              <w:t>表4-10  室外噪声源源强调查清单</w:t>
            </w:r>
          </w:p>
          <w:tbl>
            <w:tblPr>
              <w:tblStyle w:val="28"/>
              <w:tblW w:w="492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2"/>
              <w:gridCol w:w="887"/>
              <w:gridCol w:w="913"/>
              <w:gridCol w:w="925"/>
              <w:gridCol w:w="2141"/>
              <w:gridCol w:w="2961"/>
              <w:gridCol w:w="18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300"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序号</w:t>
                  </w:r>
                </w:p>
              </w:tc>
              <w:tc>
                <w:tcPr>
                  <w:tcW w:w="119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声源</w:t>
                  </w:r>
                  <w:r>
                    <w:rPr>
                      <w:rFonts w:ascii="Times New Roman" w:hAnsi="Times New Roman" w:eastAsia="宋体" w:cs="Times New Roman"/>
                      <w:b/>
                      <w:bCs/>
                      <w:color w:val="auto"/>
                      <w:spacing w:val="0"/>
                      <w:sz w:val="21"/>
                      <w:szCs w:val="21"/>
                      <w:highlight w:val="none"/>
                    </w:rPr>
                    <w:t>名称</w:t>
                  </w:r>
                </w:p>
              </w:tc>
              <w:tc>
                <w:tcPr>
                  <w:tcW w:w="989"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空间</w:t>
                  </w:r>
                  <w:r>
                    <w:rPr>
                      <w:rFonts w:ascii="Times New Roman" w:hAnsi="Times New Roman" w:eastAsia="宋体" w:cs="Times New Roman"/>
                      <w:b/>
                      <w:bCs/>
                      <w:color w:val="auto"/>
                      <w:spacing w:val="0"/>
                      <w:sz w:val="21"/>
                      <w:szCs w:val="21"/>
                      <w:highlight w:val="none"/>
                    </w:rPr>
                    <w:t>相对位置</w:t>
                  </w:r>
                  <w:r>
                    <w:rPr>
                      <w:rFonts w:hint="eastAsia" w:ascii="Times New Roman" w:hAnsi="Times New Roman" w:eastAsia="宋体" w:cs="Times New Roman"/>
                      <w:b/>
                      <w:bCs/>
                      <w:color w:val="auto"/>
                      <w:spacing w:val="0"/>
                      <w:sz w:val="21"/>
                      <w:szCs w:val="21"/>
                      <w:highlight w:val="none"/>
                    </w:rPr>
                    <w:t>/m</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kern w:val="2"/>
                      <w:sz w:val="21"/>
                      <w:szCs w:val="21"/>
                      <w:highlight w:val="none"/>
                      <w:lang w:val="en-US" w:eastAsia="zh-CN" w:bidi="ar-SA"/>
                    </w:rPr>
                  </w:pPr>
                  <w:r>
                    <w:rPr>
                      <w:rFonts w:hint="eastAsia" w:ascii="Times New Roman" w:hAnsi="Times New Roman" w:eastAsia="宋体" w:cs="Times New Roman"/>
                      <w:b/>
                      <w:bCs/>
                      <w:color w:val="auto"/>
                      <w:spacing w:val="0"/>
                      <w:sz w:val="21"/>
                      <w:szCs w:val="21"/>
                      <w:highlight w:val="none"/>
                    </w:rPr>
                    <w:t>声源</w:t>
                  </w:r>
                  <w:r>
                    <w:rPr>
                      <w:rFonts w:ascii="Times New Roman" w:hAnsi="Times New Roman" w:eastAsia="宋体" w:cs="Times New Roman"/>
                      <w:b/>
                      <w:bCs/>
                      <w:color w:val="auto"/>
                      <w:spacing w:val="0"/>
                      <w:sz w:val="21"/>
                      <w:szCs w:val="21"/>
                      <w:highlight w:val="none"/>
                    </w:rPr>
                    <w:t>源强</w:t>
                  </w:r>
                </w:p>
              </w:tc>
              <w:tc>
                <w:tcPr>
                  <w:tcW w:w="107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声源控制措施</w:t>
                  </w:r>
                </w:p>
              </w:tc>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119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3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X</w:t>
                  </w:r>
                </w:p>
              </w:tc>
              <w:tc>
                <w:tcPr>
                  <w:tcW w:w="3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eastAsia" w:ascii="Times New Roman" w:hAnsi="Times New Roman" w:eastAsia="宋体" w:cs="Times New Roman"/>
                      <w:b/>
                      <w:bCs/>
                      <w:color w:val="auto"/>
                      <w:spacing w:val="0"/>
                      <w:kern w:val="2"/>
                      <w:sz w:val="21"/>
                      <w:szCs w:val="21"/>
                      <w:highlight w:val="none"/>
                      <w:lang w:val="en-US" w:eastAsia="zh-CN" w:bidi="ar-SA"/>
                    </w:rPr>
                    <w:t>Y</w:t>
                  </w:r>
                </w:p>
              </w:tc>
              <w:tc>
                <w:tcPr>
                  <w:tcW w:w="33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Z</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b/>
                      <w:bCs/>
                      <w:color w:val="auto"/>
                      <w:spacing w:val="0"/>
                      <w:sz w:val="21"/>
                      <w:szCs w:val="21"/>
                      <w:highlight w:val="none"/>
                    </w:rPr>
                  </w:pPr>
                  <w:r>
                    <w:rPr>
                      <w:rFonts w:hint="eastAsia" w:ascii="Times New Roman" w:hAnsi="Times New Roman" w:eastAsia="宋体" w:cs="Times New Roman"/>
                      <w:b/>
                      <w:bCs/>
                      <w:color w:val="auto"/>
                      <w:spacing w:val="0"/>
                      <w:sz w:val="21"/>
                      <w:szCs w:val="21"/>
                      <w:highlight w:val="none"/>
                    </w:rPr>
                    <w:t>声功率级</w:t>
                  </w:r>
                  <w:r>
                    <w:rPr>
                      <w:rFonts w:ascii="Times New Roman" w:hAnsi="Times New Roman" w:eastAsia="宋体" w:cs="Times New Roman"/>
                      <w:b/>
                      <w:bCs/>
                      <w:color w:val="auto"/>
                      <w:spacing w:val="0"/>
                      <w:sz w:val="21"/>
                      <w:szCs w:val="21"/>
                      <w:highlight w:val="none"/>
                    </w:rPr>
                    <w:t>dB</w:t>
                  </w:r>
                  <w:r>
                    <w:rPr>
                      <w:rFonts w:hint="eastAsia" w:ascii="Times New Roman" w:hAnsi="Times New Roman" w:eastAsia="宋体" w:cs="Times New Roman"/>
                      <w:b/>
                      <w:bCs/>
                      <w:color w:val="auto"/>
                      <w:spacing w:val="0"/>
                      <w:sz w:val="21"/>
                      <w:szCs w:val="21"/>
                      <w:highlight w:val="none"/>
                    </w:rPr>
                    <w:t>(</w:t>
                  </w:r>
                  <w:r>
                    <w:rPr>
                      <w:rFonts w:ascii="Times New Roman" w:hAnsi="Times New Roman" w:eastAsia="宋体" w:cs="Times New Roman"/>
                      <w:b/>
                      <w:bCs/>
                      <w:color w:val="auto"/>
                      <w:spacing w:val="0"/>
                      <w:sz w:val="21"/>
                      <w:szCs w:val="21"/>
                      <w:highlight w:val="none"/>
                    </w:rPr>
                    <w:t>A</w:t>
                  </w:r>
                  <w:r>
                    <w:rPr>
                      <w:rFonts w:hint="eastAsia" w:ascii="Times New Roman" w:hAnsi="Times New Roman" w:eastAsia="宋体" w:cs="Times New Roman"/>
                      <w:b/>
                      <w:bCs/>
                      <w:color w:val="auto"/>
                      <w:spacing w:val="0"/>
                      <w:sz w:val="21"/>
                      <w:szCs w:val="21"/>
                      <w:highlight w:val="none"/>
                    </w:rPr>
                    <w:t>)</w:t>
                  </w:r>
                </w:p>
              </w:tc>
              <w:tc>
                <w:tcPr>
                  <w:tcW w:w="10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ascii="Times New Roman" w:hAnsi="Times New Roman" w:eastAsia="宋体" w:cs="Times New Roman"/>
                      <w:color w:val="auto"/>
                      <w:spacing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w w:val="100"/>
                      <w:kern w:val="0"/>
                      <w:sz w:val="21"/>
                      <w:szCs w:val="21"/>
                      <w:highlight w:val="none"/>
                      <w:lang w:val="en-US" w:eastAsia="zh-CN" w:bidi="zh-CN"/>
                    </w:rPr>
                    <w:t>发酵废气风机</w:t>
                  </w:r>
                </w:p>
              </w:tc>
              <w:tc>
                <w:tcPr>
                  <w:tcW w:w="3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107</w:t>
                  </w:r>
                </w:p>
              </w:tc>
              <w:tc>
                <w:tcPr>
                  <w:tcW w:w="3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111</w:t>
                  </w:r>
                </w:p>
              </w:tc>
              <w:tc>
                <w:tcPr>
                  <w:tcW w:w="33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75</w:t>
                  </w:r>
                </w:p>
              </w:tc>
              <w:tc>
                <w:tcPr>
                  <w:tcW w:w="107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rPr>
                    <w:t>减振</w:t>
                  </w:r>
                  <w:r>
                    <w:rPr>
                      <w:rFonts w:hint="eastAsia" w:ascii="Times New Roman" w:hAnsi="Times New Roman" w:eastAsia="宋体" w:cs="Times New Roman"/>
                      <w:color w:val="auto"/>
                      <w:spacing w:val="0"/>
                      <w:sz w:val="21"/>
                      <w:szCs w:val="21"/>
                      <w:highlight w:val="none"/>
                      <w:lang w:eastAsia="zh-CN"/>
                    </w:rPr>
                    <w:t>、</w:t>
                  </w:r>
                  <w:r>
                    <w:rPr>
                      <w:rFonts w:hint="eastAsia" w:ascii="Times New Roman" w:hAnsi="Times New Roman" w:eastAsia="宋体" w:cs="Times New Roman"/>
                      <w:color w:val="auto"/>
                      <w:spacing w:val="0"/>
                      <w:sz w:val="21"/>
                      <w:szCs w:val="21"/>
                      <w:highlight w:val="none"/>
                      <w:lang w:val="en-US" w:eastAsia="zh-CN"/>
                    </w:rPr>
                    <w:t>风机</w:t>
                  </w:r>
                  <w:r>
                    <w:rPr>
                      <w:rFonts w:ascii="Times New Roman" w:cs="Times New Roman"/>
                      <w:color w:val="auto"/>
                      <w:sz w:val="21"/>
                      <w:szCs w:val="21"/>
                      <w:highlight w:val="none"/>
                    </w:rPr>
                    <w:t>出口安装消声器</w:t>
                  </w:r>
                  <w:r>
                    <w:rPr>
                      <w:rFonts w:hint="eastAsia" w:ascii="Times New Roman" w:hAnsi="Times New Roman" w:eastAsia="宋体" w:cs="Times New Roman"/>
                      <w:color w:val="auto"/>
                      <w:spacing w:val="0"/>
                      <w:sz w:val="21"/>
                      <w:szCs w:val="21"/>
                      <w:highlight w:val="none"/>
                    </w:rPr>
                    <w:t>；</w:t>
                  </w:r>
                  <w:r>
                    <w:rPr>
                      <w:rFonts w:hint="eastAsia" w:ascii="Times New Roman" w:hAnsi="Times New Roman" w:eastAsia="宋体" w:cs="Times New Roman"/>
                      <w:color w:val="auto"/>
                      <w:spacing w:val="0"/>
                      <w:sz w:val="21"/>
                      <w:szCs w:val="21"/>
                      <w:highlight w:val="none"/>
                      <w:lang w:val="en-US" w:eastAsia="zh-CN"/>
                    </w:rPr>
                    <w:t>定期维护</w:t>
                  </w:r>
                  <w:r>
                    <w:rPr>
                      <w:rFonts w:hint="eastAsia" w:cs="Times New Roman"/>
                      <w:color w:val="auto"/>
                      <w:spacing w:val="0"/>
                      <w:sz w:val="21"/>
                      <w:szCs w:val="21"/>
                      <w:highlight w:val="none"/>
                      <w:lang w:val="en-US" w:eastAsia="zh-CN"/>
                    </w:rPr>
                    <w:t>；加强绿化等</w:t>
                  </w:r>
                </w:p>
              </w:tc>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24h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zh-CN"/>
                    </w:rPr>
                  </w:pPr>
                  <w:r>
                    <w:rPr>
                      <w:rFonts w:hint="eastAsia" w:cs="Times New Roman"/>
                      <w:color w:val="auto"/>
                      <w:spacing w:val="0"/>
                      <w:w w:val="100"/>
                      <w:kern w:val="0"/>
                      <w:sz w:val="21"/>
                      <w:szCs w:val="21"/>
                      <w:highlight w:val="none"/>
                      <w:lang w:val="en-US" w:eastAsia="zh-CN" w:bidi="zh-CN"/>
                    </w:rPr>
                    <w:t>发酵废气风机</w:t>
                  </w:r>
                </w:p>
              </w:tc>
              <w:tc>
                <w:tcPr>
                  <w:tcW w:w="3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110</w:t>
                  </w:r>
                </w:p>
              </w:tc>
              <w:tc>
                <w:tcPr>
                  <w:tcW w:w="3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112</w:t>
                  </w:r>
                </w:p>
              </w:tc>
              <w:tc>
                <w:tcPr>
                  <w:tcW w:w="33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75</w:t>
                  </w:r>
                </w:p>
              </w:tc>
              <w:tc>
                <w:tcPr>
                  <w:tcW w:w="10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olor w:val="auto"/>
                      <w:spacing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zh-CN"/>
                    </w:rPr>
                  </w:pPr>
                  <w:r>
                    <w:rPr>
                      <w:rFonts w:hint="eastAsia" w:cs="Times New Roman"/>
                      <w:color w:val="auto"/>
                      <w:spacing w:val="0"/>
                      <w:w w:val="100"/>
                      <w:kern w:val="0"/>
                      <w:sz w:val="21"/>
                      <w:szCs w:val="21"/>
                      <w:highlight w:val="none"/>
                      <w:lang w:val="en-US" w:eastAsia="zh-CN" w:bidi="zh-CN"/>
                    </w:rPr>
                    <w:t>发酵废气风机</w:t>
                  </w:r>
                </w:p>
              </w:tc>
              <w:tc>
                <w:tcPr>
                  <w:tcW w:w="3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112</w:t>
                  </w:r>
                </w:p>
              </w:tc>
              <w:tc>
                <w:tcPr>
                  <w:tcW w:w="3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111</w:t>
                  </w:r>
                </w:p>
              </w:tc>
              <w:tc>
                <w:tcPr>
                  <w:tcW w:w="33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1</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75</w:t>
                  </w:r>
                </w:p>
              </w:tc>
              <w:tc>
                <w:tcPr>
                  <w:tcW w:w="10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rPr>
                  </w:pP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color w:val="auto"/>
                      <w:spacing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w w:val="100"/>
                      <w:kern w:val="0"/>
                      <w:sz w:val="21"/>
                      <w:szCs w:val="21"/>
                      <w:highlight w:val="none"/>
                      <w:lang w:val="en-US" w:eastAsia="zh-CN" w:bidi="zh-CN"/>
                    </w:rPr>
                    <w:t>给料破碎废气除尘风机</w:t>
                  </w:r>
                </w:p>
              </w:tc>
              <w:tc>
                <w:tcPr>
                  <w:tcW w:w="3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125</w:t>
                  </w:r>
                </w:p>
              </w:tc>
              <w:tc>
                <w:tcPr>
                  <w:tcW w:w="3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48</w:t>
                  </w:r>
                </w:p>
              </w:tc>
              <w:tc>
                <w:tcPr>
                  <w:tcW w:w="33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75</w:t>
                  </w:r>
                </w:p>
              </w:tc>
              <w:tc>
                <w:tcPr>
                  <w:tcW w:w="10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spacing w:val="0"/>
                      <w:sz w:val="21"/>
                      <w:szCs w:val="21"/>
                      <w:highlight w:val="none"/>
                      <w:lang w:val="en-US" w:eastAsia="zh-CN"/>
                    </w:rPr>
                  </w:pPr>
                  <w:r>
                    <w:rPr>
                      <w:rFonts w:hint="eastAsia"/>
                      <w:color w:val="auto"/>
                      <w:spacing w:val="0"/>
                      <w:sz w:val="21"/>
                      <w:szCs w:val="21"/>
                      <w:highlight w:val="none"/>
                      <w:lang w:val="en-US" w:eastAsia="zh-CN"/>
                    </w:rPr>
                    <w:t>8</w:t>
                  </w:r>
                  <w:r>
                    <w:rPr>
                      <w:rFonts w:hint="eastAsia" w:eastAsia="宋体"/>
                      <w:color w:val="auto"/>
                      <w:spacing w:val="0"/>
                      <w:sz w:val="21"/>
                      <w:szCs w:val="21"/>
                      <w:highlight w:val="none"/>
                      <w:lang w:val="en-US" w:eastAsia="zh-CN"/>
                    </w:rPr>
                    <w:t>:00~</w:t>
                  </w:r>
                  <w:r>
                    <w:rPr>
                      <w:rFonts w:hint="eastAsia"/>
                      <w:color w:val="auto"/>
                      <w:spacing w:val="0"/>
                      <w:sz w:val="21"/>
                      <w:szCs w:val="21"/>
                      <w:highlight w:val="none"/>
                      <w:lang w:val="en-US" w:eastAsia="zh-CN"/>
                    </w:rPr>
                    <w:t>12</w:t>
                  </w:r>
                  <w:r>
                    <w:rPr>
                      <w:rFonts w:hint="eastAsia" w:eastAsia="宋体"/>
                      <w:color w:val="auto"/>
                      <w:spacing w:val="0"/>
                      <w:sz w:val="21"/>
                      <w:szCs w:val="21"/>
                      <w:highlight w:val="none"/>
                      <w:lang w:val="en-US" w:eastAsia="zh-CN"/>
                    </w:rPr>
                    <w:t>:00</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olor w:val="auto"/>
                      <w:spacing w:val="0"/>
                      <w:sz w:val="21"/>
                      <w:szCs w:val="21"/>
                      <w:highlight w:val="none"/>
                      <w:lang w:val="en-US" w:eastAsia="zh-CN"/>
                    </w:rPr>
                    <w:t>14:00~18:00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5</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zh-CN"/>
                    </w:rPr>
                  </w:pPr>
                  <w:r>
                    <w:rPr>
                      <w:rFonts w:hint="eastAsia" w:cs="Times New Roman"/>
                      <w:color w:val="auto"/>
                      <w:spacing w:val="0"/>
                      <w:w w:val="100"/>
                      <w:kern w:val="0"/>
                      <w:sz w:val="21"/>
                      <w:szCs w:val="21"/>
                      <w:highlight w:val="none"/>
                      <w:lang w:val="en-US" w:eastAsia="zh-CN" w:bidi="zh-CN"/>
                    </w:rPr>
                    <w:t>筛分粉磨废气除尘风机</w:t>
                  </w:r>
                </w:p>
              </w:tc>
              <w:tc>
                <w:tcPr>
                  <w:tcW w:w="3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94</w:t>
                  </w:r>
                </w:p>
              </w:tc>
              <w:tc>
                <w:tcPr>
                  <w:tcW w:w="3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111</w:t>
                  </w:r>
                </w:p>
              </w:tc>
              <w:tc>
                <w:tcPr>
                  <w:tcW w:w="33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75</w:t>
                  </w:r>
                </w:p>
              </w:tc>
              <w:tc>
                <w:tcPr>
                  <w:tcW w:w="10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6</w:t>
                  </w:r>
                </w:p>
              </w:tc>
              <w:tc>
                <w:tcPr>
                  <w:tcW w:w="119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ind w:left="0" w:leftChars="0" w:right="0" w:rightChars="0" w:firstLine="0" w:firstLineChars="0"/>
                    <w:jc w:val="center"/>
                    <w:textAlignment w:val="auto"/>
                    <w:rPr>
                      <w:rFonts w:hint="eastAsia" w:cs="Times New Roman"/>
                      <w:color w:val="auto"/>
                      <w:spacing w:val="0"/>
                      <w:w w:val="100"/>
                      <w:kern w:val="0"/>
                      <w:sz w:val="21"/>
                      <w:szCs w:val="21"/>
                      <w:highlight w:val="none"/>
                      <w:lang w:val="en-US" w:eastAsia="zh-CN" w:bidi="zh-CN"/>
                    </w:rPr>
                  </w:pPr>
                  <w:r>
                    <w:rPr>
                      <w:rFonts w:hint="eastAsia" w:cs="Times New Roman"/>
                      <w:color w:val="auto"/>
                      <w:sz w:val="21"/>
                      <w:szCs w:val="21"/>
                      <w:highlight w:val="none"/>
                      <w:lang w:val="en-US" w:eastAsia="zh-CN"/>
                    </w:rPr>
                    <w:t>造粒、</w:t>
                  </w:r>
                  <w:r>
                    <w:rPr>
                      <w:rFonts w:hint="eastAsia" w:ascii="Times New Roman" w:hAnsi="Times New Roman" w:cs="Times New Roman"/>
                      <w:color w:val="auto"/>
                      <w:sz w:val="21"/>
                      <w:szCs w:val="21"/>
                      <w:highlight w:val="none"/>
                      <w:lang w:val="en-US" w:eastAsia="zh-CN"/>
                    </w:rPr>
                    <w:t>筛分</w:t>
                  </w:r>
                  <w:r>
                    <w:rPr>
                      <w:rFonts w:hint="eastAsia"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袋装</w:t>
                  </w:r>
                  <w:r>
                    <w:rPr>
                      <w:rFonts w:hint="eastAsia" w:cs="Times New Roman"/>
                      <w:color w:val="auto"/>
                      <w:sz w:val="21"/>
                      <w:szCs w:val="21"/>
                      <w:highlight w:val="none"/>
                      <w:lang w:val="en-US" w:eastAsia="zh-CN"/>
                    </w:rPr>
                    <w:t>除尘风机</w:t>
                  </w:r>
                </w:p>
              </w:tc>
              <w:tc>
                <w:tcPr>
                  <w:tcW w:w="32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89</w:t>
                  </w:r>
                </w:p>
              </w:tc>
              <w:tc>
                <w:tcPr>
                  <w:tcW w:w="3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125</w:t>
                  </w:r>
                </w:p>
              </w:tc>
              <w:tc>
                <w:tcPr>
                  <w:tcW w:w="33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1</w:t>
                  </w:r>
                </w:p>
              </w:tc>
              <w:tc>
                <w:tcPr>
                  <w:tcW w:w="7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75</w:t>
                  </w:r>
                </w:p>
              </w:tc>
              <w:tc>
                <w:tcPr>
                  <w:tcW w:w="107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default" w:ascii="Times New Roman" w:hAnsi="Times New Roman" w:eastAsia="宋体" w:cs="Times New Roman"/>
                      <w:color w:val="auto"/>
                      <w:spacing w:val="0"/>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Times New Roman" w:hAnsi="Times New Roman" w:eastAsia="宋体" w:cs="Times New Roman"/>
                <w:b/>
                <w:bCs w:val="0"/>
                <w:color w:val="auto"/>
                <w:spacing w:val="-10"/>
                <w:sz w:val="24"/>
                <w:szCs w:val="24"/>
                <w:highlight w:val="none"/>
                <w:vertAlign w:val="baseline"/>
                <w:lang w:val="en-US" w:eastAsia="zh-CN"/>
              </w:rPr>
            </w:pPr>
          </w:p>
        </w:tc>
      </w:tr>
    </w:tbl>
    <w:p>
      <w:pPr>
        <w:pStyle w:val="38"/>
        <w:sectPr>
          <w:pgSz w:w="16838" w:h="11906" w:orient="landscape"/>
          <w:pgMar w:top="1531" w:right="1701" w:bottom="1531" w:left="1701" w:header="1134" w:footer="992" w:gutter="0"/>
          <w:pgBorders>
            <w:top w:val="none" w:sz="0" w:space="0"/>
            <w:left w:val="none" w:sz="0" w:space="0"/>
            <w:bottom w:val="none" w:sz="0" w:space="0"/>
            <w:right w:val="none" w:sz="0" w:space="0"/>
          </w:pgBorders>
          <w:cols w:space="425" w:num="1"/>
          <w:docGrid w:type="lines" w:linePitch="312" w:charSpace="0"/>
        </w:sectPr>
      </w:pPr>
    </w:p>
    <w:tbl>
      <w:tblPr>
        <w:tblStyle w:val="29"/>
        <w:tblW w:w="0" w:type="auto"/>
        <w:tblInd w:w="-10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727" w:type="dxa"/>
            <w:tcBorders>
              <w:tl2br w:val="nil"/>
              <w:tr2bl w:val="nil"/>
            </w:tcBorders>
            <w:vAlign w:val="center"/>
          </w:tcPr>
          <w:p>
            <w:pPr>
              <w:adjustRightInd w:val="0"/>
              <w:snapToGrid w:val="0"/>
              <w:jc w:val="center"/>
              <w:rPr>
                <w:rFonts w:hint="default"/>
                <w:b w:val="0"/>
                <w:bCs/>
                <w:color w:val="auto"/>
                <w:sz w:val="24"/>
                <w:szCs w:val="24"/>
                <w:highlight w:val="none"/>
                <w:vertAlign w:val="baseline"/>
              </w:rPr>
            </w:pPr>
            <w:r>
              <w:rPr>
                <w:rFonts w:hint="default" w:ascii="Times New Roman" w:hAnsi="Times New Roman" w:eastAsia="宋体" w:cs="Times New Roman"/>
                <w:b w:val="0"/>
                <w:bCs/>
                <w:color w:val="auto"/>
                <w:sz w:val="24"/>
                <w:szCs w:val="24"/>
                <w:highlight w:val="none"/>
                <w:lang w:val="en-US" w:eastAsia="zh-CN"/>
              </w:rPr>
              <w:t>运营期环境影响和保护措施</w:t>
            </w:r>
          </w:p>
        </w:tc>
        <w:tc>
          <w:tcPr>
            <w:tcW w:w="8436" w:type="dxa"/>
            <w:tcBorders>
              <w:tl2br w:val="nil"/>
              <w:tr2bl w:val="nil"/>
            </w:tcBorders>
          </w:tcPr>
          <w:p>
            <w:pPr>
              <w:spacing w:line="460" w:lineRule="exact"/>
              <w:ind w:firstLine="482" w:firstLineChars="200"/>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噪声预测</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ascii="Times New Roman" w:hAnsi="Times New Roman" w:eastAsia="宋体" w:cs="Times New Roman"/>
                <w:bCs/>
                <w:color w:val="auto"/>
                <w:spacing w:val="0"/>
                <w:sz w:val="24"/>
                <w:szCs w:val="24"/>
                <w:highlight w:val="none"/>
              </w:rPr>
              <w:t>本次预测采用《环境影响评价技术导则</w:t>
            </w:r>
            <w:r>
              <w:rPr>
                <w:rFonts w:hint="eastAsia" w:ascii="Times New Roman" w:hAnsi="Times New Roman" w:eastAsia="宋体" w:cs="Times New Roman"/>
                <w:bCs/>
                <w:color w:val="auto"/>
                <w:spacing w:val="0"/>
                <w:sz w:val="24"/>
                <w:szCs w:val="24"/>
                <w:highlight w:val="none"/>
                <w:lang w:val="en-US" w:eastAsia="zh-CN"/>
              </w:rPr>
              <w:t xml:space="preserve"> </w:t>
            </w:r>
            <w:r>
              <w:rPr>
                <w:rFonts w:ascii="Times New Roman" w:hAnsi="Times New Roman" w:eastAsia="宋体" w:cs="Times New Roman"/>
                <w:bCs/>
                <w:color w:val="auto"/>
                <w:spacing w:val="0"/>
                <w:sz w:val="24"/>
                <w:szCs w:val="24"/>
                <w:highlight w:val="none"/>
              </w:rPr>
              <w:t>声环境》（HJ2.4-2021）中推荐的工业噪声预测计算模式</w:t>
            </w:r>
            <w:r>
              <w:rPr>
                <w:rFonts w:hint="eastAsia" w:ascii="Times New Roman" w:hAnsi="Times New Roman" w:eastAsia="宋体" w:cs="Times New Roman"/>
                <w:bCs/>
                <w:color w:val="auto"/>
                <w:spacing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828800" cy="219075"/>
                  <wp:effectExtent l="0" t="0" r="0" b="8255"/>
                  <wp:docPr id="1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
                          <pic:cNvPicPr>
                            <a:picLocks noChangeAspect="1"/>
                          </pic:cNvPicPr>
                        </pic:nvPicPr>
                        <pic:blipFill>
                          <a:blip r:embed="rId18"/>
                          <a:stretch>
                            <a:fillRect/>
                          </a:stretch>
                        </pic:blipFill>
                        <pic:spPr>
                          <a:xfrm>
                            <a:off x="0" y="0"/>
                            <a:ext cx="1828800" cy="219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A</w:t>
            </w:r>
            <w:r>
              <w:rPr>
                <w:rFonts w:hint="default" w:ascii="Times New Roman" w:hAnsi="Times New Roman" w:eastAsia="宋体" w:cs="Times New Roman"/>
                <w:color w:val="auto"/>
                <w:sz w:val="24"/>
              </w:rPr>
              <w:t>（r）为距声源r处的A声级；</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w:t>
            </w:r>
            <w:r>
              <w:rPr>
                <w:rFonts w:hint="default" w:ascii="Times New Roman" w:hAnsi="Times New Roman" w:eastAsia="宋体" w:cs="Times New Roman"/>
                <w:color w:val="auto"/>
                <w:sz w:val="24"/>
                <w:vertAlign w:val="subscript"/>
              </w:rPr>
              <w:t>A</w:t>
            </w:r>
            <w:r>
              <w:rPr>
                <w:rFonts w:hint="default" w:ascii="Times New Roman" w:hAnsi="Times New Roman" w:eastAsia="宋体" w:cs="Times New Roman"/>
                <w:color w:val="auto"/>
                <w:sz w:val="24"/>
              </w:rPr>
              <w:t>（r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）为参考位置r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的A声级；</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vertAlign w:val="subscript"/>
              </w:rPr>
              <w:t>div</w:t>
            </w:r>
            <w:r>
              <w:rPr>
                <w:rFonts w:hint="default" w:ascii="Times New Roman" w:hAnsi="Times New Roman" w:eastAsia="宋体" w:cs="Times New Roman"/>
                <w:color w:val="auto"/>
                <w:sz w:val="24"/>
              </w:rPr>
              <w:t>为声波几何发散引起的A声级衰减量；</w:t>
            </w:r>
          </w:p>
          <w:p>
            <w:pPr>
              <w:keepNext w:val="0"/>
              <w:keepLines w:val="0"/>
              <w:pageBreakBefore w:val="0"/>
              <w:widowControl w:val="0"/>
              <w:kinsoku/>
              <w:wordWrap/>
              <w:overflowPunct/>
              <w:topLinePunct w:val="0"/>
              <w:autoSpaceDE/>
              <w:autoSpaceDN/>
              <w:bidi w:val="0"/>
              <w:adjustRightInd w:val="0"/>
              <w:snapToGrid w:val="0"/>
              <w:spacing w:line="480" w:lineRule="exact"/>
              <w:ind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Aatm为大气吸收引起的A声级衰减量。</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本评价根据各噪声源的噪声水平及其采取的降噪及隔声效果，综合考虑Adiv、Aatm和Agr的衰减量，来预测本工程主要噪声源对周围声环境的影响。其中几何发散引起的A声级衰减量的计算公式如下：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143000" cy="447675"/>
                  <wp:effectExtent l="0" t="0" r="0" b="7620"/>
                  <wp:docPr id="2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0"/>
                          <pic:cNvPicPr>
                            <a:picLocks noChangeAspect="1"/>
                          </pic:cNvPicPr>
                        </pic:nvPicPr>
                        <pic:blipFill>
                          <a:blip r:embed="rId19"/>
                          <a:stretch>
                            <a:fillRect/>
                          </a:stretch>
                        </pic:blipFill>
                        <pic:spPr>
                          <a:xfrm>
                            <a:off x="0" y="0"/>
                            <a:ext cx="1143000" cy="447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大气吸收引起的A声级衰减量的计算公式如下：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171575" cy="419100"/>
                  <wp:effectExtent l="0" t="0" r="9525" b="0"/>
                  <wp:docPr id="2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1"/>
                          <pic:cNvPicPr>
                            <a:picLocks noChangeAspect="1"/>
                          </pic:cNvPicPr>
                        </pic:nvPicPr>
                        <pic:blipFill>
                          <a:blip r:embed="rId20"/>
                          <a:stretch>
                            <a:fillRect/>
                          </a:stretch>
                        </pic:blipFill>
                        <pic:spPr>
                          <a:xfrm>
                            <a:off x="0" y="0"/>
                            <a:ext cx="1171575" cy="419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式中：α为温度、湿度和声波频率的函数，预测计算中一般根据当地常年平均气温和湿度选择相应的空气吸收系数。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对多个声源同时存在时，其总A声级用下式计算：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562100" cy="457200"/>
                  <wp:effectExtent l="0" t="0" r="0" b="0"/>
                  <wp:docPr id="2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2"/>
                          <pic:cNvPicPr>
                            <a:picLocks noChangeAspect="1"/>
                          </pic:cNvPicPr>
                        </pic:nvPicPr>
                        <pic:blipFill>
                          <a:blip r:embed="rId21"/>
                          <a:stretch>
                            <a:fillRect/>
                          </a:stretch>
                        </pic:blipFill>
                        <pic:spPr>
                          <a:xfrm>
                            <a:off x="0" y="0"/>
                            <a:ext cx="1562100" cy="457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eqg</w:t>
            </w:r>
            <w:r>
              <w:rPr>
                <w:rFonts w:hint="default" w:ascii="Times New Roman" w:hAnsi="Times New Roman" w:eastAsia="宋体" w:cs="Times New Roman"/>
                <w:color w:val="auto"/>
                <w:sz w:val="24"/>
              </w:rPr>
              <w:t>为本项目声源在预测点的等效声级贡献值，dB（A）；L</w:t>
            </w:r>
            <w:r>
              <w:rPr>
                <w:rFonts w:hint="default" w:ascii="Times New Roman" w:hAnsi="Times New Roman" w:eastAsia="宋体" w:cs="Times New Roman"/>
                <w:color w:val="auto"/>
                <w:sz w:val="24"/>
                <w:vertAlign w:val="subscript"/>
              </w:rPr>
              <w:t>Ai</w:t>
            </w:r>
            <w:r>
              <w:rPr>
                <w:rFonts w:hint="default" w:ascii="Times New Roman" w:hAnsi="Times New Roman" w:eastAsia="宋体" w:cs="Times New Roman"/>
                <w:color w:val="auto"/>
                <w:sz w:val="24"/>
              </w:rPr>
              <w:t>为i声源在预测点产生的A声级，dB（A）；T预测计算的时间段，s；t</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为i声源在T时段内的运行时间，s。</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现状监测值与预测贡献值叠加的预测总A声级计算公式如下：</w:t>
            </w:r>
          </w:p>
          <w:p>
            <w:pPr>
              <w:keepNext w:val="0"/>
              <w:keepLines w:val="0"/>
              <w:pageBreakBefore w:val="0"/>
              <w:widowControl w:val="0"/>
              <w:kinsoku/>
              <w:wordWrap/>
              <w:overflowPunct/>
              <w:topLinePunct w:val="0"/>
              <w:autoSpaceDE/>
              <w:autoSpaceDN/>
              <w:bidi w:val="0"/>
              <w:adjustRightInd w:val="0"/>
              <w:snapToGrid w:val="0"/>
              <w:spacing w:before="157" w:beforeLines="50" w:line="48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114300" distR="114300">
                  <wp:extent cx="1790700" cy="266700"/>
                  <wp:effectExtent l="0" t="0" r="0" b="0"/>
                  <wp:docPr id="2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3"/>
                          <pic:cNvPicPr>
                            <a:picLocks noChangeAspect="1"/>
                          </pic:cNvPicPr>
                        </pic:nvPicPr>
                        <pic:blipFill>
                          <a:blip r:embed="rId22"/>
                          <a:stretch>
                            <a:fillRect/>
                          </a:stretch>
                        </pic:blipFill>
                        <pic:spPr>
                          <a:xfrm>
                            <a:off x="0" y="0"/>
                            <a:ext cx="1790700" cy="266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式中，L</w:t>
            </w:r>
            <w:r>
              <w:rPr>
                <w:rFonts w:hint="default" w:ascii="Times New Roman" w:hAnsi="Times New Roman" w:eastAsia="宋体" w:cs="Times New Roman"/>
                <w:color w:val="auto"/>
                <w:sz w:val="24"/>
                <w:vertAlign w:val="subscript"/>
              </w:rPr>
              <w:t>eqg</w:t>
            </w:r>
            <w:r>
              <w:rPr>
                <w:rFonts w:hint="default" w:ascii="Times New Roman" w:hAnsi="Times New Roman" w:eastAsia="宋体" w:cs="Times New Roman"/>
                <w:color w:val="auto"/>
                <w:sz w:val="24"/>
              </w:rPr>
              <w:t>为本项目声源在预测点的等效声级贡献值；L</w:t>
            </w:r>
            <w:r>
              <w:rPr>
                <w:rFonts w:hint="default" w:ascii="Times New Roman" w:hAnsi="Times New Roman" w:eastAsia="宋体" w:cs="Times New Roman"/>
                <w:color w:val="auto"/>
                <w:sz w:val="24"/>
                <w:vertAlign w:val="subscript"/>
              </w:rPr>
              <w:t>eqb</w:t>
            </w:r>
            <w:r>
              <w:rPr>
                <w:rFonts w:hint="default" w:ascii="Times New Roman" w:hAnsi="Times New Roman" w:eastAsia="宋体" w:cs="Times New Roman"/>
                <w:color w:val="auto"/>
                <w:sz w:val="24"/>
              </w:rPr>
              <w:t>为预测点的背景值。</w:t>
            </w:r>
          </w:p>
          <w:p>
            <w:pPr>
              <w:pStyle w:val="82"/>
              <w:keepNext w:val="0"/>
              <w:keepLines w:val="0"/>
              <w:pageBreakBefore w:val="0"/>
              <w:widowControl w:val="0"/>
              <w:kinsoku/>
              <w:wordWrap/>
              <w:overflowPunct/>
              <w:topLinePunct w:val="0"/>
              <w:autoSpaceDE/>
              <w:autoSpaceDN/>
              <w:bidi w:val="0"/>
              <w:snapToGrid/>
              <w:spacing w:before="0" w:after="0" w:line="480" w:lineRule="exact"/>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根据《环境影响评价技术导则声环境》（HJ2.4-2021），项目厂界噪声以工程噪声预测值作为评价量进行分析预测，同时考虑建筑物的屏蔽和遮挡，本项目昼间夜间</w:t>
            </w:r>
            <w:r>
              <w:rPr>
                <w:rFonts w:hint="eastAsia" w:ascii="Times New Roman" w:hAnsi="Times New Roman" w:eastAsia="宋体" w:cs="Times New Roman"/>
                <w:color w:val="auto"/>
                <w:lang w:val="en-US" w:eastAsia="zh-CN"/>
              </w:rPr>
              <w:t>均进行了</w:t>
            </w:r>
            <w:r>
              <w:rPr>
                <w:rFonts w:hint="default" w:ascii="Times New Roman" w:hAnsi="Times New Roman" w:eastAsia="宋体" w:cs="Times New Roman"/>
                <w:color w:val="auto"/>
              </w:rPr>
              <w:t>噪声预测。</w:t>
            </w:r>
          </w:p>
          <w:p>
            <w:pPr>
              <w:pageBreakBefore w:val="0"/>
              <w:widowControl w:val="0"/>
              <w:kinsoku/>
              <w:wordWrap/>
              <w:overflowPunct/>
              <w:topLinePunct w:val="0"/>
              <w:autoSpaceDE/>
              <w:autoSpaceDN/>
              <w:bidi w:val="0"/>
              <w:adjustRightInd w:val="0"/>
              <w:snapToGrid w:val="0"/>
              <w:spacing w:before="0" w:after="0" w:line="480" w:lineRule="exact"/>
              <w:ind w:left="0" w:leftChars="0" w:firstLine="496" w:firstLineChars="200"/>
              <w:jc w:val="both"/>
              <w:textAlignment w:val="auto"/>
              <w:rPr>
                <w:rFonts w:hint="default"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厂界</w:t>
            </w:r>
            <w:r>
              <w:rPr>
                <w:rFonts w:hint="default" w:ascii="Times New Roman" w:hAnsi="Times New Roman" w:eastAsia="宋体" w:cs="Times New Roman"/>
                <w:color w:val="auto"/>
                <w:spacing w:val="4"/>
                <w:kern w:val="2"/>
                <w:sz w:val="24"/>
                <w:szCs w:val="24"/>
                <w:highlight w:val="none"/>
                <w:lang w:val="en-US" w:eastAsia="zh-CN" w:bidi="ar-SA"/>
              </w:rPr>
              <w:t>噪声预测结果见表</w:t>
            </w:r>
            <w:r>
              <w:rPr>
                <w:rFonts w:hint="eastAsia" w:ascii="Times New Roman" w:hAnsi="Times New Roman" w:eastAsia="宋体" w:cs="Times New Roman"/>
                <w:color w:val="auto"/>
                <w:spacing w:val="4"/>
                <w:kern w:val="2"/>
                <w:sz w:val="24"/>
                <w:szCs w:val="24"/>
                <w:highlight w:val="none"/>
                <w:lang w:val="en-US" w:eastAsia="zh-CN" w:bidi="ar-SA"/>
              </w:rPr>
              <w:t>4-</w:t>
            </w:r>
            <w:r>
              <w:rPr>
                <w:rFonts w:hint="eastAsia" w:cs="Times New Roman"/>
                <w:color w:val="auto"/>
                <w:spacing w:val="4"/>
                <w:kern w:val="2"/>
                <w:sz w:val="24"/>
                <w:szCs w:val="24"/>
                <w:highlight w:val="none"/>
                <w:lang w:val="en-US" w:eastAsia="zh-CN" w:bidi="ar-SA"/>
              </w:rPr>
              <w:t>11</w:t>
            </w:r>
            <w:r>
              <w:rPr>
                <w:rFonts w:hint="default" w:ascii="Times New Roman" w:hAnsi="Times New Roman" w:eastAsia="宋体" w:cs="Times New Roman"/>
                <w:color w:val="auto"/>
                <w:spacing w:val="4"/>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11</w:t>
            </w:r>
            <w:r>
              <w:rPr>
                <w:rFonts w:hint="default" w:ascii="Times New Roman" w:hAnsi="Times New Roman" w:eastAsia="宋体" w:cs="Times New Roman"/>
                <w:b/>
                <w:bCs/>
                <w:color w:val="auto"/>
                <w:kern w:val="2"/>
                <w:sz w:val="21"/>
                <w:szCs w:val="21"/>
                <w:highlight w:val="none"/>
                <w:lang w:val="en-US" w:eastAsia="zh-CN" w:bidi="ar-SA"/>
              </w:rPr>
              <w:t xml:space="preserve">  环境噪声预测结果</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484"/>
              <w:gridCol w:w="1144"/>
              <w:gridCol w:w="1312"/>
              <w:gridCol w:w="1388"/>
              <w:gridCol w:w="1250"/>
              <w:gridCol w:w="1375"/>
              <w:gridCol w:w="1263"/>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990" w:type="pct"/>
                  <w:gridSpan w:val="2"/>
                  <w:vMerge w:val="restar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1643" w:type="pct"/>
                  <w:gridSpan w:val="2"/>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昼间</w:t>
                  </w:r>
                  <w:r>
                    <w:rPr>
                      <w:rFonts w:ascii="Times New Roman" w:hAnsi="Times New Roman" w:eastAsia="Times New Roman" w:cs="Times New Roman"/>
                      <w:b/>
                      <w:bCs/>
                      <w:color w:val="auto"/>
                      <w:sz w:val="20"/>
                      <w:szCs w:val="20"/>
                    </w:rPr>
                    <w:t>dB</w:t>
                  </w:r>
                  <w:r>
                    <w:rPr>
                      <w:rFonts w:ascii="Times New Roman" w:hAnsi="Times New Roman" w:eastAsia="Times New Roman" w:cs="Times New Roman"/>
                      <w:b/>
                      <w:bCs/>
                      <w:color w:val="auto"/>
                      <w:spacing w:val="5"/>
                      <w:sz w:val="20"/>
                      <w:szCs w:val="20"/>
                    </w:rPr>
                    <w:t>(A)</w:t>
                  </w:r>
                </w:p>
              </w:tc>
              <w:tc>
                <w:tcPr>
                  <w:tcW w:w="1597" w:type="pct"/>
                  <w:gridSpan w:val="2"/>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cs="Times New Roman"/>
                      <w:b/>
                      <w:bCs/>
                      <w:color w:val="auto"/>
                      <w:szCs w:val="21"/>
                      <w:highlight w:val="none"/>
                      <w:lang w:val="en-US" w:eastAsia="zh-CN"/>
                    </w:rPr>
                  </w:pPr>
                  <w:r>
                    <w:rPr>
                      <w:rFonts w:hint="eastAsia" w:cs="Times New Roman"/>
                      <w:b/>
                      <w:bCs/>
                      <w:color w:val="auto"/>
                      <w:szCs w:val="21"/>
                      <w:highlight w:val="none"/>
                      <w:lang w:val="en-US" w:eastAsia="zh-CN"/>
                    </w:rPr>
                    <w:t>夜间</w:t>
                  </w:r>
                  <w:r>
                    <w:rPr>
                      <w:rFonts w:ascii="Times New Roman" w:hAnsi="Times New Roman" w:eastAsia="Times New Roman" w:cs="Times New Roman"/>
                      <w:b/>
                      <w:bCs/>
                      <w:color w:val="auto"/>
                      <w:sz w:val="20"/>
                      <w:szCs w:val="20"/>
                    </w:rPr>
                    <w:t>dB</w:t>
                  </w:r>
                  <w:r>
                    <w:rPr>
                      <w:rFonts w:ascii="Times New Roman" w:hAnsi="Times New Roman" w:eastAsia="Times New Roman" w:cs="Times New Roman"/>
                      <w:b/>
                      <w:bCs/>
                      <w:color w:val="auto"/>
                      <w:spacing w:val="5"/>
                      <w:sz w:val="20"/>
                      <w:szCs w:val="20"/>
                    </w:rPr>
                    <w:t>(A)</w:t>
                  </w:r>
                </w:p>
              </w:tc>
              <w:tc>
                <w:tcPr>
                  <w:tcW w:w="768" w:type="pct"/>
                  <w:vMerge w:val="restar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ascii="Times New Roman" w:hAnsi="Times New Roman" w:eastAsia="宋体" w:cs="Times New Roman"/>
                      <w:b/>
                      <w:bCs/>
                      <w:color w:val="auto"/>
                      <w:szCs w:val="21"/>
                      <w:highlight w:val="none"/>
                      <w:lang w:eastAsia="zh-CN"/>
                    </w:rPr>
                  </w:pPr>
                  <w:r>
                    <w:rPr>
                      <w:b/>
                      <w:bCs/>
                      <w:color w:val="auto"/>
                      <w:spacing w:val="7"/>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990" w:type="pct"/>
                  <w:gridSpan w:val="2"/>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p>
              </w:tc>
              <w:tc>
                <w:tcPr>
                  <w:tcW w:w="79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贡献值</w:t>
                  </w:r>
                </w:p>
              </w:tc>
              <w:tc>
                <w:tcPr>
                  <w:tcW w:w="844"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标准限值</w:t>
                  </w:r>
                </w:p>
              </w:tc>
              <w:tc>
                <w:tcPr>
                  <w:tcW w:w="760"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eastAsia="zh-CN"/>
                    </w:rPr>
                    <w:t>贡献值</w:t>
                  </w:r>
                </w:p>
              </w:tc>
              <w:tc>
                <w:tcPr>
                  <w:tcW w:w="83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标准限值</w:t>
                  </w:r>
                </w:p>
              </w:tc>
              <w:tc>
                <w:tcPr>
                  <w:tcW w:w="768"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4" w:type="pct"/>
                  <w:vMerge w:val="restar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厂界</w:t>
                  </w:r>
                </w:p>
              </w:tc>
              <w:tc>
                <w:tcPr>
                  <w:tcW w:w="69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1#（</w:t>
                  </w:r>
                  <w:r>
                    <w:rPr>
                      <w:rFonts w:hint="eastAsia" w:ascii="Times New Roman" w:hAnsi="Times New Roman" w:eastAsia="宋体" w:cs="Times New Roman"/>
                      <w:color w:val="auto"/>
                      <w:spacing w:val="0"/>
                      <w:szCs w:val="21"/>
                      <w:highlight w:val="none"/>
                      <w:lang w:val="en-US" w:eastAsia="zh-CN"/>
                    </w:rPr>
                    <w:t>北</w:t>
                  </w:r>
                  <w:r>
                    <w:rPr>
                      <w:rFonts w:hint="default" w:ascii="Times New Roman" w:hAnsi="Times New Roman" w:eastAsia="宋体" w:cs="Times New Roman"/>
                      <w:color w:val="auto"/>
                      <w:spacing w:val="0"/>
                      <w:szCs w:val="21"/>
                      <w:highlight w:val="none"/>
                    </w:rPr>
                    <w:t>）</w:t>
                  </w:r>
                </w:p>
              </w:tc>
              <w:tc>
                <w:tcPr>
                  <w:tcW w:w="79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50.7</w:t>
                  </w:r>
                </w:p>
              </w:tc>
              <w:tc>
                <w:tcPr>
                  <w:tcW w:w="844"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eastAsia="宋体"/>
                      <w:color w:val="auto"/>
                      <w:lang w:val="en-US" w:eastAsia="zh-CN"/>
                    </w:rPr>
                  </w:pPr>
                  <w:r>
                    <w:rPr>
                      <w:rFonts w:hint="eastAsia"/>
                      <w:color w:val="auto"/>
                      <w:lang w:val="en-US" w:eastAsia="zh-CN"/>
                    </w:rPr>
                    <w:t>65</w:t>
                  </w:r>
                </w:p>
              </w:tc>
              <w:tc>
                <w:tcPr>
                  <w:tcW w:w="760"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lang w:val="en-US" w:eastAsia="zh-CN"/>
                    </w:rPr>
                  </w:pPr>
                  <w:r>
                    <w:rPr>
                      <w:rFonts w:hint="eastAsia" w:cs="Times New Roman"/>
                      <w:color w:val="auto"/>
                      <w:kern w:val="0"/>
                      <w:sz w:val="21"/>
                      <w:szCs w:val="21"/>
                      <w:highlight w:val="none"/>
                      <w:lang w:val="en-US" w:eastAsia="zh-CN" w:bidi="ar-SA"/>
                    </w:rPr>
                    <w:t>50.7</w:t>
                  </w:r>
                </w:p>
              </w:tc>
              <w:tc>
                <w:tcPr>
                  <w:tcW w:w="83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55</w:t>
                  </w:r>
                </w:p>
              </w:tc>
              <w:tc>
                <w:tcPr>
                  <w:tcW w:w="76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eastAsia="宋体"/>
                      <w:color w:val="auto"/>
                      <w:lang w:val="en-US" w:eastAsia="zh-CN"/>
                    </w:rPr>
                  </w:pPr>
                  <w:r>
                    <w:rPr>
                      <w:rFonts w:hint="eastAsia"/>
                      <w:color w:va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4"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p>
              </w:tc>
              <w:tc>
                <w:tcPr>
                  <w:tcW w:w="69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2#（</w:t>
                  </w:r>
                  <w:r>
                    <w:rPr>
                      <w:rFonts w:hint="eastAsia" w:ascii="Times New Roman" w:hAnsi="Times New Roman" w:eastAsia="宋体" w:cs="Times New Roman"/>
                      <w:color w:val="auto"/>
                      <w:spacing w:val="0"/>
                      <w:szCs w:val="21"/>
                      <w:highlight w:val="none"/>
                      <w:lang w:val="en-US" w:eastAsia="zh-CN"/>
                    </w:rPr>
                    <w:t>东</w:t>
                  </w:r>
                  <w:r>
                    <w:rPr>
                      <w:rFonts w:hint="default" w:ascii="Times New Roman" w:hAnsi="Times New Roman" w:eastAsia="宋体" w:cs="Times New Roman"/>
                      <w:color w:val="auto"/>
                      <w:spacing w:val="0"/>
                      <w:szCs w:val="21"/>
                      <w:highlight w:val="none"/>
                    </w:rPr>
                    <w:t>）</w:t>
                  </w:r>
                </w:p>
              </w:tc>
              <w:tc>
                <w:tcPr>
                  <w:tcW w:w="79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52.1</w:t>
                  </w:r>
                </w:p>
              </w:tc>
              <w:tc>
                <w:tcPr>
                  <w:tcW w:w="844"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eastAsia="宋体"/>
                      <w:color w:val="auto"/>
                      <w:lang w:val="en-US" w:eastAsia="zh-CN"/>
                    </w:rPr>
                  </w:pPr>
                  <w:r>
                    <w:rPr>
                      <w:rFonts w:hint="eastAsia"/>
                      <w:color w:val="auto"/>
                      <w:lang w:val="en-US" w:eastAsia="zh-CN"/>
                    </w:rPr>
                    <w:t>65</w:t>
                  </w:r>
                </w:p>
              </w:tc>
              <w:tc>
                <w:tcPr>
                  <w:tcW w:w="760"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lang w:eastAsia="zh-CN"/>
                    </w:rPr>
                  </w:pPr>
                  <w:r>
                    <w:rPr>
                      <w:rFonts w:hint="eastAsia" w:cs="Times New Roman"/>
                      <w:color w:val="auto"/>
                      <w:kern w:val="0"/>
                      <w:sz w:val="21"/>
                      <w:szCs w:val="21"/>
                      <w:highlight w:val="none"/>
                      <w:lang w:val="en-US" w:eastAsia="zh-CN" w:bidi="ar-SA"/>
                    </w:rPr>
                    <w:t>52.1</w:t>
                  </w:r>
                </w:p>
              </w:tc>
              <w:tc>
                <w:tcPr>
                  <w:tcW w:w="83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lang w:eastAsia="zh-CN"/>
                    </w:rPr>
                  </w:pPr>
                  <w:r>
                    <w:rPr>
                      <w:rFonts w:hint="eastAsia"/>
                      <w:color w:val="auto"/>
                      <w:lang w:val="en-US" w:eastAsia="zh-CN"/>
                    </w:rPr>
                    <w:t>55</w:t>
                  </w:r>
                </w:p>
              </w:tc>
              <w:tc>
                <w:tcPr>
                  <w:tcW w:w="76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rPr>
                  </w:pPr>
                  <w:r>
                    <w:rPr>
                      <w:rFonts w:hint="eastAsia"/>
                      <w:color w:va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4"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p>
              </w:tc>
              <w:tc>
                <w:tcPr>
                  <w:tcW w:w="69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3#（</w:t>
                  </w:r>
                  <w:r>
                    <w:rPr>
                      <w:rFonts w:hint="eastAsia" w:ascii="Times New Roman" w:hAnsi="Times New Roman" w:eastAsia="宋体" w:cs="Times New Roman"/>
                      <w:color w:val="auto"/>
                      <w:spacing w:val="0"/>
                      <w:szCs w:val="21"/>
                      <w:highlight w:val="none"/>
                      <w:lang w:val="en-US" w:eastAsia="zh-CN"/>
                    </w:rPr>
                    <w:t>南</w:t>
                  </w:r>
                  <w:r>
                    <w:rPr>
                      <w:rFonts w:hint="default" w:ascii="Times New Roman" w:hAnsi="Times New Roman" w:eastAsia="宋体" w:cs="Times New Roman"/>
                      <w:color w:val="auto"/>
                      <w:spacing w:val="0"/>
                      <w:szCs w:val="21"/>
                      <w:highlight w:val="none"/>
                    </w:rPr>
                    <w:t>）</w:t>
                  </w:r>
                </w:p>
              </w:tc>
              <w:tc>
                <w:tcPr>
                  <w:tcW w:w="79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48.3</w:t>
                  </w:r>
                </w:p>
              </w:tc>
              <w:tc>
                <w:tcPr>
                  <w:tcW w:w="844"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eastAsia="宋体"/>
                      <w:color w:val="auto"/>
                      <w:lang w:val="en-US" w:eastAsia="zh-CN"/>
                    </w:rPr>
                  </w:pPr>
                  <w:r>
                    <w:rPr>
                      <w:rFonts w:hint="eastAsia"/>
                      <w:color w:val="auto"/>
                      <w:lang w:val="en-US" w:eastAsia="zh-CN"/>
                    </w:rPr>
                    <w:t>65</w:t>
                  </w:r>
                </w:p>
              </w:tc>
              <w:tc>
                <w:tcPr>
                  <w:tcW w:w="760"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lang w:val="en-US" w:eastAsia="zh-CN"/>
                    </w:rPr>
                  </w:pPr>
                  <w:r>
                    <w:rPr>
                      <w:rFonts w:hint="eastAsia" w:cs="Times New Roman"/>
                      <w:color w:val="auto"/>
                      <w:kern w:val="0"/>
                      <w:sz w:val="21"/>
                      <w:szCs w:val="21"/>
                      <w:highlight w:val="none"/>
                      <w:lang w:val="en-US" w:eastAsia="zh-CN" w:bidi="ar-SA"/>
                    </w:rPr>
                    <w:t>48.3</w:t>
                  </w:r>
                </w:p>
              </w:tc>
              <w:tc>
                <w:tcPr>
                  <w:tcW w:w="83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55</w:t>
                  </w:r>
                </w:p>
              </w:tc>
              <w:tc>
                <w:tcPr>
                  <w:tcW w:w="76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rPr>
                  </w:pPr>
                  <w:r>
                    <w:rPr>
                      <w:rFonts w:hint="eastAsia"/>
                      <w:color w:val="auto"/>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cantSplit/>
                <w:trHeight w:val="340" w:hRule="atLeast"/>
                <w:jc w:val="center"/>
              </w:trPr>
              <w:tc>
                <w:tcPr>
                  <w:tcW w:w="294" w:type="pct"/>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zCs w:val="21"/>
                      <w:highlight w:val="none"/>
                    </w:rPr>
                  </w:pPr>
                </w:p>
              </w:tc>
              <w:tc>
                <w:tcPr>
                  <w:tcW w:w="69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4#（</w:t>
                  </w:r>
                  <w:r>
                    <w:rPr>
                      <w:rFonts w:hint="eastAsia" w:ascii="Times New Roman" w:hAnsi="Times New Roman" w:eastAsia="宋体" w:cs="Times New Roman"/>
                      <w:color w:val="auto"/>
                      <w:spacing w:val="0"/>
                      <w:szCs w:val="21"/>
                      <w:highlight w:val="none"/>
                      <w:lang w:val="en-US" w:eastAsia="zh-CN"/>
                    </w:rPr>
                    <w:t>西</w:t>
                  </w:r>
                  <w:r>
                    <w:rPr>
                      <w:rFonts w:hint="default" w:ascii="Times New Roman" w:hAnsi="Times New Roman" w:eastAsia="宋体" w:cs="Times New Roman"/>
                      <w:color w:val="auto"/>
                      <w:spacing w:val="0"/>
                      <w:szCs w:val="21"/>
                      <w:highlight w:val="none"/>
                    </w:rPr>
                    <w:t>）</w:t>
                  </w:r>
                </w:p>
              </w:tc>
              <w:tc>
                <w:tcPr>
                  <w:tcW w:w="79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40.4</w:t>
                  </w:r>
                </w:p>
              </w:tc>
              <w:tc>
                <w:tcPr>
                  <w:tcW w:w="844"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default" w:eastAsia="宋体"/>
                      <w:color w:val="auto"/>
                      <w:lang w:val="en-US" w:eastAsia="zh-CN"/>
                    </w:rPr>
                  </w:pPr>
                  <w:r>
                    <w:rPr>
                      <w:rFonts w:hint="eastAsia"/>
                      <w:color w:val="auto"/>
                      <w:lang w:val="en-US" w:eastAsia="zh-CN"/>
                    </w:rPr>
                    <w:t>65</w:t>
                  </w:r>
                </w:p>
              </w:tc>
              <w:tc>
                <w:tcPr>
                  <w:tcW w:w="760"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lang w:val="en-US" w:eastAsia="zh-CN"/>
                    </w:rPr>
                  </w:pPr>
                  <w:r>
                    <w:rPr>
                      <w:rFonts w:hint="eastAsia" w:cs="Times New Roman"/>
                      <w:color w:val="auto"/>
                      <w:kern w:val="0"/>
                      <w:sz w:val="21"/>
                      <w:szCs w:val="21"/>
                      <w:highlight w:val="none"/>
                      <w:lang w:val="en-US" w:eastAsia="zh-CN" w:bidi="ar-SA"/>
                    </w:rPr>
                    <w:t>40.4</w:t>
                  </w:r>
                </w:p>
              </w:tc>
              <w:tc>
                <w:tcPr>
                  <w:tcW w:w="83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55</w:t>
                  </w:r>
                </w:p>
              </w:tc>
              <w:tc>
                <w:tcPr>
                  <w:tcW w:w="768"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jc w:val="center"/>
                    <w:textAlignment w:val="baseline"/>
                    <w:rPr>
                      <w:rFonts w:hint="eastAsia"/>
                      <w:color w:val="auto"/>
                    </w:rPr>
                  </w:pPr>
                  <w:r>
                    <w:rPr>
                      <w:rFonts w:hint="eastAsia"/>
                      <w:color w:val="auto"/>
                      <w:lang w:val="en-US" w:eastAsia="zh-CN"/>
                    </w:rPr>
                    <w:t>达标</w:t>
                  </w:r>
                </w:p>
              </w:tc>
            </w:tr>
          </w:tbl>
          <w:p>
            <w:pPr>
              <w:spacing w:line="480" w:lineRule="exact"/>
              <w:ind w:firstLine="496"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pacing w:val="4"/>
                <w:kern w:val="2"/>
                <w:sz w:val="24"/>
                <w:szCs w:val="24"/>
                <w:highlight w:val="none"/>
                <w:lang w:val="en-US" w:eastAsia="zh-CN" w:bidi="ar-SA"/>
              </w:rPr>
              <w:t>根据</w:t>
            </w:r>
            <w:r>
              <w:rPr>
                <w:rFonts w:hint="eastAsia" w:ascii="Times New Roman" w:hAnsi="Times New Roman" w:eastAsia="宋体" w:cs="Times New Roman"/>
                <w:color w:val="auto"/>
                <w:spacing w:val="4"/>
                <w:kern w:val="2"/>
                <w:sz w:val="24"/>
                <w:szCs w:val="24"/>
                <w:highlight w:val="none"/>
                <w:lang w:val="en-US" w:eastAsia="zh-CN" w:bidi="ar-SA"/>
              </w:rPr>
              <w:t>以上</w:t>
            </w:r>
            <w:r>
              <w:rPr>
                <w:rFonts w:hint="default" w:ascii="Times New Roman" w:hAnsi="Times New Roman" w:eastAsia="宋体" w:cs="Times New Roman"/>
                <w:color w:val="auto"/>
                <w:spacing w:val="4"/>
                <w:kern w:val="2"/>
                <w:sz w:val="24"/>
                <w:szCs w:val="24"/>
                <w:highlight w:val="none"/>
                <w:lang w:val="en-US" w:eastAsia="zh-CN" w:bidi="ar-SA"/>
              </w:rPr>
              <w:t>预测结果</w:t>
            </w:r>
            <w:r>
              <w:rPr>
                <w:rFonts w:hint="eastAsia" w:cs="Times New Roman"/>
                <w:color w:val="auto"/>
                <w:spacing w:val="4"/>
                <w:kern w:val="2"/>
                <w:sz w:val="24"/>
                <w:szCs w:val="24"/>
                <w:highlight w:val="none"/>
                <w:lang w:val="en-US" w:eastAsia="zh-CN" w:bidi="ar-SA"/>
              </w:rPr>
              <w:t>可知</w:t>
            </w:r>
            <w:r>
              <w:rPr>
                <w:rFonts w:hint="default" w:ascii="Times New Roman" w:hAnsi="Times New Roman" w:eastAsia="宋体" w:cs="Times New Roman"/>
                <w:color w:val="auto"/>
                <w:spacing w:val="4"/>
                <w:kern w:val="2"/>
                <w:sz w:val="24"/>
                <w:szCs w:val="24"/>
                <w:highlight w:val="none"/>
                <w:lang w:val="en-US" w:eastAsia="zh-CN" w:bidi="ar-SA"/>
              </w:rPr>
              <w:t>，厂</w:t>
            </w:r>
            <w:r>
              <w:rPr>
                <w:rFonts w:hint="eastAsia" w:ascii="Times New Roman" w:hAnsi="Times New Roman" w:eastAsia="宋体" w:cs="Times New Roman"/>
                <w:color w:val="auto"/>
                <w:spacing w:val="4"/>
                <w:kern w:val="2"/>
                <w:sz w:val="24"/>
                <w:szCs w:val="24"/>
                <w:highlight w:val="none"/>
                <w:lang w:val="en-US" w:eastAsia="zh-CN" w:bidi="ar-SA"/>
              </w:rPr>
              <w:t>区</w:t>
            </w:r>
            <w:r>
              <w:rPr>
                <w:rFonts w:hint="default" w:ascii="Times New Roman" w:hAnsi="Times New Roman" w:eastAsia="宋体" w:cs="Times New Roman"/>
                <w:color w:val="auto"/>
                <w:spacing w:val="4"/>
                <w:kern w:val="2"/>
                <w:sz w:val="24"/>
                <w:szCs w:val="24"/>
                <w:highlight w:val="none"/>
                <w:lang w:val="en-US" w:eastAsia="zh-CN" w:bidi="ar-SA"/>
              </w:rPr>
              <w:t>各边界噪声</w:t>
            </w:r>
            <w:r>
              <w:rPr>
                <w:rFonts w:hint="eastAsia" w:cs="Times New Roman"/>
                <w:color w:val="auto"/>
                <w:spacing w:val="4"/>
                <w:kern w:val="2"/>
                <w:sz w:val="24"/>
                <w:szCs w:val="24"/>
                <w:highlight w:val="none"/>
                <w:lang w:val="en-US" w:eastAsia="zh-CN" w:bidi="ar-SA"/>
              </w:rPr>
              <w:t>昼间、夜间贡献值</w:t>
            </w:r>
            <w:r>
              <w:rPr>
                <w:rFonts w:hint="default" w:ascii="Times New Roman" w:hAnsi="Times New Roman" w:eastAsia="宋体" w:cs="Times New Roman"/>
                <w:color w:val="auto"/>
                <w:spacing w:val="4"/>
                <w:kern w:val="2"/>
                <w:sz w:val="24"/>
                <w:szCs w:val="24"/>
                <w:highlight w:val="none"/>
                <w:lang w:val="en-US" w:eastAsia="zh-CN" w:bidi="ar-SA"/>
              </w:rPr>
              <w:t>可满足《工业企业厂界环境噪声排放标准》（GB12348-2008）</w:t>
            </w:r>
            <w:r>
              <w:rPr>
                <w:rFonts w:hint="eastAsia" w:cs="Times New Roman"/>
                <w:color w:val="auto"/>
                <w:spacing w:val="4"/>
                <w:kern w:val="2"/>
                <w:sz w:val="24"/>
                <w:szCs w:val="24"/>
                <w:highlight w:val="none"/>
                <w:lang w:val="en-US" w:eastAsia="zh-CN" w:bidi="ar-SA"/>
              </w:rPr>
              <w:t>3</w:t>
            </w:r>
            <w:r>
              <w:rPr>
                <w:rFonts w:hint="default" w:ascii="Times New Roman" w:hAnsi="Times New Roman" w:eastAsia="宋体" w:cs="Times New Roman"/>
                <w:color w:val="auto"/>
                <w:spacing w:val="4"/>
                <w:kern w:val="2"/>
                <w:sz w:val="24"/>
                <w:szCs w:val="24"/>
                <w:highlight w:val="none"/>
                <w:lang w:val="en-US" w:eastAsia="zh-CN" w:bidi="ar-SA"/>
              </w:rPr>
              <w:t>类标准要求。</w:t>
            </w:r>
          </w:p>
          <w:p>
            <w:pPr>
              <w:spacing w:line="460" w:lineRule="exact"/>
              <w:ind w:firstLine="482" w:firstLineChars="200"/>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噪声污染防治措施</w:t>
            </w:r>
          </w:p>
          <w:p>
            <w:pPr>
              <w:spacing w:line="460" w:lineRule="exact"/>
              <w:ind w:firstLine="480" w:firstLineChars="200"/>
              <w:rPr>
                <w:rFonts w:hint="eastAsia" w:ascii="Times New Roman" w:hAnsi="Times New Roman" w:eastAsia="宋体" w:cs="Times New Roman"/>
                <w:color w:val="auto"/>
                <w:spacing w:val="0"/>
                <w:sz w:val="24"/>
                <w:highlight w:val="none"/>
                <w:lang w:val="en-US" w:eastAsia="zh-CN"/>
              </w:rPr>
            </w:pPr>
            <w:r>
              <w:rPr>
                <w:rFonts w:hint="eastAsia" w:ascii="Times New Roman" w:hAnsi="Times New Roman" w:eastAsia="宋体" w:cs="Times New Roman"/>
                <w:color w:val="auto"/>
                <w:spacing w:val="0"/>
                <w:sz w:val="24"/>
                <w:highlight w:val="none"/>
                <w:lang w:val="en-US" w:eastAsia="zh-CN"/>
              </w:rPr>
              <w:t>根据本项目的工程和周围环境特征，提出如下治理措施：</w:t>
            </w:r>
          </w:p>
          <w:p>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①</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加强治理</w:t>
            </w:r>
          </w:p>
          <w:p>
            <w:pPr>
              <w:spacing w:line="460" w:lineRule="exact"/>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尽量选用低噪声</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性能好、对</w:t>
            </w:r>
            <w:r>
              <w:rPr>
                <w:rFonts w:hint="default" w:ascii="Times New Roman" w:hAnsi="Times New Roman" w:eastAsia="宋体" w:cs="Times New Roman"/>
                <w:color w:val="auto"/>
                <w:sz w:val="24"/>
                <w:highlight w:val="none"/>
              </w:rPr>
              <w:t>环境影响小的</w:t>
            </w:r>
            <w:r>
              <w:rPr>
                <w:rFonts w:hint="eastAsia" w:ascii="Times New Roman" w:hAnsi="Times New Roman" w:eastAsia="宋体" w:cs="Times New Roman"/>
                <w:color w:val="auto"/>
                <w:sz w:val="24"/>
                <w:highlight w:val="none"/>
                <w:lang w:val="en-US" w:eastAsia="zh-CN"/>
              </w:rPr>
              <w:t>设备</w:t>
            </w:r>
            <w:r>
              <w:rPr>
                <w:rFonts w:hint="default" w:ascii="Times New Roman" w:hAnsi="Times New Roman" w:eastAsia="宋体" w:cs="Times New Roman"/>
                <w:color w:val="auto"/>
                <w:sz w:val="24"/>
                <w:highlight w:val="none"/>
              </w:rPr>
              <w:t>，使本工程运行噪声对环境的影响达到规定标准</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将生产设备全部进行室内安装，降低噪声影响；对风机类的噪声设备，通风进出口设置消声器，安装减振装置</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本次评价</w:t>
            </w:r>
            <w:r>
              <w:rPr>
                <w:rFonts w:hint="default" w:ascii="Times New Roman" w:hAnsi="Times New Roman" w:eastAsia="宋体" w:cs="Times New Roman"/>
                <w:color w:val="auto"/>
                <w:sz w:val="24"/>
                <w:highlight w:val="none"/>
              </w:rPr>
              <w:t>要求企业修筑平滑路面，尽量减小路面坡度，</w:t>
            </w:r>
            <w:r>
              <w:rPr>
                <w:rFonts w:hint="eastAsia" w:ascii="Times New Roman" w:hAnsi="Times New Roman" w:eastAsia="宋体" w:cs="Times New Roman"/>
                <w:color w:val="auto"/>
                <w:sz w:val="24"/>
                <w:highlight w:val="none"/>
                <w:lang w:val="en-US" w:eastAsia="zh-CN"/>
              </w:rPr>
              <w:t>以此</w:t>
            </w:r>
            <w:r>
              <w:rPr>
                <w:rFonts w:hint="default" w:ascii="Times New Roman" w:hAnsi="Times New Roman" w:eastAsia="宋体" w:cs="Times New Roman"/>
                <w:color w:val="auto"/>
                <w:sz w:val="24"/>
                <w:highlight w:val="none"/>
              </w:rPr>
              <w:t>减轻车辆在启动及行驶过程发动机轰鸣噪声。运输车辆经过敏感点时要限制车速、减速行驶，夜间要禁止鸣笛。</w:t>
            </w:r>
            <w:r>
              <w:rPr>
                <w:rFonts w:hint="eastAsia" w:cs="Times New Roman"/>
                <w:color w:val="auto"/>
                <w:sz w:val="24"/>
                <w:highlight w:val="none"/>
                <w:lang w:val="en-US" w:eastAsia="zh-CN"/>
              </w:rPr>
              <w:t>厂区西侧225m处为村庄，评价要求本项目产噪设备尽量布置于全封闭的生产车间内，并做基础减振和消声处理，产噪设备通过厂房隔声、基础减振等措施，对周围环境影响较小。</w:t>
            </w:r>
          </w:p>
          <w:p>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2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加强管理</w:t>
            </w:r>
          </w:p>
          <w:p>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建立设备定期维护</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保养的管理制度，以防止设备故障形成的非正常生产噪声，同时确保环保措施发挥最佳有效的功能；加强职工环保意识教育，提倡文明生产，防止人为噪声；强化行车管理制度，设置降噪标准，严禁鸣号，进入厂区低速行驶，最大限度减少流动噪声源。</w:t>
            </w:r>
          </w:p>
          <w:p>
            <w:pPr>
              <w:spacing w:line="460" w:lineRule="exact"/>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rPr>
              <w:t>采取以上措施，厂界噪声可达标排放，噪声对周围环境影响不大</w:t>
            </w:r>
            <w:r>
              <w:rPr>
                <w:rFonts w:hint="default" w:ascii="Times New Roman" w:hAnsi="Times New Roman" w:eastAsia="宋体" w:cs="Times New Roman"/>
                <w:bCs/>
                <w:color w:val="auto"/>
                <w:sz w:val="24"/>
                <w:highlight w:val="none"/>
                <w:lang w:eastAsia="zh-CN"/>
              </w:rPr>
              <w:t>。</w:t>
            </w:r>
          </w:p>
          <w:p>
            <w:pPr>
              <w:numPr>
                <w:ilvl w:val="0"/>
                <w:numId w:val="0"/>
              </w:numPr>
              <w:spacing w:line="460" w:lineRule="exact"/>
              <w:ind w:firstLine="482" w:firstLineChars="200"/>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kern w:val="2"/>
                <w:sz w:val="24"/>
                <w:szCs w:val="21"/>
                <w:lang w:val="en-US" w:eastAsia="zh-CN" w:bidi="ar-SA"/>
              </w:rPr>
              <w:t>4.</w:t>
            </w:r>
            <w:r>
              <w:rPr>
                <w:rFonts w:hint="eastAsia" w:ascii="Times New Roman" w:hAnsi="Times New Roman" w:eastAsia="宋体" w:cs="Times New Roman"/>
                <w:b/>
                <w:bCs w:val="0"/>
                <w:color w:val="auto"/>
                <w:sz w:val="24"/>
                <w:highlight w:val="none"/>
                <w:lang w:val="en-US" w:eastAsia="zh-CN"/>
              </w:rPr>
              <w:t>噪声监测计划</w:t>
            </w:r>
          </w:p>
          <w:p>
            <w:pPr>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eastAsia" w:cs="Times New Roman"/>
                <w:b/>
                <w:bCs/>
                <w:color w:val="auto"/>
                <w:kern w:val="2"/>
                <w:sz w:val="21"/>
                <w:szCs w:val="21"/>
                <w:highlight w:val="none"/>
                <w:lang w:val="en-US" w:eastAsia="zh-CN" w:bidi="ar-SA"/>
              </w:rPr>
              <w:t>12</w:t>
            </w:r>
            <w:r>
              <w:rPr>
                <w:rFonts w:hint="default" w:ascii="Times New Roman" w:hAnsi="Times New Roman" w:eastAsia="宋体" w:cs="Times New Roman"/>
                <w:b/>
                <w:bCs/>
                <w:color w:val="auto"/>
                <w:kern w:val="2"/>
                <w:sz w:val="21"/>
                <w:szCs w:val="21"/>
                <w:highlight w:val="none"/>
                <w:lang w:val="en-US" w:eastAsia="zh-CN" w:bidi="ar-SA"/>
              </w:rPr>
              <w:t xml:space="preserve">  噪声监测计划一览表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9"/>
              <w:gridCol w:w="2739"/>
              <w:gridCol w:w="2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kern w:val="2"/>
                      <w:sz w:val="21"/>
                      <w:szCs w:val="21"/>
                      <w:highlight w:val="none"/>
                      <w:u w:val="none"/>
                    </w:rPr>
                  </w:pPr>
                  <w:r>
                    <w:rPr>
                      <w:rFonts w:hint="default" w:ascii="Times New Roman" w:hAnsi="Times New Roman" w:eastAsia="宋体" w:cs="Times New Roman"/>
                      <w:b/>
                      <w:bCs/>
                      <w:color w:val="auto"/>
                      <w:sz w:val="21"/>
                      <w:szCs w:val="21"/>
                      <w:highlight w:val="none"/>
                      <w:u w:val="none"/>
                    </w:rPr>
                    <w:t>监测点位</w:t>
                  </w:r>
                </w:p>
              </w:tc>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b/>
                      <w:bCs/>
                      <w:color w:val="auto"/>
                      <w:kern w:val="2"/>
                      <w:sz w:val="21"/>
                      <w:szCs w:val="21"/>
                      <w:highlight w:val="none"/>
                      <w:u w:val="none"/>
                      <w:lang w:eastAsia="zh-CN"/>
                    </w:rPr>
                  </w:pPr>
                  <w:r>
                    <w:rPr>
                      <w:rFonts w:hint="default" w:ascii="Times New Roman" w:hAnsi="Times New Roman" w:eastAsia="宋体" w:cs="Times New Roman"/>
                      <w:b/>
                      <w:bCs/>
                      <w:color w:val="auto"/>
                      <w:sz w:val="21"/>
                      <w:szCs w:val="21"/>
                      <w:highlight w:val="none"/>
                      <w:u w:val="none"/>
                    </w:rPr>
                    <w:t>监测</w:t>
                  </w:r>
                  <w:r>
                    <w:rPr>
                      <w:rFonts w:hint="eastAsia" w:ascii="Times New Roman" w:hAnsi="Times New Roman" w:eastAsia="宋体" w:cs="Times New Roman"/>
                      <w:b/>
                      <w:bCs/>
                      <w:color w:val="auto"/>
                      <w:sz w:val="21"/>
                      <w:szCs w:val="21"/>
                      <w:highlight w:val="none"/>
                      <w:u w:val="none"/>
                      <w:lang w:val="en-US" w:eastAsia="zh-CN"/>
                    </w:rPr>
                    <w:t>项目</w:t>
                  </w:r>
                </w:p>
              </w:tc>
              <w:tc>
                <w:tcPr>
                  <w:tcW w:w="1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color w:val="auto"/>
                      <w:kern w:val="2"/>
                      <w:sz w:val="21"/>
                      <w:szCs w:val="21"/>
                      <w:highlight w:val="none"/>
                      <w:u w:val="none"/>
                    </w:rPr>
                  </w:pPr>
                  <w:r>
                    <w:rPr>
                      <w:rFonts w:hint="default" w:ascii="Times New Roman" w:hAnsi="Times New Roman" w:eastAsia="宋体" w:cs="Times New Roman"/>
                      <w:b/>
                      <w:bCs/>
                      <w:color w:val="auto"/>
                      <w:sz w:val="21"/>
                      <w:szCs w:val="21"/>
                      <w:highlight w:val="none"/>
                      <w:u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厂界</w:t>
                  </w:r>
                  <w:r>
                    <w:rPr>
                      <w:rFonts w:hint="eastAsia" w:cs="Times New Roman"/>
                      <w:color w:val="auto"/>
                      <w:szCs w:val="21"/>
                      <w:highlight w:val="none"/>
                      <w:lang w:val="en-US" w:eastAsia="zh-CN"/>
                    </w:rPr>
                    <w:t>1#-4#</w:t>
                  </w:r>
                </w:p>
              </w:tc>
              <w:tc>
                <w:tcPr>
                  <w:tcW w:w="1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等效声级、最大声级</w:t>
                  </w:r>
                </w:p>
              </w:tc>
              <w:tc>
                <w:tcPr>
                  <w:tcW w:w="1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1次/季度</w:t>
                  </w:r>
                </w:p>
              </w:tc>
            </w:tr>
          </w:tbl>
          <w:p>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四、</w:t>
            </w:r>
            <w:r>
              <w:rPr>
                <w:rFonts w:hint="default" w:ascii="Times New Roman" w:hAnsi="Times New Roman" w:eastAsia="宋体" w:cs="Times New Roman"/>
                <w:b/>
                <w:color w:val="auto"/>
                <w:sz w:val="24"/>
                <w:szCs w:val="24"/>
                <w:highlight w:val="none"/>
              </w:rPr>
              <w:t>固体废物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1.固体废物产生及利用处置情况</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本项目固体废物产生及利用处置情况见表4-1</w:t>
            </w: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固体废物产生情况及利用处置情况表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19"/>
              <w:gridCol w:w="1077"/>
              <w:gridCol w:w="742"/>
              <w:gridCol w:w="945"/>
              <w:gridCol w:w="1120"/>
              <w:gridCol w:w="850"/>
              <w:gridCol w:w="890"/>
              <w:gridCol w:w="16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分类</w:t>
                  </w: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rPr>
                  </w:pPr>
                  <w:r>
                    <w:rPr>
                      <w:rFonts w:hint="default" w:ascii="Times New Roman" w:hAnsi="Times New Roman" w:eastAsia="宋体" w:cs="Times New Roman"/>
                      <w:b/>
                      <w:bCs/>
                      <w:color w:val="auto"/>
                      <w:spacing w:val="0"/>
                      <w:szCs w:val="21"/>
                      <w:highlight w:val="none"/>
                    </w:rPr>
                    <w:t>名称</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代码</w:t>
                  </w:r>
                </w:p>
              </w:tc>
              <w:tc>
                <w:tcPr>
                  <w:tcW w:w="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eastAsia="zh-CN"/>
                    </w:rPr>
                  </w:pPr>
                  <w:r>
                    <w:rPr>
                      <w:rFonts w:hint="default" w:ascii="Times New Roman" w:hAnsi="Times New Roman" w:eastAsia="宋体" w:cs="Times New Roman"/>
                      <w:b/>
                      <w:bCs/>
                      <w:color w:val="auto"/>
                      <w:spacing w:val="0"/>
                      <w:szCs w:val="21"/>
                      <w:highlight w:val="none"/>
                    </w:rPr>
                    <w:t>产生量</w:t>
                  </w:r>
                  <w:r>
                    <w:rPr>
                      <w:rFonts w:hint="default" w:ascii="Times New Roman" w:hAnsi="Times New Roman" w:eastAsia="宋体" w:cs="Times New Roman"/>
                      <w:b/>
                      <w:bCs/>
                      <w:color w:val="auto"/>
                      <w:spacing w:val="0"/>
                      <w:szCs w:val="21"/>
                      <w:highlight w:val="none"/>
                      <w:lang w:eastAsia="zh-CN"/>
                    </w:rPr>
                    <w:t>（</w:t>
                  </w:r>
                  <w:r>
                    <w:rPr>
                      <w:rFonts w:hint="default" w:ascii="Times New Roman" w:hAnsi="Times New Roman" w:eastAsia="宋体" w:cs="Times New Roman"/>
                      <w:b/>
                      <w:bCs/>
                      <w:color w:val="auto"/>
                      <w:spacing w:val="0"/>
                      <w:szCs w:val="21"/>
                      <w:highlight w:val="none"/>
                    </w:rPr>
                    <w:t>t/a</w:t>
                  </w:r>
                  <w:r>
                    <w:rPr>
                      <w:rFonts w:hint="default" w:ascii="Times New Roman" w:hAnsi="Times New Roman" w:eastAsia="宋体" w:cs="Times New Roman"/>
                      <w:b/>
                      <w:bCs/>
                      <w:color w:val="auto"/>
                      <w:spacing w:val="0"/>
                      <w:szCs w:val="21"/>
                      <w:highlight w:val="none"/>
                      <w:lang w:eastAsia="zh-CN"/>
                    </w:rPr>
                    <w:t>）</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综合利用量（</w:t>
                  </w:r>
                  <w:r>
                    <w:rPr>
                      <w:rFonts w:hint="default" w:ascii="Times New Roman" w:hAnsi="Times New Roman" w:eastAsia="宋体" w:cs="Times New Roman"/>
                      <w:b/>
                      <w:bCs/>
                      <w:color w:val="auto"/>
                      <w:spacing w:val="0"/>
                      <w:szCs w:val="21"/>
                      <w:highlight w:val="none"/>
                    </w:rPr>
                    <w:t>t/a</w:t>
                  </w:r>
                  <w:r>
                    <w:rPr>
                      <w:rFonts w:hint="default" w:ascii="Times New Roman" w:hAnsi="Times New Roman" w:eastAsia="宋体" w:cs="Times New Roman"/>
                      <w:b/>
                      <w:bCs/>
                      <w:color w:val="auto"/>
                      <w:spacing w:val="0"/>
                      <w:szCs w:val="21"/>
                      <w:highlight w:val="none"/>
                      <w:lang w:val="en-US" w:eastAsia="zh-CN"/>
                    </w:rPr>
                    <w:t>）</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处置量（</w:t>
                  </w:r>
                  <w:r>
                    <w:rPr>
                      <w:rFonts w:hint="default" w:ascii="Times New Roman" w:hAnsi="Times New Roman" w:eastAsia="宋体" w:cs="Times New Roman"/>
                      <w:b/>
                      <w:bCs/>
                      <w:color w:val="auto"/>
                      <w:spacing w:val="0"/>
                      <w:szCs w:val="21"/>
                      <w:highlight w:val="none"/>
                    </w:rPr>
                    <w:t>t/a</w:t>
                  </w:r>
                  <w:r>
                    <w:rPr>
                      <w:rFonts w:hint="default" w:ascii="Times New Roman" w:hAnsi="Times New Roman" w:eastAsia="宋体" w:cs="Times New Roman"/>
                      <w:b/>
                      <w:bCs/>
                      <w:color w:val="auto"/>
                      <w:spacing w:val="0"/>
                      <w:szCs w:val="21"/>
                      <w:highlight w:val="none"/>
                      <w:lang w:val="en-US" w:eastAsia="zh-CN"/>
                    </w:rPr>
                    <w:t>）</w:t>
                  </w:r>
                </w:p>
              </w:tc>
              <w:tc>
                <w:tcPr>
                  <w:tcW w:w="5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产废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周期</w:t>
                  </w:r>
                </w:p>
              </w:tc>
              <w:tc>
                <w:tcPr>
                  <w:tcW w:w="10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综合利用或</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Cs w:val="21"/>
                      <w:highlight w:val="none"/>
                      <w:lang w:val="en-US" w:eastAsia="zh-CN"/>
                    </w:rPr>
                  </w:pPr>
                  <w:r>
                    <w:rPr>
                      <w:rFonts w:hint="default" w:ascii="Times New Roman" w:hAnsi="Times New Roman" w:eastAsia="宋体" w:cs="Times New Roman"/>
                      <w:b/>
                      <w:bCs/>
                      <w:color w:val="auto"/>
                      <w:spacing w:val="0"/>
                      <w:szCs w:val="21"/>
                      <w:highlight w:val="none"/>
                      <w:lang w:val="en-US" w:eastAsia="zh-CN"/>
                    </w:rPr>
                    <w:t>处置方式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一般工业固体废物</w:t>
                  </w: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除尘灰</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SW59</w:t>
                  </w:r>
                </w:p>
              </w:tc>
              <w:tc>
                <w:tcPr>
                  <w:tcW w:w="5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color w:val="auto"/>
                      <w:lang w:val="en-US" w:eastAsia="zh-CN"/>
                    </w:rPr>
                  </w:pPr>
                  <w:r>
                    <w:rPr>
                      <w:rFonts w:hint="eastAsia"/>
                      <w:color w:val="auto"/>
                      <w:lang w:val="en-US" w:eastAsia="zh-CN"/>
                    </w:rPr>
                    <w:t>2000</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olor w:val="auto"/>
                      <w:lang w:val="en-US" w:eastAsia="zh-CN"/>
                    </w:rPr>
                    <w:t>2000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0</w:t>
                  </w:r>
                </w:p>
              </w:tc>
              <w:tc>
                <w:tcPr>
                  <w:tcW w:w="5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kern w:val="2"/>
                      <w:sz w:val="21"/>
                      <w:szCs w:val="21"/>
                      <w:highlight w:val="none"/>
                      <w:lang w:val="en-US" w:eastAsia="zh-CN" w:bidi="ar-SA"/>
                    </w:rPr>
                    <w:t>定期</w:t>
                  </w:r>
                </w:p>
              </w:tc>
              <w:tc>
                <w:tcPr>
                  <w:tcW w:w="10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作为原料返回生产系统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废除尘布袋</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SW59</w:t>
                  </w:r>
                </w:p>
              </w:tc>
              <w:tc>
                <w:tcPr>
                  <w:tcW w:w="5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color w:val="auto"/>
                      <w:lang w:val="en-US" w:eastAsia="zh-CN"/>
                    </w:rPr>
                  </w:pPr>
                  <w:r>
                    <w:rPr>
                      <w:rFonts w:hint="eastAsia"/>
                      <w:color w:val="auto"/>
                      <w:lang w:val="en-US" w:eastAsia="zh-CN"/>
                    </w:rPr>
                    <w:t>1</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lang w:val="en-US" w:eastAsia="zh-CN"/>
                    </w:rPr>
                  </w:pPr>
                  <w:r>
                    <w:rPr>
                      <w:rFonts w:hint="eastAsia"/>
                      <w:color w:val="auto"/>
                      <w:lang w:val="en-US" w:eastAsia="zh-CN"/>
                    </w:rPr>
                    <w:t>1</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0</w:t>
                  </w:r>
                </w:p>
              </w:tc>
              <w:tc>
                <w:tcPr>
                  <w:tcW w:w="5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定期</w:t>
                  </w:r>
                </w:p>
              </w:tc>
              <w:tc>
                <w:tcPr>
                  <w:tcW w:w="10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由厂家回收综合利用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磁选废屑</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SW59</w:t>
                  </w:r>
                </w:p>
              </w:tc>
              <w:tc>
                <w:tcPr>
                  <w:tcW w:w="5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color w:val="auto"/>
                      <w:lang w:val="en-US" w:eastAsia="zh-CN"/>
                    </w:rPr>
                  </w:pPr>
                  <w:r>
                    <w:rPr>
                      <w:rFonts w:hint="eastAsia"/>
                      <w:color w:val="auto"/>
                      <w:lang w:val="en-US" w:eastAsia="zh-CN"/>
                    </w:rPr>
                    <w:t>2</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2"/>
                      <w:sz w:val="21"/>
                      <w:szCs w:val="21"/>
                      <w:highlight w:val="none"/>
                      <w:lang w:val="en-US" w:eastAsia="zh-CN" w:bidi="ar-SA"/>
                    </w:rPr>
                  </w:pPr>
                  <w:r>
                    <w:rPr>
                      <w:rFonts w:hint="eastAsia"/>
                      <w:color w:val="auto"/>
                      <w:lang w:val="en-US" w:eastAsia="zh-CN"/>
                    </w:rPr>
                    <w:t>2</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0</w:t>
                  </w:r>
                </w:p>
              </w:tc>
              <w:tc>
                <w:tcPr>
                  <w:tcW w:w="5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定期</w:t>
                  </w:r>
                </w:p>
              </w:tc>
              <w:tc>
                <w:tcPr>
                  <w:tcW w:w="10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外售废品回收站综合利用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szCs w:val="21"/>
                      <w:highlight w:val="none"/>
                      <w:lang w:val="en-US" w:eastAsia="zh-CN"/>
                    </w:rPr>
                  </w:pPr>
                  <w:r>
                    <w:rPr>
                      <w:rFonts w:hint="eastAsia" w:cs="Times New Roman"/>
                      <w:color w:val="auto"/>
                      <w:spacing w:val="0"/>
                      <w:szCs w:val="21"/>
                      <w:highlight w:val="none"/>
                      <w:lang w:val="en-US" w:eastAsia="zh-CN"/>
                    </w:rPr>
                    <w:t>废包装材料</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SW17</w:t>
                  </w:r>
                </w:p>
              </w:tc>
              <w:tc>
                <w:tcPr>
                  <w:tcW w:w="57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color w:val="auto"/>
                      <w:lang w:val="en-US" w:eastAsia="zh-CN"/>
                    </w:rPr>
                  </w:pPr>
                  <w:r>
                    <w:rPr>
                      <w:rFonts w:hint="eastAsia"/>
                      <w:color w:val="auto"/>
                      <w:lang w:val="en-US" w:eastAsia="zh-CN"/>
                    </w:rPr>
                    <w:t>1</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olor w:val="auto"/>
                      <w:lang w:val="en-US" w:eastAsia="zh-CN"/>
                    </w:rPr>
                    <w:t>1</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spacing w:val="0"/>
                      <w:szCs w:val="21"/>
                      <w:highlight w:val="none"/>
                      <w:lang w:val="en-US" w:eastAsia="zh-CN"/>
                    </w:rPr>
                  </w:pPr>
                  <w:r>
                    <w:rPr>
                      <w:rFonts w:hint="eastAsia" w:cs="Times New Roman"/>
                      <w:color w:val="auto"/>
                      <w:spacing w:val="0"/>
                      <w:szCs w:val="21"/>
                      <w:highlight w:val="none"/>
                      <w:lang w:val="en-US" w:eastAsia="zh-CN"/>
                    </w:rPr>
                    <w:t>0</w:t>
                  </w:r>
                </w:p>
              </w:tc>
              <w:tc>
                <w:tcPr>
                  <w:tcW w:w="5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定期</w:t>
                  </w:r>
                </w:p>
              </w:tc>
              <w:tc>
                <w:tcPr>
                  <w:tcW w:w="10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spacing w:val="0"/>
                      <w:szCs w:val="21"/>
                      <w:highlight w:val="none"/>
                      <w:lang w:val="en-US" w:eastAsia="zh-CN"/>
                    </w:rPr>
                  </w:pPr>
                  <w:r>
                    <w:rPr>
                      <w:rFonts w:hint="eastAsia" w:ascii="Times New Roman" w:hAnsi="Times New Roman" w:eastAsia="宋体" w:cs="Times New Roman"/>
                      <w:color w:val="auto"/>
                      <w:spacing w:val="0"/>
                      <w:szCs w:val="21"/>
                      <w:highlight w:val="none"/>
                      <w:lang w:val="en-US" w:eastAsia="zh-CN"/>
                    </w:rPr>
                    <w:t>外售废品回收站综合利用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default" w:ascii="Times New Roman" w:hAnsi="Times New Roman" w:eastAsia="宋体" w:cs="Times New Roman"/>
                      <w:color w:val="auto"/>
                      <w:spacing w:val="0"/>
                      <w:kern w:val="0"/>
                      <w:szCs w:val="21"/>
                      <w:highlight w:val="none"/>
                      <w:lang w:val="en-US" w:eastAsia="zh-CN"/>
                    </w:rPr>
                    <w:t>职工生活</w:t>
                  </w: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rPr>
                  </w:pPr>
                  <w:r>
                    <w:rPr>
                      <w:rFonts w:hint="default" w:ascii="Times New Roman" w:hAnsi="Times New Roman" w:eastAsia="宋体" w:cs="Times New Roman"/>
                      <w:color w:val="auto"/>
                      <w:spacing w:val="0"/>
                      <w:szCs w:val="21"/>
                      <w:highlight w:val="none"/>
                    </w:rPr>
                    <w:t>生活</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rPr>
                    <w:t>垃圾</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w:t>
                  </w:r>
                </w:p>
              </w:tc>
              <w:tc>
                <w:tcPr>
                  <w:tcW w:w="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w:t>
                  </w:r>
                </w:p>
              </w:tc>
              <w:tc>
                <w:tcPr>
                  <w:tcW w:w="5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定期</w:t>
                  </w:r>
                </w:p>
              </w:tc>
              <w:tc>
                <w:tcPr>
                  <w:tcW w:w="10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设置垃圾桶，定期送至当地环卫部门指定地点处置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8" w:hRule="atLeast"/>
                <w:jc w:val="center"/>
              </w:trPr>
              <w:tc>
                <w:tcPr>
                  <w:tcW w:w="5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r>
                    <w:rPr>
                      <w:rFonts w:hint="eastAsia" w:ascii="Times New Roman" w:hAnsi="Times New Roman" w:eastAsia="宋体" w:cs="Times New Roman"/>
                      <w:color w:val="auto"/>
                      <w:spacing w:val="0"/>
                      <w:kern w:val="0"/>
                      <w:szCs w:val="21"/>
                      <w:highlight w:val="none"/>
                      <w:lang w:val="en-US" w:eastAsia="zh-CN"/>
                    </w:rPr>
                    <w:t>危险废物</w:t>
                  </w: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废矿物油</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HW08</w:t>
                  </w:r>
                </w:p>
              </w:tc>
              <w:tc>
                <w:tcPr>
                  <w:tcW w:w="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2</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2</w:t>
                  </w:r>
                </w:p>
              </w:tc>
              <w:tc>
                <w:tcPr>
                  <w:tcW w:w="5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定期</w:t>
                  </w:r>
                </w:p>
              </w:tc>
              <w:tc>
                <w:tcPr>
                  <w:tcW w:w="10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分区</w:t>
                  </w:r>
                  <w:r>
                    <w:rPr>
                      <w:rFonts w:hint="default" w:ascii="Times New Roman" w:hAnsi="Times New Roman" w:eastAsia="宋体" w:cs="Times New Roman"/>
                      <w:color w:val="auto"/>
                      <w:spacing w:val="0"/>
                      <w:kern w:val="2"/>
                      <w:sz w:val="21"/>
                      <w:szCs w:val="21"/>
                      <w:highlight w:val="none"/>
                      <w:lang w:val="en-US" w:eastAsia="zh-CN" w:bidi="ar-SA"/>
                    </w:rPr>
                    <w:t>暂存于</w:t>
                  </w:r>
                  <w:r>
                    <w:rPr>
                      <w:rFonts w:hint="eastAsia" w:cs="Times New Roman"/>
                      <w:color w:val="auto"/>
                      <w:spacing w:val="0"/>
                      <w:kern w:val="2"/>
                      <w:sz w:val="21"/>
                      <w:szCs w:val="21"/>
                      <w:highlight w:val="none"/>
                      <w:lang w:val="en-US" w:eastAsia="zh-CN" w:bidi="ar-SA"/>
                    </w:rPr>
                    <w:t>危废贮存点</w:t>
                  </w:r>
                  <w:r>
                    <w:rPr>
                      <w:rFonts w:hint="default" w:ascii="Times New Roman" w:hAnsi="Times New Roman" w:eastAsia="宋体" w:cs="Times New Roman"/>
                      <w:color w:val="auto"/>
                      <w:spacing w:val="0"/>
                      <w:kern w:val="2"/>
                      <w:sz w:val="21"/>
                      <w:szCs w:val="21"/>
                      <w:highlight w:val="none"/>
                      <w:lang w:val="en-US" w:eastAsia="zh-CN" w:bidi="ar-SA"/>
                    </w:rPr>
                    <w:t>，定期</w:t>
                  </w:r>
                  <w:r>
                    <w:rPr>
                      <w:rFonts w:hint="eastAsia" w:ascii="Times New Roman" w:hAnsi="Times New Roman" w:eastAsia="宋体" w:cs="Times New Roman"/>
                      <w:color w:val="auto"/>
                      <w:spacing w:val="0"/>
                      <w:kern w:val="2"/>
                      <w:sz w:val="21"/>
                      <w:szCs w:val="21"/>
                      <w:highlight w:val="none"/>
                      <w:lang w:val="en-US" w:eastAsia="zh-CN" w:bidi="ar-SA"/>
                    </w:rPr>
                    <w:t>交</w:t>
                  </w:r>
                  <w:r>
                    <w:rPr>
                      <w:rFonts w:hint="default" w:ascii="Times New Roman" w:hAnsi="Times New Roman" w:eastAsia="宋体" w:cs="Times New Roman"/>
                      <w:color w:val="auto"/>
                      <w:spacing w:val="0"/>
                      <w:kern w:val="2"/>
                      <w:sz w:val="21"/>
                      <w:szCs w:val="21"/>
                      <w:highlight w:val="none"/>
                      <w:lang w:val="en-US" w:eastAsia="zh-CN" w:bidi="ar-SA"/>
                    </w:rPr>
                    <w:t>由有资质单位处置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废油桶</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szCs w:val="21"/>
                      <w:highlight w:val="none"/>
                      <w:lang w:val="en-US" w:eastAsia="zh-CN"/>
                    </w:rPr>
                    <w:t>HW49</w:t>
                  </w:r>
                </w:p>
              </w:tc>
              <w:tc>
                <w:tcPr>
                  <w:tcW w:w="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1</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1</w:t>
                  </w: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10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0"/>
                      <w:szCs w:val="21"/>
                      <w:highlight w:val="none"/>
                      <w:lang w:val="en-US" w:eastAsia="zh-CN"/>
                    </w:rPr>
                  </w:pPr>
                </w:p>
              </w:tc>
              <w:tc>
                <w:tcPr>
                  <w:tcW w:w="6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eastAsia" w:cs="Times New Roman"/>
                      <w:color w:val="auto"/>
                      <w:spacing w:val="0"/>
                      <w:szCs w:val="21"/>
                      <w:highlight w:val="none"/>
                      <w:lang w:val="en-US" w:eastAsia="zh-CN"/>
                    </w:rPr>
                    <w:t>检测废液</w:t>
                  </w:r>
                </w:p>
              </w:tc>
              <w:tc>
                <w:tcPr>
                  <w:tcW w:w="4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Cs w:val="21"/>
                      <w:highlight w:val="none"/>
                      <w:lang w:val="en-US" w:eastAsia="zh-CN"/>
                    </w:rPr>
                  </w:pPr>
                  <w:r>
                    <w:rPr>
                      <w:rFonts w:hint="default" w:ascii="Times New Roman" w:hAnsi="Times New Roman" w:eastAsia="宋体" w:cs="Times New Roman"/>
                      <w:color w:val="auto"/>
                      <w:spacing w:val="0"/>
                      <w:szCs w:val="21"/>
                      <w:highlight w:val="none"/>
                      <w:lang w:val="en-US" w:eastAsia="zh-CN"/>
                    </w:rPr>
                    <w:t>HW49</w:t>
                  </w:r>
                </w:p>
              </w:tc>
              <w:tc>
                <w:tcPr>
                  <w:tcW w:w="5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w:t>
                  </w:r>
                </w:p>
              </w:tc>
              <w:tc>
                <w:tcPr>
                  <w:tcW w:w="6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w:t>
                  </w:r>
                </w:p>
              </w:tc>
              <w:tc>
                <w:tcPr>
                  <w:tcW w:w="5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10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S1</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除尘器</w:t>
            </w:r>
            <w:r>
              <w:rPr>
                <w:rFonts w:hint="default" w:ascii="Times New Roman" w:hAnsi="Times New Roman" w:eastAsia="宋体" w:cs="Times New Roman"/>
                <w:bCs/>
                <w:color w:val="auto"/>
                <w:sz w:val="24"/>
                <w:highlight w:val="none"/>
                <w:lang w:val="en-US" w:eastAsia="zh-CN"/>
              </w:rPr>
              <w:t>除尘灰</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auto"/>
                <w:sz w:val="24"/>
                <w:highlight w:val="none"/>
              </w:rPr>
            </w:pPr>
            <w:r>
              <w:rPr>
                <w:rFonts w:hint="eastAsia" w:ascii="Times New Roman" w:hAnsi="Times New Roman" w:eastAsia="宋体" w:cs="Times New Roman"/>
                <w:color w:val="auto"/>
                <w:sz w:val="24"/>
                <w:highlight w:val="none"/>
                <w:lang w:val="en-US" w:eastAsia="zh-CN"/>
              </w:rPr>
              <w:t>各工序除尘器收集的除尘灰产生量约</w:t>
            </w:r>
            <w:r>
              <w:rPr>
                <w:rFonts w:hint="eastAsia" w:cs="Times New Roman"/>
                <w:color w:val="auto"/>
                <w:sz w:val="24"/>
                <w:highlight w:val="none"/>
                <w:lang w:val="en-US" w:eastAsia="zh-CN"/>
              </w:rPr>
              <w:t>2000</w:t>
            </w:r>
            <w:r>
              <w:rPr>
                <w:rFonts w:hint="eastAsia"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在除尘器下方设置收尘桶，收集到的除尘灰</w:t>
            </w:r>
            <w:r>
              <w:rPr>
                <w:rFonts w:hint="eastAsia" w:ascii="Times New Roman" w:hAnsi="Times New Roman" w:eastAsia="宋体" w:cs="Times New Roman"/>
                <w:color w:val="auto"/>
                <w:sz w:val="24"/>
                <w:highlight w:val="none"/>
                <w:lang w:val="en-US" w:eastAsia="zh-CN"/>
              </w:rPr>
              <w:t>均作为原料返回生产系统。</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S</w:t>
            </w:r>
            <w:r>
              <w:rPr>
                <w:rFonts w:hint="eastAsia"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生活垃圾</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eastAsia="宋体"/>
                <w:color w:val="auto"/>
                <w:lang w:val="en-US" w:eastAsia="zh-CN"/>
              </w:rPr>
            </w:pPr>
            <w:r>
              <w:rPr>
                <w:rFonts w:hint="default" w:ascii="Times New Roman" w:hAnsi="Times New Roman" w:cs="Times New Roman"/>
                <w:color w:val="auto"/>
                <w:sz w:val="24"/>
                <w:szCs w:val="24"/>
              </w:rPr>
              <w:t>生活垃圾产生量人均按0.5kg/d.人计，本项目职工共有</w:t>
            </w:r>
            <w:r>
              <w:rPr>
                <w:rFonts w:hint="eastAsia" w:cs="Times New Roman"/>
                <w:color w:val="auto"/>
                <w:sz w:val="24"/>
                <w:szCs w:val="24"/>
                <w:lang w:val="en-US" w:eastAsia="zh-CN"/>
              </w:rPr>
              <w:t>2</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人，预计生活垃圾总产生量为</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t/a</w:t>
            </w:r>
            <w:r>
              <w:rPr>
                <w:rFonts w:hint="default" w:ascii="Times New Roman" w:hAnsi="Times New Roman" w:cs="Times New Roman"/>
                <w:color w:val="auto"/>
                <w:sz w:val="24"/>
                <w:szCs w:val="24"/>
              </w:rPr>
              <w:t>。厂内设封闭式分类垃圾收集箱若干，将生活垃圾集中分类收集后运送至环卫部门指定的地点进行统一处置，严禁生活垃圾在厂区内长期堆存，随意丢弃</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Cs/>
                <w:color w:val="auto"/>
                <w:sz w:val="24"/>
                <w:highlight w:val="none"/>
                <w:lang w:val="en-US" w:eastAsia="zh-CN"/>
              </w:rPr>
            </w:pPr>
            <w:r>
              <w:rPr>
                <w:rFonts w:hint="default" w:ascii="Times New Roman" w:hAnsi="Times New Roman" w:cs="Times New Roman"/>
                <w:bCs/>
                <w:color w:val="auto"/>
                <w:sz w:val="24"/>
                <w:highlight w:val="none"/>
              </w:rPr>
              <w:t>S</w:t>
            </w:r>
            <w:r>
              <w:rPr>
                <w:rFonts w:hint="eastAsia"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磁选废屑</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根据建设单位提供资料，磁选机去除的废金属屑产生量约为2t/a，经收集后全部外售至废品回收站综合利用。</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rPr>
              <w:t>S</w:t>
            </w:r>
            <w:r>
              <w:rPr>
                <w:rFonts w:hint="eastAsia"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废除尘布袋</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根据建设单位提供资料，除尘器产生的废除尘布袋产生量约1t/a，集中收集后由厂家回收综合利用。</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rPr>
              <w:t>S</w:t>
            </w:r>
            <w:r>
              <w:rPr>
                <w:rFonts w:hint="eastAsia"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废包装材料</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根据建设单位提供资料，本项目废包装材料产生量约1t/a，集中收集后外售废品收购站综合利用。</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Cs/>
                <w:color w:val="auto"/>
                <w:sz w:val="24"/>
                <w:szCs w:val="24"/>
                <w:highlight w:val="none"/>
                <w:lang w:val="en-US" w:eastAsia="zh-CN"/>
              </w:rPr>
            </w:pPr>
            <w:r>
              <w:rPr>
                <w:rFonts w:hint="eastAsia" w:ascii="Times New Roman" w:hAnsi="Times New Roman" w:cs="Times New Roman"/>
                <w:bCs/>
                <w:color w:val="auto"/>
                <w:sz w:val="24"/>
                <w:highlight w:val="none"/>
                <w:lang w:val="en-US" w:eastAsia="zh-CN"/>
              </w:rPr>
              <w:t>S</w:t>
            </w:r>
            <w:r>
              <w:rPr>
                <w:rFonts w:hint="eastAsia" w:cs="Times New Roman"/>
                <w:bCs/>
                <w:color w:val="auto"/>
                <w:sz w:val="24"/>
                <w:highlight w:val="none"/>
                <w:lang w:val="en-US" w:eastAsia="zh-CN"/>
              </w:rPr>
              <w:t>6</w:t>
            </w:r>
            <w:r>
              <w:rPr>
                <w:rFonts w:hint="eastAsia" w:ascii="Times New Roman" w:hAnsi="Times New Roman"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废矿物油</w:t>
            </w:r>
            <w:r>
              <w:rPr>
                <w:rFonts w:hint="eastAsia" w:ascii="Times New Roman" w:hAnsi="Times New Roman" w:cs="Times New Roman"/>
                <w:bCs/>
                <w:color w:val="auto"/>
                <w:sz w:val="24"/>
                <w:highlight w:val="none"/>
                <w:lang w:val="en-US" w:eastAsia="zh-CN"/>
              </w:rPr>
              <w:t>、废油桶</w:t>
            </w:r>
            <w:r>
              <w:rPr>
                <w:rFonts w:hint="eastAsia" w:cs="Times New Roman"/>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eastAsia="宋体" w:cs="Times New Roman"/>
                <w:bCs/>
                <w:color w:val="auto"/>
                <w:sz w:val="24"/>
                <w:highlight w:val="none"/>
                <w:lang w:val="en-US" w:eastAsia="zh-CN"/>
              </w:rPr>
              <w:t>本项目生产过程各设备</w:t>
            </w:r>
            <w:r>
              <w:rPr>
                <w:rFonts w:hint="eastAsia" w:ascii="Times New Roman" w:hAnsi="Times New Roman" w:eastAsia="宋体" w:cs="Times New Roman"/>
                <w:bCs/>
                <w:color w:val="auto"/>
                <w:sz w:val="24"/>
                <w:highlight w:val="none"/>
                <w:lang w:val="en-US" w:eastAsia="zh-CN"/>
              </w:rPr>
              <w:t>需日常维修保养，在此过程中</w:t>
            </w:r>
            <w:r>
              <w:rPr>
                <w:rFonts w:hint="default" w:ascii="Times New Roman" w:hAnsi="Times New Roman" w:eastAsia="宋体" w:cs="Times New Roman"/>
                <w:bCs/>
                <w:color w:val="auto"/>
                <w:sz w:val="24"/>
                <w:highlight w:val="none"/>
                <w:lang w:val="en-US" w:eastAsia="zh-CN"/>
              </w:rPr>
              <w:t>会产生少量废矿物油</w:t>
            </w:r>
            <w:r>
              <w:rPr>
                <w:rFonts w:hint="eastAsia" w:ascii="Times New Roman" w:hAnsi="Times New Roman" w:eastAsia="宋体" w:cs="Times New Roman"/>
                <w:bCs/>
                <w:color w:val="auto"/>
                <w:sz w:val="24"/>
                <w:highlight w:val="none"/>
                <w:lang w:val="en-US" w:eastAsia="zh-CN"/>
              </w:rPr>
              <w:t>及废油桶</w:t>
            </w:r>
            <w:r>
              <w:rPr>
                <w:rFonts w:hint="default" w:ascii="Times New Roman" w:hAnsi="Times New Roman" w:eastAsia="宋体" w:cs="Times New Roman"/>
                <w:bCs/>
                <w:color w:val="auto"/>
                <w:sz w:val="24"/>
                <w:highlight w:val="none"/>
                <w:lang w:val="en-US" w:eastAsia="zh-CN"/>
              </w:rPr>
              <w:t>，按照《国家危险废物名录》（202</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年版），废矿物油</w:t>
            </w:r>
            <w:r>
              <w:rPr>
                <w:rFonts w:hint="eastAsia" w:ascii="Times New Roman" w:hAnsi="Times New Roman" w:eastAsia="宋体" w:cs="Times New Roman"/>
                <w:bCs/>
                <w:color w:val="auto"/>
                <w:sz w:val="24"/>
                <w:highlight w:val="none"/>
                <w:lang w:val="en-US" w:eastAsia="zh-CN"/>
              </w:rPr>
              <w:t>、废油桶</w:t>
            </w:r>
            <w:r>
              <w:rPr>
                <w:rFonts w:hint="default" w:ascii="Times New Roman" w:hAnsi="Times New Roman" w:eastAsia="宋体" w:cs="Times New Roman"/>
                <w:bCs/>
                <w:color w:val="auto"/>
                <w:sz w:val="24"/>
                <w:highlight w:val="none"/>
                <w:lang w:val="en-US" w:eastAsia="zh-CN"/>
              </w:rPr>
              <w:t>属于危险废物，废矿物油产生量约为</w:t>
            </w:r>
            <w:r>
              <w:rPr>
                <w:rFonts w:hint="eastAsia" w:ascii="Times New Roman" w:hAnsi="Times New Roman" w:eastAsia="宋体" w:cs="Times New Roman"/>
                <w:bCs/>
                <w:color w:val="auto"/>
                <w:sz w:val="24"/>
                <w:highlight w:val="none"/>
                <w:lang w:val="en-US" w:eastAsia="zh-CN"/>
              </w:rPr>
              <w:t>0.</w:t>
            </w:r>
            <w:r>
              <w:rPr>
                <w:rFonts w:hint="eastAsia" w:cs="Times New Roman"/>
                <w:bCs/>
                <w:color w:val="auto"/>
                <w:sz w:val="24"/>
                <w:highlight w:val="none"/>
                <w:lang w:val="en-US" w:eastAsia="zh-CN"/>
              </w:rPr>
              <w:t>2</w:t>
            </w:r>
            <w:r>
              <w:rPr>
                <w:rFonts w:hint="eastAsia" w:ascii="Times New Roman" w:hAnsi="Times New Roman" w:eastAsia="宋体" w:cs="Times New Roman"/>
                <w:bCs/>
                <w:color w:val="auto"/>
                <w:sz w:val="24"/>
                <w:highlight w:val="none"/>
                <w:lang w:val="en-US" w:eastAsia="zh-CN"/>
              </w:rPr>
              <w:t>t/a，废油桶产生量约0.</w:t>
            </w:r>
            <w:r>
              <w:rPr>
                <w:rFonts w:hint="eastAsia"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t/a</w:t>
            </w:r>
            <w:r>
              <w:rPr>
                <w:rFonts w:hint="default"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环评要求建设单位建设1座10m</w:t>
            </w:r>
            <w:r>
              <w:rPr>
                <w:rFonts w:hint="eastAsia" w:cs="Times New Roman"/>
                <w:bCs/>
                <w:color w:val="auto"/>
                <w:sz w:val="24"/>
                <w:highlight w:val="none"/>
                <w:vertAlign w:val="superscript"/>
                <w:lang w:val="en-US" w:eastAsia="zh-CN"/>
              </w:rPr>
              <w:t>2</w:t>
            </w:r>
            <w:r>
              <w:rPr>
                <w:rFonts w:hint="eastAsia" w:cs="Times New Roman"/>
                <w:bCs/>
                <w:color w:val="auto"/>
                <w:sz w:val="24"/>
                <w:highlight w:val="none"/>
                <w:vertAlign w:val="baseline"/>
                <w:lang w:val="en-US" w:eastAsia="zh-CN"/>
              </w:rPr>
              <w:t>的危废贮存点，</w:t>
            </w:r>
            <w:r>
              <w:rPr>
                <w:rFonts w:hint="default" w:ascii="Times New Roman" w:hAnsi="Times New Roman" w:eastAsia="宋体" w:cs="Times New Roman"/>
                <w:bCs/>
                <w:color w:val="auto"/>
                <w:sz w:val="24"/>
                <w:highlight w:val="none"/>
                <w:lang w:val="en-US" w:eastAsia="zh-CN"/>
              </w:rPr>
              <w:t>废矿物油、废油桶分区暂存于</w:t>
            </w:r>
            <w:r>
              <w:rPr>
                <w:rFonts w:hint="eastAsia" w:cs="Times New Roman"/>
                <w:bCs/>
                <w:color w:val="auto"/>
                <w:sz w:val="24"/>
                <w:highlight w:val="none"/>
                <w:lang w:val="en-US" w:eastAsia="zh-CN"/>
              </w:rPr>
              <w:t>危废贮存点</w:t>
            </w:r>
            <w:r>
              <w:rPr>
                <w:rFonts w:hint="default" w:ascii="Times New Roman" w:hAnsi="Times New Roman" w:eastAsia="宋体" w:cs="Times New Roman"/>
                <w:bCs/>
                <w:color w:val="auto"/>
                <w:sz w:val="24"/>
                <w:highlight w:val="none"/>
                <w:lang w:val="en-US" w:eastAsia="zh-CN"/>
              </w:rPr>
              <w:t>，定期交由有资质单位处置</w:t>
            </w:r>
            <w:r>
              <w:rPr>
                <w:rFonts w:hint="eastAsia" w:ascii="Times New Roman" w:hAnsi="Times New Roman" w:eastAsia="宋体" w:cs="Times New Roman"/>
                <w:bCs/>
                <w:color w:val="auto"/>
                <w:sz w:val="24"/>
                <w:highlight w:val="none"/>
                <w:lang w:val="en-US" w:eastAsia="zh-CN"/>
              </w:rPr>
              <w:t>。</w:t>
            </w:r>
          </w:p>
          <w:p>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highlight w:val="none"/>
                <w:lang w:val="en-US"/>
              </w:rPr>
            </w:pPr>
            <w:r>
              <w:rPr>
                <w:rFonts w:hint="default" w:ascii="Times New Roman" w:hAnsi="Times New Roman" w:cs="Times New Roman"/>
                <w:bCs/>
                <w:color w:val="auto"/>
                <w:sz w:val="24"/>
                <w:highlight w:val="none"/>
              </w:rPr>
              <w:t>S</w:t>
            </w:r>
            <w:r>
              <w:rPr>
                <w:rFonts w:hint="eastAsia" w:cs="Times New Roman"/>
                <w:bCs/>
                <w:color w:val="auto"/>
                <w:sz w:val="24"/>
                <w:highlight w:val="none"/>
                <w:lang w:val="en-US" w:eastAsia="zh-CN"/>
              </w:rPr>
              <w:t>7</w:t>
            </w:r>
            <w:r>
              <w:rPr>
                <w:rFonts w:hint="default" w:ascii="Times New Roman" w:hAnsi="Times New Roman" w:cs="Times New Roman"/>
                <w:bCs/>
                <w:color w:val="auto"/>
                <w:sz w:val="24"/>
                <w:highlight w:val="none"/>
              </w:rPr>
              <w:t>：</w:t>
            </w:r>
            <w:r>
              <w:rPr>
                <w:rFonts w:hint="eastAsia" w:cs="Times New Roman"/>
                <w:bCs/>
                <w:color w:val="auto"/>
                <w:sz w:val="24"/>
                <w:highlight w:val="none"/>
                <w:lang w:val="en-US" w:eastAsia="zh-CN"/>
              </w:rPr>
              <w:t>检测废液</w:t>
            </w:r>
          </w:p>
          <w:p>
            <w:pPr>
              <w:spacing w:line="440" w:lineRule="atLeast"/>
              <w:ind w:firstLine="480" w:firstLineChars="200"/>
              <w:rPr>
                <w:rFonts w:hint="default" w:cs="Times New Roman"/>
                <w:bCs/>
                <w:color w:val="auto"/>
                <w:sz w:val="24"/>
                <w:highlight w:val="none"/>
                <w:lang w:val="en-US" w:eastAsia="zh-CN"/>
              </w:rPr>
            </w:pPr>
            <w:r>
              <w:rPr>
                <w:rFonts w:hint="eastAsia" w:cs="Times New Roman"/>
                <w:bCs/>
                <w:color w:val="auto"/>
                <w:sz w:val="24"/>
                <w:highlight w:val="none"/>
                <w:lang w:val="en-US" w:eastAsia="zh-CN"/>
              </w:rPr>
              <w:t>化验室产生的检测废液约0.01t/a，由专用废液桶收集后暂存于危废贮存点，定期由有资质单位清运处置。危废贮存点内设有四周导流渠，导流渠汇入一个收集池。</w:t>
            </w:r>
          </w:p>
          <w:p>
            <w:pPr>
              <w:adjustRightInd w:val="0"/>
              <w:snapToGrid w:val="0"/>
              <w:spacing w:line="480" w:lineRule="exact"/>
              <w:ind w:firstLine="482" w:firstLineChars="200"/>
              <w:rPr>
                <w:rFonts w:hint="default"/>
                <w:b/>
                <w:bCs w:val="0"/>
                <w:color w:val="auto"/>
                <w:sz w:val="24"/>
                <w:lang w:val="en-US" w:eastAsia="zh-CN"/>
              </w:rPr>
            </w:pPr>
            <w:r>
              <w:rPr>
                <w:rFonts w:hint="eastAsia"/>
                <w:b/>
                <w:bCs w:val="0"/>
                <w:color w:val="auto"/>
                <w:sz w:val="24"/>
                <w:lang w:val="en-US" w:eastAsia="zh-CN"/>
              </w:rPr>
              <w:t>2.</w:t>
            </w:r>
            <w:r>
              <w:rPr>
                <w:rFonts w:hint="eastAsia" w:hAnsi="宋体"/>
                <w:b/>
                <w:bCs w:val="0"/>
                <w:color w:val="auto"/>
                <w:sz w:val="24"/>
                <w:lang w:val="en-US" w:eastAsia="zh-CN"/>
              </w:rPr>
              <w:t>一般固体废物</w:t>
            </w:r>
            <w:r>
              <w:rPr>
                <w:rFonts w:hint="eastAsia" w:hAnsi="宋体"/>
                <w:b/>
                <w:bCs w:val="0"/>
                <w:color w:val="auto"/>
                <w:sz w:val="24"/>
              </w:rPr>
              <w:t>污染防治措施及管理要求</w:t>
            </w:r>
          </w:p>
          <w:p>
            <w:pPr>
              <w:adjustRightInd w:val="0"/>
              <w:snapToGrid w:val="0"/>
              <w:spacing w:line="480" w:lineRule="exact"/>
              <w:ind w:firstLine="480" w:firstLineChars="200"/>
              <w:rPr>
                <w:rFonts w:hint="default"/>
                <w:bCs/>
                <w:color w:val="auto"/>
                <w:sz w:val="24"/>
                <w:lang w:val="en-US" w:eastAsia="zh-CN"/>
              </w:rPr>
            </w:pPr>
            <w:r>
              <w:rPr>
                <w:rFonts w:hint="eastAsia"/>
                <w:bCs/>
                <w:color w:val="auto"/>
                <w:sz w:val="24"/>
                <w:lang w:val="en-US" w:eastAsia="zh-CN"/>
              </w:rPr>
              <w:t>本项目一般固体废物台账应按照《一般工业固体废物管理台账制定指南（试行）》中以下要求记录：</w:t>
            </w:r>
          </w:p>
          <w:p>
            <w:pPr>
              <w:adjustRightInd w:val="0"/>
              <w:snapToGrid w:val="0"/>
              <w:spacing w:line="480" w:lineRule="exact"/>
              <w:ind w:firstLine="480" w:firstLineChars="200"/>
              <w:rPr>
                <w:rFonts w:hint="eastAsia"/>
                <w:bCs/>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rFonts w:hint="eastAsia"/>
                <w:bCs/>
                <w:color w:val="auto"/>
                <w:sz w:val="24"/>
              </w:rPr>
              <w:t>一般工业固体废物产生清单：应记录一般工业固体废物代码、名称、产生环节、物理性状、主要成分、污染特性、年产量、去向等。</w:t>
            </w:r>
          </w:p>
          <w:p>
            <w:pPr>
              <w:adjustRightInd w:val="0"/>
              <w:snapToGrid w:val="0"/>
              <w:spacing w:line="480" w:lineRule="exact"/>
              <w:ind w:firstLine="480" w:firstLineChars="200"/>
              <w:rPr>
                <w:rFonts w:hint="eastAsia"/>
                <w:bCs/>
                <w:color w:val="auto"/>
                <w:sz w:val="24"/>
              </w:rPr>
            </w:pPr>
            <w:r>
              <w:rPr>
                <w:rFonts w:hint="eastAsia"/>
                <w:bCs/>
                <w:color w:val="auto"/>
                <w:sz w:val="24"/>
                <w:lang w:eastAsia="zh-CN"/>
              </w:rPr>
              <w:t>（</w:t>
            </w:r>
            <w:r>
              <w:rPr>
                <w:rFonts w:hint="eastAsia"/>
                <w:bCs/>
                <w:color w:val="auto"/>
                <w:sz w:val="24"/>
                <w:lang w:val="en-US" w:eastAsia="zh-CN"/>
              </w:rPr>
              <w:t>2</w:t>
            </w:r>
            <w:r>
              <w:rPr>
                <w:rFonts w:hint="eastAsia"/>
                <w:bCs/>
                <w:color w:val="auto"/>
                <w:sz w:val="24"/>
                <w:lang w:eastAsia="zh-CN"/>
              </w:rPr>
              <w:t>）</w:t>
            </w:r>
            <w:r>
              <w:rPr>
                <w:rFonts w:hint="eastAsia"/>
                <w:bCs/>
                <w:color w:val="auto"/>
                <w:sz w:val="24"/>
              </w:rPr>
              <w:t>一般工业固体废物流向汇总表：应记录一般工业固体废物代码、名称、产生量、自行利用数量等。</w:t>
            </w:r>
          </w:p>
          <w:p>
            <w:pPr>
              <w:adjustRightInd w:val="0"/>
              <w:snapToGrid w:val="0"/>
              <w:spacing w:line="480" w:lineRule="exact"/>
              <w:ind w:firstLine="480" w:firstLineChars="200"/>
              <w:rPr>
                <w:rFonts w:hint="eastAsia"/>
                <w:bCs/>
                <w:color w:val="auto"/>
                <w:sz w:val="24"/>
              </w:rPr>
            </w:pPr>
            <w:r>
              <w:rPr>
                <w:rFonts w:hint="eastAsia"/>
                <w:bCs/>
                <w:color w:val="auto"/>
                <w:sz w:val="24"/>
                <w:lang w:eastAsia="zh-CN"/>
              </w:rPr>
              <w:t>（</w:t>
            </w:r>
            <w:r>
              <w:rPr>
                <w:rFonts w:hint="eastAsia"/>
                <w:bCs/>
                <w:color w:val="auto"/>
                <w:sz w:val="24"/>
                <w:lang w:val="en-US" w:eastAsia="zh-CN"/>
              </w:rPr>
              <w:t>3</w:t>
            </w:r>
            <w:r>
              <w:rPr>
                <w:rFonts w:hint="eastAsia"/>
                <w:bCs/>
                <w:color w:val="auto"/>
                <w:sz w:val="24"/>
                <w:lang w:eastAsia="zh-CN"/>
              </w:rPr>
              <w:t>）</w:t>
            </w:r>
            <w:r>
              <w:rPr>
                <w:rFonts w:hint="eastAsia"/>
                <w:bCs/>
                <w:color w:val="auto"/>
                <w:sz w:val="24"/>
              </w:rPr>
              <w:t>一般工业固体废物出厂环节记录表：应记录一般工业固体废物代码、名称、出厂时间、出厂数量、出厂环节经办人、运输单位、接收单位、废物流向类型等信息。</w:t>
            </w:r>
          </w:p>
          <w:p>
            <w:pPr>
              <w:adjustRightInd w:val="0"/>
              <w:snapToGrid w:val="0"/>
              <w:spacing w:line="480" w:lineRule="exact"/>
              <w:ind w:firstLine="480" w:firstLineChars="200"/>
              <w:rPr>
                <w:rFonts w:hint="eastAsia"/>
                <w:bCs/>
                <w:color w:val="auto"/>
                <w:sz w:val="24"/>
              </w:rPr>
            </w:pPr>
            <w:r>
              <w:rPr>
                <w:rFonts w:hint="eastAsia"/>
                <w:bCs/>
                <w:color w:val="auto"/>
                <w:sz w:val="24"/>
                <w:lang w:eastAsia="zh-CN"/>
              </w:rPr>
              <w:t>（</w:t>
            </w:r>
            <w:r>
              <w:rPr>
                <w:rFonts w:hint="eastAsia"/>
                <w:bCs/>
                <w:color w:val="auto"/>
                <w:sz w:val="24"/>
                <w:lang w:val="en-US" w:eastAsia="zh-CN"/>
              </w:rPr>
              <w:t>4</w:t>
            </w:r>
            <w:r>
              <w:rPr>
                <w:rFonts w:hint="eastAsia"/>
                <w:bCs/>
                <w:color w:val="auto"/>
                <w:sz w:val="24"/>
                <w:lang w:eastAsia="zh-CN"/>
              </w:rPr>
              <w:t>）</w:t>
            </w:r>
            <w:r>
              <w:rPr>
                <w:rFonts w:hint="eastAsia"/>
                <w:bCs/>
                <w:color w:val="auto"/>
                <w:sz w:val="24"/>
              </w:rPr>
              <w:t>一般工业固体废物产生环节记录表：应记录一般工业固体废物代码、名称、产生时间、产生数量（单位）、转移时间、转移去向、废物产生部门经办人等。</w:t>
            </w:r>
          </w:p>
          <w:p>
            <w:pPr>
              <w:adjustRightInd w:val="0"/>
              <w:snapToGrid w:val="0"/>
              <w:spacing w:line="480" w:lineRule="exact"/>
              <w:ind w:firstLine="480" w:firstLineChars="200"/>
              <w:rPr>
                <w:bCs/>
                <w:color w:val="auto"/>
                <w:sz w:val="24"/>
              </w:rPr>
            </w:pPr>
            <w:r>
              <w:rPr>
                <w:rFonts w:hint="eastAsia"/>
                <w:bCs/>
                <w:color w:val="auto"/>
                <w:sz w:val="24"/>
                <w:lang w:eastAsia="zh-CN"/>
              </w:rPr>
              <w:t>（</w:t>
            </w:r>
            <w:r>
              <w:rPr>
                <w:rFonts w:hint="eastAsia"/>
                <w:bCs/>
                <w:color w:val="auto"/>
                <w:sz w:val="24"/>
                <w:lang w:val="en-US" w:eastAsia="zh-CN"/>
              </w:rPr>
              <w:t>5</w:t>
            </w:r>
            <w:r>
              <w:rPr>
                <w:rFonts w:hint="eastAsia"/>
                <w:bCs/>
                <w:color w:val="auto"/>
                <w:sz w:val="24"/>
                <w:lang w:eastAsia="zh-CN"/>
              </w:rPr>
              <w:t>）</w:t>
            </w:r>
            <w:r>
              <w:rPr>
                <w:rFonts w:hint="eastAsia"/>
                <w:bCs/>
                <w:color w:val="auto"/>
                <w:sz w:val="24"/>
              </w:rPr>
              <w:t>一般工业固体废物贮存环节记录表：应记录入库情况（入库时间、入库编号等）、出库情况（出库时间、出库数量、废物去向等）。</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3</w:t>
            </w:r>
            <w:r>
              <w:rPr>
                <w:rFonts w:hint="eastAsia" w:ascii="Times New Roman" w:hAnsi="Times New Roman" w:eastAsia="宋体" w:cs="Times New Roman"/>
                <w:b/>
                <w:bCs w:val="0"/>
                <w:color w:val="auto"/>
                <w:sz w:val="24"/>
                <w:highlight w:val="none"/>
                <w:lang w:val="en-US" w:eastAsia="zh-CN"/>
              </w:rPr>
              <w:t>.危险废物环境管理要求</w:t>
            </w:r>
          </w:p>
          <w:p>
            <w:pPr>
              <w:adjustRightInd w:val="0"/>
              <w:snapToGrid w:val="0"/>
              <w:spacing w:line="480" w:lineRule="exact"/>
              <w:ind w:firstLine="480" w:firstLineChars="200"/>
              <w:rPr>
                <w:bCs/>
                <w:color w:val="auto"/>
                <w:sz w:val="24"/>
              </w:rPr>
            </w:pPr>
            <w:r>
              <w:rPr>
                <w:bCs/>
                <w:color w:val="auto"/>
                <w:sz w:val="24"/>
              </w:rPr>
              <w:t>本项目在</w:t>
            </w:r>
            <w:r>
              <w:rPr>
                <w:rFonts w:hint="eastAsia"/>
                <w:bCs/>
                <w:color w:val="auto"/>
                <w:sz w:val="24"/>
                <w:lang w:val="en-US" w:eastAsia="zh-CN"/>
              </w:rPr>
              <w:t>厂区配套楼北侧</w:t>
            </w:r>
            <w:r>
              <w:rPr>
                <w:bCs/>
                <w:color w:val="auto"/>
                <w:sz w:val="24"/>
              </w:rPr>
              <w:t>设置</w:t>
            </w:r>
            <w:r>
              <w:rPr>
                <w:rFonts w:hint="eastAsia"/>
                <w:bCs/>
                <w:color w:val="auto"/>
                <w:sz w:val="24"/>
              </w:rPr>
              <w:t>1座</w:t>
            </w:r>
            <w:r>
              <w:rPr>
                <w:rFonts w:hint="eastAsia"/>
                <w:bCs/>
                <w:color w:val="auto"/>
                <w:sz w:val="24"/>
                <w:lang w:eastAsia="zh-CN"/>
              </w:rPr>
              <w:t>危废贮存点</w:t>
            </w:r>
            <w:r>
              <w:rPr>
                <w:rFonts w:hint="eastAsia"/>
                <w:bCs/>
                <w:color w:val="auto"/>
                <w:sz w:val="24"/>
              </w:rPr>
              <w:t>，占地面积1</w:t>
            </w:r>
            <w:r>
              <w:rPr>
                <w:bCs/>
                <w:color w:val="auto"/>
                <w:sz w:val="24"/>
              </w:rPr>
              <w:t>0</w:t>
            </w:r>
            <w:r>
              <w:rPr>
                <w:rFonts w:hint="eastAsia"/>
                <w:bCs/>
                <w:color w:val="auto"/>
                <w:sz w:val="24"/>
              </w:rPr>
              <w:t>m</w:t>
            </w:r>
            <w:r>
              <w:rPr>
                <w:bCs/>
                <w:color w:val="auto"/>
                <w:sz w:val="24"/>
                <w:vertAlign w:val="superscript"/>
              </w:rPr>
              <w:t>2</w:t>
            </w:r>
            <w:r>
              <w:rPr>
                <w:bCs/>
                <w:color w:val="auto"/>
                <w:sz w:val="24"/>
              </w:rPr>
              <w:t>，</w:t>
            </w:r>
            <w:r>
              <w:rPr>
                <w:rFonts w:hint="eastAsia"/>
                <w:bCs/>
                <w:color w:val="auto"/>
                <w:sz w:val="24"/>
                <w:lang w:eastAsia="zh-CN"/>
              </w:rPr>
              <w:t>危废贮存点</w:t>
            </w:r>
            <w:r>
              <w:rPr>
                <w:rFonts w:hint="eastAsia"/>
                <w:bCs/>
                <w:color w:val="auto"/>
                <w:sz w:val="24"/>
              </w:rPr>
              <w:t>建设要求及危险废物环境管理要求如下：</w:t>
            </w:r>
          </w:p>
          <w:p>
            <w:pPr>
              <w:adjustRightInd w:val="0"/>
              <w:snapToGrid w:val="0"/>
              <w:spacing w:line="480" w:lineRule="exact"/>
              <w:ind w:firstLine="480" w:firstLineChars="200"/>
              <w:rPr>
                <w:bCs/>
                <w:color w:val="auto"/>
                <w:sz w:val="24"/>
              </w:rPr>
            </w:pPr>
            <w:r>
              <w:rPr>
                <w:rFonts w:hint="eastAsia"/>
                <w:bCs/>
                <w:color w:val="auto"/>
                <w:sz w:val="24"/>
              </w:rPr>
              <w:t>（1）危险废物储存要求</w:t>
            </w:r>
          </w:p>
          <w:p>
            <w:pPr>
              <w:adjustRightInd w:val="0"/>
              <w:snapToGrid w:val="0"/>
              <w:spacing w:line="480" w:lineRule="exact"/>
              <w:ind w:firstLine="480" w:firstLineChars="200"/>
              <w:rPr>
                <w:bCs/>
                <w:color w:val="auto"/>
                <w:sz w:val="24"/>
              </w:rPr>
            </w:pPr>
            <w:r>
              <w:rPr>
                <w:rFonts w:hint="eastAsia"/>
                <w:bCs/>
                <w:color w:val="auto"/>
                <w:sz w:val="24"/>
              </w:rPr>
              <w:t>1）不同种类的危险化学品要分区储存，并在储存区贴上符合危险废物种类的相应标签。</w:t>
            </w:r>
          </w:p>
          <w:p>
            <w:pPr>
              <w:adjustRightInd w:val="0"/>
              <w:snapToGrid w:val="0"/>
              <w:spacing w:line="480" w:lineRule="exact"/>
              <w:ind w:firstLine="480" w:firstLineChars="200"/>
              <w:rPr>
                <w:bCs/>
                <w:color w:val="auto"/>
                <w:sz w:val="24"/>
              </w:rPr>
            </w:pPr>
            <w:r>
              <w:rPr>
                <w:rFonts w:hint="eastAsia"/>
                <w:bCs/>
                <w:color w:val="auto"/>
                <w:sz w:val="24"/>
              </w:rPr>
              <w:t>2）贮存场必须做好防渗处理，同时还要略高出地面并加盖防雨措施，防止水流入造成对地表水和大气环境的污染。</w:t>
            </w:r>
          </w:p>
          <w:p>
            <w:pPr>
              <w:adjustRightInd w:val="0"/>
              <w:snapToGrid w:val="0"/>
              <w:spacing w:line="480" w:lineRule="exact"/>
              <w:ind w:firstLine="480" w:firstLineChars="200"/>
              <w:rPr>
                <w:bCs/>
                <w:color w:val="auto"/>
                <w:sz w:val="24"/>
              </w:rPr>
            </w:pPr>
            <w:r>
              <w:rPr>
                <w:rFonts w:hint="eastAsia"/>
                <w:bCs/>
                <w:color w:val="auto"/>
                <w:sz w:val="24"/>
              </w:rPr>
              <w:t>3）贮存场设置明显的贮存危险废物种类标识和警示标识，并在贮存场周围显著处标记“严禁烟火”的禁示牌。</w:t>
            </w:r>
          </w:p>
          <w:p>
            <w:pPr>
              <w:adjustRightInd w:val="0"/>
              <w:snapToGrid w:val="0"/>
              <w:spacing w:line="480" w:lineRule="exact"/>
              <w:ind w:firstLine="480" w:firstLineChars="200"/>
              <w:rPr>
                <w:bCs/>
                <w:color w:val="auto"/>
                <w:sz w:val="24"/>
              </w:rPr>
            </w:pPr>
            <w:r>
              <w:rPr>
                <w:rFonts w:hint="eastAsia"/>
                <w:bCs/>
                <w:color w:val="auto"/>
                <w:sz w:val="24"/>
              </w:rPr>
              <w:t>4）厂内要有专人管理危险废物，危险废物出入贮存场前，应登记造册，做好记录，注明危险废物的名称、来源、数量、特性、入库日期、出库日期、接受单位等。</w:t>
            </w:r>
          </w:p>
          <w:p>
            <w:pPr>
              <w:adjustRightInd w:val="0"/>
              <w:snapToGrid w:val="0"/>
              <w:spacing w:line="480" w:lineRule="exact"/>
              <w:ind w:firstLine="480" w:firstLineChars="200"/>
              <w:rPr>
                <w:bCs/>
                <w:color w:val="auto"/>
                <w:sz w:val="24"/>
              </w:rPr>
            </w:pPr>
            <w:r>
              <w:rPr>
                <w:rFonts w:hint="eastAsia"/>
                <w:bCs/>
                <w:color w:val="auto"/>
                <w:sz w:val="24"/>
              </w:rPr>
              <w:t>5）定期对所贮存的危险废物包装容器及贮存设施进行检查，发现破损及时清理更换。</w:t>
            </w:r>
          </w:p>
          <w:p>
            <w:pPr>
              <w:adjustRightInd w:val="0"/>
              <w:snapToGrid w:val="0"/>
              <w:spacing w:line="480" w:lineRule="exact"/>
              <w:ind w:firstLine="480" w:firstLineChars="200"/>
              <w:rPr>
                <w:bCs/>
                <w:color w:val="auto"/>
                <w:sz w:val="24"/>
              </w:rPr>
            </w:pPr>
            <w:r>
              <w:rPr>
                <w:rFonts w:hint="eastAsia"/>
                <w:bCs/>
                <w:color w:val="auto"/>
                <w:sz w:val="24"/>
              </w:rPr>
              <w:t>6）危险废物应按照国家有关规定向当地环境保护行政主管部门申报登记，接受当地环境保护行政主管部门监督管理。危险废物应按照国家有关规定向当地环境保护行政主管部门申报登记，接受当地环境保护行政主管部门监督管理。</w:t>
            </w:r>
          </w:p>
          <w:p>
            <w:pPr>
              <w:adjustRightInd w:val="0"/>
              <w:snapToGrid w:val="0"/>
              <w:spacing w:line="480" w:lineRule="exact"/>
              <w:ind w:firstLine="480" w:firstLineChars="200"/>
              <w:rPr>
                <w:bCs/>
                <w:color w:val="auto"/>
                <w:sz w:val="24"/>
              </w:rPr>
            </w:pPr>
            <w:r>
              <w:rPr>
                <w:rFonts w:hint="eastAsia"/>
                <w:bCs/>
                <w:color w:val="auto"/>
                <w:sz w:val="24"/>
              </w:rPr>
              <w:t>（2）</w:t>
            </w:r>
            <w:r>
              <w:rPr>
                <w:rFonts w:hint="eastAsia"/>
                <w:bCs/>
                <w:color w:val="auto"/>
                <w:sz w:val="24"/>
                <w:lang w:eastAsia="zh-CN"/>
              </w:rPr>
              <w:t>危废贮存点</w:t>
            </w:r>
            <w:r>
              <w:rPr>
                <w:rFonts w:hint="eastAsia"/>
                <w:bCs/>
                <w:color w:val="auto"/>
                <w:sz w:val="24"/>
              </w:rPr>
              <w:t>建设要求</w:t>
            </w:r>
          </w:p>
          <w:p>
            <w:pPr>
              <w:adjustRightInd w:val="0"/>
              <w:snapToGrid w:val="0"/>
              <w:spacing w:line="480" w:lineRule="exact"/>
              <w:ind w:firstLine="480" w:firstLineChars="200"/>
              <w:rPr>
                <w:bCs/>
                <w:color w:val="auto"/>
                <w:sz w:val="24"/>
              </w:rPr>
            </w:pPr>
            <w:r>
              <w:rPr>
                <w:rFonts w:hint="eastAsia"/>
                <w:bCs/>
                <w:color w:val="auto"/>
                <w:sz w:val="24"/>
                <w:lang w:eastAsia="zh-CN"/>
              </w:rPr>
              <w:t>危废贮存点</w:t>
            </w:r>
            <w:r>
              <w:rPr>
                <w:rFonts w:hint="eastAsia"/>
                <w:bCs/>
                <w:color w:val="auto"/>
                <w:sz w:val="24"/>
              </w:rPr>
              <w:t>按照《危险废物贮存污染控制标准》（GB18597-2023）相关要求进行防渗、防漏处理，安全可靠，不会受到风雨侵蚀，可有效防止临时存放过程中的二次污染，危险废物贮存库按照贮存物质特性分区存放（每个项目单独设置存放区），每个项目指定专人进行管理。按照《危险废物识别标志设置技术规范》（HJ2176-2022）要求设置相应的危废标识。</w:t>
            </w:r>
          </w:p>
          <w:p>
            <w:pPr>
              <w:adjustRightInd w:val="0"/>
              <w:snapToGrid w:val="0"/>
              <w:spacing w:line="480" w:lineRule="exact"/>
              <w:ind w:firstLine="480" w:firstLineChars="200"/>
              <w:rPr>
                <w:bCs/>
                <w:color w:val="auto"/>
                <w:sz w:val="24"/>
              </w:rPr>
            </w:pPr>
            <w:r>
              <w:rPr>
                <w:rFonts w:hint="eastAsia"/>
                <w:bCs/>
                <w:color w:val="auto"/>
                <w:sz w:val="24"/>
              </w:rPr>
              <w:t>（3）危险废物控制要求</w:t>
            </w:r>
          </w:p>
          <w:p>
            <w:pPr>
              <w:adjustRightInd w:val="0"/>
              <w:snapToGrid w:val="0"/>
              <w:spacing w:line="480" w:lineRule="exact"/>
              <w:ind w:firstLine="480" w:firstLineChars="200"/>
              <w:rPr>
                <w:bCs/>
                <w:color w:val="auto"/>
                <w:sz w:val="24"/>
              </w:rPr>
            </w:pPr>
            <w:r>
              <w:rPr>
                <w:rFonts w:hint="eastAsia"/>
                <w:bCs/>
                <w:color w:val="auto"/>
                <w:sz w:val="24"/>
              </w:rPr>
              <w:t>企业应严格加强固体废物贮存和处置全过程的管理，具体可如下执行：</w:t>
            </w:r>
          </w:p>
          <w:p>
            <w:pPr>
              <w:adjustRightInd w:val="0"/>
              <w:snapToGrid w:val="0"/>
              <w:spacing w:line="480" w:lineRule="exact"/>
              <w:ind w:firstLine="480" w:firstLineChars="200"/>
              <w:rPr>
                <w:bCs/>
                <w:color w:val="auto"/>
                <w:sz w:val="24"/>
              </w:rPr>
            </w:pPr>
            <w:r>
              <w:rPr>
                <w:rFonts w:hint="eastAsia"/>
                <w:bCs/>
                <w:color w:val="auto"/>
                <w:sz w:val="24"/>
              </w:rPr>
              <w:t>①危险废物应与其他固体废物严格隔离，禁止一般工业固废垃圾混入；同时也禁止危险废物混入一般工业固废中。</w:t>
            </w:r>
          </w:p>
          <w:p>
            <w:pPr>
              <w:adjustRightInd w:val="0"/>
              <w:snapToGrid w:val="0"/>
              <w:spacing w:line="480" w:lineRule="exact"/>
              <w:ind w:firstLine="480" w:firstLineChars="200"/>
              <w:rPr>
                <w:bCs/>
                <w:color w:val="auto"/>
                <w:sz w:val="24"/>
              </w:rPr>
            </w:pPr>
            <w:r>
              <w:rPr>
                <w:rFonts w:hint="eastAsia"/>
                <w:bCs/>
                <w:color w:val="auto"/>
                <w:sz w:val="24"/>
              </w:rPr>
              <w:t>②禁止将不相容（相互反应）的危险废物在同一容器内混装；盛装危险废物的容器上必须粘贴符合标准的标签。</w:t>
            </w:r>
          </w:p>
          <w:p>
            <w:pPr>
              <w:adjustRightInd w:val="0"/>
              <w:snapToGrid w:val="0"/>
              <w:spacing w:line="480" w:lineRule="exact"/>
              <w:ind w:firstLine="480" w:firstLineChars="200"/>
              <w:rPr>
                <w:bCs/>
                <w:color w:val="auto"/>
                <w:sz w:val="24"/>
              </w:rPr>
            </w:pPr>
            <w:r>
              <w:rPr>
                <w:rFonts w:hint="eastAsia"/>
                <w:bCs/>
                <w:color w:val="auto"/>
                <w:sz w:val="24"/>
              </w:rPr>
              <w:t>④检查堆场内的通讯设备、照明设施、安全防护服装及工具，检查应急防护设施。</w:t>
            </w:r>
          </w:p>
          <w:p>
            <w:pPr>
              <w:adjustRightInd w:val="0"/>
              <w:snapToGrid w:val="0"/>
              <w:spacing w:line="480" w:lineRule="exact"/>
              <w:ind w:firstLine="480" w:firstLineChars="200"/>
              <w:rPr>
                <w:bCs/>
                <w:color w:val="auto"/>
                <w:sz w:val="24"/>
              </w:rPr>
            </w:pPr>
            <w:r>
              <w:rPr>
                <w:rFonts w:hint="eastAsia"/>
                <w:bCs/>
                <w:color w:val="auto"/>
                <w:sz w:val="24"/>
              </w:rPr>
              <w:t>⑤完善维护制度，定期检查维护防渗设施，发现有损坏可能或异常，应及时采取必要措施，以保障正常运行；详细记录入场固体废物的种类和数量以及其他相关资料并长期保存，供随时查阅。</w:t>
            </w:r>
          </w:p>
          <w:p>
            <w:pPr>
              <w:adjustRightInd w:val="0"/>
              <w:snapToGrid w:val="0"/>
              <w:spacing w:line="480" w:lineRule="exact"/>
              <w:ind w:firstLine="480" w:firstLineChars="200"/>
              <w:rPr>
                <w:bCs/>
                <w:color w:val="auto"/>
                <w:sz w:val="24"/>
              </w:rPr>
            </w:pPr>
            <w:r>
              <w:rPr>
                <w:rFonts w:hint="eastAsia"/>
                <w:bCs/>
                <w:color w:val="auto"/>
                <w:sz w:val="24"/>
              </w:rPr>
              <w:t>⑥当贮存库因故不再承担新的贮存、处置任务时，应予以关闭或封场，同时采取措施消除污染，无法消除污染的设备、土壤、墙体等按危险废物处理，并运至正在营运的危险废物处理处置场或其它贮存设施中。关闭或封场后，应设置标志物，注明关闭或封场时间，以及使用该土地时应注意的事项，并继续维护管理，直到稳定为止。监测部门的监测结果表明已不存在污染时，方可摘下警示标志，撤离留守人员。</w:t>
            </w:r>
          </w:p>
          <w:p>
            <w:pPr>
              <w:adjustRightInd w:val="0"/>
              <w:snapToGrid w:val="0"/>
              <w:spacing w:line="48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⑦</w:t>
            </w:r>
            <w:r>
              <w:rPr>
                <w:rFonts w:hint="default" w:ascii="Times New Roman" w:hAnsi="Times New Roman" w:eastAsia="宋体" w:cs="Times New Roman"/>
                <w:bCs/>
                <w:color w:val="auto"/>
                <w:sz w:val="24"/>
                <w:lang w:val="en-US" w:eastAsia="zh-CN"/>
              </w:rPr>
              <w:t xml:space="preserve">环评提出项目运营期建设单位按照《危险废物管理计划和台账指定技术导则》（HJ1259-2022）相关要求制定运营期危险废物管理台账，具体如下： </w:t>
            </w:r>
          </w:p>
          <w:p>
            <w:pPr>
              <w:adjustRightInd w:val="0"/>
              <w:snapToGrid w:val="0"/>
              <w:spacing w:line="48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 xml:space="preserve">A.记录内容 </w:t>
            </w:r>
          </w:p>
          <w:p>
            <w:pPr>
              <w:adjustRightInd w:val="0"/>
              <w:snapToGrid w:val="0"/>
              <w:spacing w:line="48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 xml:space="preserve">a.危险废物产生环节，应记录产生批次编码、产生时间、危险废物名称、危险废物类别、危险废物代码、产生量、计量单位、容器/包装编码、容器/包装类型、 容器/包装数量、产生危险废物设施编码、产生部门经办人、去向等。 </w:t>
            </w:r>
          </w:p>
          <w:p>
            <w:pPr>
              <w:adjustRightInd w:val="0"/>
              <w:snapToGrid w:val="0"/>
              <w:spacing w:line="48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 xml:space="preserve">b.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 </w:t>
            </w:r>
          </w:p>
          <w:p>
            <w:pPr>
              <w:adjustRightInd w:val="0"/>
              <w:snapToGrid w:val="0"/>
              <w:spacing w:line="48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c.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w:t>
            </w:r>
          </w:p>
          <w:p>
            <w:pPr>
              <w:adjustRightInd w:val="0"/>
              <w:snapToGrid w:val="0"/>
              <w:spacing w:line="48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 xml:space="preserve">d.危险废物委外利用/处置环节，应记录委外利用/处置批次编码、出厂时间、 </w:t>
            </w:r>
          </w:p>
          <w:p>
            <w:pPr>
              <w:adjustRightInd w:val="0"/>
              <w:snapToGrid w:val="0"/>
              <w:spacing w:line="48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 xml:space="preserve">容器/包装编码、容器/包装类型、容器/包装数量、危险废物名称、危险废物类别、危险废物代码、委外利用/处置量、计量单位、利用/处置方式、接收单位类型、利用/处置单位名称、许可证编码/出口核准通知单编号、产生批次编码/出库批次编码等。 </w:t>
            </w:r>
          </w:p>
          <w:p>
            <w:pPr>
              <w:adjustRightInd w:val="0"/>
              <w:snapToGrid w:val="0"/>
              <w:spacing w:line="48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 xml:space="preserve">B.记录保存 </w:t>
            </w:r>
          </w:p>
          <w:p>
            <w:pPr>
              <w:adjustRightInd w:val="0"/>
              <w:snapToGrid w:val="0"/>
              <w:spacing w:line="48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保存时间原则上应存档5年以上。</w:t>
            </w:r>
          </w:p>
          <w:p>
            <w:pPr>
              <w:adjustRightInd w:val="0"/>
              <w:snapToGrid w:val="0"/>
              <w:spacing w:line="480" w:lineRule="exact"/>
              <w:ind w:firstLine="480" w:firstLineChars="200"/>
              <w:rPr>
                <w:bCs/>
                <w:color w:val="auto"/>
                <w:sz w:val="24"/>
              </w:rPr>
            </w:pPr>
            <w:r>
              <w:rPr>
                <w:rFonts w:hint="eastAsia"/>
                <w:bCs/>
                <w:color w:val="auto"/>
                <w:sz w:val="24"/>
              </w:rPr>
              <w:t>（4）危险废物转移要求</w:t>
            </w:r>
          </w:p>
          <w:p>
            <w:pPr>
              <w:adjustRightInd w:val="0"/>
              <w:snapToGrid w:val="0"/>
              <w:spacing w:line="480" w:lineRule="exact"/>
              <w:ind w:firstLine="480" w:firstLineChars="200"/>
              <w:rPr>
                <w:rFonts w:hint="eastAsia"/>
                <w:bCs/>
                <w:color w:val="auto"/>
                <w:sz w:val="24"/>
              </w:rPr>
            </w:pPr>
            <w:r>
              <w:rPr>
                <w:rFonts w:hint="eastAsia"/>
                <w:bCs/>
                <w:color w:val="auto"/>
                <w:sz w:val="24"/>
              </w:rPr>
              <w:t>在送往有资质危险废物定点单位处理时严格执行《危险废物转移联单管理办法》中应严格做好相应防范措施，防止危险废物的泄漏，或发生重大交通事故。</w:t>
            </w:r>
          </w:p>
          <w:p>
            <w:pPr>
              <w:adjustRightInd w:val="0"/>
              <w:snapToGrid w:val="0"/>
              <w:spacing w:line="480" w:lineRule="exact"/>
              <w:ind w:firstLine="480" w:firstLineChars="200"/>
              <w:rPr>
                <w:rFonts w:hint="eastAsia"/>
                <w:color w:val="auto"/>
                <w:sz w:val="24"/>
              </w:rPr>
            </w:pPr>
            <w:r>
              <w:rPr>
                <w:rFonts w:hint="eastAsia"/>
                <w:color w:val="auto"/>
                <w:sz w:val="24"/>
              </w:rPr>
              <w:t>危险废物标签参考样式见下图：</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9"/>
              <w:gridCol w:w="3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9" w:type="dxa"/>
                  <w:noWrap w:val="0"/>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"https://www.mee.gov.cn/ywgz/fgbz/bz/bzwb/gthw/wxfwjbffbz/202302/W020230515591217696563.jpg" \* MERGEFORMATINET </w:instrText>
                  </w:r>
                  <w:r>
                    <w:rPr>
                      <w:rFonts w:hint="default"/>
                      <w:color w:val="auto"/>
                    </w:rPr>
                    <w:fldChar w:fldCharType="separate"/>
                  </w:r>
                  <w:r>
                    <w:rPr>
                      <w:rFonts w:hint="default"/>
                      <w:color w:val="auto"/>
                    </w:rPr>
                    <w:drawing>
                      <wp:inline distT="0" distB="0" distL="114300" distR="114300">
                        <wp:extent cx="2154555" cy="2154555"/>
                        <wp:effectExtent l="0" t="0" r="17145" b="17145"/>
                        <wp:docPr id="77" name="图片 5" descr="W0202305155912176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descr="W020230515591217696563"/>
                                <pic:cNvPicPr>
                                  <a:picLocks noChangeAspect="1"/>
                                </pic:cNvPicPr>
                              </pic:nvPicPr>
                              <pic:blipFill>
                                <a:blip r:embed="rId23"/>
                                <a:stretch>
                                  <a:fillRect/>
                                </a:stretch>
                              </pic:blipFill>
                              <pic:spPr>
                                <a:xfrm>
                                  <a:off x="0" y="0"/>
                                  <a:ext cx="2154555" cy="2154555"/>
                                </a:xfrm>
                                <a:prstGeom prst="rect">
                                  <a:avLst/>
                                </a:prstGeom>
                                <a:noFill/>
                                <a:ln>
                                  <a:noFill/>
                                </a:ln>
                              </pic:spPr>
                            </pic:pic>
                          </a:graphicData>
                        </a:graphic>
                      </wp:inline>
                    </w:drawing>
                  </w:r>
                  <w:r>
                    <w:rPr>
                      <w:rFonts w:hint="default"/>
                      <w:color w:val="auto"/>
                    </w:rPr>
                    <w:fldChar w:fldCharType="end"/>
                  </w:r>
                  <w:r>
                    <w:rPr>
                      <w:rFonts w:hint="default"/>
                      <w:color w:val="auto"/>
                    </w:rPr>
                    <w:fldChar w:fldCharType="end"/>
                  </w:r>
                  <w:r>
                    <w:rPr>
                      <w:rFonts w:hint="default"/>
                      <w:color w:val="auto"/>
                    </w:rPr>
                    <w:fldChar w:fldCharType="end"/>
                  </w:r>
                  <w:r>
                    <w:rPr>
                      <w:rFonts w:hint="default"/>
                      <w:color w:val="auto"/>
                    </w:rPr>
                    <w:fldChar w:fldCharType="end"/>
                  </w:r>
                  <w:r>
                    <w:rPr>
                      <w:rFonts w:hint="default"/>
                      <w:color w:val="auto"/>
                    </w:rPr>
                    <w:fldChar w:fldCharType="end"/>
                  </w:r>
                </w:p>
              </w:tc>
              <w:tc>
                <w:tcPr>
                  <w:tcW w:w="3862" w:type="dxa"/>
                  <w:noWrap w:val="0"/>
                  <w:vAlign w:val="center"/>
                </w:tcPr>
                <w:p>
                  <w:pPr>
                    <w:keepNext w:val="0"/>
                    <w:keepLines w:val="0"/>
                    <w:suppressLineNumbers w:val="0"/>
                    <w:spacing w:before="0" w:beforeAutospacing="0" w:after="0" w:afterAutospacing="0"/>
                    <w:ind w:left="0" w:right="0"/>
                    <w:jc w:val="center"/>
                    <w:rPr>
                      <w:rFonts w:hint="default"/>
                      <w:b/>
                      <w:color w:val="auto"/>
                      <w:szCs w:val="20"/>
                    </w:rPr>
                  </w:pPr>
                  <w:r>
                    <w:rPr>
                      <w:rFonts w:hint="eastAsia"/>
                      <w:b/>
                      <w:color w:val="auto"/>
                      <w:szCs w:val="20"/>
                    </w:rPr>
                    <w:t>说明</w:t>
                  </w:r>
                </w:p>
                <w:p>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1、危险废物标签尺寸颜色</w:t>
                  </w:r>
                </w:p>
                <w:p>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最小尺寸：100×100mm</w:t>
                  </w:r>
                </w:p>
                <w:p>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颜色：背景色为醒目的橘黄色，字体和边框颜色为黑色</w:t>
                  </w:r>
                </w:p>
                <w:p>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字体：黑体字</w:t>
                  </w:r>
                </w:p>
                <w:p>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字体颜色：黑色</w:t>
                  </w:r>
                </w:p>
                <w:p>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2、材质：不干胶印刷品，或印刷品外加防水塑料袋或塑封等。</w:t>
                  </w:r>
                </w:p>
                <w:p>
                  <w:pPr>
                    <w:keepNext w:val="0"/>
                    <w:keepLines w:val="0"/>
                    <w:suppressLineNumbers w:val="0"/>
                    <w:spacing w:before="0" w:beforeAutospacing="0" w:after="0" w:afterAutospacing="0"/>
                    <w:ind w:left="0" w:right="0"/>
                    <w:rPr>
                      <w:rFonts w:hint="default"/>
                      <w:color w:val="auto"/>
                      <w:szCs w:val="20"/>
                    </w:rPr>
                  </w:pPr>
                  <w:r>
                    <w:rPr>
                      <w:rFonts w:hint="eastAsia"/>
                      <w:color w:val="auto"/>
                      <w:szCs w:val="20"/>
                    </w:rPr>
                    <w:t>3、使用于：容器或包装物明显处</w:t>
                  </w:r>
                </w:p>
              </w:tc>
            </w:tr>
          </w:tbl>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adjustRightInd w:val="0"/>
              <w:snapToGrid w:val="0"/>
              <w:spacing w:line="480" w:lineRule="exact"/>
              <w:ind w:firstLine="480" w:firstLineChars="200"/>
              <w:rPr>
                <w:rFonts w:hint="eastAsia"/>
                <w:color w:val="auto"/>
                <w:sz w:val="24"/>
              </w:rPr>
            </w:pPr>
          </w:p>
          <w:p>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eastAsia"/>
                <w:color w:val="auto"/>
                <w:sz w:val="24"/>
              </w:rPr>
              <w:t>危险废物贮存分区标志牌参考样式见下图：</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3"/>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73" w:type="dxa"/>
                  <w:noWrap w:val="0"/>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fldChar w:fldCharType="begin"/>
                  </w:r>
                  <w:r>
                    <w:rPr>
                      <w:rFonts w:hint="default"/>
                      <w:color w:val="auto"/>
                    </w:rPr>
                    <w:instrText xml:space="preserve"> INCLUDEPICTURE  "https://www.mee.gov.cn/ywgz/fgbz/bz/bzwb/gthw/wxfwjbffbz/202302/W020230515591221300736.jpg" \* MERGEFORMATINET </w:instrText>
                  </w:r>
                  <w:r>
                    <w:rPr>
                      <w:rFonts w:hint="default"/>
                      <w:color w:val="auto"/>
                    </w:rPr>
                    <w:fldChar w:fldCharType="separate"/>
                  </w:r>
                  <w:r>
                    <w:rPr>
                      <w:rFonts w:hint="default"/>
                      <w:color w:val="auto"/>
                    </w:rPr>
                    <w:drawing>
                      <wp:inline distT="0" distB="0" distL="114300" distR="114300">
                        <wp:extent cx="2159635" cy="2159635"/>
                        <wp:effectExtent l="0" t="0" r="12065" b="12065"/>
                        <wp:docPr id="78" name="图片 6" descr="W0202305155912213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descr="W020230515591221300736"/>
                                <pic:cNvPicPr>
                                  <a:picLocks noChangeAspect="1"/>
                                </pic:cNvPicPr>
                              </pic:nvPicPr>
                              <pic:blipFill>
                                <a:blip r:embed="rId24"/>
                                <a:stretch>
                                  <a:fillRect/>
                                </a:stretch>
                              </pic:blipFill>
                              <pic:spPr>
                                <a:xfrm>
                                  <a:off x="0" y="0"/>
                                  <a:ext cx="2159635" cy="2159635"/>
                                </a:xfrm>
                                <a:prstGeom prst="rect">
                                  <a:avLst/>
                                </a:prstGeom>
                                <a:noFill/>
                                <a:ln>
                                  <a:noFill/>
                                </a:ln>
                              </pic:spPr>
                            </pic:pic>
                          </a:graphicData>
                        </a:graphic>
                      </wp:inline>
                    </w:drawing>
                  </w:r>
                  <w:r>
                    <w:rPr>
                      <w:rFonts w:hint="default"/>
                      <w:color w:val="auto"/>
                    </w:rPr>
                    <w:fldChar w:fldCharType="end"/>
                  </w:r>
                  <w:r>
                    <w:rPr>
                      <w:rFonts w:hint="default"/>
                      <w:color w:val="auto"/>
                    </w:rPr>
                    <w:fldChar w:fldCharType="end"/>
                  </w:r>
                  <w:r>
                    <w:rPr>
                      <w:rFonts w:hint="default"/>
                      <w:color w:val="auto"/>
                    </w:rPr>
                    <w:fldChar w:fldCharType="end"/>
                  </w:r>
                  <w:r>
                    <w:rPr>
                      <w:rFonts w:hint="default"/>
                      <w:color w:val="auto"/>
                    </w:rPr>
                    <w:fldChar w:fldCharType="end"/>
                  </w:r>
                  <w:r>
                    <w:rPr>
                      <w:rFonts w:hint="default"/>
                      <w:color w:val="auto"/>
                    </w:rPr>
                    <w:fldChar w:fldCharType="end"/>
                  </w:r>
                </w:p>
              </w:tc>
              <w:tc>
                <w:tcPr>
                  <w:tcW w:w="4288" w:type="dxa"/>
                  <w:noWrap w:val="0"/>
                  <w:vAlign w:val="center"/>
                </w:tcPr>
                <w:p>
                  <w:pPr>
                    <w:keepNext w:val="0"/>
                    <w:keepLines w:val="0"/>
                    <w:suppressLineNumbers w:val="0"/>
                    <w:spacing w:before="0" w:beforeAutospacing="0" w:after="0" w:afterAutospacing="0"/>
                    <w:ind w:left="0" w:right="0"/>
                    <w:jc w:val="center"/>
                    <w:rPr>
                      <w:rFonts w:hint="default"/>
                      <w:b/>
                      <w:color w:val="auto"/>
                      <w:szCs w:val="20"/>
                    </w:rPr>
                  </w:pPr>
                  <w:r>
                    <w:rPr>
                      <w:rFonts w:hint="eastAsia"/>
                      <w:b/>
                      <w:color w:val="auto"/>
                      <w:szCs w:val="20"/>
                    </w:rPr>
                    <w:t>说明</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1、颜色：背景颜色为黄色，字体和边框颜色为黑色</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2、字体：黑体字</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3、标志整体外形最小尺寸：300×300mm</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4、材质：衬底宜采用坚固耐用的材料，废物贮存种类信息等可采用印刷纸张、不粘胶材质或塑料卡片等，以便固定在衬底上。</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5、印刷：危险废物贮存分区标志的图形和文字应清晰、完整，保证在足够的观察距离条件下不影响阅读。“危险废物贮存分区标志”字样与其他信息宜加黑色分界线区分，分界线的宽度不小于2mm。</w:t>
                  </w:r>
                </w:p>
              </w:tc>
            </w:tr>
          </w:tbl>
          <w:p>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eastAsia"/>
                <w:color w:val="auto"/>
                <w:sz w:val="24"/>
              </w:rPr>
              <w:t>危险废物</w:t>
            </w:r>
            <w:r>
              <w:rPr>
                <w:rFonts w:hint="eastAsia"/>
                <w:color w:val="auto"/>
                <w:sz w:val="24"/>
                <w:lang w:val="en-US" w:eastAsia="zh-CN"/>
              </w:rPr>
              <w:t>贮存</w:t>
            </w:r>
            <w:r>
              <w:rPr>
                <w:rFonts w:hint="eastAsia"/>
                <w:color w:val="auto"/>
                <w:sz w:val="24"/>
              </w:rPr>
              <w:t>库标志牌参考样式见下图：</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3"/>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3" w:type="dxa"/>
                  <w:noWrap w:val="0"/>
                  <w:vAlign w:val="center"/>
                </w:tcPr>
                <w:p>
                  <w:pPr>
                    <w:keepNext w:val="0"/>
                    <w:keepLines w:val="0"/>
                    <w:suppressLineNumbers w:val="0"/>
                    <w:spacing w:before="0" w:beforeAutospacing="0" w:after="0" w:afterAutospacing="0"/>
                    <w:ind w:left="0" w:right="0"/>
                    <w:jc w:val="center"/>
                    <w:rPr>
                      <w:rFonts w:hint="default"/>
                      <w:color w:val="auto"/>
                    </w:rPr>
                  </w:pPr>
                  <w:r>
                    <w:rPr>
                      <w:rFonts w:hint="default"/>
                      <w:color w:val="auto"/>
                      <w:szCs w:val="20"/>
                    </w:rPr>
                    <w:drawing>
                      <wp:inline distT="0" distB="0" distL="114300" distR="114300">
                        <wp:extent cx="2159635" cy="1371600"/>
                        <wp:effectExtent l="0" t="0" r="12065" b="0"/>
                        <wp:docPr id="147" name="图片 7"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 descr="W020230515591221879653"/>
                                <pic:cNvPicPr>
                                  <a:picLocks noChangeAspect="1"/>
                                </pic:cNvPicPr>
                              </pic:nvPicPr>
                              <pic:blipFill>
                                <a:blip r:embed="rId25"/>
                                <a:stretch>
                                  <a:fillRect/>
                                </a:stretch>
                              </pic:blipFill>
                              <pic:spPr>
                                <a:xfrm>
                                  <a:off x="0" y="0"/>
                                  <a:ext cx="2159635" cy="1371600"/>
                                </a:xfrm>
                                <a:prstGeom prst="rect">
                                  <a:avLst/>
                                </a:prstGeom>
                                <a:noFill/>
                                <a:ln>
                                  <a:noFill/>
                                </a:ln>
                              </pic:spPr>
                            </pic:pic>
                          </a:graphicData>
                        </a:graphic>
                      </wp:inline>
                    </w:drawing>
                  </w:r>
                </w:p>
              </w:tc>
              <w:tc>
                <w:tcPr>
                  <w:tcW w:w="4243" w:type="dxa"/>
                  <w:noWrap w:val="0"/>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drawing>
                      <wp:inline distT="0" distB="0" distL="114300" distR="114300">
                        <wp:extent cx="1379855" cy="2159635"/>
                        <wp:effectExtent l="0" t="0" r="10795" b="12065"/>
                        <wp:docPr id="83" name="图片 8" descr="W02023051559122296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descr="W020230515591222963411"/>
                                <pic:cNvPicPr>
                                  <a:picLocks noChangeAspect="1"/>
                                </pic:cNvPicPr>
                              </pic:nvPicPr>
                              <pic:blipFill>
                                <a:blip r:embed="rId26"/>
                                <a:stretch>
                                  <a:fillRect/>
                                </a:stretch>
                              </pic:blipFill>
                              <pic:spPr>
                                <a:xfrm>
                                  <a:off x="0" y="0"/>
                                  <a:ext cx="1379855" cy="21596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6" w:type="dxa"/>
                  <w:gridSpan w:val="2"/>
                  <w:noWrap w:val="0"/>
                  <w:vAlign w:val="center"/>
                </w:tcPr>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说明</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1、颜色：背景颜色为黄色，字体和边框为黑色；</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2、字体：黑体字</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3、标志牌整体外形最小尺寸：露天/室外入口900×558mm</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4、材质：采用坚固耐用的材料（如1.5mm～2mm冷轧钢板），并做搪瓷处理或贴膜处理。标志的图形和文字应清晰、完整，保证在足够的观察距离条件下也不影响阅读。三角形警告性图形与其他信息间宜加黑色分界线区分，分界线的宽度宜不小于3mm。</w:t>
                  </w:r>
                </w:p>
                <w:p>
                  <w:pPr>
                    <w:keepNext w:val="0"/>
                    <w:keepLines w:val="0"/>
                    <w:suppressLineNumbers w:val="0"/>
                    <w:spacing w:before="0" w:beforeAutospacing="0" w:after="0" w:afterAutospacing="0"/>
                    <w:ind w:left="0" w:right="0"/>
                    <w:jc w:val="left"/>
                    <w:rPr>
                      <w:rFonts w:hint="default"/>
                      <w:color w:val="auto"/>
                      <w:szCs w:val="20"/>
                    </w:rPr>
                  </w:pPr>
                  <w:r>
                    <w:rPr>
                      <w:rFonts w:hint="eastAsia"/>
                      <w:color w:val="auto"/>
                      <w:szCs w:val="20"/>
                    </w:rPr>
                    <w:t>5、可采用横版或竖版的形式</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bCs/>
                <w:color w:val="auto"/>
                <w:sz w:val="24"/>
              </w:rPr>
            </w:pPr>
            <w:r>
              <w:rPr>
                <w:rFonts w:hint="default"/>
                <w:bCs/>
                <w:color w:val="auto"/>
                <w:sz w:val="24"/>
              </w:rPr>
              <w:t>综上所述，本项目所产生的固体废物均得到了综合利用或合理处置，对周围环境影响较小。</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bCs/>
                <w:color w:val="auto"/>
                <w:sz w:val="24"/>
              </w:rPr>
            </w:pP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bCs/>
                <w:color w:val="auto"/>
                <w:sz w:val="24"/>
              </w:rPr>
            </w:pP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4</w:t>
            </w:r>
            <w:r>
              <w:rPr>
                <w:rFonts w:hint="default" w:ascii="Times New Roman" w:hAnsi="Times New Roman" w:eastAsia="宋体" w:cs="Times New Roman"/>
                <w:b/>
                <w:bCs/>
                <w:color w:val="auto"/>
                <w:kern w:val="2"/>
                <w:sz w:val="21"/>
                <w:szCs w:val="21"/>
                <w:highlight w:val="none"/>
                <w:lang w:val="en-US" w:eastAsia="zh-CN" w:bidi="ar-SA"/>
              </w:rPr>
              <w:t xml:space="preserve">  项目危险废物汇总情况</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3"/>
              <w:gridCol w:w="891"/>
              <w:gridCol w:w="1216"/>
              <w:gridCol w:w="842"/>
              <w:gridCol w:w="872"/>
              <w:gridCol w:w="639"/>
              <w:gridCol w:w="649"/>
              <w:gridCol w:w="830"/>
              <w:gridCol w:w="15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名称</w:t>
                  </w:r>
                </w:p>
              </w:tc>
              <w:tc>
                <w:tcPr>
                  <w:tcW w:w="54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危险废物类别</w:t>
                  </w:r>
                </w:p>
              </w:tc>
              <w:tc>
                <w:tcPr>
                  <w:tcW w:w="74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危险废物代码</w:t>
                  </w:r>
                </w:p>
              </w:tc>
              <w:tc>
                <w:tcPr>
                  <w:tcW w:w="51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产生量（t/a）</w:t>
                  </w:r>
                </w:p>
              </w:tc>
              <w:tc>
                <w:tcPr>
                  <w:tcW w:w="53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产生工序及装置</w:t>
                  </w:r>
                </w:p>
              </w:tc>
              <w:tc>
                <w:tcPr>
                  <w:tcW w:w="389"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形态</w:t>
                  </w:r>
                </w:p>
              </w:tc>
              <w:tc>
                <w:tcPr>
                  <w:tcW w:w="395"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有害成分</w:t>
                  </w:r>
                </w:p>
              </w:tc>
              <w:tc>
                <w:tcPr>
                  <w:tcW w:w="505"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危险</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特性</w:t>
                  </w:r>
                </w:p>
              </w:tc>
              <w:tc>
                <w:tcPr>
                  <w:tcW w:w="931"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废矿物油</w:t>
                  </w:r>
                </w:p>
              </w:tc>
              <w:tc>
                <w:tcPr>
                  <w:tcW w:w="54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HW08</w:t>
                  </w:r>
                </w:p>
              </w:tc>
              <w:tc>
                <w:tcPr>
                  <w:tcW w:w="74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color w:val="auto"/>
                      <w:kern w:val="0"/>
                      <w:sz w:val="21"/>
                      <w:szCs w:val="21"/>
                      <w:highlight w:val="none"/>
                      <w:lang w:eastAsia="zh-CN"/>
                    </w:rPr>
                    <w:t>900-214-08</w:t>
                  </w:r>
                </w:p>
              </w:tc>
              <w:tc>
                <w:tcPr>
                  <w:tcW w:w="51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2</w:t>
                  </w:r>
                </w:p>
              </w:tc>
              <w:tc>
                <w:tcPr>
                  <w:tcW w:w="530" w:type="pct"/>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设备维修保养</w:t>
                  </w:r>
                </w:p>
              </w:tc>
              <w:tc>
                <w:tcPr>
                  <w:tcW w:w="389"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液态</w:t>
                  </w:r>
                </w:p>
              </w:tc>
              <w:tc>
                <w:tcPr>
                  <w:tcW w:w="395" w:type="pct"/>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石油类</w:t>
                  </w:r>
                </w:p>
              </w:tc>
              <w:tc>
                <w:tcPr>
                  <w:tcW w:w="505"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T，I</w:t>
                  </w:r>
                </w:p>
              </w:tc>
              <w:tc>
                <w:tcPr>
                  <w:tcW w:w="931" w:type="pct"/>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检测废液由专用废液桶收集，与废矿物油、废油桶</w:t>
                  </w:r>
                  <w:r>
                    <w:rPr>
                      <w:rFonts w:hint="eastAsia" w:ascii="Times New Roman" w:hAnsi="Times New Roman" w:eastAsia="宋体" w:cs="Times New Roman"/>
                      <w:color w:val="auto"/>
                      <w:kern w:val="0"/>
                      <w:sz w:val="21"/>
                      <w:szCs w:val="21"/>
                      <w:highlight w:val="none"/>
                      <w:lang w:val="en-US" w:eastAsia="zh-CN"/>
                    </w:rPr>
                    <w:t>分区贮存</w:t>
                  </w:r>
                  <w:r>
                    <w:rPr>
                      <w:rFonts w:hint="eastAsia" w:cs="Times New Roman"/>
                      <w:color w:val="auto"/>
                      <w:kern w:val="0"/>
                      <w:sz w:val="21"/>
                      <w:szCs w:val="21"/>
                      <w:highlight w:val="none"/>
                      <w:lang w:val="en-US" w:eastAsia="zh-CN"/>
                    </w:rPr>
                    <w:t>于</w:t>
                  </w:r>
                  <w:r>
                    <w:rPr>
                      <w:rFonts w:hint="eastAsia" w:cs="Times New Roman"/>
                      <w:color w:val="auto"/>
                      <w:kern w:val="0"/>
                      <w:sz w:val="21"/>
                      <w:szCs w:val="21"/>
                      <w:highlight w:val="none"/>
                      <w:lang w:eastAsia="zh-CN"/>
                    </w:rPr>
                    <w:t>危废贮存点</w:t>
                  </w:r>
                  <w:r>
                    <w:rPr>
                      <w:rFonts w:hint="default" w:ascii="Times New Roman" w:hAnsi="Times New Roman" w:eastAsia="宋体" w:cs="Times New Roman"/>
                      <w:color w:val="auto"/>
                      <w:kern w:val="0"/>
                      <w:sz w:val="21"/>
                      <w:szCs w:val="21"/>
                      <w:highlight w:val="none"/>
                    </w:rPr>
                    <w:t>内，定期交由有资质的单位处置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废油桶</w:t>
                  </w:r>
                </w:p>
              </w:tc>
              <w:tc>
                <w:tcPr>
                  <w:tcW w:w="54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HW49</w:t>
                  </w:r>
                </w:p>
              </w:tc>
              <w:tc>
                <w:tcPr>
                  <w:tcW w:w="74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900-041-49</w:t>
                  </w:r>
                </w:p>
              </w:tc>
              <w:tc>
                <w:tcPr>
                  <w:tcW w:w="51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530" w:type="pct"/>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389"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固态</w:t>
                  </w:r>
                </w:p>
              </w:tc>
              <w:tc>
                <w:tcPr>
                  <w:tcW w:w="395" w:type="pct"/>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505"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T/In</w:t>
                  </w:r>
                </w:p>
              </w:tc>
              <w:tc>
                <w:tcPr>
                  <w:tcW w:w="931" w:type="pct"/>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检测废液</w:t>
                  </w:r>
                </w:p>
              </w:tc>
              <w:tc>
                <w:tcPr>
                  <w:tcW w:w="54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HW49</w:t>
                  </w:r>
                </w:p>
              </w:tc>
              <w:tc>
                <w:tcPr>
                  <w:tcW w:w="74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900-047-49</w:t>
                  </w:r>
                </w:p>
              </w:tc>
              <w:tc>
                <w:tcPr>
                  <w:tcW w:w="51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c>
                <w:tcPr>
                  <w:tcW w:w="53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化验室</w:t>
                  </w:r>
                </w:p>
              </w:tc>
              <w:tc>
                <w:tcPr>
                  <w:tcW w:w="389"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液态</w:t>
                  </w:r>
                </w:p>
              </w:tc>
              <w:tc>
                <w:tcPr>
                  <w:tcW w:w="395"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金属废液</w:t>
                  </w:r>
                </w:p>
              </w:tc>
              <w:tc>
                <w:tcPr>
                  <w:tcW w:w="505"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0"/>
                      <w:szCs w:val="20"/>
                      <w:lang w:val="en-US" w:eastAsia="zh-CN" w:bidi="ar"/>
                    </w:rPr>
                    <w:t>T/C/I/R</w:t>
                  </w:r>
                </w:p>
              </w:tc>
              <w:tc>
                <w:tcPr>
                  <w:tcW w:w="931" w:type="pct"/>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r>
          </w:tbl>
          <w:p>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五、</w:t>
            </w:r>
            <w:r>
              <w:rPr>
                <w:rFonts w:hint="eastAsia" w:ascii="Times New Roman" w:hAnsi="Times New Roman" w:eastAsia="宋体" w:cs="Times New Roman"/>
                <w:b/>
                <w:color w:val="auto"/>
                <w:sz w:val="24"/>
                <w:szCs w:val="24"/>
                <w:highlight w:val="none"/>
                <w:lang w:val="en-US" w:eastAsia="zh-CN"/>
              </w:rPr>
              <w:t>地下水</w:t>
            </w:r>
            <w:r>
              <w:rPr>
                <w:rFonts w:hint="eastAsia"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土壤</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污染源</w:t>
            </w:r>
            <w:r>
              <w:rPr>
                <w:rFonts w:hint="default" w:ascii="Times New Roman" w:hAnsi="Times New Roman" w:eastAsia="宋体" w:cs="Times New Roman"/>
                <w:b/>
                <w:bCs/>
                <w:color w:val="auto"/>
                <w:sz w:val="24"/>
                <w:highlight w:val="none"/>
                <w:lang w:val="en-US" w:eastAsia="zh-CN"/>
              </w:rPr>
              <w:t>和污染途径</w:t>
            </w:r>
          </w:p>
          <w:p>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本项目运营期废水主要为生活污水</w:t>
            </w:r>
            <w:r>
              <w:rPr>
                <w:rFonts w:hint="eastAsia" w:ascii="Times New Roman" w:hAnsi="Times New Roman" w:eastAsia="宋体" w:cs="Times New Roman"/>
                <w:bCs/>
                <w:color w:val="auto"/>
                <w:sz w:val="24"/>
                <w:highlight w:val="none"/>
                <w:lang w:val="en-US" w:eastAsia="zh-CN"/>
              </w:rPr>
              <w:t>、洗车废水</w:t>
            </w:r>
            <w:r>
              <w:rPr>
                <w:rFonts w:hint="eastAsia" w:cs="Times New Roman"/>
                <w:bCs/>
                <w:color w:val="auto"/>
                <w:sz w:val="24"/>
                <w:highlight w:val="none"/>
                <w:lang w:val="en-US" w:eastAsia="zh-CN"/>
              </w:rPr>
              <w:t>和车间地坪冲洗废水。</w:t>
            </w:r>
            <w:r>
              <w:rPr>
                <w:rFonts w:hint="eastAsia" w:ascii="Times New Roman" w:hAnsi="Times New Roman" w:cs="Times New Roman"/>
                <w:color w:val="auto"/>
                <w:sz w:val="24"/>
                <w:highlight w:val="none"/>
                <w:lang w:val="en-US" w:eastAsia="zh-CN"/>
              </w:rPr>
              <w:t>本项目职工生活污水主要为职工日常洗漱废水，水质简单，</w:t>
            </w:r>
            <w:r>
              <w:rPr>
                <w:rFonts w:hint="eastAsia" w:cs="Times New Roman"/>
                <w:color w:val="auto"/>
                <w:sz w:val="24"/>
                <w:highlight w:val="none"/>
                <w:lang w:val="en-US" w:eastAsia="zh-CN"/>
              </w:rPr>
              <w:t>经化粪池处理后排入园区生活污水管网，最终进入园区污水处理站处理</w:t>
            </w:r>
            <w:r>
              <w:rPr>
                <w:rFonts w:hint="eastAsia" w:ascii="Times New Roman" w:hAnsi="Times New Roman" w:eastAsia="宋体" w:cs="Times New Roman"/>
                <w:bCs/>
                <w:color w:val="auto"/>
                <w:sz w:val="24"/>
                <w:highlight w:val="none"/>
                <w:lang w:val="en-US" w:eastAsia="zh-CN"/>
              </w:rPr>
              <w:t>；洗车废水</w:t>
            </w:r>
            <w:r>
              <w:rPr>
                <w:rFonts w:hint="eastAsia" w:cs="Times New Roman"/>
                <w:bCs/>
                <w:color w:val="auto"/>
                <w:sz w:val="24"/>
                <w:highlight w:val="none"/>
                <w:lang w:val="en-US" w:eastAsia="zh-CN"/>
              </w:rPr>
              <w:t>经</w:t>
            </w:r>
            <w:r>
              <w:rPr>
                <w:rFonts w:hint="eastAsia" w:ascii="Times New Roman" w:hAnsi="Times New Roman" w:eastAsia="宋体" w:cs="Times New Roman"/>
                <w:bCs/>
                <w:color w:val="auto"/>
                <w:sz w:val="24"/>
                <w:highlight w:val="none"/>
                <w:lang w:val="en-US" w:eastAsia="zh-CN"/>
              </w:rPr>
              <w:t>沉淀池沉淀处理后，回用至洗车工序，循环使用，不排放</w:t>
            </w:r>
            <w:r>
              <w:rPr>
                <w:rFonts w:hint="eastAsia" w:cs="Times New Roman"/>
                <w:bCs/>
                <w:color w:val="auto"/>
                <w:sz w:val="24"/>
                <w:highlight w:val="none"/>
                <w:lang w:val="en-US" w:eastAsia="zh-CN"/>
              </w:rPr>
              <w:t>；</w:t>
            </w:r>
            <w:r>
              <w:rPr>
                <w:rFonts w:hint="eastAsia" w:cs="Times New Roman"/>
                <w:color w:val="auto"/>
                <w:sz w:val="24"/>
                <w:highlight w:val="none"/>
                <w:lang w:val="en-US" w:eastAsia="zh-CN"/>
              </w:rPr>
              <w:t>地坪清洗废水回用于搅拌用水。</w:t>
            </w:r>
            <w:r>
              <w:rPr>
                <w:rFonts w:hint="default" w:ascii="Times New Roman" w:hAnsi="Times New Roman" w:eastAsia="宋体" w:cs="Times New Roman"/>
                <w:bCs/>
                <w:color w:val="auto"/>
                <w:sz w:val="24"/>
                <w:highlight w:val="none"/>
                <w:lang w:val="en-US" w:eastAsia="zh-CN"/>
              </w:rPr>
              <w:t>因此</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本项目土壤</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地下水</w:t>
            </w:r>
            <w:r>
              <w:rPr>
                <w:rFonts w:hint="eastAsia" w:ascii="Times New Roman" w:hAnsi="Times New Roman" w:eastAsia="宋体" w:cs="Times New Roman"/>
                <w:bCs/>
                <w:color w:val="auto"/>
                <w:sz w:val="24"/>
                <w:highlight w:val="none"/>
                <w:lang w:val="en-US" w:eastAsia="zh-CN"/>
              </w:rPr>
              <w:t>污染途径</w:t>
            </w:r>
            <w:r>
              <w:rPr>
                <w:rFonts w:hint="default" w:ascii="Times New Roman" w:hAnsi="Times New Roman" w:eastAsia="宋体" w:cs="Times New Roman"/>
                <w:bCs/>
                <w:color w:val="auto"/>
                <w:sz w:val="24"/>
                <w:highlight w:val="none"/>
                <w:lang w:val="en-US" w:eastAsia="zh-CN"/>
              </w:rPr>
              <w:t>主要为</w:t>
            </w:r>
            <w:r>
              <w:rPr>
                <w:rFonts w:hint="eastAsia" w:cs="Times New Roman"/>
                <w:bCs/>
                <w:color w:val="auto"/>
                <w:sz w:val="24"/>
                <w:highlight w:val="none"/>
                <w:lang w:val="en-US" w:eastAsia="zh-CN"/>
              </w:rPr>
              <w:t>危废贮存点</w:t>
            </w:r>
            <w:r>
              <w:rPr>
                <w:rFonts w:hint="eastAsia" w:ascii="Times New Roman" w:hAnsi="Times New Roman" w:eastAsia="宋体" w:cs="Times New Roman"/>
                <w:bCs/>
                <w:color w:val="auto"/>
                <w:sz w:val="24"/>
                <w:highlight w:val="none"/>
                <w:lang w:val="en-US" w:eastAsia="zh-CN"/>
              </w:rPr>
              <w:t>地面防渗结构发生破损且包装出现开裂或倾覆</w:t>
            </w:r>
            <w:r>
              <w:rPr>
                <w:rFonts w:hint="default" w:ascii="Times New Roman" w:hAnsi="Times New Roman" w:eastAsia="宋体" w:cs="Times New Roman"/>
                <w:bCs/>
                <w:color w:val="auto"/>
                <w:sz w:val="24"/>
                <w:highlight w:val="none"/>
                <w:lang w:val="en-US" w:eastAsia="zh-CN"/>
              </w:rPr>
              <w:t>造成的</w:t>
            </w:r>
            <w:r>
              <w:rPr>
                <w:rFonts w:hint="eastAsia" w:ascii="Times New Roman" w:hAnsi="Times New Roman" w:eastAsia="宋体" w:cs="Times New Roman"/>
                <w:bCs/>
                <w:color w:val="auto"/>
                <w:sz w:val="24"/>
                <w:highlight w:val="none"/>
                <w:lang w:val="en-US" w:eastAsia="zh-CN"/>
              </w:rPr>
              <w:t>废矿物油</w:t>
            </w:r>
            <w:r>
              <w:rPr>
                <w:rFonts w:hint="default" w:ascii="Times New Roman" w:hAnsi="Times New Roman" w:eastAsia="宋体" w:cs="Times New Roman"/>
                <w:bCs/>
                <w:color w:val="auto"/>
                <w:sz w:val="24"/>
                <w:highlight w:val="none"/>
                <w:lang w:val="en-US" w:eastAsia="zh-CN"/>
              </w:rPr>
              <w:t>泄漏</w:t>
            </w:r>
            <w:r>
              <w:rPr>
                <w:rFonts w:hint="eastAsia" w:cs="Times New Roman"/>
                <w:bCs/>
                <w:color w:val="auto"/>
                <w:sz w:val="24"/>
                <w:highlight w:val="none"/>
                <w:lang w:val="en-US" w:eastAsia="zh-CN"/>
              </w:rPr>
              <w:t>和检测废液桶泄漏</w:t>
            </w:r>
            <w:r>
              <w:rPr>
                <w:rFonts w:hint="default" w:ascii="Times New Roman" w:hAnsi="Times New Roman" w:eastAsia="宋体" w:cs="Times New Roman"/>
                <w:bCs/>
                <w:color w:val="auto"/>
                <w:sz w:val="24"/>
                <w:highlight w:val="none"/>
                <w:lang w:val="en-US" w:eastAsia="zh-CN"/>
              </w:rPr>
              <w:t>，主要成分为石油类</w:t>
            </w:r>
            <w:r>
              <w:rPr>
                <w:rFonts w:hint="eastAsia" w:cs="Times New Roman"/>
                <w:bCs/>
                <w:color w:val="auto"/>
                <w:sz w:val="24"/>
                <w:highlight w:val="none"/>
                <w:lang w:val="en-US" w:eastAsia="zh-CN"/>
              </w:rPr>
              <w:t>、无机废液等</w:t>
            </w:r>
            <w:r>
              <w:rPr>
                <w:rFonts w:hint="default" w:ascii="Times New Roman" w:hAnsi="Times New Roman" w:eastAsia="宋体" w:cs="Times New Roman"/>
                <w:bCs/>
                <w:color w:val="auto"/>
                <w:sz w:val="24"/>
                <w:highlight w:val="none"/>
                <w:lang w:val="en-US" w:eastAsia="zh-CN"/>
              </w:rPr>
              <w:t>。污染物经土层运移至含水层进而下渗污染土壤、地下水，会对区域土壤及地下水造成影响。</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2.防控措施</w:t>
            </w:r>
          </w:p>
          <w:p>
            <w:pPr>
              <w:keepNext w:val="0"/>
              <w:keepLines w:val="0"/>
              <w:pageBreakBefore w:val="0"/>
              <w:widowControl w:val="0"/>
              <w:kinsoku/>
              <w:wordWrap/>
              <w:overflowPunct/>
              <w:topLinePunct w:val="0"/>
              <w:bidi w:val="0"/>
              <w:adjustRightInd w:val="0"/>
              <w:snapToGrid w:val="0"/>
              <w:spacing w:line="480" w:lineRule="exact"/>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（1）源头控制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加强对</w:t>
            </w:r>
            <w:r>
              <w:rPr>
                <w:rFonts w:hint="eastAsia" w:cs="Times New Roman"/>
                <w:color w:val="auto"/>
                <w:sz w:val="24"/>
                <w:highlight w:val="none"/>
                <w:lang w:val="en-US" w:eastAsia="zh-CN"/>
              </w:rPr>
              <w:t>危废贮存点</w:t>
            </w:r>
            <w:r>
              <w:rPr>
                <w:rFonts w:hint="eastAsia" w:ascii="Times New Roman" w:hAnsi="Times New Roman" w:eastAsia="宋体" w:cs="Times New Roman"/>
                <w:color w:val="auto"/>
                <w:sz w:val="24"/>
                <w:highlight w:val="none"/>
                <w:lang w:val="en-US" w:eastAsia="zh-CN"/>
              </w:rPr>
              <w:t>的管理，缩短废矿物油在厂内的暂存时间，及时将危险废物交由具有相应危废处置资质的单位进行处理；随时监护</w:t>
            </w:r>
            <w:r>
              <w:rPr>
                <w:rFonts w:hint="eastAsia" w:cs="Times New Roman"/>
                <w:color w:val="auto"/>
                <w:sz w:val="24"/>
                <w:highlight w:val="none"/>
                <w:lang w:val="en-US" w:eastAsia="zh-CN"/>
              </w:rPr>
              <w:t>危废贮存点</w:t>
            </w:r>
            <w:r>
              <w:rPr>
                <w:rFonts w:hint="eastAsia" w:ascii="Times New Roman" w:hAnsi="Times New Roman" w:eastAsia="宋体" w:cs="Times New Roman"/>
                <w:color w:val="auto"/>
                <w:sz w:val="24"/>
                <w:highlight w:val="none"/>
                <w:lang w:val="en-US" w:eastAsia="zh-CN"/>
              </w:rPr>
              <w:t>地面的维护管理，保证地面不存在破损现象。</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危废贮存点</w:t>
            </w:r>
            <w:r>
              <w:rPr>
                <w:rFonts w:hint="default" w:ascii="Times New Roman" w:hAnsi="Times New Roman" w:eastAsia="宋体" w:cs="Times New Roman"/>
                <w:color w:val="auto"/>
                <w:sz w:val="24"/>
                <w:highlight w:val="none"/>
                <w:lang w:val="en-US" w:eastAsia="zh-CN"/>
              </w:rPr>
              <w:t>做好</w:t>
            </w:r>
            <w:r>
              <w:rPr>
                <w:rFonts w:hint="eastAsia" w:ascii="Times New Roman" w:hAnsi="Times New Roman" w:eastAsia="宋体" w:cs="Times New Roman"/>
                <w:color w:val="auto"/>
                <w:kern w:val="2"/>
                <w:sz w:val="24"/>
                <w:highlight w:val="none"/>
                <w:lang w:val="en-US" w:eastAsia="zh-CN"/>
              </w:rPr>
              <w:t>防风、</w:t>
            </w:r>
            <w:r>
              <w:rPr>
                <w:rFonts w:hint="eastAsia" w:cs="Times New Roman"/>
                <w:color w:val="auto"/>
                <w:kern w:val="2"/>
                <w:sz w:val="24"/>
                <w:highlight w:val="none"/>
                <w:lang w:val="en-US" w:eastAsia="zh-CN"/>
              </w:rPr>
              <w:t>防晒、</w:t>
            </w:r>
            <w:r>
              <w:rPr>
                <w:rFonts w:hint="eastAsia" w:ascii="Times New Roman" w:hAnsi="Times New Roman" w:eastAsia="宋体" w:cs="Times New Roman"/>
                <w:color w:val="auto"/>
                <w:kern w:val="2"/>
                <w:sz w:val="24"/>
                <w:highlight w:val="none"/>
                <w:lang w:val="en-US" w:eastAsia="zh-CN"/>
              </w:rPr>
              <w:t>防雨、</w:t>
            </w:r>
            <w:r>
              <w:rPr>
                <w:rFonts w:hint="eastAsia" w:cs="Times New Roman"/>
                <w:color w:val="auto"/>
                <w:kern w:val="2"/>
                <w:sz w:val="24"/>
                <w:highlight w:val="none"/>
                <w:lang w:val="en-US" w:eastAsia="zh-CN"/>
              </w:rPr>
              <w:t>防漏、</w:t>
            </w:r>
            <w:r>
              <w:rPr>
                <w:rFonts w:hint="eastAsia" w:ascii="Times New Roman" w:hAnsi="Times New Roman" w:eastAsia="宋体" w:cs="Times New Roman"/>
                <w:color w:val="auto"/>
                <w:kern w:val="2"/>
                <w:sz w:val="24"/>
                <w:highlight w:val="none"/>
                <w:lang w:val="en-US" w:eastAsia="zh-CN"/>
              </w:rPr>
              <w:t>防</w:t>
            </w:r>
            <w:r>
              <w:rPr>
                <w:rFonts w:hint="eastAsia" w:cs="Times New Roman"/>
                <w:color w:val="auto"/>
                <w:kern w:val="2"/>
                <w:sz w:val="24"/>
                <w:highlight w:val="none"/>
                <w:lang w:val="en-US" w:eastAsia="zh-CN"/>
              </w:rPr>
              <w:t>渗、防腐</w:t>
            </w:r>
            <w:r>
              <w:rPr>
                <w:rFonts w:hint="default" w:ascii="Times New Roman" w:hAnsi="Times New Roman" w:eastAsia="宋体" w:cs="Times New Roman"/>
                <w:color w:val="auto"/>
                <w:sz w:val="24"/>
                <w:highlight w:val="none"/>
                <w:lang w:val="en-US" w:eastAsia="zh-CN"/>
              </w:rPr>
              <w:t>措施。加强对</w:t>
            </w:r>
            <w:r>
              <w:rPr>
                <w:rFonts w:hint="eastAsia"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lang w:val="en-US" w:eastAsia="zh-CN"/>
              </w:rPr>
              <w:t>贮存包装的管理，一旦发现有破损现象须及时更换包装，防止发生泄漏进入土壤及地下水。</w:t>
            </w:r>
            <w:r>
              <w:rPr>
                <w:rFonts w:hint="eastAsia" w:cs="Times New Roman"/>
                <w:color w:val="auto"/>
                <w:sz w:val="24"/>
                <w:highlight w:val="none"/>
                <w:lang w:val="en-US" w:eastAsia="zh-CN"/>
              </w:rPr>
              <w:t>危废贮存点内四周设有导流渠和1个收集池，若检测废液发生泄漏，可通过导流渠流入收集池中，防止发生泄漏流入厂区。</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（2）分区防渗</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根据《环境影响评价技术导则-地下水环境》（HJ610-2016），结合项目总平面布置情况，本项目厂区分为重点防渗区、一般防渗区</w:t>
            </w:r>
            <w:r>
              <w:rPr>
                <w:rFonts w:hint="eastAsia" w:cs="Times New Roman"/>
                <w:color w:val="auto"/>
                <w:sz w:val="24"/>
                <w:highlight w:val="none"/>
                <w:lang w:val="en-US" w:eastAsia="zh-CN"/>
              </w:rPr>
              <w:t>、简单防渗区</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具体情况见下表。</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5</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eastAsia" w:cs="Times New Roman"/>
                <w:b/>
                <w:bCs/>
                <w:color w:val="auto"/>
                <w:kern w:val="2"/>
                <w:sz w:val="21"/>
                <w:szCs w:val="21"/>
                <w:highlight w:val="none"/>
                <w:lang w:val="en-US" w:eastAsia="zh-CN" w:bidi="ar-SA"/>
              </w:rPr>
              <w:t>本项目</w:t>
            </w:r>
            <w:r>
              <w:rPr>
                <w:rFonts w:hint="default" w:ascii="Times New Roman" w:hAnsi="Times New Roman" w:eastAsia="宋体" w:cs="Times New Roman"/>
                <w:b/>
                <w:bCs/>
                <w:color w:val="auto"/>
                <w:kern w:val="2"/>
                <w:sz w:val="21"/>
                <w:szCs w:val="21"/>
                <w:highlight w:val="none"/>
                <w:lang w:val="en-US" w:eastAsia="zh-CN" w:bidi="ar-SA"/>
              </w:rPr>
              <w:t>防渗分区情况表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2140"/>
              <w:gridCol w:w="2832"/>
              <w:gridCol w:w="1930"/>
            </w:tblGrid>
            <w:tr>
              <w:tblPrEx>
                <w:tblCellMar>
                  <w:top w:w="0" w:type="dxa"/>
                  <w:left w:w="108" w:type="dxa"/>
                  <w:bottom w:w="0" w:type="dxa"/>
                  <w:right w:w="108" w:type="dxa"/>
                </w:tblCellMar>
              </w:tblPrEx>
              <w:trPr>
                <w:trHeight w:val="340" w:hRule="atLeast"/>
                <w:jc w:val="center"/>
              </w:trPr>
              <w:tc>
                <w:tcPr>
                  <w:tcW w:w="80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防渗分区</w:t>
                  </w:r>
                </w:p>
              </w:tc>
              <w:tc>
                <w:tcPr>
                  <w:tcW w:w="130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2"/>
                      <w:highlight w:val="none"/>
                      <w:lang w:val="en-US" w:eastAsia="zh-CN"/>
                    </w:rPr>
                  </w:pPr>
                  <w:r>
                    <w:rPr>
                      <w:rFonts w:hint="eastAsia" w:ascii="Times New Roman" w:hAnsi="Times New Roman" w:eastAsia="宋体" w:cs="Times New Roman"/>
                      <w:b/>
                      <w:bCs/>
                      <w:color w:val="auto"/>
                      <w:szCs w:val="22"/>
                      <w:highlight w:val="none"/>
                      <w:lang w:val="en-US" w:eastAsia="zh-CN"/>
                    </w:rPr>
                    <w:t>防渗区域</w:t>
                  </w:r>
                </w:p>
              </w:tc>
              <w:tc>
                <w:tcPr>
                  <w:tcW w:w="1723"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2"/>
                      <w:highlight w:val="none"/>
                      <w:lang w:val="en-US" w:eastAsia="zh-CN"/>
                    </w:rPr>
                  </w:pPr>
                  <w:r>
                    <w:rPr>
                      <w:rFonts w:hint="eastAsia" w:cs="Times New Roman"/>
                      <w:b/>
                      <w:bCs/>
                      <w:color w:val="auto"/>
                      <w:szCs w:val="22"/>
                      <w:highlight w:val="none"/>
                      <w:lang w:val="en-US" w:eastAsia="zh-CN"/>
                    </w:rPr>
                    <w:t>建设情况</w:t>
                  </w:r>
                </w:p>
              </w:tc>
              <w:tc>
                <w:tcPr>
                  <w:tcW w:w="1174"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Cs w:val="22"/>
                      <w:highlight w:val="none"/>
                      <w:lang w:val="en-US" w:eastAsia="zh-CN"/>
                    </w:rPr>
                  </w:pPr>
                  <w:r>
                    <w:rPr>
                      <w:b/>
                      <w:bCs/>
                      <w:color w:val="auto"/>
                      <w:sz w:val="21"/>
                      <w:szCs w:val="21"/>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重点防渗区</w:t>
                  </w:r>
                </w:p>
              </w:tc>
              <w:tc>
                <w:tcPr>
                  <w:tcW w:w="130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bCs/>
                      <w:color w:val="auto"/>
                      <w:szCs w:val="21"/>
                      <w:lang w:eastAsia="zh-CN"/>
                    </w:rPr>
                    <w:t>危废贮存点</w:t>
                  </w:r>
                </w:p>
              </w:tc>
              <w:tc>
                <w:tcPr>
                  <w:tcW w:w="1723"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1"/>
                      <w:szCs w:val="22"/>
                      <w:highlight w:val="none"/>
                      <w:lang w:val="en-US" w:eastAsia="zh-CN" w:bidi="ar-SA"/>
                    </w:rPr>
                  </w:pPr>
                  <w:r>
                    <w:rPr>
                      <w:bCs/>
                      <w:color w:val="auto"/>
                      <w:sz w:val="21"/>
                      <w:szCs w:val="21"/>
                    </w:rPr>
                    <w:t>防渗层为至少1m厚黏土层（渗透系数不大于10</w:t>
                  </w:r>
                  <w:r>
                    <w:rPr>
                      <w:bCs/>
                      <w:color w:val="auto"/>
                      <w:sz w:val="21"/>
                      <w:szCs w:val="21"/>
                      <w:vertAlign w:val="superscript"/>
                    </w:rPr>
                    <w:t>-7</w:t>
                  </w:r>
                  <w:r>
                    <w:rPr>
                      <w:bCs/>
                      <w:color w:val="auto"/>
                      <w:sz w:val="21"/>
                      <w:szCs w:val="21"/>
                    </w:rPr>
                    <w:t>cm/s），或至少2mm厚高密度聚乙烯膜等人工防渗材料（渗透系数不大于10</w:t>
                  </w:r>
                  <w:r>
                    <w:rPr>
                      <w:bCs/>
                      <w:color w:val="auto"/>
                      <w:sz w:val="21"/>
                      <w:szCs w:val="21"/>
                      <w:vertAlign w:val="superscript"/>
                    </w:rPr>
                    <w:t>-10</w:t>
                  </w:r>
                  <w:r>
                    <w:rPr>
                      <w:bCs/>
                      <w:color w:val="auto"/>
                      <w:sz w:val="21"/>
                      <w:szCs w:val="21"/>
                    </w:rPr>
                    <w:t>cm/s），或其他防渗性能等效的材料</w:t>
                  </w:r>
                </w:p>
              </w:tc>
              <w:tc>
                <w:tcPr>
                  <w:tcW w:w="1174" w:type="pct"/>
                  <w:tcBorders>
                    <w:tl2br w:val="nil"/>
                    <w:tr2bl w:val="nil"/>
                  </w:tcBorders>
                  <w:vAlign w:val="center"/>
                </w:tcPr>
                <w:p>
                  <w:pPr>
                    <w:adjustRightInd w:val="0"/>
                    <w:snapToGrid w:val="0"/>
                    <w:jc w:val="center"/>
                    <w:rPr>
                      <w:rFonts w:hint="eastAsia" w:ascii="Times New Roman" w:hAnsi="Times New Roman" w:eastAsia="宋体" w:cs="Times New Roman"/>
                      <w:color w:val="auto"/>
                      <w:spacing w:val="0"/>
                      <w:szCs w:val="22"/>
                      <w:highlight w:val="none"/>
                      <w:lang w:val="en-US" w:eastAsia="zh-CN"/>
                    </w:rPr>
                  </w:pPr>
                  <w:r>
                    <w:rPr>
                      <w:bCs/>
                      <w:color w:val="auto"/>
                      <w:sz w:val="21"/>
                      <w:szCs w:val="21"/>
                    </w:rPr>
                    <w:t>《危险废物贮存污染控制标准》（GB18597-2023）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0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一般防渗区</w:t>
                  </w:r>
                </w:p>
              </w:tc>
              <w:tc>
                <w:tcPr>
                  <w:tcW w:w="130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生产车间、</w:t>
                  </w:r>
                  <w:r>
                    <w:rPr>
                      <w:rFonts w:hint="eastAsia"/>
                      <w:bCs/>
                      <w:color w:val="auto"/>
                      <w:szCs w:val="21"/>
                    </w:rPr>
                    <w:t>洗车平台沉淀池、初期雨水池</w:t>
                  </w:r>
                </w:p>
              </w:tc>
              <w:tc>
                <w:tcPr>
                  <w:tcW w:w="1723" w:type="pct"/>
                  <w:tcBorders>
                    <w:tl2br w:val="nil"/>
                    <w:tr2bl w:val="nil"/>
                  </w:tcBorders>
                  <w:vAlign w:val="center"/>
                </w:tcPr>
                <w:p>
                  <w:pPr>
                    <w:adjustRightInd w:val="0"/>
                    <w:snapToGrid w:val="0"/>
                    <w:jc w:val="center"/>
                    <w:rPr>
                      <w:rFonts w:hint="default" w:ascii="Times New Roman" w:hAnsi="Times New Roman" w:eastAsia="宋体" w:cs="Times New Roman"/>
                      <w:color w:val="auto"/>
                      <w:szCs w:val="22"/>
                      <w:highlight w:val="none"/>
                      <w:lang w:val="en-US" w:eastAsia="zh-CN"/>
                    </w:rPr>
                  </w:pPr>
                  <w:r>
                    <w:rPr>
                      <w:bCs/>
                      <w:color w:val="auto"/>
                      <w:sz w:val="21"/>
                      <w:szCs w:val="21"/>
                    </w:rPr>
                    <w:t>防渗要求达到等效黏土防渗层Mb≥1.5m，</w:t>
                  </w:r>
                  <w:r>
                    <w:rPr>
                      <w:rFonts w:hint="eastAsia"/>
                      <w:bCs/>
                      <w:color w:val="auto"/>
                      <w:sz w:val="21"/>
                      <w:szCs w:val="21"/>
                      <w:lang w:val="en-US" w:eastAsia="zh-CN"/>
                    </w:rPr>
                    <w:t>k</w:t>
                  </w:r>
                  <w:r>
                    <w:rPr>
                      <w:bCs/>
                      <w:color w:val="auto"/>
                      <w:sz w:val="21"/>
                      <w:szCs w:val="21"/>
                    </w:rPr>
                    <w:t>≤1×10</w:t>
                  </w:r>
                  <w:r>
                    <w:rPr>
                      <w:bCs/>
                      <w:color w:val="auto"/>
                      <w:sz w:val="21"/>
                      <w:szCs w:val="21"/>
                      <w:vertAlign w:val="superscript"/>
                    </w:rPr>
                    <w:t>-7</w:t>
                  </w:r>
                  <w:r>
                    <w:rPr>
                      <w:bCs/>
                      <w:color w:val="auto"/>
                      <w:sz w:val="21"/>
                      <w:szCs w:val="21"/>
                    </w:rPr>
                    <w:t>cm/s</w:t>
                  </w:r>
                </w:p>
              </w:tc>
              <w:tc>
                <w:tcPr>
                  <w:tcW w:w="1174" w:type="pct"/>
                  <w:vMerge w:val="restart"/>
                  <w:tcBorders>
                    <w:tl2br w:val="nil"/>
                    <w:tr2bl w:val="nil"/>
                  </w:tcBorders>
                  <w:vAlign w:val="center"/>
                </w:tcPr>
                <w:p>
                  <w:pPr>
                    <w:adjustRightInd w:val="0"/>
                    <w:snapToGrid w:val="0"/>
                    <w:jc w:val="center"/>
                    <w:rPr>
                      <w:rFonts w:hint="eastAsia" w:ascii="Times New Roman" w:hAnsi="Times New Roman" w:eastAsia="宋体" w:cs="Times New Roman"/>
                      <w:color w:val="auto"/>
                      <w:spacing w:val="0"/>
                      <w:szCs w:val="22"/>
                      <w:highlight w:val="none"/>
                      <w:lang w:val="en-US" w:eastAsia="zh-CN"/>
                    </w:rPr>
                  </w:pPr>
                  <w:r>
                    <w:rPr>
                      <w:bCs/>
                      <w:color w:val="auto"/>
                      <w:sz w:val="21"/>
                      <w:szCs w:val="21"/>
                    </w:rPr>
                    <w:t>《环境影响评价技术导则 地下水》（HJ610-2016）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00"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2"/>
                      <w:highlight w:val="none"/>
                      <w:lang w:val="en-US" w:eastAsia="zh-CN"/>
                    </w:rPr>
                  </w:pPr>
                  <w:r>
                    <w:rPr>
                      <w:rFonts w:hint="eastAsia" w:cs="Times New Roman"/>
                      <w:color w:val="auto"/>
                      <w:szCs w:val="22"/>
                      <w:highlight w:val="none"/>
                      <w:lang w:val="en-US" w:eastAsia="zh-CN"/>
                    </w:rPr>
                    <w:t>简单防渗区</w:t>
                  </w:r>
                </w:p>
              </w:tc>
              <w:tc>
                <w:tcPr>
                  <w:tcW w:w="130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厂区道路、办公楼、配套楼等</w:t>
                  </w:r>
                </w:p>
              </w:tc>
              <w:tc>
                <w:tcPr>
                  <w:tcW w:w="1723"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spacing w:val="0"/>
                      <w:szCs w:val="22"/>
                      <w:highlight w:val="none"/>
                      <w:lang w:val="en-US" w:eastAsia="zh-CN"/>
                    </w:rPr>
                  </w:pPr>
                  <w:r>
                    <w:rPr>
                      <w:rFonts w:hint="eastAsia" w:cs="Times New Roman"/>
                      <w:color w:val="auto"/>
                      <w:spacing w:val="0"/>
                      <w:sz w:val="21"/>
                      <w:szCs w:val="21"/>
                      <w:highlight w:val="none"/>
                      <w:lang w:val="en-US" w:eastAsia="zh-CN"/>
                    </w:rPr>
                    <w:t>一般地面硬化</w:t>
                  </w:r>
                </w:p>
              </w:tc>
              <w:tc>
                <w:tcPr>
                  <w:tcW w:w="1174" w:type="pct"/>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cs="Times New Roman"/>
                      <w:color w:val="auto"/>
                      <w:spacing w:val="0"/>
                      <w:szCs w:val="22"/>
                      <w:highlight w:val="none"/>
                      <w:lang w:val="en-US" w:eastAsia="zh-CN"/>
                    </w:rPr>
                  </w:pPr>
                </w:p>
              </w:tc>
            </w:tr>
          </w:tbl>
          <w:p>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六、</w:t>
            </w:r>
            <w:r>
              <w:rPr>
                <w:rFonts w:hint="default" w:ascii="Times New Roman" w:hAnsi="Times New Roman" w:eastAsia="宋体" w:cs="Times New Roman"/>
                <w:b/>
                <w:color w:val="auto"/>
                <w:sz w:val="24"/>
                <w:szCs w:val="24"/>
                <w:highlight w:val="none"/>
              </w:rPr>
              <w:t>环境风险</w:t>
            </w:r>
            <w:r>
              <w:rPr>
                <w:rFonts w:hint="default" w:ascii="Times New Roman" w:hAnsi="Times New Roman" w:eastAsia="宋体" w:cs="Times New Roman"/>
                <w:b/>
                <w:color w:val="auto"/>
                <w:sz w:val="24"/>
                <w:szCs w:val="24"/>
                <w:highlight w:val="none"/>
                <w:lang w:val="en-US" w:eastAsia="zh-CN"/>
              </w:rPr>
              <w:t>评价</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风险评价等级判定</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）风险调查</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根据工程分析，结合《建设项目环境风险评价技术导则》（HJ169-2018）中附录B可知，本项目涉及的危险物质主要为</w:t>
            </w:r>
            <w:r>
              <w:rPr>
                <w:rFonts w:hint="eastAsia"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、检测废液</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环境风险潜势初判</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根据《建设项目环境风险评价技术导则》（HJ 169-2018）附录B、附录C的有关规定，当</w:t>
            </w:r>
            <w:r>
              <w:rPr>
                <w:rFonts w:hint="eastAsia" w:ascii="Times New Roman" w:hAnsi="Times New Roman" w:eastAsia="宋体" w:cs="Times New Roman"/>
                <w:color w:val="auto"/>
                <w:sz w:val="24"/>
                <w:szCs w:val="24"/>
                <w:highlight w:val="none"/>
                <w:lang w:val="en-US" w:eastAsia="zh-CN"/>
              </w:rPr>
              <w:t>只涉及一种</w:t>
            </w:r>
            <w:r>
              <w:rPr>
                <w:rFonts w:hint="default" w:ascii="Times New Roman" w:hAnsi="Times New Roman" w:eastAsia="宋体" w:cs="Times New Roman"/>
                <w:color w:val="auto"/>
                <w:sz w:val="24"/>
                <w:szCs w:val="24"/>
                <w:highlight w:val="none"/>
                <w:lang w:val="en-US" w:eastAsia="zh-CN"/>
              </w:rPr>
              <w:t>危险物质时，计算</w:t>
            </w:r>
            <w:r>
              <w:rPr>
                <w:rFonts w:hint="eastAsia" w:ascii="Times New Roman" w:hAnsi="Times New Roman" w:eastAsia="宋体" w:cs="Times New Roman"/>
                <w:color w:val="auto"/>
                <w:sz w:val="24"/>
                <w:szCs w:val="24"/>
                <w:highlight w:val="none"/>
                <w:lang w:val="en-US" w:eastAsia="zh-CN"/>
              </w:rPr>
              <w:t>该</w:t>
            </w:r>
            <w:r>
              <w:rPr>
                <w:rFonts w:hint="default" w:ascii="Times New Roman" w:hAnsi="Times New Roman" w:eastAsia="宋体" w:cs="Times New Roman"/>
                <w:color w:val="auto"/>
                <w:sz w:val="24"/>
                <w:szCs w:val="24"/>
                <w:highlight w:val="none"/>
                <w:lang w:val="en-US" w:eastAsia="zh-CN"/>
              </w:rPr>
              <w:t>物质</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总量与其临界量比值</w:t>
            </w:r>
            <w:r>
              <w:rPr>
                <w:rFonts w:hint="eastAsia" w:ascii="Times New Roman" w:hAnsi="Times New Roman" w:eastAsia="宋体" w:cs="Times New Roman"/>
                <w:color w:val="auto"/>
                <w:sz w:val="24"/>
                <w:szCs w:val="24"/>
                <w:highlight w:val="none"/>
                <w:lang w:val="en-US" w:eastAsia="zh-CN"/>
              </w:rPr>
              <w:t>，即为Q。</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6</w:t>
            </w:r>
            <w:r>
              <w:rPr>
                <w:rFonts w:hint="default" w:ascii="Times New Roman" w:hAnsi="Times New Roman" w:eastAsia="宋体" w:cs="Times New Roman"/>
                <w:b/>
                <w:bCs/>
                <w:color w:val="auto"/>
                <w:kern w:val="2"/>
                <w:sz w:val="21"/>
                <w:szCs w:val="21"/>
                <w:highlight w:val="none"/>
                <w:lang w:val="en-US" w:eastAsia="zh-CN" w:bidi="ar-SA"/>
              </w:rPr>
              <w:t xml:space="preserve">  重大危险源判定一览表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304"/>
              <w:gridCol w:w="1984"/>
              <w:gridCol w:w="1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危险物质名称</w:t>
                  </w:r>
                </w:p>
              </w:tc>
              <w:tc>
                <w:tcPr>
                  <w:tcW w:w="140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物质总量</w:t>
                  </w:r>
                  <w:r>
                    <w:rPr>
                      <w:rFonts w:hint="default" w:ascii="Times New Roman" w:hAnsi="Times New Roman" w:eastAsia="宋体" w:cs="Times New Roman"/>
                      <w:b/>
                      <w:bCs/>
                      <w:color w:val="auto"/>
                      <w:sz w:val="21"/>
                      <w:szCs w:val="21"/>
                      <w:highlight w:val="none"/>
                      <w:lang w:val="en-US" w:eastAsia="zh-CN"/>
                    </w:rPr>
                    <w:t>（t）</w:t>
                  </w:r>
                </w:p>
              </w:tc>
              <w:tc>
                <w:tcPr>
                  <w:tcW w:w="1206"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临界量（t）</w:t>
                  </w:r>
                </w:p>
              </w:tc>
              <w:tc>
                <w:tcPr>
                  <w:tcW w:w="1141"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废矿物油</w:t>
                  </w:r>
                </w:p>
              </w:tc>
              <w:tc>
                <w:tcPr>
                  <w:tcW w:w="140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r>
                    <w:rPr>
                      <w:rFonts w:hint="eastAsia" w:cs="Times New Roman"/>
                      <w:color w:val="auto"/>
                      <w:kern w:val="2"/>
                      <w:sz w:val="21"/>
                      <w:szCs w:val="21"/>
                      <w:highlight w:val="none"/>
                      <w:lang w:val="en-US" w:eastAsia="zh-CN" w:bidi="ar-SA"/>
                    </w:rPr>
                    <w:t>2</w:t>
                  </w:r>
                </w:p>
              </w:tc>
              <w:tc>
                <w:tcPr>
                  <w:tcW w:w="1206"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2500</w:t>
                  </w:r>
                </w:p>
              </w:tc>
              <w:tc>
                <w:tcPr>
                  <w:tcW w:w="1141"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检测废液</w:t>
                  </w:r>
                </w:p>
              </w:tc>
              <w:tc>
                <w:tcPr>
                  <w:tcW w:w="1402"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c>
                <w:tcPr>
                  <w:tcW w:w="1206"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141"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8" w:type="pct"/>
                  <w:gridSpan w:val="3"/>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1141" w:type="pc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0.00028</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经计算，Q&lt;1，本项目风险潜势为I，风险评价仅需简单分析，无需设置风险评价范围。</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baseline"/>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环境风险分析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废矿物油</w:t>
            </w:r>
            <w:r>
              <w:rPr>
                <w:rFonts w:hint="eastAsia" w:cs="Times New Roman"/>
                <w:color w:val="auto"/>
                <w:sz w:val="24"/>
                <w:szCs w:val="24"/>
                <w:highlight w:val="none"/>
                <w:lang w:val="en-US" w:eastAsia="zh-CN"/>
              </w:rPr>
              <w:t>、检测废液</w:t>
            </w:r>
            <w:r>
              <w:rPr>
                <w:rFonts w:hint="default" w:ascii="Times New Roman" w:hAnsi="Times New Roman" w:eastAsia="宋体" w:cs="Times New Roman"/>
                <w:color w:val="auto"/>
                <w:sz w:val="24"/>
                <w:szCs w:val="24"/>
                <w:highlight w:val="none"/>
                <w:lang w:val="en-US" w:eastAsia="zh-CN"/>
              </w:rPr>
              <w:t>在</w:t>
            </w:r>
            <w:r>
              <w:rPr>
                <w:rFonts w:hint="eastAsia" w:ascii="Times New Roman" w:hAnsi="Times New Roman" w:eastAsia="宋体" w:cs="Times New Roman"/>
                <w:color w:val="auto"/>
                <w:sz w:val="24"/>
                <w:szCs w:val="24"/>
                <w:highlight w:val="none"/>
                <w:lang w:val="en-US" w:eastAsia="zh-CN"/>
              </w:rPr>
              <w:t>暂存</w:t>
            </w:r>
            <w:r>
              <w:rPr>
                <w:rFonts w:hint="default" w:ascii="Times New Roman" w:hAnsi="Times New Roman" w:eastAsia="宋体" w:cs="Times New Roman"/>
                <w:color w:val="auto"/>
                <w:sz w:val="24"/>
                <w:szCs w:val="24"/>
                <w:highlight w:val="none"/>
                <w:lang w:val="en-US" w:eastAsia="zh-CN"/>
              </w:rPr>
              <w:t>过程中会因包装桶破裂或操作不当引起泄漏，可能导致项目区域地下水、地表水、土壤等被污染</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当废矿物油泄漏引发火灾事故时，环境风险物质燃烧过程中会产生烟尘、二氧化硫和氮氧化物等多种大气污染物，会对大气环境造成负面影响；消防废水外排会对地表水环境造成负面影响。</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baseline"/>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环境风险防范措施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pacing w:val="0"/>
                <w:sz w:val="24"/>
                <w:szCs w:val="24"/>
                <w:highlight w:val="none"/>
              </w:rPr>
            </w:pP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1</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本项目产生废矿物油的设备底部均进行防渗、并设置钢制托盘收集废矿物油</w:t>
            </w:r>
            <w:r>
              <w:rPr>
                <w:rFonts w:hint="eastAsia" w:cs="Times New Roman"/>
                <w:color w:val="auto"/>
                <w:spacing w:val="0"/>
                <w:sz w:val="24"/>
                <w:szCs w:val="24"/>
                <w:highlight w:val="none"/>
                <w:lang w:val="en-US" w:eastAsia="zh-CN"/>
              </w:rPr>
              <w:t>，检测废液专用收集桶分区贮存</w:t>
            </w:r>
            <w:r>
              <w:rPr>
                <w:rFonts w:hint="eastAsia" w:ascii="Times New Roman" w:hAnsi="Times New Roman" w:eastAsia="宋体" w:cs="Times New Roman"/>
                <w:color w:val="auto"/>
                <w:spacing w:val="0"/>
                <w:sz w:val="24"/>
                <w:szCs w:val="24"/>
                <w:highlight w:val="none"/>
                <w:lang w:val="en-US" w:eastAsia="zh-CN"/>
              </w:rPr>
              <w:t>；</w:t>
            </w:r>
            <w:r>
              <w:rPr>
                <w:rFonts w:hint="eastAsia" w:cs="Times New Roman"/>
                <w:color w:val="auto"/>
                <w:spacing w:val="0"/>
                <w:sz w:val="24"/>
                <w:szCs w:val="24"/>
                <w:highlight w:val="none"/>
                <w:lang w:val="en-US" w:eastAsia="zh-CN"/>
              </w:rPr>
              <w:t>危废贮存点</w:t>
            </w:r>
            <w:r>
              <w:rPr>
                <w:rFonts w:hint="eastAsia" w:ascii="Times New Roman" w:hAnsi="Times New Roman" w:eastAsia="宋体" w:cs="Times New Roman"/>
                <w:color w:val="auto"/>
                <w:spacing w:val="0"/>
                <w:sz w:val="24"/>
                <w:szCs w:val="24"/>
                <w:highlight w:val="none"/>
                <w:lang w:val="en-US" w:eastAsia="zh-CN"/>
              </w:rPr>
              <w:t>已进行防水、防渗、防流失处理，有足够地面承载能力，并能确保雨水不会流至贮存设施内，贮存设施应封闭，以防风、防雨、防晒、防渗漏</w:t>
            </w:r>
            <w:r>
              <w:rPr>
                <w:rFonts w:hint="default" w:ascii="Times New Roman" w:hAnsi="Times New Roman" w:eastAsia="宋体" w:cs="Times New Roman"/>
                <w:color w:val="auto"/>
                <w:spacing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2</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严禁火源进入</w:t>
            </w:r>
            <w:r>
              <w:rPr>
                <w:rFonts w:hint="eastAsia" w:cs="Times New Roman"/>
                <w:color w:val="auto"/>
                <w:spacing w:val="0"/>
                <w:sz w:val="24"/>
                <w:szCs w:val="24"/>
                <w:highlight w:val="none"/>
                <w:lang w:val="en-US" w:eastAsia="zh-CN"/>
              </w:rPr>
              <w:t>危废贮存点</w:t>
            </w:r>
            <w:r>
              <w:rPr>
                <w:rFonts w:hint="default" w:ascii="Times New Roman" w:hAnsi="Times New Roman" w:eastAsia="宋体" w:cs="Times New Roman"/>
                <w:color w:val="auto"/>
                <w:spacing w:val="0"/>
                <w:sz w:val="24"/>
                <w:szCs w:val="24"/>
                <w:highlight w:val="none"/>
                <w:lang w:val="en-US" w:eastAsia="zh-CN"/>
              </w:rPr>
              <w:t>，对明火严格控制。配置相应的灭火装置和设施，如灭火器、消防砂、消火栓等，并保持完好。值班人员应掌握一般消防知识。</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eastAsia"/>
                <w:color w:val="auto"/>
                <w:sz w:val="24"/>
                <w:lang w:eastAsia="zh-CN"/>
              </w:rPr>
            </w:pPr>
            <w:r>
              <w:rPr>
                <w:rFonts w:hint="eastAsia" w:cs="Times New Roman"/>
                <w:color w:val="auto"/>
                <w:spacing w:val="0"/>
                <w:sz w:val="24"/>
                <w:szCs w:val="24"/>
                <w:highlight w:val="none"/>
                <w:lang w:val="en-US" w:eastAsia="zh-CN"/>
              </w:rPr>
              <w:t>（3）本项目厂区内为雨污分流系统，雨水顺着雨水管网流入雨水排放口；生活污水经化粪池处理后排入园区生活污水管网，最终进入园区污水处理站处理；厂区西南角设置1座350m</w:t>
            </w:r>
            <w:r>
              <w:rPr>
                <w:rFonts w:hint="eastAsia" w:ascii="Times New Roman" w:hAnsi="Times New Roman" w:cs="Times New Roman"/>
                <w:color w:val="auto"/>
                <w:spacing w:val="0"/>
                <w:sz w:val="24"/>
                <w:szCs w:val="24"/>
                <w:highlight w:val="none"/>
                <w:vertAlign w:val="superscript"/>
                <w:lang w:val="en-US" w:eastAsia="zh-CN"/>
              </w:rPr>
              <w:t>3</w:t>
            </w:r>
            <w:r>
              <w:rPr>
                <w:rFonts w:hint="eastAsia" w:cs="Times New Roman"/>
                <w:color w:val="auto"/>
                <w:spacing w:val="0"/>
                <w:sz w:val="24"/>
                <w:szCs w:val="24"/>
                <w:highlight w:val="none"/>
                <w:lang w:val="en-US" w:eastAsia="zh-CN"/>
              </w:rPr>
              <w:t>的初期雨水收集池，</w:t>
            </w:r>
            <w:r>
              <w:rPr>
                <w:color w:val="auto"/>
                <w:sz w:val="24"/>
              </w:rPr>
              <w:t>在降雨过程中，为了避免初期雨水与后期雨水混合，收集15min的初期降雨后，通过切换闸阀将后期雨水引流出厂区。初期雨水池平时收集后的初期雨水沉淀后回用于厂区洒水抑尘，不外排</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baseline"/>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4</w:t>
            </w:r>
            <w:bookmarkStart w:id="12" w:name="_Toc306609410"/>
            <w:bookmarkStart w:id="13" w:name="_Toc219170345"/>
            <w:bookmarkStart w:id="14" w:name="_Toc179601982"/>
            <w:bookmarkStart w:id="15" w:name="_Toc222586620"/>
            <w:bookmarkStart w:id="16" w:name="_Toc164788227"/>
            <w:bookmarkStart w:id="17" w:name="_Toc157591136"/>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环境风险应急预案</w:t>
            </w:r>
            <w:bookmarkEnd w:id="12"/>
            <w:bookmarkEnd w:id="13"/>
            <w:bookmarkEnd w:id="14"/>
            <w:bookmarkEnd w:id="15"/>
            <w:bookmarkEnd w:id="16"/>
            <w:bookmarkEnd w:id="17"/>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对可能发生的事故，应制定应急计划，使各部门在事故发生后能有步骤、有秩序地采取各项应急措施。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（1）事故发生后，应根据具体情况采取应急措施，切断泄漏源、火源，控制事故扩大，同时通知控制室，根据事故类型、大小启动相应的应急预案；</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（2）发生重大事故，应立即上报相关部门，启动社会救援系统，就近地区调拨到专业救援队伍协助处理；</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（3）事故发生后，</w:t>
            </w:r>
            <w:r>
              <w:rPr>
                <w:rFonts w:hint="eastAsia" w:cs="Times New Roman"/>
                <w:color w:val="auto"/>
                <w:sz w:val="24"/>
                <w:szCs w:val="24"/>
                <w:highlight w:val="none"/>
                <w:lang w:val="en-US" w:eastAsia="zh-CN"/>
              </w:rPr>
              <w:t>立即执行本厂环境风险应急预案，若事故涉及厂区外，</w:t>
            </w:r>
            <w:r>
              <w:rPr>
                <w:rFonts w:hint="default" w:ascii="Times New Roman" w:hAnsi="Times New Roman" w:eastAsia="宋体" w:cs="Times New Roman"/>
                <w:color w:val="auto"/>
                <w:sz w:val="24"/>
                <w:szCs w:val="24"/>
                <w:highlight w:val="none"/>
                <w:lang w:val="en-US" w:eastAsia="zh-CN"/>
              </w:rPr>
              <w:t>应立即</w:t>
            </w:r>
            <w:r>
              <w:rPr>
                <w:rFonts w:hint="eastAsia" w:cs="Times New Roman"/>
                <w:color w:val="auto"/>
                <w:sz w:val="24"/>
                <w:szCs w:val="24"/>
                <w:highlight w:val="none"/>
                <w:lang w:val="en-US" w:eastAsia="zh-CN"/>
              </w:rPr>
              <w:t>通知园区应急救援指挥部，并根据事故类别</w:t>
            </w:r>
            <w:r>
              <w:rPr>
                <w:rFonts w:hint="default" w:ascii="Times New Roman" w:hAnsi="Times New Roman" w:eastAsia="宋体" w:cs="Times New Roman"/>
                <w:color w:val="auto"/>
                <w:sz w:val="24"/>
                <w:szCs w:val="24"/>
                <w:highlight w:val="none"/>
                <w:lang w:val="en-US" w:eastAsia="zh-CN"/>
              </w:rPr>
              <w:t>通知当地</w:t>
            </w:r>
            <w:r>
              <w:rPr>
                <w:rFonts w:hint="eastAsia" w:ascii="Times New Roman" w:hAnsi="Times New Roman" w:eastAsia="宋体" w:cs="Times New Roman"/>
                <w:color w:val="auto"/>
                <w:sz w:val="24"/>
                <w:szCs w:val="24"/>
                <w:highlight w:val="none"/>
                <w:lang w:val="en-US" w:eastAsia="zh-CN"/>
              </w:rPr>
              <w:t>生态环境</w:t>
            </w:r>
            <w:r>
              <w:rPr>
                <w:rFonts w:hint="default" w:ascii="Times New Roman" w:hAnsi="Times New Roman" w:eastAsia="宋体" w:cs="Times New Roman"/>
                <w:color w:val="auto"/>
                <w:sz w:val="24"/>
                <w:szCs w:val="24"/>
                <w:highlight w:val="none"/>
                <w:lang w:val="en-US" w:eastAsia="zh-CN"/>
              </w:rPr>
              <w:t>、消防等部门，进行救援与监控。</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7</w:t>
            </w:r>
            <w:r>
              <w:rPr>
                <w:rFonts w:hint="default" w:ascii="Times New Roman" w:hAnsi="Times New Roman" w:eastAsia="宋体" w:cs="Times New Roman"/>
                <w:b/>
                <w:bCs/>
                <w:color w:val="auto"/>
                <w:kern w:val="2"/>
                <w:sz w:val="21"/>
                <w:szCs w:val="21"/>
                <w:highlight w:val="none"/>
                <w:lang w:val="en-US" w:eastAsia="zh-CN" w:bidi="ar-SA"/>
              </w:rPr>
              <w:t xml:space="preserve">  环境风险应急预案内容一览表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737"/>
              <w:gridCol w:w="5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序号</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项目</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应急计划区</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危险目标：</w:t>
                  </w:r>
                  <w:r>
                    <w:rPr>
                      <w:rFonts w:hint="eastAsia" w:cs="Times New Roman"/>
                      <w:color w:val="auto"/>
                      <w:kern w:val="0"/>
                      <w:sz w:val="21"/>
                      <w:szCs w:val="21"/>
                      <w:highlight w:val="none"/>
                      <w:lang w:val="en-US" w:eastAsia="zh-CN" w:bidi="ar-SA"/>
                    </w:rPr>
                    <w:t>危废贮存点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应急组织</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企业应急组织机构及人员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预案分级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响应条件</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规定预案的级别及分级响应条件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应急救援保障</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应急设施、设备及器材等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应急通讯</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通告与交通</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规定应急状态下的通讯、通告方式和交通保障、管制等事项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应急环境监测及事故评估</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由专业人员对环境风险事故现场进行应急监测，对事故性质、严重程度等所造成的环境危害后果进行评估，吸取经验教训免再次发生事故，为指挥部门提供决策依据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应急防护措施</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事故现场：控制事故发展，防止扩大、蔓延及连锁反应；相应的设施器材配备；临近地区：控制防火区域，控制和消除环境污染的措施及相应的设备设施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撤离组织计划，医疗救护与公众健康</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事故现场：事故处理人员、现场及临近人员的撤离组织计划和紧急救护方案；邻近地区：制定受事故影响的临近地区人员的疏散组织计划和紧急救护方案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应急状态终止恢复措施</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事故现场：规定应急状态终止秩序，事故善后处理，恢复生产措施；临近地区：解除事故警戒、公众返回和善后恢复措施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人员培训与演习</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应急计划制定后，平时安排事故处理人员进行相关知识培训、进行事故应急处理演习；对企业职工进行安全卫生教育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公众教育</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对企业临近地区公众开展环境风险事故预防教育、应急知识培训并定期发布相关信息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记录和报告</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设应急事故专门记录，建立档案和报告制度，设专门部门负责管理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13</w:t>
                  </w:r>
                </w:p>
              </w:tc>
              <w:tc>
                <w:tcPr>
                  <w:tcW w:w="10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附件</w:t>
                  </w:r>
                </w:p>
              </w:tc>
              <w:tc>
                <w:tcPr>
                  <w:tcW w:w="35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准备并形成环境风险事故应急处理有关的附件材料</w:t>
                  </w:r>
                </w:p>
              </w:tc>
            </w:tr>
          </w:tbl>
          <w:p>
            <w:pPr>
              <w:widowControl w:val="0"/>
              <w:spacing w:line="480" w:lineRule="exact"/>
              <w:ind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kern w:val="2"/>
                <w:sz w:val="24"/>
                <w:szCs w:val="24"/>
                <w:highlight w:val="none"/>
                <w:lang w:val="en-US" w:eastAsia="zh-CN" w:bidi="ar-SA"/>
              </w:rPr>
              <w:t>环境风险评价小结</w:t>
            </w:r>
          </w:p>
          <w:p>
            <w:pPr>
              <w:widowControl w:val="0"/>
              <w:spacing w:line="480" w:lineRule="exact"/>
              <w:ind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本次评价通过对项目可能发生的环境风险事故进行定性分析，在采取</w:t>
            </w:r>
            <w:r>
              <w:rPr>
                <w:rFonts w:hint="eastAsia" w:ascii="Times New Roman" w:hAnsi="Times New Roman" w:eastAsia="宋体" w:cs="Times New Roman"/>
                <w:b w:val="0"/>
                <w:bCs w:val="0"/>
                <w:color w:val="auto"/>
                <w:kern w:val="2"/>
                <w:sz w:val="24"/>
                <w:szCs w:val="24"/>
                <w:highlight w:val="none"/>
                <w:lang w:val="en-US" w:eastAsia="zh-CN" w:bidi="ar-SA"/>
              </w:rPr>
              <w:t>应急</w:t>
            </w:r>
            <w:r>
              <w:rPr>
                <w:rFonts w:hint="default" w:ascii="Times New Roman" w:hAnsi="Times New Roman" w:eastAsia="宋体" w:cs="Times New Roman"/>
                <w:b w:val="0"/>
                <w:bCs w:val="0"/>
                <w:color w:val="auto"/>
                <w:kern w:val="2"/>
                <w:sz w:val="24"/>
                <w:szCs w:val="24"/>
                <w:highlight w:val="none"/>
                <w:lang w:val="en-US" w:eastAsia="zh-CN" w:bidi="ar-SA"/>
              </w:rPr>
              <w:t>防范措施、综合管理措施、制定风险应急预案等措施后，可将泄漏、火灾等事故对环境的影响减少到最低和可接受范围，避免使项目本身及周边环境遭受损失。</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因此，在加强对各类风险的管理，做到各项管理措施及要求后，本项目风险处于可接受水平，风险管理措施有效、可靠，从风险角度而言是可行的</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48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七、</w:t>
            </w:r>
            <w:r>
              <w:rPr>
                <w:rFonts w:hint="default" w:ascii="Times New Roman" w:hAnsi="Times New Roman" w:eastAsia="宋体" w:cs="Times New Roman"/>
                <w:b/>
                <w:color w:val="auto"/>
                <w:sz w:val="24"/>
                <w:szCs w:val="24"/>
                <w:highlight w:val="none"/>
                <w:lang w:val="en-US" w:eastAsia="zh-CN"/>
              </w:rPr>
              <w:t>环保投资估算</w:t>
            </w:r>
          </w:p>
          <w:p>
            <w:pPr>
              <w:spacing w:line="480" w:lineRule="exact"/>
              <w:ind w:firstLine="480" w:firstLine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本项目总投资</w:t>
            </w:r>
            <w:r>
              <w:rPr>
                <w:rFonts w:hint="eastAsia" w:cs="Times New Roman"/>
                <w:color w:val="auto"/>
                <w:kern w:val="0"/>
                <w:sz w:val="24"/>
                <w:highlight w:val="none"/>
                <w:lang w:val="en-US" w:eastAsia="zh-CN"/>
              </w:rPr>
              <w:t>12</w:t>
            </w:r>
            <w:r>
              <w:rPr>
                <w:rFonts w:hint="eastAsia" w:ascii="Times New Roman" w:hAnsi="Times New Roman" w:eastAsia="宋体" w:cs="Times New Roman"/>
                <w:color w:val="auto"/>
                <w:kern w:val="0"/>
                <w:sz w:val="24"/>
                <w:highlight w:val="none"/>
                <w:lang w:val="en-US" w:eastAsia="zh-CN"/>
              </w:rPr>
              <w:t>00</w:t>
            </w:r>
            <w:r>
              <w:rPr>
                <w:rFonts w:hint="eastAsia" w:cs="Times New Roman"/>
                <w:color w:val="auto"/>
                <w:kern w:val="0"/>
                <w:sz w:val="24"/>
                <w:highlight w:val="none"/>
                <w:lang w:val="en-US" w:eastAsia="zh-CN"/>
              </w:rPr>
              <w:t>0</w:t>
            </w:r>
            <w:r>
              <w:rPr>
                <w:rFonts w:hint="default" w:ascii="Times New Roman" w:hAnsi="Times New Roman" w:eastAsia="宋体" w:cs="Times New Roman"/>
                <w:color w:val="auto"/>
                <w:kern w:val="0"/>
                <w:sz w:val="24"/>
                <w:highlight w:val="none"/>
              </w:rPr>
              <w:t>万元</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其中，</w:t>
            </w:r>
            <w:r>
              <w:rPr>
                <w:rFonts w:hint="default" w:ascii="Times New Roman" w:hAnsi="Times New Roman" w:eastAsia="宋体" w:cs="Times New Roman"/>
                <w:color w:val="auto"/>
                <w:kern w:val="0"/>
                <w:sz w:val="24"/>
                <w:highlight w:val="none"/>
              </w:rPr>
              <w:t>环保投资约</w:t>
            </w:r>
            <w:r>
              <w:rPr>
                <w:rFonts w:hint="eastAsia" w:cs="Times New Roman"/>
                <w:color w:val="auto"/>
                <w:kern w:val="0"/>
                <w:sz w:val="24"/>
                <w:highlight w:val="none"/>
                <w:lang w:val="en-US" w:eastAsia="zh-CN"/>
              </w:rPr>
              <w:t>211.5</w:t>
            </w:r>
            <w:r>
              <w:rPr>
                <w:rFonts w:hint="default" w:ascii="Times New Roman" w:hAnsi="Times New Roman" w:eastAsia="宋体" w:cs="Times New Roman"/>
                <w:color w:val="auto"/>
                <w:kern w:val="0"/>
                <w:sz w:val="24"/>
                <w:highlight w:val="none"/>
              </w:rPr>
              <w:t>万元</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占总投资比例为</w:t>
            </w:r>
            <w:r>
              <w:rPr>
                <w:rFonts w:hint="eastAsia" w:cs="Times New Roman"/>
                <w:color w:val="auto"/>
                <w:kern w:val="0"/>
                <w:sz w:val="24"/>
                <w:highlight w:val="none"/>
                <w:lang w:val="en-US" w:eastAsia="zh-CN"/>
              </w:rPr>
              <w:t>1.76</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。具体见</w:t>
            </w:r>
            <w:r>
              <w:rPr>
                <w:rFonts w:hint="eastAsia" w:cs="Times New Roman"/>
                <w:color w:val="auto"/>
                <w:kern w:val="0"/>
                <w:sz w:val="24"/>
                <w:highlight w:val="none"/>
                <w:lang w:val="en-US" w:eastAsia="zh-CN"/>
              </w:rPr>
              <w:t>下表</w:t>
            </w:r>
            <w:r>
              <w:rPr>
                <w:rFonts w:hint="default" w:ascii="Times New Roman" w:hAnsi="Times New Roman" w:eastAsia="宋体" w:cs="Times New Roman"/>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cs="Times New Roman"/>
                <w:b/>
                <w:bCs/>
                <w:color w:val="auto"/>
                <w:kern w:val="2"/>
                <w:sz w:val="21"/>
                <w:szCs w:val="21"/>
                <w:highlight w:val="none"/>
                <w:lang w:val="en-US" w:eastAsia="zh-CN" w:bidi="ar-SA"/>
              </w:rPr>
              <w:t>8</w:t>
            </w:r>
            <w:r>
              <w:rPr>
                <w:rFonts w:hint="default" w:ascii="Times New Roman" w:hAnsi="Times New Roman" w:eastAsia="宋体" w:cs="Times New Roman"/>
                <w:b/>
                <w:bCs/>
                <w:color w:val="auto"/>
                <w:kern w:val="2"/>
                <w:sz w:val="21"/>
                <w:szCs w:val="21"/>
                <w:highlight w:val="none"/>
                <w:lang w:val="en-US" w:eastAsia="zh-CN" w:bidi="ar-SA"/>
              </w:rPr>
              <w:t xml:space="preserve">  环保投资估算一览表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1638"/>
              <w:gridCol w:w="5141"/>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类型</w:t>
                  </w: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污染源</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环保设施</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投资</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996" w:type="pct"/>
                  <w:tcBorders>
                    <w:tl2br w:val="nil"/>
                    <w:tr2bl w:val="nil"/>
                  </w:tcBorders>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ascii="Times New Roman" w:hAnsi="Times New Roman" w:eastAsia="宋体" w:cs="Times New Roman"/>
                      <w:b w:val="0"/>
                      <w:bCs w:val="0"/>
                      <w:color w:val="auto"/>
                      <w:sz w:val="21"/>
                      <w:szCs w:val="21"/>
                      <w:highlight w:val="none"/>
                      <w:shd w:val="clear" w:color="auto" w:fill="auto"/>
                      <w:lang w:val="en-US" w:eastAsia="zh-CN"/>
                    </w:rPr>
                    <w:t>给料、破碎废气</w:t>
                  </w:r>
                </w:p>
              </w:tc>
              <w:tc>
                <w:tcPr>
                  <w:tcW w:w="3128"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2台给料机进料仓上方各设置1个集气罩（共2个），2台锤式破碎机</w:t>
                  </w:r>
                  <w:r>
                    <w:rPr>
                      <w:rFonts w:hint="eastAsia" w:cs="Times New Roman"/>
                      <w:color w:val="auto"/>
                      <w:spacing w:val="0"/>
                      <w:kern w:val="2"/>
                      <w:sz w:val="21"/>
                      <w:szCs w:val="21"/>
                      <w:highlight w:val="none"/>
                      <w:vertAlign w:val="baseline"/>
                      <w:lang w:val="en-US" w:eastAsia="zh-CN" w:bidi="ar-SA"/>
                    </w:rPr>
                    <w:t>为全封闭，设置集气管道</w:t>
                  </w:r>
                  <w:r>
                    <w:rPr>
                      <w:rFonts w:hint="default" w:ascii="Times New Roman" w:hAnsi="Times New Roman" w:eastAsia="宋体" w:cs="Times New Roman"/>
                      <w:color w:val="auto"/>
                      <w:spacing w:val="0"/>
                      <w:kern w:val="2"/>
                      <w:sz w:val="21"/>
                      <w:szCs w:val="21"/>
                      <w:highlight w:val="none"/>
                      <w:vertAlign w:val="baseline"/>
                      <w:lang w:val="en-US" w:eastAsia="zh-CN" w:bidi="ar-SA"/>
                    </w:rPr>
                    <w:t>，废气经收集后共同引入1台布袋除尘器（TA001）处理后，由一根</w:t>
                  </w:r>
                  <w:r>
                    <w:rPr>
                      <w:rFonts w:hint="eastAsia" w:cs="Times New Roman"/>
                      <w:color w:val="auto"/>
                      <w:spacing w:val="0"/>
                      <w:kern w:val="2"/>
                      <w:sz w:val="21"/>
                      <w:szCs w:val="21"/>
                      <w:highlight w:val="none"/>
                      <w:vertAlign w:val="baseline"/>
                      <w:lang w:val="en-US" w:eastAsia="zh-CN" w:bidi="ar-SA"/>
                    </w:rPr>
                    <w:t>20</w:t>
                  </w:r>
                  <w:r>
                    <w:rPr>
                      <w:rFonts w:hint="default" w:ascii="Times New Roman" w:hAnsi="Times New Roman" w:eastAsia="宋体" w:cs="Times New Roman"/>
                      <w:color w:val="auto"/>
                      <w:spacing w:val="0"/>
                      <w:kern w:val="2"/>
                      <w:sz w:val="21"/>
                      <w:szCs w:val="21"/>
                      <w:highlight w:val="none"/>
                      <w:vertAlign w:val="baseline"/>
                      <w:lang w:val="en-US" w:eastAsia="zh-CN" w:bidi="ar-SA"/>
                    </w:rPr>
                    <w:t>m高排气筒（DA001）排放</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default" w:ascii="Times New Roman" w:hAnsi="Times New Roman" w:eastAsia="宋体" w:cs="Times New Roman"/>
                      <w:b w:val="0"/>
                      <w:bCs w:val="0"/>
                      <w:color w:val="auto"/>
                      <w:sz w:val="21"/>
                      <w:szCs w:val="21"/>
                      <w:highlight w:val="none"/>
                      <w:shd w:val="clear" w:color="auto" w:fill="auto"/>
                      <w:lang w:val="en-US" w:eastAsia="zh-CN"/>
                    </w:rPr>
                    <w:t>筛分、粉磨</w:t>
                  </w:r>
                  <w:r>
                    <w:rPr>
                      <w:rFonts w:hint="eastAsia" w:cs="Times New Roman"/>
                      <w:b w:val="0"/>
                      <w:bCs w:val="0"/>
                      <w:color w:val="auto"/>
                      <w:sz w:val="21"/>
                      <w:szCs w:val="21"/>
                      <w:highlight w:val="none"/>
                      <w:shd w:val="clear" w:color="auto" w:fill="auto"/>
                      <w:lang w:val="en-US" w:eastAsia="zh-CN"/>
                    </w:rPr>
                    <w:t>、粉料仓</w:t>
                  </w:r>
                  <w:r>
                    <w:rPr>
                      <w:rFonts w:hint="default" w:ascii="Times New Roman" w:hAnsi="Times New Roman" w:eastAsia="宋体" w:cs="Times New Roman"/>
                      <w:b w:val="0"/>
                      <w:bCs w:val="0"/>
                      <w:color w:val="auto"/>
                      <w:sz w:val="21"/>
                      <w:szCs w:val="21"/>
                      <w:highlight w:val="none"/>
                      <w:shd w:val="clear" w:color="auto" w:fill="auto"/>
                      <w:lang w:val="en-US" w:eastAsia="zh-CN"/>
                    </w:rPr>
                    <w:t>废气</w:t>
                  </w:r>
                </w:p>
              </w:tc>
              <w:tc>
                <w:tcPr>
                  <w:tcW w:w="3128"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球磨机和振动筛均为全封闭式，设置集气管道，废气经集气管道送至1台布袋除尘器（TA002）处理，</w:t>
                  </w:r>
                  <w:r>
                    <w:rPr>
                      <w:rFonts w:hint="eastAsia"/>
                      <w:color w:val="auto"/>
                      <w:sz w:val="21"/>
                      <w:szCs w:val="18"/>
                      <w:lang w:val="en-US" w:eastAsia="zh-CN"/>
                    </w:rPr>
                    <w:t>煤矸石设置1台粉料仓，仓顶自带1台布袋除尘器（TA005），处理后的废气共同由</w:t>
                  </w:r>
                  <w:r>
                    <w:rPr>
                      <w:rFonts w:hint="default"/>
                      <w:color w:val="auto"/>
                      <w:sz w:val="21"/>
                      <w:szCs w:val="18"/>
                    </w:rPr>
                    <w:t>1根</w:t>
                  </w:r>
                  <w:r>
                    <w:rPr>
                      <w:rFonts w:hint="eastAsia"/>
                      <w:color w:val="auto"/>
                      <w:sz w:val="21"/>
                      <w:szCs w:val="18"/>
                      <w:lang w:val="en-US" w:eastAsia="zh-CN"/>
                    </w:rPr>
                    <w:t>20</w:t>
                  </w:r>
                  <w:r>
                    <w:rPr>
                      <w:rFonts w:hint="default"/>
                      <w:color w:val="auto"/>
                      <w:sz w:val="21"/>
                      <w:szCs w:val="18"/>
                    </w:rPr>
                    <w:t>m高排气筒（</w:t>
                  </w:r>
                  <w:r>
                    <w:rPr>
                      <w:rFonts w:hint="eastAsia"/>
                      <w:color w:val="auto"/>
                      <w:sz w:val="21"/>
                      <w:szCs w:val="18"/>
                    </w:rPr>
                    <w:t>D</w:t>
                  </w:r>
                  <w:r>
                    <w:rPr>
                      <w:rFonts w:hint="default"/>
                      <w:color w:val="auto"/>
                      <w:sz w:val="21"/>
                      <w:szCs w:val="18"/>
                    </w:rPr>
                    <w:t>A00</w:t>
                  </w:r>
                  <w:r>
                    <w:rPr>
                      <w:rFonts w:hint="eastAsia"/>
                      <w:color w:val="auto"/>
                      <w:sz w:val="21"/>
                      <w:szCs w:val="18"/>
                      <w:lang w:val="en-US" w:eastAsia="zh-CN"/>
                    </w:rPr>
                    <w:t>2</w:t>
                  </w:r>
                  <w:r>
                    <w:rPr>
                      <w:rFonts w:hint="default"/>
                      <w:color w:val="auto"/>
                      <w:sz w:val="21"/>
                      <w:szCs w:val="18"/>
                    </w:rPr>
                    <w:t>）排放</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shd w:val="clear" w:color="auto" w:fill="auto"/>
                      <w:lang w:val="en-US" w:eastAsia="zh-CN"/>
                    </w:rPr>
                  </w:pPr>
                  <w:r>
                    <w:rPr>
                      <w:rFonts w:hint="eastAsia" w:ascii="Times New Roman" w:hAnsi="Times New Roman" w:eastAsia="宋体" w:cs="Times New Roman"/>
                      <w:b w:val="0"/>
                      <w:bCs w:val="0"/>
                      <w:color w:val="auto"/>
                      <w:sz w:val="21"/>
                      <w:szCs w:val="21"/>
                      <w:highlight w:val="none"/>
                      <w:shd w:val="clear" w:color="auto" w:fill="auto"/>
                      <w:lang w:val="en-US" w:eastAsia="zh-CN"/>
                    </w:rPr>
                    <w:t>发酵废气</w:t>
                  </w:r>
                </w:p>
              </w:tc>
              <w:tc>
                <w:tcPr>
                  <w:tcW w:w="3128" w:type="pct"/>
                  <w:tcBorders>
                    <w:tl2br w:val="nil"/>
                    <w:tr2bl w:val="nil"/>
                  </w:tcBorders>
                  <w:vAlign w:val="center"/>
                </w:tcPr>
                <w:p>
                  <w:pPr>
                    <w:pStyle w:val="1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ascii="Times New Roman" w:hAnsi="Times New Roman" w:eastAsia="宋体" w:cs="Times New Roman"/>
                      <w:color w:val="auto"/>
                      <w:spacing w:val="0"/>
                      <w:kern w:val="2"/>
                      <w:sz w:val="21"/>
                      <w:szCs w:val="21"/>
                      <w:highlight w:val="none"/>
                      <w:vertAlign w:val="baseline"/>
                      <w:lang w:val="en-US" w:eastAsia="zh-CN" w:bidi="ar-SA"/>
                    </w:rPr>
                    <w:t>发酵过程中，使用纳米膜将发酵池覆盖，采取密闭发酵，发酵池进行全封闭，在发酵池末端通过管道和引风机，将发酵池内废气引入1套生物除臭装置（TA003）进行处理后，由1根</w:t>
                  </w:r>
                  <w:r>
                    <w:rPr>
                      <w:rFonts w:hint="eastAsia" w:cs="Times New Roman"/>
                      <w:color w:val="auto"/>
                      <w:spacing w:val="0"/>
                      <w:kern w:val="2"/>
                      <w:sz w:val="21"/>
                      <w:szCs w:val="21"/>
                      <w:highlight w:val="none"/>
                      <w:vertAlign w:val="baseline"/>
                      <w:lang w:val="en-US" w:eastAsia="zh-CN" w:bidi="ar-SA"/>
                    </w:rPr>
                    <w:t>20</w:t>
                  </w:r>
                  <w:r>
                    <w:rPr>
                      <w:rFonts w:hint="eastAsia" w:ascii="Times New Roman" w:hAnsi="Times New Roman" w:eastAsia="宋体" w:cs="Times New Roman"/>
                      <w:color w:val="auto"/>
                      <w:spacing w:val="0"/>
                      <w:kern w:val="2"/>
                      <w:sz w:val="21"/>
                      <w:szCs w:val="21"/>
                      <w:highlight w:val="none"/>
                      <w:vertAlign w:val="baseline"/>
                      <w:lang w:val="en-US" w:eastAsia="zh-CN" w:bidi="ar-SA"/>
                    </w:rPr>
                    <w:t>m高排气筒（DA003）排放</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b w:val="0"/>
                      <w:bCs w:val="0"/>
                      <w:color w:val="auto"/>
                      <w:sz w:val="21"/>
                      <w:szCs w:val="21"/>
                      <w:highlight w:val="none"/>
                      <w:shd w:val="clear" w:color="auto" w:fill="auto"/>
                      <w:lang w:val="en-US" w:eastAsia="zh-CN"/>
                    </w:rPr>
                    <w:t>造粒、筛分、袋装废气</w:t>
                  </w:r>
                </w:p>
              </w:tc>
              <w:tc>
                <w:tcPr>
                  <w:tcW w:w="3128"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挤压成型机进料口上方设置1台集气罩，筛分机为全封闭式设置集气管道，每台计量袋装机进料口设置1个侧吸罩（共5个），收集后的废气引入1台布袋除尘器（TA004），处理后由1根</w:t>
                  </w:r>
                  <w:r>
                    <w:rPr>
                      <w:rFonts w:hint="eastAsia" w:cs="Times New Roman"/>
                      <w:color w:val="auto"/>
                      <w:spacing w:val="0"/>
                      <w:kern w:val="2"/>
                      <w:sz w:val="21"/>
                      <w:szCs w:val="21"/>
                      <w:highlight w:val="none"/>
                      <w:vertAlign w:val="baseline"/>
                      <w:lang w:val="en-US" w:eastAsia="zh-CN" w:bidi="ar-SA"/>
                    </w:rPr>
                    <w:t>20</w:t>
                  </w:r>
                  <w:r>
                    <w:rPr>
                      <w:rFonts w:hint="default" w:ascii="Times New Roman" w:hAnsi="Times New Roman" w:eastAsia="宋体" w:cs="Times New Roman"/>
                      <w:color w:val="auto"/>
                      <w:spacing w:val="0"/>
                      <w:kern w:val="2"/>
                      <w:sz w:val="21"/>
                      <w:szCs w:val="21"/>
                      <w:highlight w:val="none"/>
                      <w:vertAlign w:val="baseline"/>
                      <w:lang w:val="en-US" w:eastAsia="zh-CN" w:bidi="ar-SA"/>
                    </w:rPr>
                    <w:t>m高排气筒（DA004）排放</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cs="Times New Roman"/>
                      <w:bCs/>
                      <w:color w:val="auto"/>
                      <w:spacing w:val="0"/>
                      <w:kern w:val="2"/>
                      <w:sz w:val="21"/>
                      <w:szCs w:val="21"/>
                      <w:highlight w:val="none"/>
                      <w:lang w:val="en-US" w:eastAsia="zh-CN" w:bidi="ar-SA"/>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color w:val="auto"/>
                      <w:spacing w:val="0"/>
                      <w:kern w:val="28"/>
                      <w:sz w:val="21"/>
                      <w:szCs w:val="21"/>
                      <w:highlight w:val="none"/>
                      <w:lang w:val="en-US" w:eastAsia="zh-CN" w:bidi="ar-SA"/>
                    </w:rPr>
                  </w:pPr>
                  <w:r>
                    <w:rPr>
                      <w:rFonts w:hint="eastAsia" w:cs="Times New Roman"/>
                      <w:b w:val="0"/>
                      <w:bCs w:val="0"/>
                      <w:color w:val="auto"/>
                      <w:sz w:val="21"/>
                      <w:szCs w:val="21"/>
                      <w:highlight w:val="none"/>
                      <w:lang w:val="en-US" w:eastAsia="zh-CN"/>
                    </w:rPr>
                    <w:t>原料</w:t>
                  </w:r>
                  <w:r>
                    <w:rPr>
                      <w:rFonts w:hint="default" w:ascii="Times New Roman" w:hAnsi="Times New Roman" w:cs="Times New Roman"/>
                      <w:b w:val="0"/>
                      <w:bCs w:val="0"/>
                      <w:color w:val="auto"/>
                      <w:sz w:val="21"/>
                      <w:szCs w:val="21"/>
                      <w:highlight w:val="none"/>
                      <w:lang w:val="en-US" w:eastAsia="zh-CN"/>
                    </w:rPr>
                    <w:t>堆放与装卸</w:t>
                  </w:r>
                  <w:r>
                    <w:rPr>
                      <w:rFonts w:hint="eastAsia" w:cs="Times New Roman"/>
                      <w:b w:val="0"/>
                      <w:bCs w:val="0"/>
                      <w:color w:val="auto"/>
                      <w:sz w:val="21"/>
                      <w:szCs w:val="21"/>
                      <w:highlight w:val="none"/>
                      <w:lang w:val="en-US" w:eastAsia="zh-CN"/>
                    </w:rPr>
                    <w:t>废气</w:t>
                  </w:r>
                </w:p>
              </w:tc>
              <w:tc>
                <w:tcPr>
                  <w:tcW w:w="3128"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全封闭生产车间内，堆放区顶部设置喷雾抑尘装置</w:t>
                  </w:r>
                  <w:r>
                    <w:rPr>
                      <w:rFonts w:hint="eastAsia" w:cs="Times New Roman"/>
                      <w:b w:val="0"/>
                      <w:bCs w:val="0"/>
                      <w:color w:val="auto"/>
                      <w:sz w:val="21"/>
                      <w:szCs w:val="21"/>
                      <w:highlight w:val="none"/>
                      <w:lang w:val="en-US" w:eastAsia="zh-CN"/>
                    </w:rPr>
                    <w:t>，同时设置1台移动式雾炮机</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成品堆放与装卸</w:t>
                  </w:r>
                  <w:r>
                    <w:rPr>
                      <w:rFonts w:hint="eastAsia" w:cs="Times New Roman"/>
                      <w:b w:val="0"/>
                      <w:bCs w:val="0"/>
                      <w:color w:val="auto"/>
                      <w:sz w:val="21"/>
                      <w:szCs w:val="21"/>
                      <w:highlight w:val="none"/>
                      <w:lang w:val="en-US" w:eastAsia="zh-CN"/>
                    </w:rPr>
                    <w:t>废气</w:t>
                  </w:r>
                </w:p>
              </w:tc>
              <w:tc>
                <w:tcPr>
                  <w:tcW w:w="3128" w:type="pct"/>
                  <w:tcBorders>
                    <w:tl2br w:val="nil"/>
                    <w:tr2bl w:val="nil"/>
                  </w:tcBorders>
                  <w:shd w:val="clear" w:color="auto" w:fill="auto"/>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全封闭生产车间内，</w:t>
                  </w:r>
                  <w:r>
                    <w:rPr>
                      <w:rFonts w:hint="eastAsia" w:cs="Times New Roman"/>
                      <w:b w:val="0"/>
                      <w:bCs w:val="0"/>
                      <w:color w:val="auto"/>
                      <w:sz w:val="21"/>
                      <w:szCs w:val="21"/>
                      <w:highlight w:val="none"/>
                      <w:lang w:val="en-US" w:eastAsia="zh-CN"/>
                    </w:rPr>
                    <w:t>同时设置1台移动式雾炮机</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color w:val="auto"/>
                      <w:spacing w:val="0"/>
                      <w:kern w:val="28"/>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道路运输</w:t>
                  </w:r>
                  <w:r>
                    <w:rPr>
                      <w:rFonts w:hint="eastAsia" w:cs="Times New Roman"/>
                      <w:b w:val="0"/>
                      <w:bCs w:val="0"/>
                      <w:color w:val="auto"/>
                      <w:sz w:val="21"/>
                      <w:szCs w:val="21"/>
                      <w:highlight w:val="none"/>
                      <w:lang w:val="en-US" w:eastAsia="zh-CN"/>
                    </w:rPr>
                    <w:t>废气</w:t>
                  </w:r>
                </w:p>
              </w:tc>
              <w:tc>
                <w:tcPr>
                  <w:tcW w:w="3128"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厂区运输道路全部硬化，对道路定期洒水，并对物料运输车辆采取加盖篷布等封闭措施，限制车速</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物料运输转载废气</w:t>
                  </w:r>
                </w:p>
              </w:tc>
              <w:tc>
                <w:tcPr>
                  <w:tcW w:w="3128"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本项目物料运输采用皮带输送机、螺旋输送机和提升机均为全封闭式，运输转载粉尘就近接入相应的除尘器中</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生活污水</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经化粪池处理后排入园区生活污水管网，最终进入园区污水处理站处理</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地坪清洗废水</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color w:val="auto"/>
                      <w:spacing w:val="0"/>
                      <w:kern w:val="2"/>
                      <w:sz w:val="21"/>
                      <w:szCs w:val="21"/>
                      <w:highlight w:val="none"/>
                      <w:vertAlign w:val="baseline"/>
                      <w:lang w:val="en-US" w:eastAsia="zh-CN" w:bidi="ar-SA"/>
                    </w:rPr>
                    <w:t>回用于搅拌用水</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sz w:val="21"/>
                      <w:szCs w:val="21"/>
                      <w:highlight w:val="none"/>
                    </w:rPr>
                    <w:t>洗车废水</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设置1座洗车平台，容积为</w:t>
                  </w:r>
                  <w:r>
                    <w:rPr>
                      <w:rFonts w:hint="eastAsia" w:cs="Times New Roman"/>
                      <w:color w:val="auto"/>
                      <w:spacing w:val="0"/>
                      <w:kern w:val="2"/>
                      <w:sz w:val="21"/>
                      <w:szCs w:val="21"/>
                      <w:highlight w:val="none"/>
                      <w:lang w:val="en-US" w:eastAsia="zh-CN" w:bidi="ar-SA"/>
                    </w:rPr>
                    <w:t>25</w:t>
                  </w:r>
                  <w:r>
                    <w:rPr>
                      <w:rFonts w:hint="eastAsia" w:ascii="Times New Roman" w:hAnsi="Times New Roman" w:eastAsia="宋体" w:cs="Times New Roman"/>
                      <w:color w:val="auto"/>
                      <w:spacing w:val="0"/>
                      <w:kern w:val="2"/>
                      <w:sz w:val="21"/>
                      <w:szCs w:val="21"/>
                      <w:highlight w:val="none"/>
                      <w:lang w:val="en-US" w:eastAsia="zh-CN" w:bidi="ar-SA"/>
                    </w:rPr>
                    <w:t>m</w:t>
                  </w:r>
                  <w:r>
                    <w:rPr>
                      <w:rFonts w:hint="eastAsia" w:ascii="Times New Roman" w:hAnsi="Times New Roman" w:eastAsia="宋体" w:cs="Times New Roman"/>
                      <w:color w:val="auto"/>
                      <w:spacing w:val="0"/>
                      <w:kern w:val="2"/>
                      <w:sz w:val="21"/>
                      <w:szCs w:val="21"/>
                      <w:highlight w:val="none"/>
                      <w:vertAlign w:val="superscript"/>
                      <w:lang w:val="en-US" w:eastAsia="zh-CN" w:bidi="ar-SA"/>
                    </w:rPr>
                    <w:t>3</w:t>
                  </w:r>
                  <w:r>
                    <w:rPr>
                      <w:rFonts w:hint="eastAsia" w:cs="Times New Roman"/>
                      <w:color w:val="auto"/>
                      <w:spacing w:val="0"/>
                      <w:kern w:val="2"/>
                      <w:sz w:val="21"/>
                      <w:szCs w:val="21"/>
                      <w:highlight w:val="none"/>
                      <w:vertAlign w:val="baseline"/>
                      <w:lang w:val="en-US" w:eastAsia="zh-CN" w:bidi="ar-SA"/>
                    </w:rPr>
                    <w:t>，</w:t>
                  </w:r>
                  <w:r>
                    <w:rPr>
                      <w:rFonts w:hint="eastAsia" w:ascii="Times New Roman" w:hAnsi="Times New Roman" w:eastAsia="宋体" w:cs="Times New Roman"/>
                      <w:color w:val="auto"/>
                      <w:spacing w:val="0"/>
                      <w:kern w:val="2"/>
                      <w:sz w:val="21"/>
                      <w:szCs w:val="21"/>
                      <w:highlight w:val="none"/>
                      <w:lang w:val="en-US" w:eastAsia="zh-CN" w:bidi="ar-SA"/>
                    </w:rPr>
                    <w:t>洗车废水经</w:t>
                  </w:r>
                  <w:r>
                    <w:rPr>
                      <w:rFonts w:hint="default" w:ascii="Times New Roman" w:hAnsi="Times New Roman" w:eastAsia="宋体" w:cs="Times New Roman"/>
                      <w:color w:val="auto"/>
                      <w:spacing w:val="0"/>
                      <w:kern w:val="2"/>
                      <w:sz w:val="21"/>
                      <w:szCs w:val="21"/>
                      <w:highlight w:val="none"/>
                      <w:lang w:val="en-US" w:eastAsia="zh-CN" w:bidi="ar-SA"/>
                    </w:rPr>
                    <w:t>沉淀池沉淀后，回用至洗车工序，循环使用，不排放</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初期雨水</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设置</w:t>
                  </w:r>
                  <w:r>
                    <w:rPr>
                      <w:rFonts w:hint="eastAsia" w:cs="Times New Roman"/>
                      <w:color w:val="auto"/>
                      <w:spacing w:val="0"/>
                      <w:sz w:val="21"/>
                      <w:szCs w:val="21"/>
                      <w:highlight w:val="none"/>
                      <w:lang w:val="en-US" w:eastAsia="zh-CN"/>
                    </w:rPr>
                    <w:t>1座350m</w:t>
                  </w:r>
                  <w:r>
                    <w:rPr>
                      <w:rFonts w:hint="eastAsia" w:cs="Times New Roman"/>
                      <w:color w:val="auto"/>
                      <w:spacing w:val="0"/>
                      <w:sz w:val="21"/>
                      <w:szCs w:val="21"/>
                      <w:highlight w:val="none"/>
                      <w:vertAlign w:val="superscript"/>
                      <w:lang w:val="en-US" w:eastAsia="zh-CN"/>
                    </w:rPr>
                    <w:t>3</w:t>
                  </w:r>
                  <w:r>
                    <w:rPr>
                      <w:rFonts w:hint="eastAsia" w:cs="Times New Roman"/>
                      <w:color w:val="auto"/>
                      <w:spacing w:val="0"/>
                      <w:sz w:val="21"/>
                      <w:szCs w:val="21"/>
                      <w:highlight w:val="none"/>
                      <w:vertAlign w:val="baseline"/>
                      <w:lang w:val="en-US" w:eastAsia="zh-CN"/>
                    </w:rPr>
                    <w:t>雨水收集池，雨水经沉淀后回用于厂区洒水抑尘</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w:t>
                  </w: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除尘器</w:t>
                  </w:r>
                  <w:r>
                    <w:rPr>
                      <w:rFonts w:hint="default" w:ascii="Times New Roman" w:hAnsi="Times New Roman" w:eastAsia="宋体" w:cs="Times New Roman"/>
                      <w:color w:val="auto"/>
                      <w:sz w:val="21"/>
                      <w:szCs w:val="21"/>
                      <w:highlight w:val="none"/>
                      <w:lang w:val="en-US" w:eastAsia="zh-CN"/>
                    </w:rPr>
                    <w:t>除尘灰</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各工序除尘器收集的除尘灰均</w:t>
                  </w:r>
                  <w:r>
                    <w:rPr>
                      <w:rFonts w:hint="default" w:ascii="Times New Roman" w:hAnsi="Times New Roman" w:eastAsia="宋体" w:cs="Times New Roman"/>
                      <w:color w:val="auto"/>
                      <w:spacing w:val="0"/>
                      <w:kern w:val="2"/>
                      <w:sz w:val="21"/>
                      <w:szCs w:val="21"/>
                      <w:highlight w:val="none"/>
                      <w:lang w:val="en-US" w:eastAsia="zh-CN" w:bidi="ar-SA"/>
                    </w:rPr>
                    <w:t>作为原料返回生产系统</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废除尘布袋</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集中收集后由厂家回收综合利用</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42" w:leftChars="-20" w:right="-42" w:rightChars="-2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废包装材料</w:t>
                  </w:r>
                </w:p>
              </w:tc>
              <w:tc>
                <w:tcPr>
                  <w:tcW w:w="3128" w:type="pct"/>
                  <w:tcBorders>
                    <w:tl2br w:val="nil"/>
                    <w:tr2bl w:val="nil"/>
                  </w:tcBorders>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集中收集后外售废品收购站综合利用</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磁选废屑</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集中收集后外售废品收购站综合利用</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设置垃圾桶，定期送至当地环卫部门指定地点处置</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废矿物油</w:t>
                  </w:r>
                  <w:r>
                    <w:rPr>
                      <w:rFonts w:hint="eastAsia" w:ascii="Times New Roman" w:hAnsi="Times New Roman" w:eastAsia="宋体" w:cs="Times New Roman"/>
                      <w:color w:val="auto"/>
                      <w:sz w:val="21"/>
                      <w:szCs w:val="21"/>
                      <w:highlight w:val="none"/>
                      <w:lang w:val="en-US" w:eastAsia="zh-CN"/>
                    </w:rPr>
                    <w:t>、废油桶</w:t>
                  </w:r>
                  <w:r>
                    <w:rPr>
                      <w:rFonts w:hint="eastAsia" w:cs="Times New Roman"/>
                      <w:color w:val="auto"/>
                      <w:sz w:val="21"/>
                      <w:szCs w:val="21"/>
                      <w:highlight w:val="none"/>
                      <w:lang w:val="en-US" w:eastAsia="zh-CN"/>
                    </w:rPr>
                    <w:t>、检测废液</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设置1座10m</w:t>
                  </w:r>
                  <w:r>
                    <w:rPr>
                      <w:rFonts w:hint="eastAsia" w:cs="Times New Roman"/>
                      <w:color w:val="auto"/>
                      <w:spacing w:val="0"/>
                      <w:sz w:val="21"/>
                      <w:szCs w:val="21"/>
                      <w:highlight w:val="none"/>
                      <w:vertAlign w:val="superscript"/>
                      <w:lang w:val="en-US" w:eastAsia="zh-CN"/>
                    </w:rPr>
                    <w:t>2</w:t>
                  </w:r>
                  <w:r>
                    <w:rPr>
                      <w:rFonts w:hint="eastAsia" w:cs="Times New Roman"/>
                      <w:color w:val="auto"/>
                      <w:spacing w:val="0"/>
                      <w:sz w:val="21"/>
                      <w:szCs w:val="21"/>
                      <w:highlight w:val="none"/>
                      <w:vertAlign w:val="baseline"/>
                      <w:lang w:val="en-US" w:eastAsia="zh-CN"/>
                    </w:rPr>
                    <w:t>危废贮存点，</w:t>
                  </w:r>
                  <w:r>
                    <w:rPr>
                      <w:rFonts w:hint="eastAsia" w:cs="Times New Roman"/>
                      <w:color w:val="auto"/>
                      <w:kern w:val="0"/>
                      <w:sz w:val="21"/>
                      <w:szCs w:val="21"/>
                      <w:highlight w:val="none"/>
                      <w:lang w:val="en-US" w:eastAsia="zh-CN"/>
                    </w:rPr>
                    <w:t>检测废液由专用废液桶收集，与废矿物油、废油桶</w:t>
                  </w:r>
                  <w:r>
                    <w:rPr>
                      <w:rFonts w:hint="eastAsia" w:ascii="Times New Roman" w:hAnsi="Times New Roman" w:eastAsia="宋体" w:cs="Times New Roman"/>
                      <w:color w:val="auto"/>
                      <w:kern w:val="0"/>
                      <w:sz w:val="21"/>
                      <w:szCs w:val="21"/>
                      <w:highlight w:val="none"/>
                      <w:lang w:val="en-US" w:eastAsia="zh-CN"/>
                    </w:rPr>
                    <w:t>分区贮存</w:t>
                  </w:r>
                  <w:r>
                    <w:rPr>
                      <w:rFonts w:hint="eastAsia" w:cs="Times New Roman"/>
                      <w:color w:val="auto"/>
                      <w:kern w:val="0"/>
                      <w:sz w:val="21"/>
                      <w:szCs w:val="21"/>
                      <w:highlight w:val="none"/>
                      <w:lang w:val="en-US" w:eastAsia="zh-CN"/>
                    </w:rPr>
                    <w:t>于</w:t>
                  </w:r>
                  <w:r>
                    <w:rPr>
                      <w:rFonts w:hint="eastAsia" w:cs="Times New Roman"/>
                      <w:color w:val="auto"/>
                      <w:kern w:val="0"/>
                      <w:sz w:val="21"/>
                      <w:szCs w:val="21"/>
                      <w:highlight w:val="none"/>
                      <w:lang w:eastAsia="zh-CN"/>
                    </w:rPr>
                    <w:t>危废贮存点</w:t>
                  </w:r>
                  <w:r>
                    <w:rPr>
                      <w:rFonts w:hint="default" w:ascii="Times New Roman" w:hAnsi="Times New Roman" w:eastAsia="宋体" w:cs="Times New Roman"/>
                      <w:color w:val="auto"/>
                      <w:kern w:val="0"/>
                      <w:sz w:val="21"/>
                      <w:szCs w:val="21"/>
                      <w:highlight w:val="none"/>
                    </w:rPr>
                    <w:t>内，定期交由有资质的单位处置</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车间内各生产设备</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选用低噪声设备，高噪音设备做基础减振、柔性连接，厂房隔声等，保持设备运行良好；车辆限速行驶，减少鸣笛</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生态</w:t>
                  </w:r>
                </w:p>
              </w:tc>
              <w:tc>
                <w:tcPr>
                  <w:tcW w:w="9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绿化</w:t>
                  </w:r>
                </w:p>
              </w:tc>
              <w:tc>
                <w:tcPr>
                  <w:tcW w:w="31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厂区绿化，降低噪声污染，厂区绿化面积500</w:t>
                  </w:r>
                  <w:r>
                    <w:rPr>
                      <w:rFonts w:hint="eastAsia" w:cs="Times New Roman"/>
                      <w:color w:val="auto"/>
                      <w:spacing w:val="0"/>
                      <w:sz w:val="21"/>
                      <w:szCs w:val="21"/>
                      <w:highlight w:val="none"/>
                      <w:lang w:val="en-US" w:eastAsia="zh-CN"/>
                    </w:rPr>
                    <w:t>m</w:t>
                  </w:r>
                  <w:r>
                    <w:rPr>
                      <w:rFonts w:hint="eastAsia" w:cs="Times New Roman"/>
                      <w:color w:val="auto"/>
                      <w:spacing w:val="0"/>
                      <w:sz w:val="21"/>
                      <w:szCs w:val="21"/>
                      <w:highlight w:val="none"/>
                      <w:vertAlign w:val="superscript"/>
                      <w:lang w:val="en-US" w:eastAsia="zh-CN"/>
                    </w:rPr>
                    <w:t>2</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59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211.5</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vertAlign w:val="baseline"/>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eastAsia="宋体"/>
                <w:color w:val="auto"/>
                <w:sz w:val="24"/>
                <w:szCs w:val="24"/>
                <w:highlight w:val="none"/>
                <w:vertAlign w:val="baseline"/>
                <w:lang w:val="en-US" w:eastAsia="zh-CN"/>
              </w:rPr>
            </w:pPr>
          </w:p>
          <w:p>
            <w:pPr>
              <w:pStyle w:val="38"/>
              <w:ind w:left="0" w:leftChars="0" w:firstLine="0" w:firstLineChars="0"/>
              <w:rPr>
                <w:rFonts w:hint="default" w:eastAsia="宋体"/>
                <w:color w:val="auto"/>
                <w:highlight w:val="none"/>
                <w:vertAlign w:val="baseline"/>
                <w:lang w:val="en-US" w:eastAsia="zh-CN"/>
              </w:rPr>
            </w:pPr>
          </w:p>
        </w:tc>
      </w:tr>
    </w:tbl>
    <w:p>
      <w:pPr>
        <w:pStyle w:val="38"/>
        <w:sectPr>
          <w:pgSz w:w="11906" w:h="16838"/>
          <w:pgMar w:top="1701" w:right="1531" w:bottom="1701" w:left="1531" w:header="1134" w:footer="992" w:gutter="0"/>
          <w:pgBorders>
            <w:top w:val="none" w:sz="0" w:space="0"/>
            <w:left w:val="none" w:sz="0" w:space="0"/>
            <w:bottom w:val="none" w:sz="0" w:space="0"/>
            <w:right w:val="none" w:sz="0" w:space="0"/>
          </w:pgBorders>
          <w:cols w:space="425" w:num="1"/>
          <w:docGrid w:type="lines" w:linePitch="312" w:charSpace="0"/>
        </w:sectPr>
      </w:pPr>
    </w:p>
    <w:p>
      <w:pPr>
        <w:pStyle w:val="20"/>
        <w:spacing w:before="0" w:beforeAutospacing="0" w:after="0" w:afterAutospacing="0"/>
        <w:jc w:val="center"/>
        <w:outlineLvl w:val="0"/>
        <w:rPr>
          <w:rFonts w:ascii="黑体" w:hAnsi="黑体" w:eastAsia="黑体"/>
          <w:color w:val="FF0000"/>
          <w:sz w:val="30"/>
          <w:szCs w:val="30"/>
          <w:highlight w:val="none"/>
        </w:rPr>
      </w:pPr>
      <w:bookmarkStart w:id="18" w:name="_Toc14126"/>
      <w:r>
        <w:rPr>
          <w:rFonts w:hint="eastAsia" w:ascii="黑体" w:hAnsi="黑体" w:eastAsia="黑体"/>
          <w:color w:val="000000" w:themeColor="text1"/>
          <w:sz w:val="30"/>
          <w:szCs w:val="30"/>
          <w:highlight w:val="none"/>
          <w14:textFill>
            <w14:solidFill>
              <w14:schemeClr w14:val="tx1"/>
            </w14:solidFill>
          </w14:textFill>
        </w:rPr>
        <w:t>五、</w:t>
      </w:r>
      <w:bookmarkStart w:id="19"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18"/>
      <w:bookmarkEnd w:id="19"/>
    </w:p>
    <w:tbl>
      <w:tblPr>
        <w:tblStyle w:val="28"/>
        <w:tblW w:w="92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650"/>
        <w:gridCol w:w="1031"/>
        <w:gridCol w:w="3861"/>
        <w:gridCol w:w="14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tcBorders>
              <w:tl2br w:val="single" w:color="auto" w:sz="4" w:space="0"/>
            </w:tcBorders>
            <w:vAlign w:val="center"/>
          </w:tcPr>
          <w:p>
            <w:pPr>
              <w:adjustRightInd w:val="0"/>
              <w:snapToGrid w:val="0"/>
              <w:spacing w:line="240" w:lineRule="auto"/>
              <w:ind w:firstLine="422" w:firstLineChars="200"/>
              <w:rPr>
                <w:b/>
                <w:bCs/>
                <w:color w:val="auto"/>
                <w:sz w:val="21"/>
                <w:szCs w:val="21"/>
                <w:highlight w:val="none"/>
              </w:rPr>
            </w:pPr>
            <w:r>
              <w:rPr>
                <w:rFonts w:hint="eastAsia"/>
                <w:b/>
                <w:bCs/>
                <w:color w:val="auto"/>
                <w:sz w:val="21"/>
                <w:szCs w:val="21"/>
                <w:highlight w:val="none"/>
                <w:lang w:val="en-US" w:eastAsia="zh-CN"/>
              </w:rPr>
              <w:t>内</w:t>
            </w:r>
            <w:r>
              <w:rPr>
                <w:rFonts w:hint="eastAsia"/>
                <w:b/>
                <w:bCs/>
                <w:color w:val="auto"/>
                <w:sz w:val="21"/>
                <w:szCs w:val="21"/>
                <w:highlight w:val="none"/>
              </w:rPr>
              <w:t>容</w:t>
            </w:r>
          </w:p>
          <w:p>
            <w:pPr>
              <w:adjustRightInd w:val="0"/>
              <w:snapToGrid w:val="0"/>
              <w:spacing w:line="240" w:lineRule="auto"/>
              <w:rPr>
                <w:b/>
                <w:bCs/>
                <w:color w:val="auto"/>
                <w:sz w:val="21"/>
                <w:szCs w:val="21"/>
                <w:highlight w:val="none"/>
              </w:rPr>
            </w:pPr>
            <w:r>
              <w:rPr>
                <w:rFonts w:hint="eastAsia"/>
                <w:b/>
                <w:bCs/>
                <w:color w:val="auto"/>
                <w:sz w:val="21"/>
                <w:szCs w:val="21"/>
                <w:highlight w:val="none"/>
              </w:rPr>
              <w:t>要素</w:t>
            </w:r>
          </w:p>
        </w:tc>
        <w:tc>
          <w:tcPr>
            <w:tcW w:w="1650" w:type="dxa"/>
            <w:vAlign w:val="center"/>
          </w:tcPr>
          <w:p>
            <w:pPr>
              <w:adjustRightInd w:val="0"/>
              <w:snapToGrid w:val="0"/>
              <w:spacing w:line="240" w:lineRule="auto"/>
              <w:jc w:val="center"/>
              <w:rPr>
                <w:b/>
                <w:bCs/>
                <w:color w:val="auto"/>
                <w:sz w:val="21"/>
                <w:szCs w:val="21"/>
                <w:highlight w:val="none"/>
              </w:rPr>
            </w:pPr>
            <w:r>
              <w:rPr>
                <w:rFonts w:hint="eastAsia"/>
                <w:b/>
                <w:bCs/>
                <w:color w:val="auto"/>
                <w:sz w:val="21"/>
                <w:szCs w:val="21"/>
                <w:highlight w:val="none"/>
              </w:rPr>
              <w:t>排放口</w:t>
            </w:r>
            <w:r>
              <w:rPr>
                <w:rFonts w:hint="eastAsia"/>
                <w:b/>
                <w:bCs/>
                <w:color w:val="auto"/>
                <w:sz w:val="21"/>
                <w:szCs w:val="21"/>
                <w:highlight w:val="none"/>
                <w:lang w:eastAsia="zh-CN"/>
              </w:rPr>
              <w:t>（</w:t>
            </w:r>
            <w:r>
              <w:rPr>
                <w:rFonts w:hint="eastAsia"/>
                <w:b/>
                <w:bCs/>
                <w:color w:val="auto"/>
                <w:sz w:val="21"/>
                <w:szCs w:val="21"/>
                <w:highlight w:val="none"/>
              </w:rPr>
              <w:t>编号、名称</w:t>
            </w:r>
            <w:r>
              <w:rPr>
                <w:rFonts w:hint="eastAsia"/>
                <w:b/>
                <w:bCs/>
                <w:color w:val="auto"/>
                <w:sz w:val="21"/>
                <w:szCs w:val="21"/>
                <w:highlight w:val="none"/>
                <w:lang w:eastAsia="zh-CN"/>
              </w:rPr>
              <w:t>）</w:t>
            </w:r>
            <w:r>
              <w:rPr>
                <w:rFonts w:hint="eastAsia"/>
                <w:b/>
                <w:bCs/>
                <w:color w:val="auto"/>
                <w:sz w:val="21"/>
                <w:szCs w:val="21"/>
                <w:highlight w:val="none"/>
              </w:rPr>
              <w:t>/污染源</w:t>
            </w:r>
          </w:p>
        </w:tc>
        <w:tc>
          <w:tcPr>
            <w:tcW w:w="1031" w:type="dxa"/>
            <w:vAlign w:val="center"/>
          </w:tcPr>
          <w:p>
            <w:pPr>
              <w:adjustRightInd w:val="0"/>
              <w:snapToGrid w:val="0"/>
              <w:spacing w:line="240" w:lineRule="auto"/>
              <w:jc w:val="center"/>
              <w:rPr>
                <w:b/>
                <w:bCs/>
                <w:color w:val="auto"/>
                <w:sz w:val="21"/>
                <w:szCs w:val="21"/>
                <w:highlight w:val="none"/>
              </w:rPr>
            </w:pPr>
            <w:r>
              <w:rPr>
                <w:rFonts w:hint="eastAsia"/>
                <w:b/>
                <w:bCs/>
                <w:color w:val="auto"/>
                <w:sz w:val="21"/>
                <w:szCs w:val="21"/>
                <w:highlight w:val="none"/>
              </w:rPr>
              <w:t>污染物项目</w:t>
            </w:r>
          </w:p>
        </w:tc>
        <w:tc>
          <w:tcPr>
            <w:tcW w:w="3861" w:type="dxa"/>
            <w:vAlign w:val="center"/>
          </w:tcPr>
          <w:p>
            <w:pPr>
              <w:adjustRightInd w:val="0"/>
              <w:snapToGrid w:val="0"/>
              <w:spacing w:line="240" w:lineRule="auto"/>
              <w:jc w:val="center"/>
              <w:rPr>
                <w:b/>
                <w:bCs/>
                <w:color w:val="auto"/>
                <w:sz w:val="21"/>
                <w:szCs w:val="21"/>
                <w:highlight w:val="none"/>
              </w:rPr>
            </w:pPr>
            <w:r>
              <w:rPr>
                <w:rFonts w:hint="eastAsia"/>
                <w:b/>
                <w:bCs/>
                <w:color w:val="auto"/>
                <w:sz w:val="21"/>
                <w:szCs w:val="21"/>
                <w:highlight w:val="none"/>
              </w:rPr>
              <w:t>环境保护措施</w:t>
            </w:r>
          </w:p>
        </w:tc>
        <w:tc>
          <w:tcPr>
            <w:tcW w:w="1480" w:type="dxa"/>
            <w:vAlign w:val="center"/>
          </w:tcPr>
          <w:p>
            <w:pPr>
              <w:adjustRightInd w:val="0"/>
              <w:snapToGrid w:val="0"/>
              <w:spacing w:line="240" w:lineRule="auto"/>
              <w:jc w:val="center"/>
              <w:rPr>
                <w:b/>
                <w:bCs/>
                <w:color w:val="auto"/>
                <w:sz w:val="21"/>
                <w:szCs w:val="21"/>
                <w:highlight w:val="none"/>
              </w:rPr>
            </w:pPr>
            <w:r>
              <w:rPr>
                <w:rFonts w:hint="eastAsia"/>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restart"/>
            <w:vAlign w:val="center"/>
          </w:tcPr>
          <w:p>
            <w:pPr>
              <w:adjustRightInd w:val="0"/>
              <w:snapToGrid w:val="0"/>
              <w:spacing w:line="240" w:lineRule="auto"/>
              <w:jc w:val="center"/>
              <w:rPr>
                <w:color w:val="auto"/>
                <w:highlight w:val="none"/>
              </w:rPr>
            </w:pPr>
            <w:r>
              <w:rPr>
                <w:rFonts w:hint="eastAsia"/>
                <w:color w:val="auto"/>
                <w:highlight w:val="none"/>
              </w:rPr>
              <w:t>大气环境</w:t>
            </w:r>
          </w:p>
        </w:tc>
        <w:tc>
          <w:tcPr>
            <w:tcW w:w="1650"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原料</w:t>
            </w:r>
            <w:r>
              <w:rPr>
                <w:rFonts w:hint="default" w:ascii="Times New Roman" w:hAnsi="Times New Roman" w:cs="Times New Roman"/>
                <w:b w:val="0"/>
                <w:bCs w:val="0"/>
                <w:color w:val="auto"/>
                <w:sz w:val="21"/>
                <w:szCs w:val="21"/>
                <w:highlight w:val="none"/>
                <w:lang w:val="en-US" w:eastAsia="zh-CN"/>
              </w:rPr>
              <w:t>堆放</w:t>
            </w:r>
          </w:p>
          <w:p>
            <w:pPr>
              <w:keepNext w:val="0"/>
              <w:keepLines w:val="0"/>
              <w:pageBreakBefore w:val="0"/>
              <w:kinsoku/>
              <w:wordWrap/>
              <w:overflowPunct/>
              <w:topLinePunct w:val="0"/>
              <w:bidi w:val="0"/>
              <w:spacing w:line="240" w:lineRule="auto"/>
              <w:ind w:left="-42" w:leftChars="-20" w:right="-42" w:rightChars="-20"/>
              <w:jc w:val="center"/>
              <w:textAlignment w:val="auto"/>
              <w:rPr>
                <w:color w:val="auto"/>
                <w:highlight w:val="none"/>
              </w:rPr>
            </w:pPr>
            <w:r>
              <w:rPr>
                <w:rFonts w:hint="default" w:ascii="Times New Roman" w:hAnsi="Times New Roman" w:cs="Times New Roman"/>
                <w:b w:val="0"/>
                <w:bCs w:val="0"/>
                <w:color w:val="auto"/>
                <w:sz w:val="21"/>
                <w:szCs w:val="21"/>
                <w:highlight w:val="none"/>
                <w:lang w:val="en-US" w:eastAsia="zh-CN"/>
              </w:rPr>
              <w:t>与装卸</w:t>
            </w:r>
            <w:r>
              <w:rPr>
                <w:rFonts w:hint="eastAsia" w:cs="Times New Roman"/>
                <w:b w:val="0"/>
                <w:bCs w:val="0"/>
                <w:color w:val="auto"/>
                <w:sz w:val="21"/>
                <w:szCs w:val="21"/>
                <w:highlight w:val="none"/>
                <w:lang w:val="en-US" w:eastAsia="zh-CN"/>
              </w:rPr>
              <w:t>废气</w:t>
            </w:r>
          </w:p>
        </w:tc>
        <w:tc>
          <w:tcPr>
            <w:tcW w:w="1031" w:type="dxa"/>
            <w:vAlign w:val="center"/>
          </w:tcPr>
          <w:p>
            <w:pPr>
              <w:spacing w:line="240" w:lineRule="auto"/>
              <w:jc w:val="center"/>
              <w:rPr>
                <w:rFonts w:hint="default" w:eastAsia="宋体"/>
                <w:color w:val="auto"/>
                <w:highlight w:val="none"/>
                <w:lang w:val="en-US" w:eastAsia="zh-CN"/>
              </w:rPr>
            </w:pPr>
            <w:r>
              <w:rPr>
                <w:rFonts w:hint="eastAsia"/>
                <w:color w:val="auto"/>
                <w:highlight w:val="none"/>
                <w:lang w:val="en-US" w:eastAsia="zh-CN"/>
              </w:rPr>
              <w:t>颗粒物</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color w:val="auto"/>
                <w:highlight w:val="none"/>
              </w:rPr>
            </w:pPr>
            <w:r>
              <w:rPr>
                <w:rFonts w:hint="eastAsia" w:ascii="Times New Roman" w:hAnsi="Times New Roman" w:cs="Times New Roman"/>
                <w:b w:val="0"/>
                <w:bCs w:val="0"/>
                <w:color w:val="auto"/>
                <w:sz w:val="21"/>
                <w:szCs w:val="21"/>
                <w:highlight w:val="none"/>
                <w:lang w:val="en-US" w:eastAsia="zh-CN"/>
              </w:rPr>
              <w:t>全封闭生产车间内，堆放区顶部设置喷雾抑尘装置</w:t>
            </w:r>
            <w:r>
              <w:rPr>
                <w:rFonts w:hint="eastAsia" w:cs="Times New Roman"/>
                <w:b w:val="0"/>
                <w:bCs w:val="0"/>
                <w:color w:val="auto"/>
                <w:sz w:val="21"/>
                <w:szCs w:val="21"/>
                <w:highlight w:val="none"/>
                <w:lang w:val="en-US" w:eastAsia="zh-CN"/>
              </w:rPr>
              <w:t>，同时设置1台移动式雾炮机</w:t>
            </w:r>
          </w:p>
        </w:tc>
        <w:tc>
          <w:tcPr>
            <w:tcW w:w="1480" w:type="dxa"/>
            <w:vMerge w:val="restart"/>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highlight w:val="none"/>
                <w:lang w:val="en-US" w:eastAsia="zh-CN"/>
              </w:rPr>
            </w:pPr>
            <w:r>
              <w:rPr>
                <w:rFonts w:hint="default"/>
                <w:color w:val="auto"/>
                <w:highlight w:val="none"/>
                <w:lang w:val="en-US" w:eastAsia="zh-CN"/>
              </w:rPr>
              <w:t>《大气污染物综合排放标准》（GB16297-96）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rFonts w:hint="eastAsia"/>
                <w:color w:val="auto"/>
                <w:highlight w:val="none"/>
              </w:rPr>
            </w:pPr>
          </w:p>
        </w:tc>
        <w:tc>
          <w:tcPr>
            <w:tcW w:w="1650"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道路运输</w:t>
            </w:r>
            <w:r>
              <w:rPr>
                <w:rFonts w:hint="eastAsia" w:cs="Times New Roman"/>
                <w:b w:val="0"/>
                <w:bCs w:val="0"/>
                <w:color w:val="auto"/>
                <w:sz w:val="21"/>
                <w:szCs w:val="21"/>
                <w:highlight w:val="none"/>
                <w:lang w:val="en-US" w:eastAsia="zh-CN"/>
              </w:rPr>
              <w:t>废气</w:t>
            </w:r>
          </w:p>
        </w:tc>
        <w:tc>
          <w:tcPr>
            <w:tcW w:w="1031"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olor w:val="auto"/>
                <w:highlight w:val="none"/>
                <w:lang w:val="en-US" w:eastAsia="zh-CN"/>
              </w:rPr>
            </w:pPr>
            <w:r>
              <w:rPr>
                <w:rFonts w:hint="eastAsia"/>
                <w:color w:val="auto"/>
                <w:highlight w:val="none"/>
                <w:lang w:val="en-US" w:eastAsia="zh-CN"/>
              </w:rPr>
              <w:t>颗粒物</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eastAsia"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厂区运输道路全部硬化，对道路定期洒水，并对物料运输车辆采取加盖篷布等封闭措施，限制车速</w:t>
            </w:r>
          </w:p>
        </w:tc>
        <w:tc>
          <w:tcPr>
            <w:tcW w:w="1480"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rFonts w:hint="eastAsia"/>
                <w:color w:val="auto"/>
                <w:highlight w:val="none"/>
              </w:rPr>
            </w:pPr>
          </w:p>
        </w:tc>
        <w:tc>
          <w:tcPr>
            <w:tcW w:w="1650"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物料运输</w:t>
            </w:r>
          </w:p>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转载废气</w:t>
            </w:r>
          </w:p>
        </w:tc>
        <w:tc>
          <w:tcPr>
            <w:tcW w:w="1031"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olor w:val="auto"/>
                <w:highlight w:val="none"/>
                <w:lang w:val="en-US" w:eastAsia="zh-CN"/>
              </w:rPr>
            </w:pPr>
            <w:r>
              <w:rPr>
                <w:rFonts w:hint="eastAsia"/>
                <w:color w:val="auto"/>
                <w:highlight w:val="none"/>
                <w:lang w:val="en-US" w:eastAsia="zh-CN"/>
              </w:rPr>
              <w:t>颗粒物</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物料运输全部在全封闭式生产车间内，物料运输采用皮带输送机、螺旋输送机和提升机均为全封闭式，运输转载粉尘就近接入相应的除尘器中</w:t>
            </w:r>
          </w:p>
        </w:tc>
        <w:tc>
          <w:tcPr>
            <w:tcW w:w="1480"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rFonts w:hint="eastAsia"/>
                <w:color w:val="auto"/>
                <w:highlight w:val="none"/>
              </w:rPr>
            </w:pPr>
          </w:p>
        </w:tc>
        <w:tc>
          <w:tcPr>
            <w:tcW w:w="1650"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成品</w:t>
            </w:r>
            <w:r>
              <w:rPr>
                <w:rFonts w:hint="default" w:ascii="Times New Roman" w:hAnsi="Times New Roman" w:cs="Times New Roman"/>
                <w:b w:val="0"/>
                <w:bCs w:val="0"/>
                <w:color w:val="auto"/>
                <w:sz w:val="21"/>
                <w:szCs w:val="21"/>
                <w:highlight w:val="none"/>
                <w:lang w:val="en-US" w:eastAsia="zh-CN"/>
              </w:rPr>
              <w:t>堆放与</w:t>
            </w:r>
          </w:p>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装卸</w:t>
            </w:r>
            <w:r>
              <w:rPr>
                <w:rFonts w:hint="eastAsia" w:cs="Times New Roman"/>
                <w:b w:val="0"/>
                <w:bCs w:val="0"/>
                <w:color w:val="auto"/>
                <w:sz w:val="21"/>
                <w:szCs w:val="21"/>
                <w:highlight w:val="none"/>
                <w:lang w:val="en-US" w:eastAsia="zh-CN"/>
              </w:rPr>
              <w:t>废气</w:t>
            </w:r>
          </w:p>
        </w:tc>
        <w:tc>
          <w:tcPr>
            <w:tcW w:w="1031"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olor w:val="auto"/>
                <w:highlight w:val="none"/>
                <w:lang w:val="en-US" w:eastAsia="zh-CN"/>
              </w:rPr>
            </w:pPr>
            <w:r>
              <w:rPr>
                <w:rFonts w:hint="eastAsia"/>
                <w:color w:val="auto"/>
                <w:highlight w:val="none"/>
                <w:lang w:val="en-US" w:eastAsia="zh-CN"/>
              </w:rPr>
              <w:t>颗粒物</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eastAsia" w:cs="Times New Roman"/>
                <w:color w:val="auto"/>
                <w:spacing w:val="0"/>
                <w:kern w:val="2"/>
                <w:sz w:val="21"/>
                <w:szCs w:val="21"/>
                <w:highlight w:val="none"/>
                <w:lang w:val="en-US" w:eastAsia="zh-CN" w:bidi="ar-SA"/>
              </w:rPr>
            </w:pPr>
            <w:r>
              <w:rPr>
                <w:rFonts w:hint="eastAsia" w:cs="Times New Roman"/>
                <w:b w:val="0"/>
                <w:bCs w:val="0"/>
                <w:color w:val="auto"/>
                <w:sz w:val="21"/>
                <w:szCs w:val="21"/>
                <w:highlight w:val="none"/>
                <w:lang w:val="en-US" w:eastAsia="zh-CN"/>
              </w:rPr>
              <w:t>位于全封闭车间内，设置1台移动式雾炮机</w:t>
            </w:r>
          </w:p>
        </w:tc>
        <w:tc>
          <w:tcPr>
            <w:tcW w:w="1480"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rFonts w:hint="eastAsia"/>
                <w:color w:val="auto"/>
                <w:highlight w:val="none"/>
              </w:rPr>
            </w:pPr>
          </w:p>
        </w:tc>
        <w:tc>
          <w:tcPr>
            <w:tcW w:w="1650"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粉状辅料</w:t>
            </w:r>
          </w:p>
          <w:p>
            <w:pPr>
              <w:keepNext w:val="0"/>
              <w:keepLines w:val="0"/>
              <w:pageBreakBefore w:val="0"/>
              <w:kinsoku/>
              <w:wordWrap/>
              <w:overflowPunct/>
              <w:topLinePunct w:val="0"/>
              <w:bidi w:val="0"/>
              <w:spacing w:line="240" w:lineRule="auto"/>
              <w:ind w:left="-42" w:leftChars="-20" w:right="-42" w:rightChars="-2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投料废气</w:t>
            </w:r>
          </w:p>
        </w:tc>
        <w:tc>
          <w:tcPr>
            <w:tcW w:w="1031"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olor w:val="auto"/>
                <w:highlight w:val="none"/>
                <w:lang w:val="en-US" w:eastAsia="zh-CN"/>
              </w:rPr>
            </w:pPr>
            <w:r>
              <w:rPr>
                <w:rFonts w:hint="eastAsia"/>
                <w:color w:val="auto"/>
                <w:highlight w:val="none"/>
                <w:lang w:val="en-US" w:eastAsia="zh-CN"/>
              </w:rPr>
              <w:t>颗粒物</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eastAsia" w:cs="Times New Roman"/>
                <w:b w:val="0"/>
                <w:bCs w:val="0"/>
                <w:color w:val="auto"/>
                <w:sz w:val="21"/>
                <w:szCs w:val="21"/>
                <w:highlight w:val="none"/>
                <w:lang w:val="en-US" w:eastAsia="zh-CN"/>
              </w:rPr>
            </w:pPr>
            <w:r>
              <w:rPr>
                <w:rFonts w:hint="eastAsia" w:cs="Times New Roman"/>
                <w:b w:val="0"/>
                <w:bCs/>
                <w:color w:val="auto"/>
                <w:sz w:val="21"/>
                <w:szCs w:val="21"/>
                <w:highlight w:val="none"/>
                <w:lang w:val="en-US" w:eastAsia="zh-CN"/>
              </w:rPr>
              <w:t>粉状辅料</w:t>
            </w:r>
            <w:r>
              <w:rPr>
                <w:rFonts w:hint="eastAsia"/>
                <w:color w:val="auto"/>
                <w:sz w:val="21"/>
                <w:szCs w:val="18"/>
                <w:highlight w:val="none"/>
                <w:lang w:val="en-US" w:eastAsia="zh-CN"/>
              </w:rPr>
              <w:t>加料口设有喷雾抑尘装置</w:t>
            </w:r>
          </w:p>
        </w:tc>
        <w:tc>
          <w:tcPr>
            <w:tcW w:w="1480"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rFonts w:hint="eastAsia"/>
                <w:color w:val="auto"/>
                <w:highlight w:val="none"/>
              </w:rPr>
            </w:pPr>
          </w:p>
        </w:tc>
        <w:tc>
          <w:tcPr>
            <w:tcW w:w="1650"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eastAsia"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shd w:val="clear" w:color="auto" w:fill="auto"/>
                <w:lang w:val="en-US" w:eastAsia="zh-CN"/>
              </w:rPr>
              <w:t>发酵废气</w:t>
            </w:r>
          </w:p>
        </w:tc>
        <w:tc>
          <w:tcPr>
            <w:tcW w:w="1031" w:type="dxa"/>
            <w:vAlign w:val="center"/>
          </w:tcPr>
          <w:p>
            <w:pPr>
              <w:keepNext w:val="0"/>
              <w:keepLines w:val="0"/>
              <w:pageBreakBefore w:val="0"/>
              <w:kinsoku/>
              <w:wordWrap/>
              <w:overflowPunct/>
              <w:topLinePunct w:val="0"/>
              <w:bidi w:val="0"/>
              <w:spacing w:line="240" w:lineRule="auto"/>
              <w:ind w:left="-42" w:leftChars="-20" w:right="-42" w:rightChars="-20"/>
              <w:jc w:val="center"/>
              <w:textAlignment w:val="auto"/>
              <w:rPr>
                <w:rFonts w:hint="default"/>
                <w:color w:val="auto"/>
                <w:highlight w:val="none"/>
                <w:lang w:val="en-US" w:eastAsia="zh-CN"/>
              </w:rPr>
            </w:pPr>
            <w:r>
              <w:rPr>
                <w:rFonts w:hint="eastAsia"/>
                <w:color w:val="auto"/>
                <w:highlight w:val="none"/>
                <w:lang w:val="en-US" w:eastAsia="zh-CN"/>
              </w:rPr>
              <w:t>NH</w:t>
            </w:r>
            <w:r>
              <w:rPr>
                <w:rFonts w:hint="eastAsia"/>
                <w:color w:val="auto"/>
                <w:highlight w:val="none"/>
                <w:vertAlign w:val="subscript"/>
                <w:lang w:val="en-US" w:eastAsia="zh-CN"/>
              </w:rPr>
              <w:t>3</w:t>
            </w:r>
            <w:r>
              <w:rPr>
                <w:rFonts w:hint="eastAsia"/>
                <w:color w:val="auto"/>
                <w:highlight w:val="none"/>
                <w:lang w:val="en-US" w:eastAsia="zh-CN"/>
              </w:rPr>
              <w:t>、H</w:t>
            </w:r>
            <w:r>
              <w:rPr>
                <w:rFonts w:hint="eastAsia"/>
                <w:color w:val="auto"/>
                <w:highlight w:val="none"/>
                <w:vertAlign w:val="subscript"/>
                <w:lang w:val="en-US" w:eastAsia="zh-CN"/>
              </w:rPr>
              <w:t>2</w:t>
            </w:r>
            <w:r>
              <w:rPr>
                <w:rFonts w:hint="eastAsia"/>
                <w:color w:val="auto"/>
                <w:highlight w:val="none"/>
                <w:lang w:val="en-US" w:eastAsia="zh-CN"/>
              </w:rPr>
              <w:t>S</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发酵过程中，使用纳米膜将发酵池覆盖，采取密闭发酵，发酵池进行全封闭，在发酵池末端通过管道和引风机，将发酵池内废气引入1套生物除臭装置（TA003）进行处理后，由1根20m高排气筒（DA003）排放</w:t>
            </w:r>
          </w:p>
        </w:tc>
        <w:tc>
          <w:tcPr>
            <w:tcW w:w="1480" w:type="dxa"/>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highlight w:val="none"/>
                <w:lang w:val="en-US" w:eastAsia="zh-CN"/>
              </w:rPr>
            </w:pPr>
            <w:r>
              <w:rPr>
                <w:color w:val="auto"/>
                <w:szCs w:val="21"/>
              </w:rPr>
              <w:t>《恶臭污染物排放标准》（GB14554-93）中二级标准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color w:val="auto"/>
                <w:highlight w:val="none"/>
              </w:rPr>
            </w:pPr>
          </w:p>
        </w:tc>
        <w:tc>
          <w:tcPr>
            <w:tcW w:w="1650" w:type="dxa"/>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eastAsia" w:cs="Times New Roman"/>
                <w:b w:val="0"/>
                <w:bCs w:val="0"/>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给料、破碎</w:t>
            </w:r>
          </w:p>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color w:val="auto"/>
                <w:highlight w:val="none"/>
              </w:rPr>
            </w:pPr>
            <w:r>
              <w:rPr>
                <w:rFonts w:hint="eastAsia" w:ascii="Times New Roman" w:hAnsi="Times New Roman" w:cs="Times New Roman"/>
                <w:b w:val="0"/>
                <w:bCs w:val="0"/>
                <w:color w:val="auto"/>
                <w:sz w:val="21"/>
                <w:szCs w:val="21"/>
                <w:highlight w:val="none"/>
                <w:shd w:val="clear" w:color="auto" w:fill="auto"/>
                <w:lang w:val="en-US" w:eastAsia="zh-CN"/>
              </w:rPr>
              <w:t>废气</w:t>
            </w:r>
          </w:p>
        </w:tc>
        <w:tc>
          <w:tcPr>
            <w:tcW w:w="1031" w:type="dxa"/>
            <w:vAlign w:val="center"/>
          </w:tcPr>
          <w:p>
            <w:pPr>
              <w:spacing w:line="240" w:lineRule="auto"/>
              <w:jc w:val="center"/>
              <w:rPr>
                <w:rFonts w:hint="default" w:eastAsia="宋体"/>
                <w:bCs/>
                <w:color w:val="auto"/>
                <w:highlight w:val="none"/>
                <w:lang w:val="en-US" w:eastAsia="zh-CN"/>
              </w:rPr>
            </w:pPr>
            <w:r>
              <w:rPr>
                <w:rFonts w:hint="eastAsia"/>
                <w:color w:val="auto"/>
                <w:highlight w:val="none"/>
                <w:lang w:val="en-US" w:eastAsia="zh-CN"/>
              </w:rPr>
              <w:t>颗粒物</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rFonts w:hint="default"/>
                <w:bCs/>
                <w:color w:val="auto"/>
                <w:highlight w:val="none"/>
                <w:lang w:val="en-US"/>
              </w:rPr>
            </w:pPr>
            <w:r>
              <w:rPr>
                <w:rFonts w:hint="default" w:ascii="Times New Roman" w:hAnsi="Times New Roman" w:eastAsia="宋体" w:cs="Times New Roman"/>
                <w:color w:val="auto"/>
                <w:spacing w:val="0"/>
                <w:kern w:val="2"/>
                <w:sz w:val="21"/>
                <w:szCs w:val="21"/>
                <w:highlight w:val="none"/>
                <w:vertAlign w:val="baseline"/>
                <w:lang w:val="en-US" w:eastAsia="zh-CN" w:bidi="ar-SA"/>
              </w:rPr>
              <w:t>2台给料机进料仓上方各设置1个集气罩（共2个），2台锤式破碎机</w:t>
            </w:r>
            <w:r>
              <w:rPr>
                <w:rFonts w:hint="eastAsia" w:cs="Times New Roman"/>
                <w:color w:val="auto"/>
                <w:spacing w:val="0"/>
                <w:kern w:val="2"/>
                <w:sz w:val="21"/>
                <w:szCs w:val="21"/>
                <w:highlight w:val="none"/>
                <w:vertAlign w:val="baseline"/>
                <w:lang w:val="en-US" w:eastAsia="zh-CN" w:bidi="ar-SA"/>
              </w:rPr>
              <w:t>为全封闭式设置集气管道</w:t>
            </w:r>
            <w:r>
              <w:rPr>
                <w:rFonts w:hint="default" w:ascii="Times New Roman" w:hAnsi="Times New Roman" w:eastAsia="宋体" w:cs="Times New Roman"/>
                <w:color w:val="auto"/>
                <w:spacing w:val="0"/>
                <w:kern w:val="2"/>
                <w:sz w:val="21"/>
                <w:szCs w:val="21"/>
                <w:highlight w:val="none"/>
                <w:vertAlign w:val="baseline"/>
                <w:lang w:val="en-US" w:eastAsia="zh-CN" w:bidi="ar-SA"/>
              </w:rPr>
              <w:t>，废气经收集后共同引入1台布袋除尘器（TA001）处理后，由</w:t>
            </w:r>
            <w:r>
              <w:rPr>
                <w:rFonts w:hint="eastAsia" w:cs="Times New Roman"/>
                <w:color w:val="auto"/>
                <w:spacing w:val="0"/>
                <w:kern w:val="2"/>
                <w:sz w:val="21"/>
                <w:szCs w:val="21"/>
                <w:highlight w:val="none"/>
                <w:vertAlign w:val="baseline"/>
                <w:lang w:val="en-US" w:eastAsia="zh-CN" w:bidi="ar-SA"/>
              </w:rPr>
              <w:t>1</w:t>
            </w:r>
            <w:r>
              <w:rPr>
                <w:rFonts w:hint="default" w:ascii="Times New Roman" w:hAnsi="Times New Roman" w:eastAsia="宋体" w:cs="Times New Roman"/>
                <w:color w:val="auto"/>
                <w:spacing w:val="0"/>
                <w:kern w:val="2"/>
                <w:sz w:val="21"/>
                <w:szCs w:val="21"/>
                <w:highlight w:val="none"/>
                <w:vertAlign w:val="baseline"/>
                <w:lang w:val="en-US" w:eastAsia="zh-CN" w:bidi="ar-SA"/>
              </w:rPr>
              <w:t>根</w:t>
            </w:r>
            <w:r>
              <w:rPr>
                <w:rFonts w:hint="eastAsia" w:cs="Times New Roman"/>
                <w:color w:val="auto"/>
                <w:spacing w:val="0"/>
                <w:kern w:val="2"/>
                <w:sz w:val="21"/>
                <w:szCs w:val="21"/>
                <w:highlight w:val="none"/>
                <w:lang w:val="en-US" w:eastAsia="zh-CN" w:bidi="ar-SA"/>
              </w:rPr>
              <w:t>20</w:t>
            </w:r>
            <w:r>
              <w:rPr>
                <w:rFonts w:hint="default" w:ascii="Times New Roman" w:hAnsi="Times New Roman" w:eastAsia="宋体" w:cs="Times New Roman"/>
                <w:color w:val="auto"/>
                <w:spacing w:val="0"/>
                <w:kern w:val="2"/>
                <w:sz w:val="21"/>
                <w:szCs w:val="21"/>
                <w:highlight w:val="none"/>
                <w:vertAlign w:val="baseline"/>
                <w:lang w:val="en-US" w:eastAsia="zh-CN" w:bidi="ar-SA"/>
              </w:rPr>
              <w:t>m高排气筒（DA001）排放</w:t>
            </w:r>
          </w:p>
        </w:tc>
        <w:tc>
          <w:tcPr>
            <w:tcW w:w="1480" w:type="dxa"/>
            <w:vMerge w:val="restart"/>
            <w:vAlign w:val="center"/>
          </w:tcPr>
          <w:p>
            <w:pPr>
              <w:adjustRightInd w:val="0"/>
              <w:snapToGrid w:val="0"/>
              <w:spacing w:line="240" w:lineRule="auto"/>
              <w:jc w:val="center"/>
              <w:rPr>
                <w:color w:val="auto"/>
                <w:highlight w:val="none"/>
              </w:rPr>
            </w:pPr>
            <w:r>
              <w:rPr>
                <w:rFonts w:hint="eastAsia"/>
                <w:color w:val="auto"/>
                <w:szCs w:val="21"/>
              </w:rPr>
              <w:t>《长治市工业企业无组织排放治理实施方案》长气防办[2019]9号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color w:val="auto"/>
                <w:highlight w:val="none"/>
              </w:rPr>
            </w:pPr>
          </w:p>
        </w:tc>
        <w:tc>
          <w:tcPr>
            <w:tcW w:w="1650" w:type="dxa"/>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color w:val="auto"/>
                <w:highlight w:val="none"/>
                <w:lang w:val="en-US" w:bidi="ar"/>
              </w:rPr>
            </w:pPr>
            <w:r>
              <w:rPr>
                <w:rFonts w:hint="default" w:ascii="Times New Roman" w:hAnsi="Times New Roman" w:eastAsia="宋体" w:cs="Times New Roman"/>
                <w:b w:val="0"/>
                <w:bCs w:val="0"/>
                <w:color w:val="auto"/>
                <w:sz w:val="21"/>
                <w:szCs w:val="21"/>
                <w:highlight w:val="none"/>
                <w:shd w:val="clear" w:color="auto" w:fill="auto"/>
                <w:lang w:val="en-US" w:eastAsia="zh-CN"/>
              </w:rPr>
              <w:t>筛分、粉磨</w:t>
            </w:r>
            <w:r>
              <w:rPr>
                <w:rFonts w:hint="eastAsia" w:cs="Times New Roman"/>
                <w:b w:val="0"/>
                <w:bCs w:val="0"/>
                <w:color w:val="auto"/>
                <w:sz w:val="21"/>
                <w:szCs w:val="21"/>
                <w:highlight w:val="none"/>
                <w:shd w:val="clear" w:color="auto" w:fill="auto"/>
                <w:lang w:val="en-US" w:eastAsia="zh-CN"/>
              </w:rPr>
              <w:t>、粉料仓</w:t>
            </w:r>
            <w:r>
              <w:rPr>
                <w:rFonts w:hint="default" w:ascii="Times New Roman" w:hAnsi="Times New Roman" w:eastAsia="宋体" w:cs="Times New Roman"/>
                <w:b w:val="0"/>
                <w:bCs w:val="0"/>
                <w:color w:val="auto"/>
                <w:sz w:val="21"/>
                <w:szCs w:val="21"/>
                <w:highlight w:val="none"/>
                <w:shd w:val="clear" w:color="auto" w:fill="auto"/>
                <w:lang w:val="en-US" w:eastAsia="zh-CN"/>
              </w:rPr>
              <w:t>废气</w:t>
            </w:r>
          </w:p>
        </w:tc>
        <w:tc>
          <w:tcPr>
            <w:tcW w:w="1031" w:type="dxa"/>
            <w:vAlign w:val="center"/>
          </w:tcPr>
          <w:p>
            <w:pPr>
              <w:spacing w:line="240" w:lineRule="auto"/>
              <w:jc w:val="center"/>
              <w:rPr>
                <w:rFonts w:hint="default"/>
                <w:bCs/>
                <w:color w:val="auto"/>
                <w:highlight w:val="none"/>
                <w:lang w:val="en-US"/>
              </w:rPr>
            </w:pPr>
            <w:r>
              <w:rPr>
                <w:rFonts w:hint="eastAsia"/>
                <w:color w:val="auto"/>
                <w:highlight w:val="none"/>
                <w:lang w:val="en-US" w:eastAsia="zh-CN"/>
              </w:rPr>
              <w:t>颗粒物</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both"/>
              <w:textAlignment w:val="auto"/>
              <w:rPr>
                <w:rFonts w:hint="default"/>
                <w:color w:val="auto"/>
                <w:highlight w:val="none"/>
                <w:lang w:val="en-US"/>
              </w:rPr>
            </w:pPr>
            <w:r>
              <w:rPr>
                <w:rFonts w:hint="default" w:ascii="Times New Roman" w:hAnsi="Times New Roman" w:eastAsia="宋体" w:cs="Times New Roman"/>
                <w:color w:val="auto"/>
                <w:spacing w:val="0"/>
                <w:kern w:val="2"/>
                <w:sz w:val="21"/>
                <w:szCs w:val="21"/>
                <w:highlight w:val="none"/>
                <w:vertAlign w:val="baseline"/>
                <w:lang w:val="en-US" w:eastAsia="zh-CN" w:bidi="ar-SA"/>
              </w:rPr>
              <w:t>球磨机和振动筛均为全封闭式，设置集气管道，废气经集气管道送至1台布袋除尘器（TA002）处理，</w:t>
            </w:r>
            <w:r>
              <w:rPr>
                <w:rFonts w:hint="eastAsia"/>
                <w:color w:val="auto"/>
                <w:sz w:val="21"/>
                <w:szCs w:val="18"/>
                <w:lang w:val="en-US" w:eastAsia="zh-CN"/>
              </w:rPr>
              <w:t>煤矸石设置1台粉料仓，仓顶自带1台布袋除尘器（TA005），处理后的废气共同由</w:t>
            </w:r>
            <w:r>
              <w:rPr>
                <w:rFonts w:hint="default"/>
                <w:color w:val="auto"/>
                <w:sz w:val="21"/>
                <w:szCs w:val="18"/>
              </w:rPr>
              <w:t>1根</w:t>
            </w:r>
            <w:r>
              <w:rPr>
                <w:rFonts w:hint="eastAsia"/>
                <w:color w:val="auto"/>
                <w:sz w:val="21"/>
                <w:szCs w:val="18"/>
                <w:lang w:val="en-US" w:eastAsia="zh-CN"/>
              </w:rPr>
              <w:t>20</w:t>
            </w:r>
            <w:r>
              <w:rPr>
                <w:rFonts w:hint="default"/>
                <w:color w:val="auto"/>
                <w:sz w:val="21"/>
                <w:szCs w:val="18"/>
              </w:rPr>
              <w:t>m高排气筒（</w:t>
            </w:r>
            <w:r>
              <w:rPr>
                <w:rFonts w:hint="eastAsia"/>
                <w:color w:val="auto"/>
                <w:sz w:val="21"/>
                <w:szCs w:val="18"/>
              </w:rPr>
              <w:t>D</w:t>
            </w:r>
            <w:r>
              <w:rPr>
                <w:rFonts w:hint="default"/>
                <w:color w:val="auto"/>
                <w:sz w:val="21"/>
                <w:szCs w:val="18"/>
              </w:rPr>
              <w:t>A00</w:t>
            </w:r>
            <w:r>
              <w:rPr>
                <w:rFonts w:hint="eastAsia"/>
                <w:color w:val="auto"/>
                <w:sz w:val="21"/>
                <w:szCs w:val="18"/>
                <w:lang w:val="en-US" w:eastAsia="zh-CN"/>
              </w:rPr>
              <w:t>2</w:t>
            </w:r>
            <w:r>
              <w:rPr>
                <w:rFonts w:hint="default"/>
                <w:color w:val="auto"/>
                <w:sz w:val="21"/>
                <w:szCs w:val="18"/>
              </w:rPr>
              <w:t>）排放</w:t>
            </w:r>
          </w:p>
        </w:tc>
        <w:tc>
          <w:tcPr>
            <w:tcW w:w="1480" w:type="dxa"/>
            <w:vMerge w:val="continue"/>
            <w:vAlign w:val="center"/>
          </w:tcPr>
          <w:p>
            <w:pPr>
              <w:adjustRightInd w:val="0"/>
              <w:snapToGrid w:val="0"/>
              <w:spacing w:line="240" w:lineRule="auto"/>
              <w:jc w:val="cente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color w:val="auto"/>
                <w:highlight w:val="none"/>
              </w:rPr>
            </w:pPr>
          </w:p>
        </w:tc>
        <w:tc>
          <w:tcPr>
            <w:tcW w:w="1650" w:type="dxa"/>
            <w:shd w:val="clear" w:color="auto" w:fill="auto"/>
            <w:vAlign w:val="center"/>
          </w:tcPr>
          <w:p>
            <w:pPr>
              <w:keepNext w:val="0"/>
              <w:keepLines w:val="0"/>
              <w:pageBreakBefore w:val="0"/>
              <w:kinsoku/>
              <w:wordWrap/>
              <w:overflowPunct/>
              <w:topLinePunct w:val="0"/>
              <w:autoSpaceDE w:val="0"/>
              <w:autoSpaceDN w:val="0"/>
              <w:bidi w:val="0"/>
              <w:spacing w:line="240" w:lineRule="auto"/>
              <w:ind w:left="-42" w:leftChars="-20" w:right="-42" w:rightChars="-2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b w:val="0"/>
                <w:bCs w:val="0"/>
                <w:color w:val="auto"/>
                <w:sz w:val="21"/>
                <w:szCs w:val="21"/>
                <w:highlight w:val="none"/>
                <w:shd w:val="clear" w:color="auto" w:fill="auto"/>
                <w:lang w:val="en-US" w:eastAsia="zh-CN"/>
              </w:rPr>
              <w:t>造粒、筛分、袋装废气</w:t>
            </w:r>
          </w:p>
        </w:tc>
        <w:tc>
          <w:tcPr>
            <w:tcW w:w="1031" w:type="dxa"/>
            <w:vAlign w:val="center"/>
          </w:tcPr>
          <w:p>
            <w:pPr>
              <w:spacing w:line="240" w:lineRule="auto"/>
              <w:jc w:val="center"/>
              <w:rPr>
                <w:bCs/>
                <w:color w:val="auto"/>
                <w:highlight w:val="none"/>
              </w:rPr>
            </w:pPr>
            <w:r>
              <w:rPr>
                <w:rFonts w:hint="eastAsia"/>
                <w:color w:val="auto"/>
                <w:highlight w:val="none"/>
                <w:lang w:val="en-US" w:eastAsia="zh-CN"/>
              </w:rPr>
              <w:t>颗粒物</w:t>
            </w:r>
          </w:p>
        </w:tc>
        <w:tc>
          <w:tcPr>
            <w:tcW w:w="3861" w:type="dxa"/>
            <w:vAlign w:val="center"/>
          </w:tcPr>
          <w:p>
            <w:pPr>
              <w:keepNext w:val="0"/>
              <w:keepLines w:val="0"/>
              <w:pageBreakBefore w:val="0"/>
              <w:kinsoku/>
              <w:wordWrap/>
              <w:overflowPunct/>
              <w:topLinePunct w:val="0"/>
              <w:bidi w:val="0"/>
              <w:spacing w:line="240" w:lineRule="auto"/>
              <w:ind w:left="-42" w:leftChars="-20" w:right="-42" w:rightChars="-20"/>
              <w:jc w:val="left"/>
              <w:textAlignment w:val="auto"/>
              <w:rPr>
                <w:color w:val="auto"/>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挤压成型机进料口上方设置1台集气罩，筛分机为全封闭式设置集气管道，每台计量袋装机进料口设置1个侧吸罩（共5个），收集后的废气引入1台布袋除尘器（TA004），处理后由1根</w:t>
            </w:r>
            <w:r>
              <w:rPr>
                <w:rFonts w:hint="eastAsia" w:cs="Times New Roman"/>
                <w:color w:val="auto"/>
                <w:spacing w:val="0"/>
                <w:kern w:val="2"/>
                <w:sz w:val="21"/>
                <w:szCs w:val="21"/>
                <w:highlight w:val="none"/>
                <w:lang w:val="en-US" w:eastAsia="zh-CN" w:bidi="ar-SA"/>
              </w:rPr>
              <w:t>20</w:t>
            </w:r>
            <w:r>
              <w:rPr>
                <w:rFonts w:hint="default" w:ascii="Times New Roman" w:hAnsi="Times New Roman" w:eastAsia="宋体" w:cs="Times New Roman"/>
                <w:color w:val="auto"/>
                <w:spacing w:val="0"/>
                <w:kern w:val="2"/>
                <w:sz w:val="21"/>
                <w:szCs w:val="21"/>
                <w:highlight w:val="none"/>
                <w:vertAlign w:val="baseline"/>
                <w:lang w:val="en-US" w:eastAsia="zh-CN" w:bidi="ar-SA"/>
              </w:rPr>
              <w:t>m高排气筒（DA004）排放</w:t>
            </w:r>
          </w:p>
        </w:tc>
        <w:tc>
          <w:tcPr>
            <w:tcW w:w="1480" w:type="dxa"/>
            <w:vMerge w:val="continue"/>
            <w:vAlign w:val="center"/>
          </w:tcPr>
          <w:p>
            <w:pPr>
              <w:adjustRightInd w:val="0"/>
              <w:snapToGrid w:val="0"/>
              <w:spacing w:line="240" w:lineRule="auto"/>
              <w:jc w:val="cente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202" w:type="dxa"/>
            <w:vMerge w:val="restart"/>
            <w:vAlign w:val="center"/>
          </w:tcPr>
          <w:p>
            <w:pPr>
              <w:adjustRightInd w:val="0"/>
              <w:snapToGrid w:val="0"/>
              <w:spacing w:line="240" w:lineRule="auto"/>
              <w:jc w:val="center"/>
              <w:rPr>
                <w:color w:val="auto"/>
                <w:highlight w:val="none"/>
              </w:rPr>
            </w:pPr>
            <w:r>
              <w:rPr>
                <w:rFonts w:hint="eastAsia"/>
                <w:color w:val="auto"/>
                <w:highlight w:val="none"/>
              </w:rPr>
              <w:t>地表水环境</w:t>
            </w:r>
          </w:p>
        </w:tc>
        <w:tc>
          <w:tcPr>
            <w:tcW w:w="1650" w:type="dxa"/>
            <w:vAlign w:val="center"/>
          </w:tcPr>
          <w:p>
            <w:pPr>
              <w:autoSpaceDE w:val="0"/>
              <w:autoSpaceDN w:val="0"/>
              <w:spacing w:line="240" w:lineRule="auto"/>
              <w:jc w:val="center"/>
              <w:rPr>
                <w:color w:val="auto"/>
                <w:highlight w:val="none"/>
              </w:rPr>
            </w:pPr>
            <w:r>
              <w:rPr>
                <w:rFonts w:hint="eastAsia" w:ascii="Times New Roman" w:hAnsi="Times New Roman" w:cs="Times New Roman"/>
                <w:bCs/>
                <w:color w:val="auto"/>
                <w:sz w:val="21"/>
                <w:szCs w:val="21"/>
                <w:highlight w:val="none"/>
                <w:shd w:val="clear" w:color="auto" w:fill="auto"/>
                <w:lang w:val="en-US" w:eastAsia="zh-CN"/>
              </w:rPr>
              <w:t>洗车废水</w:t>
            </w:r>
          </w:p>
        </w:tc>
        <w:tc>
          <w:tcPr>
            <w:tcW w:w="1031" w:type="dxa"/>
            <w:vAlign w:val="center"/>
          </w:tcPr>
          <w:p>
            <w:pPr>
              <w:spacing w:line="240" w:lineRule="auto"/>
              <w:jc w:val="center"/>
              <w:rPr>
                <w:rFonts w:hint="default" w:eastAsia="宋体"/>
                <w:bCs/>
                <w:color w:val="auto"/>
                <w:highlight w:val="none"/>
                <w:lang w:val="en-US" w:eastAsia="zh-CN"/>
              </w:rPr>
            </w:pPr>
            <w:r>
              <w:rPr>
                <w:rFonts w:hint="eastAsia" w:hAnsi="宋体"/>
                <w:color w:val="auto"/>
                <w:highlight w:val="none"/>
                <w:lang w:val="en-US" w:eastAsia="zh-CN"/>
              </w:rPr>
              <w:t>SS</w:t>
            </w:r>
          </w:p>
        </w:tc>
        <w:tc>
          <w:tcPr>
            <w:tcW w:w="3861" w:type="dxa"/>
            <w:vAlign w:val="center"/>
          </w:tcPr>
          <w:p>
            <w:pPr>
              <w:spacing w:line="240" w:lineRule="auto"/>
              <w:jc w:val="both"/>
              <w:rPr>
                <w:bCs/>
                <w:color w:val="auto"/>
                <w:highlight w:val="none"/>
              </w:rPr>
            </w:pPr>
            <w:r>
              <w:rPr>
                <w:rFonts w:hint="default" w:ascii="Times New Roman" w:hAnsi="Times New Roman" w:eastAsia="宋体" w:cs="Times New Roman"/>
                <w:color w:val="auto"/>
                <w:sz w:val="21"/>
                <w:szCs w:val="21"/>
                <w:highlight w:val="none"/>
              </w:rPr>
              <w:t>在厂区入口处设置洗车平台，并建设</w:t>
            </w:r>
            <w:r>
              <w:rPr>
                <w:rFonts w:hint="eastAsia" w:cs="Times New Roman"/>
                <w:color w:val="auto"/>
                <w:sz w:val="21"/>
                <w:szCs w:val="21"/>
                <w:highlight w:val="none"/>
                <w:lang w:val="en-US" w:eastAsia="zh-CN"/>
              </w:rPr>
              <w:t>1座</w:t>
            </w:r>
            <w:r>
              <w:rPr>
                <w:rFonts w:hint="default" w:ascii="Times New Roman" w:hAnsi="Times New Roman" w:eastAsia="宋体" w:cs="Times New Roman"/>
                <w:color w:val="auto"/>
                <w:sz w:val="21"/>
                <w:szCs w:val="21"/>
                <w:highlight w:val="none"/>
              </w:rPr>
              <w:t>25m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沉淀池用于沉淀洗车用水，洗车废水经沉淀池沉淀后循环利用，不外排</w:t>
            </w:r>
          </w:p>
        </w:tc>
        <w:tc>
          <w:tcPr>
            <w:tcW w:w="1480" w:type="dxa"/>
            <w:vAlign w:val="center"/>
          </w:tcPr>
          <w:p>
            <w:pPr>
              <w:adjustRightInd w:val="0"/>
              <w:snapToGrid w:val="0"/>
              <w:spacing w:line="240" w:lineRule="auto"/>
              <w:jc w:val="center"/>
              <w:rPr>
                <w:color w:val="auto"/>
                <w:highlight w:val="none"/>
              </w:rPr>
            </w:pPr>
            <w:r>
              <w:rPr>
                <w:rFonts w:hint="eastAsia"/>
                <w:color w:val="auto"/>
                <w:highlight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Merge w:val="continue"/>
            <w:vAlign w:val="center"/>
          </w:tcPr>
          <w:p>
            <w:pPr>
              <w:adjustRightInd w:val="0"/>
              <w:snapToGrid w:val="0"/>
              <w:spacing w:line="240" w:lineRule="auto"/>
              <w:jc w:val="center"/>
              <w:rPr>
                <w:color w:val="auto"/>
                <w:highlight w:val="none"/>
              </w:rPr>
            </w:pPr>
          </w:p>
        </w:tc>
        <w:tc>
          <w:tcPr>
            <w:tcW w:w="1650" w:type="dxa"/>
            <w:vAlign w:val="center"/>
          </w:tcPr>
          <w:p>
            <w:pPr>
              <w:autoSpaceDE w:val="0"/>
              <w:autoSpaceDN w:val="0"/>
              <w:spacing w:line="240" w:lineRule="auto"/>
              <w:jc w:val="center"/>
              <w:rPr>
                <w:rFonts w:hint="default" w:ascii="Times New Roman" w:hAnsi="Times New Roman" w:eastAsia="宋体" w:cs="Times New Roman"/>
                <w:color w:val="auto"/>
                <w:highlight w:val="none"/>
                <w:lang w:val="en-US" w:eastAsia="zh-CN"/>
              </w:rPr>
            </w:pPr>
            <w:r>
              <w:rPr>
                <w:rFonts w:hint="eastAsia" w:cs="Times New Roman"/>
                <w:bCs/>
                <w:color w:val="auto"/>
                <w:sz w:val="21"/>
                <w:szCs w:val="21"/>
                <w:highlight w:val="none"/>
                <w:shd w:val="clear" w:color="auto" w:fill="auto"/>
                <w:lang w:val="en-US" w:eastAsia="zh-CN"/>
              </w:rPr>
              <w:t>初期雨水</w:t>
            </w:r>
          </w:p>
        </w:tc>
        <w:tc>
          <w:tcPr>
            <w:tcW w:w="1031" w:type="dxa"/>
            <w:vAlign w:val="center"/>
          </w:tcPr>
          <w:p>
            <w:pPr>
              <w:spacing w:line="240" w:lineRule="auto"/>
              <w:jc w:val="center"/>
              <w:rPr>
                <w:rFonts w:hint="default" w:hAnsi="宋体"/>
                <w:color w:val="auto"/>
                <w:highlight w:val="none"/>
                <w:lang w:val="en-US" w:eastAsia="zh-CN"/>
              </w:rPr>
            </w:pPr>
            <w:r>
              <w:rPr>
                <w:rFonts w:hint="eastAsia" w:hAnsi="宋体"/>
                <w:color w:val="auto"/>
                <w:highlight w:val="none"/>
                <w:lang w:val="en-US" w:eastAsia="zh-CN"/>
              </w:rPr>
              <w:t>SS</w:t>
            </w:r>
          </w:p>
        </w:tc>
        <w:tc>
          <w:tcPr>
            <w:tcW w:w="3861" w:type="dxa"/>
            <w:vAlign w:val="center"/>
          </w:tcPr>
          <w:p>
            <w:pPr>
              <w:spacing w:line="240" w:lineRule="auto"/>
              <w:jc w:val="both"/>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color w:val="auto"/>
                <w:sz w:val="21"/>
                <w:szCs w:val="21"/>
                <w:highlight w:val="none"/>
              </w:rPr>
              <w:t>厂区地势较低处建设一座</w:t>
            </w:r>
            <w:r>
              <w:rPr>
                <w:rFonts w:hint="eastAsia" w:cs="Times New Roman"/>
                <w:color w:val="auto"/>
                <w:sz w:val="21"/>
                <w:szCs w:val="21"/>
                <w:highlight w:val="none"/>
                <w:lang w:val="en-US" w:eastAsia="zh-CN"/>
              </w:rPr>
              <w:t>350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初期雨水收集池</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前15分钟初期雨水收集后经沉淀全部回用于厂区地面及道路洒水抑尘，不外排</w:t>
            </w:r>
          </w:p>
        </w:tc>
        <w:tc>
          <w:tcPr>
            <w:tcW w:w="1480" w:type="dxa"/>
            <w:vAlign w:val="center"/>
          </w:tcPr>
          <w:p>
            <w:pPr>
              <w:adjustRightInd w:val="0"/>
              <w:snapToGrid w:val="0"/>
              <w:spacing w:line="240" w:lineRule="auto"/>
              <w:jc w:val="center"/>
              <w:rPr>
                <w:rFonts w:hint="eastAsia"/>
                <w:color w:val="auto"/>
                <w:highlight w:val="none"/>
              </w:rPr>
            </w:pPr>
            <w:r>
              <w:rPr>
                <w:rFonts w:hint="eastAsia"/>
                <w:color w:val="auto"/>
                <w:highlight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02" w:type="dxa"/>
            <w:vMerge w:val="continue"/>
            <w:vAlign w:val="center"/>
          </w:tcPr>
          <w:p>
            <w:pPr>
              <w:adjustRightInd w:val="0"/>
              <w:snapToGrid w:val="0"/>
              <w:spacing w:line="240" w:lineRule="auto"/>
              <w:jc w:val="center"/>
              <w:rPr>
                <w:color w:val="auto"/>
                <w:highlight w:val="none"/>
              </w:rPr>
            </w:pPr>
          </w:p>
        </w:tc>
        <w:tc>
          <w:tcPr>
            <w:tcW w:w="1650" w:type="dxa"/>
            <w:vAlign w:val="center"/>
          </w:tcPr>
          <w:p>
            <w:pPr>
              <w:autoSpaceDE w:val="0"/>
              <w:autoSpaceDN w:val="0"/>
              <w:spacing w:line="240" w:lineRule="auto"/>
              <w:jc w:val="center"/>
              <w:rPr>
                <w:color w:val="auto"/>
                <w:szCs w:val="18"/>
                <w:highlight w:val="none"/>
              </w:rPr>
            </w:pPr>
            <w:r>
              <w:rPr>
                <w:rFonts w:hint="eastAsia"/>
                <w:color w:val="auto"/>
                <w:highlight w:val="none"/>
                <w:lang w:val="en-US" w:eastAsia="zh-CN"/>
              </w:rPr>
              <w:t>生活</w:t>
            </w:r>
            <w:r>
              <w:rPr>
                <w:rFonts w:hint="eastAsia"/>
                <w:color w:val="auto"/>
                <w:highlight w:val="none"/>
              </w:rPr>
              <w:t>污水</w:t>
            </w:r>
          </w:p>
        </w:tc>
        <w:tc>
          <w:tcPr>
            <w:tcW w:w="1031" w:type="dxa"/>
            <w:vAlign w:val="center"/>
          </w:tcPr>
          <w:p>
            <w:pPr>
              <w:spacing w:line="240" w:lineRule="auto"/>
              <w:jc w:val="center"/>
              <w:rPr>
                <w:bCs/>
                <w:color w:val="auto"/>
                <w:highlight w:val="none"/>
              </w:rPr>
            </w:pPr>
            <w:r>
              <w:rPr>
                <w:rFonts w:hint="eastAsia"/>
                <w:bCs/>
                <w:color w:val="auto"/>
                <w:highlight w:val="none"/>
              </w:rPr>
              <w:t>COD、BOD、氨氮、SS</w:t>
            </w:r>
          </w:p>
        </w:tc>
        <w:tc>
          <w:tcPr>
            <w:tcW w:w="3861" w:type="dxa"/>
            <w:vAlign w:val="center"/>
          </w:tcPr>
          <w:p>
            <w:pPr>
              <w:spacing w:line="240" w:lineRule="auto"/>
              <w:jc w:val="both"/>
              <w:rPr>
                <w:rFonts w:hint="default"/>
                <w:color w:val="auto"/>
                <w:highlight w:val="none"/>
                <w:lang w:val="en-US"/>
              </w:rPr>
            </w:pPr>
            <w:r>
              <w:rPr>
                <w:rFonts w:hint="default" w:ascii="Times New Roman" w:hAnsi="Times New Roman" w:eastAsia="宋体" w:cs="Times New Roman"/>
                <w:color w:val="auto"/>
                <w:spacing w:val="0"/>
                <w:kern w:val="2"/>
                <w:sz w:val="21"/>
                <w:szCs w:val="21"/>
                <w:highlight w:val="none"/>
                <w:vertAlign w:val="baseline"/>
                <w:lang w:val="en-US" w:eastAsia="zh-CN" w:bidi="ar-SA"/>
              </w:rPr>
              <w:t>经化粪池处理后排入园区生活污水管网，最终进入园区污水处理站处理</w:t>
            </w:r>
          </w:p>
        </w:tc>
        <w:tc>
          <w:tcPr>
            <w:tcW w:w="1480" w:type="dxa"/>
            <w:vAlign w:val="center"/>
          </w:tcPr>
          <w:p>
            <w:pPr>
              <w:adjustRightInd w:val="0"/>
              <w:snapToGrid w:val="0"/>
              <w:spacing w:line="240" w:lineRule="auto"/>
              <w:jc w:val="center"/>
              <w:rPr>
                <w:rFonts w:hint="default" w:eastAsia="宋体"/>
                <w:color w:val="auto"/>
                <w:highlight w:val="none"/>
                <w:lang w:val="en-US" w:eastAsia="zh-CN"/>
              </w:rPr>
            </w:pPr>
            <w:r>
              <w:rPr>
                <w:rFonts w:hint="eastAsia"/>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02" w:type="dxa"/>
            <w:vMerge w:val="continue"/>
            <w:vAlign w:val="center"/>
          </w:tcPr>
          <w:p>
            <w:pPr>
              <w:adjustRightInd w:val="0"/>
              <w:snapToGrid w:val="0"/>
              <w:spacing w:line="240" w:lineRule="auto"/>
              <w:jc w:val="center"/>
              <w:rPr>
                <w:color w:val="auto"/>
                <w:highlight w:val="none"/>
              </w:rPr>
            </w:pPr>
          </w:p>
        </w:tc>
        <w:tc>
          <w:tcPr>
            <w:tcW w:w="1650" w:type="dxa"/>
            <w:vAlign w:val="center"/>
          </w:tcPr>
          <w:p>
            <w:pPr>
              <w:autoSpaceDE w:val="0"/>
              <w:autoSpaceDN w:val="0"/>
              <w:spacing w:line="240" w:lineRule="auto"/>
              <w:jc w:val="center"/>
              <w:rPr>
                <w:rFonts w:hint="default"/>
                <w:color w:val="auto"/>
                <w:highlight w:val="none"/>
                <w:lang w:val="en-US" w:eastAsia="zh-CN"/>
              </w:rPr>
            </w:pPr>
            <w:r>
              <w:rPr>
                <w:rFonts w:hint="eastAsia"/>
                <w:color w:val="auto"/>
                <w:highlight w:val="none"/>
                <w:lang w:val="en-US" w:eastAsia="zh-CN"/>
              </w:rPr>
              <w:t>地坪清洗用水</w:t>
            </w:r>
          </w:p>
        </w:tc>
        <w:tc>
          <w:tcPr>
            <w:tcW w:w="1031" w:type="dxa"/>
            <w:vAlign w:val="center"/>
          </w:tcPr>
          <w:p>
            <w:pPr>
              <w:spacing w:line="240" w:lineRule="auto"/>
              <w:jc w:val="center"/>
              <w:rPr>
                <w:rFonts w:hint="default" w:eastAsia="宋体"/>
                <w:bCs/>
                <w:color w:val="auto"/>
                <w:highlight w:val="none"/>
                <w:lang w:val="en-US" w:eastAsia="zh-CN"/>
              </w:rPr>
            </w:pPr>
            <w:r>
              <w:rPr>
                <w:rFonts w:hint="eastAsia"/>
                <w:bCs/>
                <w:color w:val="auto"/>
                <w:highlight w:val="none"/>
                <w:lang w:val="en-US" w:eastAsia="zh-CN"/>
              </w:rPr>
              <w:t>SS</w:t>
            </w:r>
          </w:p>
        </w:tc>
        <w:tc>
          <w:tcPr>
            <w:tcW w:w="3861" w:type="dxa"/>
            <w:vAlign w:val="center"/>
          </w:tcPr>
          <w:p>
            <w:pPr>
              <w:spacing w:line="240" w:lineRule="auto"/>
              <w:jc w:val="center"/>
              <w:rPr>
                <w:rFonts w:hint="eastAsia" w:cs="Times New Roman"/>
                <w:color w:val="auto"/>
                <w:highlight w:val="none"/>
                <w:lang w:val="en-US" w:eastAsia="zh-CN"/>
              </w:rPr>
            </w:pPr>
            <w:r>
              <w:rPr>
                <w:rFonts w:hint="eastAsia" w:cs="Times New Roman"/>
                <w:color w:val="auto"/>
                <w:spacing w:val="0"/>
                <w:kern w:val="2"/>
                <w:sz w:val="21"/>
                <w:szCs w:val="21"/>
                <w:highlight w:val="none"/>
                <w:vertAlign w:val="baseline"/>
                <w:lang w:val="en-US" w:eastAsia="zh-CN" w:bidi="ar-SA"/>
              </w:rPr>
              <w:t>回用于搅拌用水</w:t>
            </w:r>
          </w:p>
        </w:tc>
        <w:tc>
          <w:tcPr>
            <w:tcW w:w="1480" w:type="dxa"/>
            <w:vAlign w:val="center"/>
          </w:tcPr>
          <w:p>
            <w:pPr>
              <w:adjustRightInd w:val="0"/>
              <w:snapToGrid w:val="0"/>
              <w:spacing w:line="240" w:lineRule="auto"/>
              <w:jc w:val="center"/>
              <w:rPr>
                <w:rFonts w:hint="eastAsia"/>
                <w:color w:val="auto"/>
                <w:highlight w:val="none"/>
              </w:rPr>
            </w:pPr>
            <w:r>
              <w:rPr>
                <w:rFonts w:hint="eastAsia"/>
                <w:color w:val="auto"/>
                <w:highlight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Align w:val="center"/>
          </w:tcPr>
          <w:p>
            <w:pPr>
              <w:adjustRightInd w:val="0"/>
              <w:snapToGrid w:val="0"/>
              <w:spacing w:line="240" w:lineRule="auto"/>
              <w:jc w:val="center"/>
              <w:rPr>
                <w:color w:val="auto"/>
                <w:highlight w:val="none"/>
              </w:rPr>
            </w:pPr>
            <w:r>
              <w:rPr>
                <w:rFonts w:hint="eastAsia"/>
                <w:color w:val="auto"/>
                <w:highlight w:val="none"/>
              </w:rPr>
              <w:t>声环境</w:t>
            </w:r>
          </w:p>
        </w:tc>
        <w:tc>
          <w:tcPr>
            <w:tcW w:w="1650" w:type="dxa"/>
            <w:vAlign w:val="center"/>
          </w:tcPr>
          <w:p>
            <w:pPr>
              <w:adjustRightInd w:val="0"/>
              <w:snapToGrid w:val="0"/>
              <w:spacing w:line="240" w:lineRule="auto"/>
              <w:jc w:val="center"/>
              <w:rPr>
                <w:color w:val="auto"/>
                <w:highlight w:val="none"/>
              </w:rPr>
            </w:pPr>
            <w:r>
              <w:rPr>
                <w:rFonts w:hint="eastAsia"/>
                <w:color w:val="auto"/>
                <w:highlight w:val="none"/>
              </w:rPr>
              <w:t>设备</w:t>
            </w:r>
            <w:r>
              <w:rPr>
                <w:rFonts w:hint="eastAsia"/>
                <w:bCs/>
                <w:color w:val="auto"/>
                <w:highlight w:val="none"/>
              </w:rPr>
              <w:t>噪声</w:t>
            </w:r>
          </w:p>
        </w:tc>
        <w:tc>
          <w:tcPr>
            <w:tcW w:w="1031" w:type="dxa"/>
            <w:vAlign w:val="center"/>
          </w:tcPr>
          <w:p>
            <w:pPr>
              <w:adjustRightInd w:val="0"/>
              <w:snapToGrid w:val="0"/>
              <w:spacing w:line="240" w:lineRule="auto"/>
              <w:jc w:val="center"/>
              <w:rPr>
                <w:color w:val="auto"/>
                <w:highlight w:val="none"/>
              </w:rPr>
            </w:pPr>
            <w:r>
              <w:rPr>
                <w:rFonts w:hint="eastAsia"/>
                <w:color w:val="auto"/>
                <w:highlight w:val="none"/>
              </w:rPr>
              <w:t>噪声</w:t>
            </w:r>
          </w:p>
        </w:tc>
        <w:tc>
          <w:tcPr>
            <w:tcW w:w="3861" w:type="dxa"/>
            <w:vAlign w:val="center"/>
          </w:tcPr>
          <w:p>
            <w:pPr>
              <w:adjustRightInd w:val="0"/>
              <w:snapToGrid w:val="0"/>
              <w:spacing w:line="240" w:lineRule="auto"/>
              <w:jc w:val="both"/>
              <w:rPr>
                <w:color w:val="auto"/>
                <w:highlight w:val="none"/>
              </w:rPr>
            </w:pPr>
            <w:r>
              <w:rPr>
                <w:rFonts w:hint="eastAsia"/>
                <w:bCs/>
                <w:color w:val="auto"/>
                <w:spacing w:val="4"/>
                <w:highlight w:val="none"/>
              </w:rPr>
              <w:t>选用低噪声设备，隔声、基础减振，定期维护</w:t>
            </w:r>
            <w:r>
              <w:rPr>
                <w:rFonts w:hint="eastAsia"/>
                <w:bCs/>
                <w:color w:val="auto"/>
                <w:spacing w:val="4"/>
                <w:highlight w:val="none"/>
                <w:lang w:eastAsia="zh-CN"/>
              </w:rPr>
              <w:t>，</w:t>
            </w:r>
            <w:r>
              <w:rPr>
                <w:rFonts w:hint="eastAsia"/>
                <w:bCs/>
                <w:color w:val="auto"/>
                <w:spacing w:val="4"/>
                <w:highlight w:val="none"/>
              </w:rPr>
              <w:t>加强管理</w:t>
            </w:r>
          </w:p>
        </w:tc>
        <w:tc>
          <w:tcPr>
            <w:tcW w:w="1480" w:type="dxa"/>
            <w:vAlign w:val="center"/>
          </w:tcPr>
          <w:p>
            <w:pPr>
              <w:adjustRightInd w:val="0"/>
              <w:snapToGrid w:val="0"/>
              <w:spacing w:line="240" w:lineRule="auto"/>
              <w:jc w:val="center"/>
              <w:rPr>
                <w:color w:val="auto"/>
                <w:highlight w:val="none"/>
              </w:rPr>
            </w:pPr>
            <w:r>
              <w:rPr>
                <w:rFonts w:hint="eastAsia"/>
                <w:color w:val="auto"/>
                <w:highlight w:val="none"/>
              </w:rPr>
              <w:t>《工业企业厂界环境噪声排放标准》（GB12348-2008）中</w:t>
            </w:r>
            <w:r>
              <w:rPr>
                <w:rFonts w:hint="eastAsia"/>
                <w:color w:val="auto"/>
                <w:highlight w:val="none"/>
                <w:lang w:val="en-US" w:eastAsia="zh-CN"/>
              </w:rPr>
              <w:t>3</w:t>
            </w:r>
            <w:r>
              <w:rPr>
                <w:rFonts w:hint="eastAsia"/>
                <w:color w:val="auto"/>
                <w:highlight w:val="none"/>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Align w:val="center"/>
          </w:tcPr>
          <w:p>
            <w:pPr>
              <w:adjustRightInd w:val="0"/>
              <w:snapToGrid w:val="0"/>
              <w:spacing w:line="240" w:lineRule="auto"/>
              <w:jc w:val="center"/>
              <w:rPr>
                <w:color w:val="auto"/>
                <w:highlight w:val="none"/>
              </w:rPr>
            </w:pPr>
            <w:r>
              <w:rPr>
                <w:rFonts w:hint="eastAsia"/>
                <w:color w:val="auto"/>
                <w:highlight w:val="none"/>
              </w:rPr>
              <w:t>固体废物</w:t>
            </w:r>
          </w:p>
        </w:tc>
        <w:tc>
          <w:tcPr>
            <w:tcW w:w="8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color w:val="auto"/>
                <w:highlight w:val="none"/>
                <w:lang w:val="en-US"/>
              </w:rPr>
            </w:pPr>
            <w:r>
              <w:rPr>
                <w:rFonts w:hint="eastAsia"/>
                <w:color w:val="auto"/>
                <w:sz w:val="21"/>
                <w:szCs w:val="21"/>
                <w:highlight w:val="none"/>
                <w:lang w:val="en-US" w:eastAsia="zh-CN"/>
              </w:rPr>
              <w:t>本项目运营期固体废物主要为生活垃圾、除尘灰、废除尘布袋、废包装材料、磁选废屑、废矿物油、废油桶和检测废液，除尘灰经收集后</w:t>
            </w:r>
            <w:r>
              <w:rPr>
                <w:rFonts w:hint="eastAsia" w:ascii="Times New Roman" w:hAnsi="Times New Roman" w:eastAsia="宋体" w:cs="Times New Roman"/>
                <w:color w:val="auto"/>
                <w:sz w:val="21"/>
                <w:szCs w:val="21"/>
                <w:highlight w:val="none"/>
                <w:lang w:val="en-US" w:eastAsia="zh-CN"/>
              </w:rPr>
              <w:t>返回生产系统当作原料；</w:t>
            </w:r>
            <w:r>
              <w:rPr>
                <w:rFonts w:hint="eastAsia" w:cs="Times New Roman"/>
                <w:color w:val="auto"/>
                <w:sz w:val="21"/>
                <w:szCs w:val="21"/>
                <w:highlight w:val="none"/>
                <w:lang w:val="en-US" w:eastAsia="zh-CN"/>
              </w:rPr>
              <w:t>废除尘布袋收集后外售厂家综合利用；磁选废屑、废包装材料集中收集后</w:t>
            </w:r>
            <w:r>
              <w:rPr>
                <w:rFonts w:hint="eastAsia" w:cs="Times New Roman"/>
                <w:color w:val="auto"/>
                <w:spacing w:val="0"/>
                <w:kern w:val="2"/>
                <w:sz w:val="21"/>
                <w:szCs w:val="21"/>
                <w:highlight w:val="none"/>
                <w:lang w:val="en-US" w:eastAsia="zh-CN" w:bidi="ar-SA"/>
              </w:rPr>
              <w:t>外售废品收购站综合利用；</w:t>
            </w:r>
            <w:r>
              <w:rPr>
                <w:rFonts w:hint="eastAsia" w:ascii="Times New Roman" w:hAnsi="Times New Roman" w:eastAsia="宋体" w:cs="Times New Roman"/>
                <w:color w:val="auto"/>
                <w:sz w:val="21"/>
                <w:szCs w:val="21"/>
                <w:highlight w:val="none"/>
                <w:lang w:val="en-US" w:eastAsia="zh-CN"/>
              </w:rPr>
              <w:t>废矿物油、废油桶</w:t>
            </w:r>
            <w:r>
              <w:rPr>
                <w:rFonts w:hint="eastAsia" w:cs="Times New Roman"/>
                <w:color w:val="auto"/>
                <w:sz w:val="21"/>
                <w:szCs w:val="21"/>
                <w:highlight w:val="none"/>
                <w:lang w:val="en-US" w:eastAsia="zh-CN"/>
              </w:rPr>
              <w:t>、检测废液收集后分区暂存于危废贮存点，定期交由有资质单位进行处置；在厂区内设封闭式垃圾收集箱，生活垃圾收集后送当地环卫部门指定地点统一处理。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Align w:val="center"/>
          </w:tcPr>
          <w:p>
            <w:pPr>
              <w:adjustRightInd w:val="0"/>
              <w:snapToGrid w:val="0"/>
              <w:spacing w:line="240" w:lineRule="auto"/>
              <w:jc w:val="center"/>
              <w:rPr>
                <w:color w:val="auto"/>
                <w:highlight w:val="none"/>
              </w:rPr>
            </w:pPr>
            <w:r>
              <w:rPr>
                <w:rFonts w:hint="eastAsia"/>
                <w:color w:val="auto"/>
                <w:highlight w:val="none"/>
              </w:rPr>
              <w:t>土壤及地下水污染防治措施</w:t>
            </w:r>
          </w:p>
        </w:tc>
        <w:tc>
          <w:tcPr>
            <w:tcW w:w="8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color w:val="auto"/>
                <w:highlight w:val="none"/>
              </w:rPr>
            </w:pPr>
            <w:r>
              <w:rPr>
                <w:rFonts w:hint="default" w:ascii="Times New Roman" w:hAnsi="Times New Roman" w:eastAsia="宋体" w:cs="Times New Roman"/>
                <w:color w:val="auto"/>
                <w:szCs w:val="21"/>
                <w:highlight w:val="none"/>
                <w:lang w:val="en-US" w:eastAsia="zh-CN"/>
              </w:rPr>
              <w:t>本次评价将项目区划分为重点防渗区、一般防渗区</w:t>
            </w:r>
            <w:r>
              <w:rPr>
                <w:rFonts w:hint="eastAsia" w:cs="Times New Roman"/>
                <w:color w:val="auto"/>
                <w:szCs w:val="21"/>
                <w:highlight w:val="none"/>
                <w:lang w:val="en-US" w:eastAsia="zh-CN"/>
              </w:rPr>
              <w:t>和简单防渗区</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危废贮存点</w:t>
            </w:r>
            <w:r>
              <w:rPr>
                <w:rFonts w:hint="default" w:ascii="Times New Roman" w:hAnsi="Times New Roman" w:eastAsia="宋体" w:cs="Times New Roman"/>
                <w:color w:val="auto"/>
                <w:szCs w:val="21"/>
                <w:highlight w:val="none"/>
                <w:lang w:val="en-US" w:eastAsia="zh-CN"/>
              </w:rPr>
              <w:t>为重点防渗区，</w:t>
            </w:r>
            <w:r>
              <w:rPr>
                <w:rFonts w:hint="eastAsia" w:cs="Times New Roman"/>
                <w:color w:val="auto"/>
                <w:szCs w:val="21"/>
                <w:highlight w:val="none"/>
                <w:lang w:val="en-US" w:eastAsia="zh-CN"/>
              </w:rPr>
              <w:t>生产车间、洗车平台沉淀池、初期雨水池生产车间</w:t>
            </w:r>
            <w:r>
              <w:rPr>
                <w:rFonts w:hint="default" w:ascii="Times New Roman" w:hAnsi="Times New Roman" w:eastAsia="宋体" w:cs="Times New Roman"/>
                <w:color w:val="auto"/>
                <w:szCs w:val="21"/>
                <w:highlight w:val="none"/>
                <w:lang w:val="en-US" w:eastAsia="zh-CN"/>
              </w:rPr>
              <w:t>为一般防渗区</w:t>
            </w:r>
            <w:r>
              <w:rPr>
                <w:rFonts w:hint="eastAsia" w:cs="Times New Roman"/>
                <w:color w:val="auto"/>
                <w:szCs w:val="21"/>
                <w:highlight w:val="none"/>
                <w:lang w:val="en-US" w:eastAsia="zh-CN"/>
              </w:rPr>
              <w:t>，</w:t>
            </w:r>
            <w:r>
              <w:rPr>
                <w:rFonts w:hint="eastAsia" w:cs="Times New Roman"/>
                <w:color w:val="auto"/>
                <w:kern w:val="0"/>
                <w:sz w:val="21"/>
                <w:szCs w:val="21"/>
                <w:highlight w:val="none"/>
                <w:lang w:val="en-US" w:eastAsia="zh-CN" w:bidi="ar-SA"/>
              </w:rPr>
              <w:t>其他为简单防渗区</w:t>
            </w:r>
            <w:r>
              <w:rPr>
                <w:rFonts w:hint="default" w:ascii="Times New Roman" w:hAnsi="Times New Roman" w:eastAsia="宋体"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Align w:val="center"/>
          </w:tcPr>
          <w:p>
            <w:pPr>
              <w:adjustRightInd w:val="0"/>
              <w:snapToGrid w:val="0"/>
              <w:spacing w:line="240" w:lineRule="auto"/>
              <w:jc w:val="center"/>
              <w:rPr>
                <w:color w:val="auto"/>
                <w:highlight w:val="none"/>
              </w:rPr>
            </w:pPr>
            <w:r>
              <w:rPr>
                <w:rFonts w:hint="eastAsia"/>
                <w:color w:val="auto"/>
                <w:highlight w:val="none"/>
              </w:rPr>
              <w:t>生态保护措施</w:t>
            </w:r>
          </w:p>
        </w:tc>
        <w:tc>
          <w:tcPr>
            <w:tcW w:w="8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4"/>
                <w:szCs w:val="24"/>
                <w:highlight w:val="none"/>
              </w:rPr>
            </w:pPr>
            <w:r>
              <w:rPr>
                <w:rFonts w:hint="eastAsia" w:ascii="Times New Roman" w:hAnsi="Times New Roman" w:cs="Times New Roman"/>
                <w:color w:val="auto"/>
                <w:szCs w:val="21"/>
                <w:highlight w:val="none"/>
                <w:lang w:val="en-US" w:eastAsia="zh-CN"/>
              </w:rPr>
              <w:t>厂区</w:t>
            </w:r>
            <w:r>
              <w:rPr>
                <w:rFonts w:hint="default" w:ascii="Times New Roman" w:hAnsi="Times New Roman" w:cs="Times New Roman"/>
                <w:color w:val="auto"/>
                <w:szCs w:val="21"/>
                <w:highlight w:val="none"/>
              </w:rPr>
              <w:t>绿化</w:t>
            </w:r>
            <w:r>
              <w:rPr>
                <w:rFonts w:hint="eastAsia" w:cs="Times New Roman"/>
                <w:color w:val="auto"/>
                <w:szCs w:val="21"/>
                <w:highlight w:val="none"/>
                <w:lang w:eastAsia="zh-CN"/>
              </w:rPr>
              <w:t>、</w:t>
            </w:r>
            <w:r>
              <w:rPr>
                <w:rFonts w:hint="eastAsia" w:cs="Times New Roman"/>
                <w:color w:val="auto"/>
                <w:szCs w:val="21"/>
                <w:highlight w:val="none"/>
                <w:lang w:val="en-US" w:eastAsia="zh-CN"/>
              </w:rPr>
              <w:t>道路硬化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Align w:val="center"/>
          </w:tcPr>
          <w:p>
            <w:pPr>
              <w:adjustRightInd w:val="0"/>
              <w:snapToGrid w:val="0"/>
              <w:spacing w:line="240" w:lineRule="auto"/>
              <w:jc w:val="center"/>
              <w:rPr>
                <w:color w:val="auto"/>
                <w:spacing w:val="-8"/>
                <w:highlight w:val="none"/>
              </w:rPr>
            </w:pPr>
            <w:r>
              <w:rPr>
                <w:rFonts w:hint="eastAsia"/>
                <w:color w:val="auto"/>
                <w:spacing w:val="-8"/>
                <w:highlight w:val="none"/>
              </w:rPr>
              <w:t>环境风险</w:t>
            </w:r>
          </w:p>
          <w:p>
            <w:pPr>
              <w:adjustRightInd w:val="0"/>
              <w:snapToGrid w:val="0"/>
              <w:spacing w:line="240" w:lineRule="auto"/>
              <w:jc w:val="center"/>
              <w:rPr>
                <w:color w:val="auto"/>
                <w:spacing w:val="-8"/>
                <w:highlight w:val="none"/>
              </w:rPr>
            </w:pPr>
            <w:r>
              <w:rPr>
                <w:rFonts w:hint="eastAsia"/>
                <w:color w:val="auto"/>
                <w:spacing w:val="-8"/>
                <w:highlight w:val="none"/>
              </w:rPr>
              <w:t>防范措施</w:t>
            </w:r>
          </w:p>
        </w:tc>
        <w:tc>
          <w:tcPr>
            <w:tcW w:w="8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本项目产生废矿物油的设备底部均进行防渗、并设置钢制托盘收集废矿物油，检测废液专用收集桶分区贮存；危废贮存点已进行防水、防渗、防流失处理，有足够地面承载能力，并能确保雨水不会流至贮存设施内，贮存设施应封闭，以防风、防雨、防晒、防渗漏</w:t>
            </w:r>
            <w:r>
              <w:rPr>
                <w:rFonts w:hint="eastAsia" w:ascii="宋体" w:hAnsi="宋体" w:cs="宋体"/>
                <w:color w:val="auto"/>
                <w:kern w:val="0"/>
                <w:sz w:val="20"/>
                <w:szCs w:val="20"/>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eastAsia="宋体"/>
                <w:color w:val="auto"/>
                <w:sz w:val="24"/>
                <w:szCs w:val="24"/>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严禁火源进入</w:t>
            </w:r>
            <w:r>
              <w:rPr>
                <w:rFonts w:hint="eastAsia" w:cs="Times New Roman"/>
                <w:color w:val="auto"/>
                <w:sz w:val="21"/>
                <w:szCs w:val="21"/>
                <w:highlight w:val="none"/>
                <w:lang w:val="en-US" w:eastAsia="zh-CN"/>
              </w:rPr>
              <w:t>危废贮存点</w:t>
            </w:r>
            <w:r>
              <w:rPr>
                <w:rFonts w:hint="default" w:ascii="Times New Roman" w:hAnsi="Times New Roman" w:eastAsia="宋体" w:cs="Times New Roman"/>
                <w:color w:val="auto"/>
                <w:sz w:val="21"/>
                <w:szCs w:val="21"/>
                <w:highlight w:val="none"/>
                <w:lang w:val="en-US" w:eastAsia="zh-CN"/>
              </w:rPr>
              <w:t>，对明火严格控制。配置相应的灭火装置和设施，如灭火器、消防砂、消火栓等，并保持完好。值班人员应掌握一般消防知识。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vAlign w:val="center"/>
          </w:tcPr>
          <w:p>
            <w:pPr>
              <w:adjustRightInd w:val="0"/>
              <w:snapToGrid w:val="0"/>
              <w:spacing w:line="240" w:lineRule="auto"/>
              <w:jc w:val="center"/>
              <w:rPr>
                <w:color w:val="auto"/>
                <w:spacing w:val="-8"/>
                <w:highlight w:val="none"/>
              </w:rPr>
            </w:pPr>
            <w:r>
              <w:rPr>
                <w:rFonts w:hint="eastAsia"/>
                <w:color w:val="auto"/>
                <w:spacing w:val="-8"/>
                <w:highlight w:val="none"/>
              </w:rPr>
              <w:t>其他环境</w:t>
            </w:r>
          </w:p>
          <w:p>
            <w:pPr>
              <w:adjustRightInd w:val="0"/>
              <w:snapToGrid w:val="0"/>
              <w:spacing w:line="240" w:lineRule="auto"/>
              <w:jc w:val="center"/>
              <w:rPr>
                <w:color w:val="auto"/>
                <w:spacing w:val="-8"/>
                <w:highlight w:val="none"/>
              </w:rPr>
            </w:pPr>
            <w:r>
              <w:rPr>
                <w:rFonts w:hint="eastAsia"/>
                <w:color w:val="auto"/>
                <w:spacing w:val="-8"/>
                <w:highlight w:val="none"/>
              </w:rPr>
              <w:t>管理要求</w:t>
            </w:r>
          </w:p>
        </w:tc>
        <w:tc>
          <w:tcPr>
            <w:tcW w:w="8022"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b w:val="0"/>
                <w:bCs w:val="0"/>
                <w:color w:val="auto"/>
                <w:sz w:val="21"/>
                <w:szCs w:val="18"/>
                <w:highlight w:val="none"/>
              </w:rPr>
            </w:pPr>
            <w:r>
              <w:rPr>
                <w:rFonts w:hint="default" w:ascii="Times New Roman" w:hAnsi="Times New Roman" w:cs="Times New Roman"/>
                <w:b w:val="0"/>
                <w:bCs w:val="0"/>
                <w:color w:val="auto"/>
                <w:sz w:val="21"/>
                <w:szCs w:val="18"/>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b/>
                <w:color w:val="auto"/>
                <w:sz w:val="21"/>
                <w:szCs w:val="18"/>
                <w:highlight w:val="none"/>
              </w:rPr>
            </w:pPr>
            <w:r>
              <w:rPr>
                <w:rFonts w:hint="default" w:ascii="Times New Roman" w:hAnsi="Times New Roman" w:cs="Times New Roman"/>
                <w:bCs/>
                <w:color w:val="auto"/>
                <w:sz w:val="21"/>
                <w:szCs w:val="18"/>
                <w:highlight w:val="none"/>
              </w:rPr>
              <w:t>本工程环境管理工作计划见表5-</w:t>
            </w:r>
            <w:r>
              <w:rPr>
                <w:rFonts w:hint="eastAsia" w:cs="Times New Roman"/>
                <w:bCs/>
                <w:color w:val="auto"/>
                <w:sz w:val="21"/>
                <w:szCs w:val="18"/>
                <w:highlight w:val="none"/>
                <w:lang w:val="en-US" w:eastAsia="zh-CN"/>
              </w:rPr>
              <w:t>1</w:t>
            </w:r>
            <w:r>
              <w:rPr>
                <w:rFonts w:hint="default" w:ascii="Times New Roman" w:hAnsi="Times New Roman" w:cs="Times New Roman"/>
                <w:bCs/>
                <w:color w:val="auto"/>
                <w:sz w:val="21"/>
                <w:szCs w:val="18"/>
                <w:highlight w:val="none"/>
              </w:rPr>
              <w:t>。</w:t>
            </w:r>
          </w:p>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表5-</w:t>
            </w:r>
            <w:r>
              <w:rPr>
                <w:rFonts w:hint="eastAsia"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rPr>
              <w:t xml:space="preserve">  环境管理工作计划表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6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69"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阶段</w:t>
                  </w:r>
                </w:p>
              </w:tc>
              <w:tc>
                <w:tcPr>
                  <w:tcW w:w="4130"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环境管理工作主要内容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环境管理</w:t>
                  </w:r>
                </w:p>
                <w:p>
                  <w:pPr>
                    <w:pStyle w:val="1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机构的职能</w:t>
                  </w:r>
                </w:p>
              </w:tc>
              <w:tc>
                <w:tcPr>
                  <w:tcW w:w="4130"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根据国家建设项目环境管理规定，认真落实各项环保手续，完成各级环保主管部门对企业提出的环境要求，对企业内部各项管理计划的执行及完成情况进行监督，确保环境管理工作真正发挥作用。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建设期</w:t>
                  </w:r>
                </w:p>
              </w:tc>
              <w:tc>
                <w:tcPr>
                  <w:tcW w:w="4130"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1、合理选址，减少用地。</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2、施工便道定期洒水。</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3、临时用地恢复绿化。</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4、路基防护与加固</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5、夜间严禁进行打桩等噪声大的施工作业。</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6、施工营地加强环境管理。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调试期</w:t>
                  </w:r>
                </w:p>
              </w:tc>
              <w:tc>
                <w:tcPr>
                  <w:tcW w:w="4130"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1、申领排污许可证。</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2、对噪声防治效果进行检测。</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3、对各设施不定期进行检查。</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4、记录各项环保设施的试运行状况，针对出现问题提出完善意见。</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5、总结试运行期的生产经验，健全前期制定各项管理制度。</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6、生产装置生产三个月内，进行环保设施的竣工验收。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9"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生产运行期</w:t>
                  </w:r>
                </w:p>
              </w:tc>
              <w:tc>
                <w:tcPr>
                  <w:tcW w:w="4130" w:type="pct"/>
                  <w:tcBorders>
                    <w:tl2br w:val="nil"/>
                    <w:tr2bl w:val="nil"/>
                  </w:tcBorders>
                  <w:vAlign w:val="center"/>
                </w:tcPr>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1、严格执行各项生产及环境管理制度，保证生产的正常进行。</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2、设立环保设施运行卡，对环保设施定期进行检查维护，做到勤查、勤记、勤养护。</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3、按照监测计划组织厂内的污染源监测，对不达标装置立即寻找原因，及时处理。</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4、不断加强技术培训，组织企业技术交流，提高操作水平，保持操作工人队伍稳定。</w:t>
                  </w:r>
                </w:p>
                <w:p>
                  <w:pPr>
                    <w:pStyle w:val="12"/>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5、建立环境管理台账制度，应真实记录基本信息、产污设施运行管理信息、污染防治设施运行管理信息、监测记录信息及其他环境管理信息等；按照电子台账和纸质台账两种记录形式同步管理。</w:t>
                  </w:r>
                </w:p>
              </w:tc>
            </w:tr>
          </w:tbl>
          <w:p>
            <w:pPr>
              <w:adjustRightInd w:val="0"/>
              <w:snapToGrid w:val="0"/>
              <w:spacing w:line="240" w:lineRule="auto"/>
              <w:ind w:firstLine="420" w:firstLineChars="200"/>
              <w:rPr>
                <w:b w:val="0"/>
                <w:bCs w:val="0"/>
                <w:color w:val="auto"/>
                <w:sz w:val="21"/>
                <w:szCs w:val="18"/>
                <w:highlight w:val="none"/>
              </w:rPr>
            </w:pPr>
            <w:bookmarkStart w:id="20" w:name="_Toc15842"/>
            <w:r>
              <w:rPr>
                <w:rFonts w:hint="eastAsia"/>
                <w:b w:val="0"/>
                <w:bCs w:val="0"/>
                <w:color w:val="auto"/>
                <w:sz w:val="21"/>
                <w:szCs w:val="18"/>
                <w:highlight w:val="none"/>
              </w:rPr>
              <w:t>2、排污口规范化设置</w:t>
            </w:r>
            <w:bookmarkEnd w:id="20"/>
          </w:p>
          <w:p>
            <w:pPr>
              <w:adjustRightInd w:val="0"/>
              <w:snapToGrid w:val="0"/>
              <w:spacing w:line="240" w:lineRule="auto"/>
              <w:ind w:firstLine="420" w:firstLineChars="200"/>
              <w:rPr>
                <w:bCs/>
                <w:color w:val="auto"/>
                <w:sz w:val="21"/>
                <w:szCs w:val="18"/>
                <w:highlight w:val="none"/>
              </w:rPr>
            </w:pPr>
            <w:r>
              <w:rPr>
                <w:rFonts w:hint="eastAsia"/>
                <w:bCs/>
                <w:color w:val="auto"/>
                <w:sz w:val="21"/>
                <w:szCs w:val="18"/>
                <w:highlight w:val="none"/>
              </w:rPr>
              <w:t>项目需要按照要求设立排污口。废气、废水排放口应进行规范化设计，具备采样、监测条件，排放口附近竖立环保图形标志牌。排污口应符合“一明显、二合理、三便于”的要求，即环保标志明显，排污口设置合理，排污去向合理，便于采集样品，便于监测计量，便于公众监督管理。</w:t>
            </w:r>
          </w:p>
          <w:p>
            <w:pPr>
              <w:adjustRightInd w:val="0"/>
              <w:snapToGrid w:val="0"/>
              <w:spacing w:line="240" w:lineRule="auto"/>
              <w:ind w:firstLine="420" w:firstLineChars="200"/>
              <w:rPr>
                <w:bCs/>
                <w:color w:val="auto"/>
                <w:sz w:val="21"/>
                <w:szCs w:val="18"/>
                <w:highlight w:val="none"/>
              </w:rPr>
            </w:pPr>
            <w:r>
              <w:rPr>
                <w:rFonts w:hint="eastAsia"/>
                <w:bCs/>
                <w:color w:val="auto"/>
                <w:sz w:val="21"/>
                <w:szCs w:val="18"/>
                <w:highlight w:val="none"/>
              </w:rPr>
              <w:t>按照国家环境保护总局制定的《（环境保护图形标志）实施细则（试行）》（环监[1996]463号）的规定，在各排污口树立响应的环境保护图形标志牌，具体要求见表5-2。</w:t>
            </w:r>
          </w:p>
          <w:p>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eastAsia="宋体" w:cs="Times New Roman"/>
                <w:b/>
                <w:bCs w:val="0"/>
                <w:color w:val="auto"/>
                <w:sz w:val="21"/>
                <w:szCs w:val="18"/>
                <w:highlight w:val="none"/>
              </w:rPr>
            </w:pPr>
            <w:r>
              <w:rPr>
                <w:rFonts w:hint="default" w:ascii="Times New Roman" w:hAnsi="Times New Roman" w:eastAsia="宋体" w:cs="Times New Roman"/>
                <w:b/>
                <w:bCs w:val="0"/>
                <w:color w:val="auto"/>
                <w:sz w:val="21"/>
                <w:szCs w:val="18"/>
                <w:highlight w:val="none"/>
              </w:rPr>
              <w:t>表5-2  环境保护图形标志</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2412"/>
              <w:gridCol w:w="1658"/>
              <w:gridCol w:w="21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018" w:type="pct"/>
                  <w:tcBorders>
                    <w:tl2br w:val="nil"/>
                    <w:tr2bl w:val="nil"/>
                  </w:tcBorders>
                  <w:vAlign w:val="center"/>
                </w:tcPr>
                <w:p>
                  <w:pPr>
                    <w:spacing w:line="240" w:lineRule="auto"/>
                    <w:rPr>
                      <w:color w:val="auto"/>
                      <w:highlight w:val="none"/>
                    </w:rPr>
                  </w:pPr>
                  <w:r>
                    <w:rPr>
                      <w:color w:val="auto"/>
                      <w:highlight w:val="none"/>
                    </w:rPr>
                    <w:fldChar w:fldCharType="begin"/>
                  </w:r>
                  <w:r>
                    <w:rPr>
                      <w:color w:val="auto"/>
                      <w:highlight w:val="none"/>
                    </w:rPr>
                    <w:instrText xml:space="preserve"> HYPERLINK "http://www.biaozhi.net/eNews/news/200602/0029_0000000905.shtml" \t "_blank" </w:instrText>
                  </w:r>
                  <w:r>
                    <w:rPr>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"http://www.biaozhi.net/enews/UploadFiles/smallImg/781.gif" \* MERGEFORMATINET </w:instrText>
                  </w:r>
                  <w:r>
                    <w:rPr>
                      <w:rFonts w:hint="eastAsia"/>
                      <w:color w:val="auto"/>
                      <w:highlight w:val="none"/>
                    </w:rPr>
                    <w:fldChar w:fldCharType="separate"/>
                  </w:r>
                  <w:r>
                    <w:rPr>
                      <w:color w:val="auto"/>
                      <w:highlight w:val="none"/>
                    </w:rPr>
                    <w:fldChar w:fldCharType="begin"/>
                  </w:r>
                  <w:r>
                    <w:rPr>
                      <w:color w:val="auto"/>
                      <w:highlight w:val="none"/>
                    </w:rPr>
                    <w:instrText xml:space="preserve"> INCLUDEPICTURE  "http://www.biaozhi.net/enews/UploadFiles/smallImg/781.gif" \* MERGEFORMATINET </w:instrText>
                  </w:r>
                  <w:r>
                    <w:rPr>
                      <w:color w:val="auto"/>
                      <w:highlight w:val="none"/>
                    </w:rPr>
                    <w:fldChar w:fldCharType="separate"/>
                  </w:r>
                  <w:r>
                    <w:rPr>
                      <w:color w:val="auto"/>
                      <w:highlight w:val="none"/>
                    </w:rPr>
                    <w:fldChar w:fldCharType="begin"/>
                  </w:r>
                  <w:r>
                    <w:rPr>
                      <w:color w:val="auto"/>
                      <w:highlight w:val="none"/>
                    </w:rPr>
                    <w:instrText xml:space="preserve"> INCLUDEPICTURE  "http://www.biaozhi.net/enews/UploadFiles/smallImg/781.gif" \* MERGEFORMATINET </w:instrText>
                  </w:r>
                  <w:r>
                    <w:rPr>
                      <w:color w:val="auto"/>
                      <w:highlight w:val="none"/>
                    </w:rPr>
                    <w:fldChar w:fldCharType="separate"/>
                  </w:r>
                  <w:r>
                    <w:rPr>
                      <w:color w:val="auto"/>
                      <w:highlight w:val="none"/>
                    </w:rPr>
                    <w:pict>
                      <v:shape id="_x0000_i1029" o:spt="75" alt="点击看大图及详细资料" type="#_x0000_t75" style="height:72pt;width:72pt;" filled="f" o:preferrelative="t" stroked="f" coordsize="21600,21600">
                        <v:path/>
                        <v:fill on="f" focussize="0,0"/>
                        <v:stroke on="f" joinstyle="miter"/>
                        <v:imagedata r:id="rId27" r:href="rId28" o:title=""/>
                        <o:lock v:ext="edit" aspectratio="t"/>
                        <w10:wrap type="none"/>
                        <w10:anchorlock/>
                      </v:shape>
                    </w:pict>
                  </w:r>
                  <w:r>
                    <w:rPr>
                      <w:color w:val="auto"/>
                      <w:highlight w:val="none"/>
                    </w:rPr>
                    <w:fldChar w:fldCharType="end"/>
                  </w:r>
                  <w:r>
                    <w:rPr>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p>
              </w:tc>
              <w:tc>
                <w:tcPr>
                  <w:tcW w:w="1545" w:type="pct"/>
                  <w:tcBorders>
                    <w:tl2br w:val="nil"/>
                    <w:tr2bl w:val="nil"/>
                  </w:tcBorders>
                  <w:vAlign w:val="center"/>
                </w:tcPr>
                <w:p>
                  <w:pPr>
                    <w:spacing w:line="240" w:lineRule="auto"/>
                    <w:rPr>
                      <w:color w:val="auto"/>
                      <w:highlight w:val="none"/>
                    </w:rPr>
                  </w:pPr>
                  <w:r>
                    <w:rPr>
                      <w:rFonts w:hint="eastAsia"/>
                      <w:color w:val="auto"/>
                      <w:highlight w:val="none"/>
                    </w:rPr>
                    <w:t>简介：污水排放口</w:t>
                  </w:r>
                </w:p>
                <w:p>
                  <w:pPr>
                    <w:spacing w:line="240" w:lineRule="auto"/>
                    <w:rPr>
                      <w:color w:val="auto"/>
                      <w:highlight w:val="none"/>
                    </w:rPr>
                  </w:pPr>
                  <w:r>
                    <w:rPr>
                      <w:rFonts w:hint="eastAsia"/>
                      <w:color w:val="auto"/>
                      <w:highlight w:val="none"/>
                    </w:rPr>
                    <w:t>污水排放口提示图形符号</w:t>
                  </w:r>
                </w:p>
                <w:p>
                  <w:pPr>
                    <w:spacing w:line="240" w:lineRule="auto"/>
                    <w:rPr>
                      <w:color w:val="auto"/>
                      <w:highlight w:val="none"/>
                    </w:rPr>
                  </w:pPr>
                  <w:r>
                    <w:rPr>
                      <w:rFonts w:hint="eastAsia"/>
                      <w:color w:val="auto"/>
                      <w:highlight w:val="none"/>
                    </w:rPr>
                    <w:t>污水排放口</w:t>
                  </w:r>
                </w:p>
                <w:p>
                  <w:pPr>
                    <w:spacing w:line="240" w:lineRule="auto"/>
                    <w:rPr>
                      <w:color w:val="auto"/>
                      <w:highlight w:val="none"/>
                    </w:rPr>
                  </w:pPr>
                  <w:r>
                    <w:rPr>
                      <w:rFonts w:hint="eastAsia"/>
                      <w:color w:val="auto"/>
                      <w:highlight w:val="none"/>
                    </w:rPr>
                    <w:t>表示污水向水体排放</w:t>
                  </w:r>
                </w:p>
              </w:tc>
              <w:tc>
                <w:tcPr>
                  <w:tcW w:w="1062" w:type="pct"/>
                  <w:tcBorders>
                    <w:tl2br w:val="nil"/>
                    <w:tr2bl w:val="nil"/>
                  </w:tcBorders>
                  <w:vAlign w:val="center"/>
                </w:tcPr>
                <w:p>
                  <w:pPr>
                    <w:spacing w:line="240" w:lineRule="auto"/>
                    <w:rPr>
                      <w:color w:val="auto"/>
                      <w:highlight w:val="none"/>
                    </w:rPr>
                  </w:pPr>
                  <w:r>
                    <w:rPr>
                      <w:color w:val="auto"/>
                      <w:highlight w:val="none"/>
                    </w:rPr>
                    <w:fldChar w:fldCharType="begin"/>
                  </w:r>
                  <w:r>
                    <w:rPr>
                      <w:color w:val="auto"/>
                      <w:highlight w:val="none"/>
                    </w:rPr>
                    <w:instrText xml:space="preserve"> HYPERLINK "http://www.biaozhi.net/eNews/news/200602/0029_0000000909.shtml" \t "_blank" </w:instrText>
                  </w:r>
                  <w:r>
                    <w:rPr>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"http://www.biaozhi.net/enews/UploadFiles/smallImg/785.gif" \* MERGEFORMATINET </w:instrText>
                  </w:r>
                  <w:r>
                    <w:rPr>
                      <w:rFonts w:hint="eastAsia"/>
                      <w:color w:val="auto"/>
                      <w:highlight w:val="none"/>
                    </w:rPr>
                    <w:fldChar w:fldCharType="separate"/>
                  </w:r>
                  <w:r>
                    <w:rPr>
                      <w:color w:val="auto"/>
                      <w:highlight w:val="none"/>
                    </w:rPr>
                    <w:fldChar w:fldCharType="begin"/>
                  </w:r>
                  <w:r>
                    <w:rPr>
                      <w:color w:val="auto"/>
                      <w:highlight w:val="none"/>
                    </w:rPr>
                    <w:instrText xml:space="preserve"> INCLUDEPICTURE  "http://www.biaozhi.net/enews/UploadFiles/smallImg/785.gif" \* MERGEFORMATINET </w:instrText>
                  </w:r>
                  <w:r>
                    <w:rPr>
                      <w:color w:val="auto"/>
                      <w:highlight w:val="none"/>
                    </w:rPr>
                    <w:fldChar w:fldCharType="separate"/>
                  </w:r>
                  <w:r>
                    <w:rPr>
                      <w:color w:val="auto"/>
                      <w:highlight w:val="none"/>
                    </w:rPr>
                    <w:fldChar w:fldCharType="begin"/>
                  </w:r>
                  <w:r>
                    <w:rPr>
                      <w:color w:val="auto"/>
                      <w:highlight w:val="none"/>
                    </w:rPr>
                    <w:instrText xml:space="preserve"> INCLUDEPICTURE  "http://www.biaozhi.net/enews/UploadFiles/smallImg/785.gif" \* MERGEFORMATINET </w:instrText>
                  </w:r>
                  <w:r>
                    <w:rPr>
                      <w:color w:val="auto"/>
                      <w:highlight w:val="none"/>
                    </w:rPr>
                    <w:fldChar w:fldCharType="separate"/>
                  </w:r>
                  <w:r>
                    <w:rPr>
                      <w:color w:val="auto"/>
                      <w:highlight w:val="none"/>
                    </w:rPr>
                    <w:pict>
                      <v:shape id="_x0000_i1030" o:spt="75" alt="点击看大图及详细资料" type="#_x0000_t75" style="height:72pt;width:72pt;" filled="f" o:preferrelative="t" stroked="f" coordsize="21600,21600">
                        <v:path/>
                        <v:fill on="f" focussize="0,0"/>
                        <v:stroke on="f" joinstyle="miter"/>
                        <v:imagedata r:id="rId29" r:href="rId30" o:title=""/>
                        <o:lock v:ext="edit" aspectratio="t"/>
                        <w10:wrap type="none"/>
                        <w10:anchorlock/>
                      </v:shape>
                    </w:pict>
                  </w:r>
                  <w:r>
                    <w:rPr>
                      <w:color w:val="auto"/>
                      <w:highlight w:val="none"/>
                    </w:rPr>
                    <w:fldChar w:fldCharType="end"/>
                  </w:r>
                  <w:r>
                    <w:rPr>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p>
              </w:tc>
              <w:tc>
                <w:tcPr>
                  <w:tcW w:w="1376" w:type="pct"/>
                  <w:tcBorders>
                    <w:tl2br w:val="nil"/>
                    <w:tr2bl w:val="nil"/>
                  </w:tcBorders>
                  <w:vAlign w:val="center"/>
                </w:tcPr>
                <w:p>
                  <w:pPr>
                    <w:spacing w:line="240" w:lineRule="auto"/>
                    <w:rPr>
                      <w:color w:val="auto"/>
                      <w:highlight w:val="none"/>
                    </w:rPr>
                  </w:pPr>
                  <w:r>
                    <w:rPr>
                      <w:rFonts w:hint="eastAsia"/>
                      <w:color w:val="auto"/>
                      <w:highlight w:val="none"/>
                    </w:rPr>
                    <w:t>简介：噪声排放源</w:t>
                  </w:r>
                </w:p>
                <w:p>
                  <w:pPr>
                    <w:spacing w:line="240" w:lineRule="auto"/>
                    <w:rPr>
                      <w:color w:val="auto"/>
                      <w:highlight w:val="none"/>
                    </w:rPr>
                  </w:pPr>
                  <w:r>
                    <w:rPr>
                      <w:rFonts w:hint="eastAsia"/>
                      <w:color w:val="auto"/>
                      <w:highlight w:val="none"/>
                    </w:rPr>
                    <w:t>提示图形符号</w:t>
                  </w:r>
                </w:p>
                <w:p>
                  <w:pPr>
                    <w:spacing w:line="240" w:lineRule="auto"/>
                    <w:rPr>
                      <w:color w:val="auto"/>
                      <w:highlight w:val="none"/>
                    </w:rPr>
                  </w:pPr>
                  <w:r>
                    <w:rPr>
                      <w:rFonts w:hint="eastAsia"/>
                      <w:color w:val="auto"/>
                      <w:highlight w:val="none"/>
                    </w:rPr>
                    <w:t>噪声排放源</w:t>
                  </w:r>
                </w:p>
                <w:p>
                  <w:pPr>
                    <w:spacing w:line="240" w:lineRule="auto"/>
                    <w:rPr>
                      <w:color w:val="auto"/>
                      <w:highlight w:val="none"/>
                    </w:rPr>
                  </w:pPr>
                  <w:r>
                    <w:rPr>
                      <w:rFonts w:hint="eastAsia"/>
                      <w:color w:val="auto"/>
                      <w:highlight w:val="none"/>
                    </w:rPr>
                    <w:t>表示噪声向外环境排放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018" w:type="pct"/>
                  <w:tcBorders>
                    <w:tl2br w:val="nil"/>
                    <w:tr2bl w:val="nil"/>
                  </w:tcBorders>
                  <w:vAlign w:val="center"/>
                </w:tcPr>
                <w:p>
                  <w:pPr>
                    <w:spacing w:line="240" w:lineRule="auto"/>
                    <w:rPr>
                      <w:color w:val="auto"/>
                      <w:highlight w:val="none"/>
                    </w:rPr>
                  </w:pPr>
                  <w:r>
                    <w:rPr>
                      <w:color w:val="auto"/>
                      <w:highlight w:val="none"/>
                    </w:rPr>
                    <w:fldChar w:fldCharType="begin"/>
                  </w:r>
                  <w:r>
                    <w:rPr>
                      <w:color w:val="auto"/>
                      <w:highlight w:val="none"/>
                    </w:rPr>
                    <w:instrText xml:space="preserve"> HYPERLINK "http://www.biaozhi.net/eNews/news/200602/0029_0000000907.shtml" \t "_blank" </w:instrText>
                  </w:r>
                  <w:r>
                    <w:rPr>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"http://www.biaozhi.net/enews/UploadFiles/smallImg/783.gif" \* MERGEFORMATINET </w:instrText>
                  </w:r>
                  <w:r>
                    <w:rPr>
                      <w:rFonts w:hint="eastAsia"/>
                      <w:color w:val="auto"/>
                      <w:highlight w:val="none"/>
                    </w:rPr>
                    <w:fldChar w:fldCharType="separate"/>
                  </w:r>
                  <w:r>
                    <w:rPr>
                      <w:color w:val="auto"/>
                      <w:highlight w:val="none"/>
                    </w:rPr>
                    <w:fldChar w:fldCharType="begin"/>
                  </w:r>
                  <w:r>
                    <w:rPr>
                      <w:color w:val="auto"/>
                      <w:highlight w:val="none"/>
                    </w:rPr>
                    <w:instrText xml:space="preserve"> INCLUDEPICTURE  "http://www.biaozhi.net/enews/UploadFiles/smallImg/783.gif" \* MERGEFORMATINET </w:instrText>
                  </w:r>
                  <w:r>
                    <w:rPr>
                      <w:color w:val="auto"/>
                      <w:highlight w:val="none"/>
                    </w:rPr>
                    <w:fldChar w:fldCharType="separate"/>
                  </w:r>
                  <w:r>
                    <w:rPr>
                      <w:color w:val="auto"/>
                      <w:highlight w:val="none"/>
                    </w:rPr>
                    <w:fldChar w:fldCharType="begin"/>
                  </w:r>
                  <w:r>
                    <w:rPr>
                      <w:color w:val="auto"/>
                      <w:highlight w:val="none"/>
                    </w:rPr>
                    <w:instrText xml:space="preserve"> INCLUDEPICTURE  "http://www.biaozhi.net/enews/UploadFiles/smallImg/783.gif" \* MERGEFORMATINET </w:instrText>
                  </w:r>
                  <w:r>
                    <w:rPr>
                      <w:color w:val="auto"/>
                      <w:highlight w:val="none"/>
                    </w:rPr>
                    <w:fldChar w:fldCharType="separate"/>
                  </w:r>
                  <w:r>
                    <w:rPr>
                      <w:color w:val="auto"/>
                      <w:highlight w:val="none"/>
                    </w:rPr>
                    <w:pict>
                      <v:shape id="_x0000_i1031" o:spt="75" alt="点击看大图及详细资料" type="#_x0000_t75" style="height:72pt;width:72pt;" filled="f" o:preferrelative="t" stroked="f" coordsize="21600,21600">
                        <v:path/>
                        <v:fill on="f" focussize="0,0"/>
                        <v:stroke on="f" joinstyle="miter"/>
                        <v:imagedata r:id="rId31" r:href="rId32" o:title=""/>
                        <o:lock v:ext="edit" aspectratio="t"/>
                        <w10:wrap type="none"/>
                        <w10:anchorlock/>
                      </v:shape>
                    </w:pict>
                  </w:r>
                  <w:r>
                    <w:rPr>
                      <w:color w:val="auto"/>
                      <w:highlight w:val="none"/>
                    </w:rPr>
                    <w:fldChar w:fldCharType="end"/>
                  </w:r>
                  <w:r>
                    <w:rPr>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p>
              </w:tc>
              <w:tc>
                <w:tcPr>
                  <w:tcW w:w="1545" w:type="pct"/>
                  <w:tcBorders>
                    <w:tl2br w:val="nil"/>
                    <w:tr2bl w:val="nil"/>
                  </w:tcBorders>
                  <w:vAlign w:val="center"/>
                </w:tcPr>
                <w:p>
                  <w:pPr>
                    <w:spacing w:line="240" w:lineRule="auto"/>
                    <w:rPr>
                      <w:color w:val="auto"/>
                      <w:highlight w:val="none"/>
                    </w:rPr>
                  </w:pPr>
                  <w:r>
                    <w:rPr>
                      <w:rFonts w:hint="eastAsia"/>
                      <w:color w:val="auto"/>
                      <w:highlight w:val="none"/>
                    </w:rPr>
                    <w:t>简介：废气排放口</w:t>
                  </w:r>
                </w:p>
                <w:p>
                  <w:pPr>
                    <w:spacing w:line="240" w:lineRule="auto"/>
                    <w:rPr>
                      <w:color w:val="auto"/>
                      <w:highlight w:val="none"/>
                    </w:rPr>
                  </w:pPr>
                  <w:r>
                    <w:rPr>
                      <w:rFonts w:hint="eastAsia"/>
                      <w:color w:val="auto"/>
                      <w:highlight w:val="none"/>
                    </w:rPr>
                    <w:t>提示图形符号</w:t>
                  </w:r>
                </w:p>
                <w:p>
                  <w:pPr>
                    <w:spacing w:line="240" w:lineRule="auto"/>
                    <w:rPr>
                      <w:color w:val="auto"/>
                      <w:highlight w:val="none"/>
                    </w:rPr>
                  </w:pPr>
                  <w:r>
                    <w:rPr>
                      <w:rFonts w:hint="eastAsia"/>
                      <w:color w:val="auto"/>
                      <w:highlight w:val="none"/>
                    </w:rPr>
                    <w:t>废气排放口</w:t>
                  </w:r>
                </w:p>
                <w:p>
                  <w:pPr>
                    <w:spacing w:line="240" w:lineRule="auto"/>
                    <w:rPr>
                      <w:color w:val="auto"/>
                      <w:highlight w:val="none"/>
                    </w:rPr>
                  </w:pPr>
                  <w:r>
                    <w:rPr>
                      <w:rFonts w:hint="eastAsia"/>
                      <w:color w:val="auto"/>
                      <w:highlight w:val="none"/>
                    </w:rPr>
                    <w:t>表示废气向大气环境排放</w:t>
                  </w:r>
                </w:p>
              </w:tc>
              <w:tc>
                <w:tcPr>
                  <w:tcW w:w="1062" w:type="pct"/>
                  <w:tcBorders>
                    <w:tl2br w:val="nil"/>
                    <w:tr2bl w:val="nil"/>
                  </w:tcBorders>
                  <w:vAlign w:val="center"/>
                </w:tcPr>
                <w:p>
                  <w:pPr>
                    <w:spacing w:line="240" w:lineRule="auto"/>
                    <w:rPr>
                      <w:color w:val="auto"/>
                      <w:highlight w:val="none"/>
                    </w:rPr>
                  </w:pP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"C:\\..\\..\\Administrator\\AppData\\Roaming\\Tencent\\Users\\1049960459\\TIM\\WinTemp\\RichOle\\[2OM$Q~9VA`3U0OK~8X)9(6.png"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"C:\\Users\\zgl\\Documents\\Administrator\\AppData\\Roaming\\Tencent\\Users\\1049960459\\TIM\\WinTemp\\RichOle\\%5b2OM$Q~9VA%603U0OK~8X)9(6.png"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"F:\\..\\Administrator\\AppData\\Roaming\\Tencent\\Users\\1049960459\\TIM\\WinTemp\\RichOle\\%5b2OM$Q~9VA%603U0OK~8X)9(6.png"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"H:\\..\\Administrator\\AppData\\Roaming\\Tencent\\Users\\1049960459\\TIM\\WinTemp\\RichOle\\%5b2OM$Q~9VA%603U0OK~8X)9(6.png"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"F:\\..\\..\\Administrator\\AppData\\Roaming\\Tencent\\Users\\1049960459\\TIM\\WinTemp\\RichOle\\%255b2OM$Q~9VA%25603U0OK~8X)9(6.png"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"F:\\..\\..\\Administrator\\AppData\\Roaming\\Tencent\\Users\\1049960459\\TIM\\WinTemp\\RichOle\\%255b2OM$Q~9VA%25603U0OK~8X)9(6.png"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"F:\\..\\..\\Administrator\\AppData\\Roaming\\Tencent\\Users\\1049960459\\TIM\\WinTemp\\RichOle\\%255b2OM$Q~9VA%25603U0OK~8X)9(6.png"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"F:\\..\\..\\Administrator\\AppData\\Roaming\\Tencent\\Users\\1049960459\\TIM\\WinTemp\\RichOle\\%255b2OM$Q~9VA%25603U0OK~8X)9(6.png"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"F:\\..\\..\\Administrator\\AppData\\Roaming\\Tencent\\Users\\1049960459\\TIM\\WinTemp\\RichOle\\%255b2OM$Q~9VA%25603U0OK~8X)9(6.png"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"F:\\环评报告\\Administrator\\AppData\\Roaming\\Tencent\\Users\\1049960459\\TIM\\WinTemp\\RichOle\\%255b2OM$Q~9VA%25603U0OK~8X)9(6.png"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"C:\\..\\..\\Administrator\\AppData\\Roaming\\Tencent\\Users\\1049960459\\TIM\\WinTemp\\RichOle\\%255b2OM$Q~9VA%25603U0OK~8X)9(6.png"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"H:\\环评报告\\Administrator\\AppData\\Roaming\\Tencent\\Users\\1049960459\\TIM\\WinTemp\\RichOle\\%255b2OM$Q~9VA%25603U0OK~8X)9(6.png" \* MERGEFORMATINET </w:instrText>
                  </w:r>
                  <w:r>
                    <w:rPr>
                      <w:rFonts w:hint="eastAsia"/>
                      <w:color w:val="auto"/>
                      <w:highlight w:val="none"/>
                    </w:rPr>
                    <w:fldChar w:fldCharType="separate"/>
                  </w:r>
                  <w:r>
                    <w:rPr>
                      <w:rFonts w:hint="eastAsia"/>
                      <w:color w:val="auto"/>
                      <w:highlight w:val="none"/>
                    </w:rPr>
                    <w:fldChar w:fldCharType="begin"/>
                  </w:r>
                  <w:r>
                    <w:rPr>
                      <w:rFonts w:hint="eastAsia"/>
                      <w:color w:val="auto"/>
                      <w:highlight w:val="none"/>
                    </w:rPr>
                    <w:instrText xml:space="preserve"> INCLUDEPICTURE  "F:\\环评报告\\Administrator\\AppData\\Roaming\\Tencent\\Users\\1049960459\\TIM\\WinTemp\\RichOle\\%255b2OM$Q~9VA%25603U0OK~8X)9(6.png" \* MERGEFORMATINET </w:instrText>
                  </w:r>
                  <w:r>
                    <w:rPr>
                      <w:rFonts w:hint="eastAsia"/>
                      <w:color w:val="auto"/>
                      <w:highlight w:val="none"/>
                    </w:rPr>
                    <w:fldChar w:fldCharType="separate"/>
                  </w:r>
                  <w:r>
                    <w:rPr>
                      <w:color w:val="auto"/>
                      <w:highlight w:val="none"/>
                    </w:rPr>
                    <w:fldChar w:fldCharType="begin"/>
                  </w:r>
                  <w:r>
                    <w:rPr>
                      <w:color w:val="auto"/>
                      <w:highlight w:val="none"/>
                    </w:rPr>
                    <w:instrText xml:space="preserve"> </w:instrText>
                  </w:r>
                  <w:r>
                    <w:rPr>
                      <w:rFonts w:hint="eastAsia"/>
                      <w:color w:val="auto"/>
                      <w:highlight w:val="none"/>
                    </w:rPr>
                    <w:instrText xml:space="preserve">INCLUDEPICTURE  "F:\\环评报告\\Administrator\\AppData\\Roaming\\Tencent\\Users\\1049960459\\TIM\\WinTemp\\RichOle\\%2525252525252525252525252525252525255b2OM$Q~9VA%252525252525252525252525252525252525603U0OK~8X)9(6.png" \* MERGEFORMATINET</w:instrText>
                  </w:r>
                  <w:r>
                    <w:rPr>
                      <w:color w:val="auto"/>
                      <w:highlight w:val="none"/>
                    </w:rPr>
                    <w:instrText xml:space="preserve"> </w:instrText>
                  </w:r>
                  <w:r>
                    <w:rPr>
                      <w:color w:val="auto"/>
                      <w:highlight w:val="none"/>
                    </w:rPr>
                    <w:fldChar w:fldCharType="separate"/>
                  </w:r>
                  <w:r>
                    <w:rPr>
                      <w:color w:val="auto"/>
                      <w:highlight w:val="none"/>
                    </w:rPr>
                    <w:fldChar w:fldCharType="begin"/>
                  </w:r>
                  <w:r>
                    <w:rPr>
                      <w:color w:val="auto"/>
                      <w:highlight w:val="none"/>
                    </w:rPr>
                    <w:instrText xml:space="preserve"> </w:instrText>
                  </w:r>
                  <w:r>
                    <w:rPr>
                      <w:rFonts w:hint="eastAsia"/>
                      <w:color w:val="auto"/>
                      <w:highlight w:val="none"/>
                    </w:rPr>
                    <w:instrText xml:space="preserve">INCLUDEPICTURE  "F:\\环评报告\\Administrator\\AppData\\Roaming\\Tencent\\Users\\1049960459\\TIM\\WinTemp\\RichOle\\%252525252525252525252525252525252525252525252525252525252525252525252525252525252525252525252525252525252525252525252525252525252525252525252525252525252525252525252525252525252525252525252525252525252525252525252525252525252525252525252525252525252525252525255b2OM$Q~9VA%25252525252525252525252525252525252525252525252525252525252525252525252525252525252525252525252525252525252525252525252525252525252525252525252525252525252525252525252525252525252525252525252525252525252525252525252525252525252525252525252525252525252525252525603U0OK~8X)9(6.png" \* MERGEFORMATINET</w:instrText>
                  </w:r>
                  <w:r>
                    <w:rPr>
                      <w:color w:val="auto"/>
                      <w:highlight w:val="none"/>
                    </w:rPr>
                    <w:instrText xml:space="preserve"> </w:instrText>
                  </w:r>
                  <w:r>
                    <w:rPr>
                      <w:color w:val="auto"/>
                      <w:highlight w:val="none"/>
                    </w:rPr>
                    <w:fldChar w:fldCharType="separate"/>
                  </w:r>
                  <w:r>
                    <w:rPr>
                      <w:color w:val="auto"/>
                      <w:highlight w:val="none"/>
                    </w:rPr>
                    <w:pict>
                      <v:shape id="_x0000_i1032" o:spt="75" alt="[2OM$Q~9VA`3U0OK~8X)9(6" type="#_x0000_t75" style="height:72pt;width:72pt;" filled="f" o:preferrelative="t" stroked="f" coordsize="21600,21600">
                        <v:path/>
                        <v:fill on="f" focussize="0,0"/>
                        <v:stroke on="f" joinstyle="miter"/>
                        <v:imagedata r:id="rId33" r:href="rId34" o:title=""/>
                        <o:lock v:ext="edit" aspectratio="t"/>
                        <w10:wrap type="none"/>
                        <w10:anchorlock/>
                      </v:shape>
                    </w:pict>
                  </w:r>
                  <w:r>
                    <w:rPr>
                      <w:color w:val="auto"/>
                      <w:highlight w:val="none"/>
                    </w:rPr>
                    <w:fldChar w:fldCharType="end"/>
                  </w:r>
                  <w:r>
                    <w:rPr>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r>
                    <w:rPr>
                      <w:rFonts w:hint="eastAsia"/>
                      <w:color w:val="auto"/>
                      <w:highlight w:val="none"/>
                    </w:rPr>
                    <w:fldChar w:fldCharType="end"/>
                  </w:r>
                </w:p>
              </w:tc>
              <w:tc>
                <w:tcPr>
                  <w:tcW w:w="1376" w:type="pct"/>
                  <w:tcBorders>
                    <w:tl2br w:val="nil"/>
                    <w:tr2bl w:val="nil"/>
                  </w:tcBorders>
                  <w:vAlign w:val="center"/>
                </w:tcPr>
                <w:p>
                  <w:pPr>
                    <w:spacing w:line="240" w:lineRule="auto"/>
                    <w:rPr>
                      <w:color w:val="auto"/>
                      <w:highlight w:val="none"/>
                    </w:rPr>
                  </w:pPr>
                  <w:r>
                    <w:rPr>
                      <w:rFonts w:hint="eastAsia"/>
                      <w:color w:val="auto"/>
                      <w:highlight w:val="none"/>
                    </w:rPr>
                    <w:t>简介：一般固体废弃物</w:t>
                  </w:r>
                </w:p>
                <w:p>
                  <w:pPr>
                    <w:spacing w:line="240" w:lineRule="auto"/>
                    <w:rPr>
                      <w:color w:val="auto"/>
                      <w:highlight w:val="none"/>
                    </w:rPr>
                  </w:pPr>
                  <w:r>
                    <w:rPr>
                      <w:rFonts w:hint="eastAsia"/>
                      <w:color w:val="auto"/>
                      <w:highlight w:val="none"/>
                    </w:rPr>
                    <w:t>提示图形符号</w:t>
                  </w:r>
                </w:p>
                <w:p>
                  <w:pPr>
                    <w:spacing w:line="240" w:lineRule="auto"/>
                    <w:rPr>
                      <w:color w:val="auto"/>
                      <w:highlight w:val="none"/>
                    </w:rPr>
                  </w:pPr>
                  <w:r>
                    <w:rPr>
                      <w:rFonts w:hint="eastAsia"/>
                      <w:color w:val="auto"/>
                      <w:highlight w:val="none"/>
                    </w:rPr>
                    <w:t>表示一般固体废弃物贮存、处置场</w:t>
                  </w:r>
                </w:p>
              </w:tc>
            </w:tr>
          </w:tbl>
          <w:p>
            <w:pPr>
              <w:pStyle w:val="100"/>
              <w:numPr>
                <w:ilvl w:val="0"/>
                <w:numId w:val="0"/>
              </w:numPr>
              <w:spacing w:line="240" w:lineRule="auto"/>
              <w:ind w:firstLine="420" w:firstLineChars="200"/>
              <w:rPr>
                <w:rFonts w:ascii="Times New Roman" w:hAnsi="Times New Roman" w:eastAsia="宋体"/>
                <w:b w:val="0"/>
                <w:bCs/>
                <w:color w:val="auto"/>
                <w:sz w:val="21"/>
                <w:szCs w:val="21"/>
                <w:highlight w:val="none"/>
              </w:rPr>
            </w:pPr>
            <w:r>
              <w:rPr>
                <w:rFonts w:hint="eastAsia" w:ascii="Times New Roman" w:hAnsi="Times New Roman" w:eastAsia="宋体"/>
                <w:b w:val="0"/>
                <w:bCs/>
                <w:color w:val="auto"/>
                <w:sz w:val="21"/>
                <w:szCs w:val="21"/>
                <w:highlight w:val="none"/>
              </w:rPr>
              <w:t>3、管理监测信息公开</w:t>
            </w:r>
          </w:p>
          <w:p>
            <w:pPr>
              <w:spacing w:line="240" w:lineRule="auto"/>
              <w:ind w:firstLine="420" w:firstLineChars="200"/>
              <w:rPr>
                <w:b w:val="0"/>
                <w:bCs/>
                <w:color w:val="auto"/>
                <w:sz w:val="21"/>
                <w:szCs w:val="18"/>
                <w:highlight w:val="none"/>
              </w:rPr>
            </w:pPr>
            <w:r>
              <w:rPr>
                <w:rFonts w:hint="eastAsia"/>
                <w:b w:val="0"/>
                <w:bCs/>
                <w:color w:val="auto"/>
                <w:sz w:val="21"/>
                <w:szCs w:val="18"/>
                <w:highlight w:val="none"/>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pPr>
              <w:spacing w:line="240" w:lineRule="auto"/>
              <w:ind w:firstLine="420" w:firstLineChars="200"/>
              <w:rPr>
                <w:b w:val="0"/>
                <w:bCs/>
                <w:color w:val="auto"/>
                <w:sz w:val="21"/>
                <w:szCs w:val="18"/>
                <w:highlight w:val="none"/>
              </w:rPr>
            </w:pPr>
            <w:r>
              <w:rPr>
                <w:rFonts w:hint="eastAsia"/>
                <w:b w:val="0"/>
                <w:bCs/>
                <w:color w:val="auto"/>
                <w:sz w:val="21"/>
                <w:szCs w:val="18"/>
                <w:highlight w:val="none"/>
              </w:rPr>
              <w:t>1）基础信息，包括单位名称、组织机构代码、法定代表人、生产地址、联系方式，以及生产经营和管理服务的主要内容、产品及规模；</w:t>
            </w:r>
          </w:p>
          <w:p>
            <w:pPr>
              <w:spacing w:line="240" w:lineRule="auto"/>
              <w:ind w:firstLine="420" w:firstLineChars="200"/>
              <w:rPr>
                <w:b w:val="0"/>
                <w:bCs/>
                <w:color w:val="auto"/>
                <w:sz w:val="21"/>
                <w:szCs w:val="18"/>
                <w:highlight w:val="none"/>
              </w:rPr>
            </w:pPr>
            <w:r>
              <w:rPr>
                <w:rFonts w:hint="eastAsia"/>
                <w:b w:val="0"/>
                <w:bCs/>
                <w:color w:val="auto"/>
                <w:sz w:val="21"/>
                <w:szCs w:val="18"/>
                <w:highlight w:val="none"/>
              </w:rPr>
              <w:t>2）排污信息，包括主要污染物及特征污染物的名称、排放方式、排放口数量和分布情况、排放浓度和总量、超标情况以及执行的污染物排放标准、核定的排放总量；</w:t>
            </w:r>
          </w:p>
          <w:p>
            <w:pPr>
              <w:spacing w:line="240" w:lineRule="auto"/>
              <w:ind w:firstLine="420" w:firstLineChars="200"/>
              <w:rPr>
                <w:b w:val="0"/>
                <w:bCs/>
                <w:color w:val="auto"/>
                <w:sz w:val="21"/>
                <w:szCs w:val="18"/>
                <w:highlight w:val="none"/>
              </w:rPr>
            </w:pPr>
            <w:r>
              <w:rPr>
                <w:rFonts w:hint="eastAsia"/>
                <w:b w:val="0"/>
                <w:bCs/>
                <w:color w:val="auto"/>
                <w:sz w:val="21"/>
                <w:szCs w:val="18"/>
                <w:highlight w:val="none"/>
              </w:rPr>
              <w:t>3）防治污染设施的建设和运行情况；</w:t>
            </w:r>
          </w:p>
          <w:p>
            <w:pPr>
              <w:spacing w:line="240" w:lineRule="auto"/>
              <w:ind w:firstLine="420" w:firstLineChars="200"/>
              <w:rPr>
                <w:b w:val="0"/>
                <w:bCs/>
                <w:color w:val="auto"/>
                <w:sz w:val="21"/>
                <w:szCs w:val="18"/>
                <w:highlight w:val="none"/>
              </w:rPr>
            </w:pPr>
            <w:r>
              <w:rPr>
                <w:rFonts w:hint="eastAsia"/>
                <w:b w:val="0"/>
                <w:bCs/>
                <w:color w:val="auto"/>
                <w:sz w:val="21"/>
                <w:szCs w:val="18"/>
                <w:highlight w:val="none"/>
              </w:rPr>
              <w:t>4）建设项目环境影响评价及其他环境保护行政许可情况；</w:t>
            </w:r>
          </w:p>
          <w:p>
            <w:pPr>
              <w:spacing w:line="240" w:lineRule="auto"/>
              <w:ind w:firstLine="420" w:firstLineChars="200"/>
              <w:rPr>
                <w:b w:val="0"/>
                <w:bCs/>
                <w:color w:val="auto"/>
                <w:sz w:val="21"/>
                <w:szCs w:val="18"/>
                <w:highlight w:val="none"/>
              </w:rPr>
            </w:pPr>
            <w:r>
              <w:rPr>
                <w:rFonts w:hint="eastAsia"/>
                <w:b w:val="0"/>
                <w:bCs/>
                <w:color w:val="auto"/>
                <w:sz w:val="21"/>
                <w:szCs w:val="18"/>
                <w:highlight w:val="none"/>
              </w:rPr>
              <w:t>5）其他应当公开的环境信息。如竣工环境保护验收备案、自行监测工作开展情况及监测结果。</w:t>
            </w:r>
          </w:p>
          <w:p>
            <w:pPr>
              <w:spacing w:line="240" w:lineRule="auto"/>
              <w:ind w:firstLine="420" w:firstLineChars="200"/>
              <w:rPr>
                <w:b w:val="0"/>
                <w:bCs/>
                <w:color w:val="auto"/>
                <w:sz w:val="21"/>
                <w:szCs w:val="18"/>
                <w:highlight w:val="none"/>
              </w:rPr>
            </w:pPr>
            <w:r>
              <w:rPr>
                <w:rFonts w:hint="eastAsia"/>
                <w:b w:val="0"/>
                <w:bCs/>
                <w:color w:val="auto"/>
                <w:sz w:val="21"/>
                <w:szCs w:val="18"/>
                <w:highlight w:val="none"/>
              </w:rPr>
              <w:t>4、其他管理要求</w:t>
            </w:r>
          </w:p>
          <w:p>
            <w:pPr>
              <w:spacing w:line="240" w:lineRule="auto"/>
              <w:ind w:firstLine="420" w:firstLineChars="200"/>
              <w:rPr>
                <w:color w:val="auto"/>
                <w:sz w:val="21"/>
                <w:szCs w:val="18"/>
                <w:highlight w:val="none"/>
              </w:rPr>
            </w:pPr>
            <w:r>
              <w:rPr>
                <w:rFonts w:hint="eastAsia"/>
                <w:color w:val="auto"/>
                <w:sz w:val="21"/>
                <w:szCs w:val="18"/>
                <w:highlight w:val="none"/>
              </w:rPr>
              <w:t>项目建设完成以后，及时办理排污许可证，并进行竣工环境保护验收。</w:t>
            </w: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szCs w:val="18"/>
                <w:highlight w:val="none"/>
              </w:rPr>
            </w:pPr>
          </w:p>
          <w:p>
            <w:pPr>
              <w:spacing w:line="240" w:lineRule="auto"/>
              <w:ind w:firstLine="420" w:firstLineChars="200"/>
              <w:rPr>
                <w:color w:val="auto"/>
                <w:highlight w:val="none"/>
              </w:rPr>
            </w:pPr>
          </w:p>
        </w:tc>
      </w:tr>
    </w:tbl>
    <w:p>
      <w:pPr>
        <w:rPr>
          <w:color w:val="FF0000"/>
          <w:highlight w:val="none"/>
        </w:rPr>
        <w:sectPr>
          <w:pgSz w:w="11906" w:h="16838"/>
          <w:pgMar w:top="1701" w:right="1531" w:bottom="1701" w:left="1531" w:header="1134" w:footer="992" w:gutter="0"/>
          <w:pgBorders>
            <w:top w:val="none" w:sz="0" w:space="0"/>
            <w:left w:val="none" w:sz="0" w:space="0"/>
            <w:bottom w:val="none" w:sz="0" w:space="0"/>
            <w:right w:val="none" w:sz="0" w:space="0"/>
          </w:pgBorders>
          <w:cols w:space="425" w:num="1"/>
          <w:docGrid w:type="lines" w:linePitch="312" w:charSpace="0"/>
        </w:sectPr>
      </w:pPr>
    </w:p>
    <w:p>
      <w:pPr>
        <w:pStyle w:val="20"/>
        <w:spacing w:before="0" w:beforeAutospacing="0" w:after="0" w:afterAutospacing="0"/>
        <w:jc w:val="center"/>
        <w:outlineLvl w:val="0"/>
        <w:rPr>
          <w:rFonts w:ascii="黑体" w:hAnsi="黑体" w:eastAsia="黑体"/>
          <w:color w:val="000000" w:themeColor="text1"/>
          <w:sz w:val="30"/>
          <w:szCs w:val="30"/>
          <w:highlight w:val="none"/>
          <w14:textFill>
            <w14:solidFill>
              <w14:schemeClr w14:val="tx1"/>
            </w14:solidFill>
          </w14:textFill>
        </w:rPr>
      </w:pPr>
      <w:bookmarkStart w:id="21" w:name="_Toc20775"/>
      <w:r>
        <w:rPr>
          <w:rFonts w:hint="eastAsia" w:ascii="黑体" w:hAnsi="黑体" w:eastAsia="黑体"/>
          <w:color w:val="000000" w:themeColor="text1"/>
          <w:sz w:val="30"/>
          <w:szCs w:val="30"/>
          <w:highlight w:val="none"/>
          <w14:textFill>
            <w14:solidFill>
              <w14:schemeClr w14:val="tx1"/>
            </w14:solidFill>
          </w14:textFill>
        </w:rPr>
        <w:t>六、</w:t>
      </w:r>
      <w:r>
        <w:rPr>
          <w:rFonts w:hint="eastAsia" w:ascii="黑体" w:hAnsi="黑体" w:eastAsia="黑体"/>
          <w:snapToGrid w:val="0"/>
          <w:color w:val="000000" w:themeColor="text1"/>
          <w:sz w:val="30"/>
          <w:szCs w:val="30"/>
          <w:highlight w:val="none"/>
          <w14:textFill>
            <w14:solidFill>
              <w14:schemeClr w14:val="tx1"/>
            </w14:solidFill>
          </w14:textFill>
        </w:rPr>
        <w:t>结论</w:t>
      </w:r>
      <w:bookmarkEnd w:id="21"/>
    </w:p>
    <w:tbl>
      <w:tblPr>
        <w:tblStyle w:val="29"/>
        <w:tblW w:w="9214" w:type="dxa"/>
        <w:tblInd w:w="-147"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921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2472" w:hRule="atLeast"/>
        </w:trPr>
        <w:tc>
          <w:tcPr>
            <w:tcW w:w="9214" w:type="dxa"/>
            <w:tcBorders>
              <w:tl2br w:val="nil"/>
              <w:tr2bl w:val="nil"/>
            </w:tcBorders>
            <w:vAlign w:val="center"/>
          </w:tcPr>
          <w:p>
            <w:pPr>
              <w:adjustRightInd w:val="0"/>
              <w:snapToGrid w:val="0"/>
              <w:spacing w:line="480" w:lineRule="exact"/>
              <w:ind w:firstLine="480" w:firstLineChars="200"/>
              <w:rPr>
                <w:bCs/>
                <w:color w:val="FF0000"/>
                <w:highlight w:val="none"/>
              </w:rPr>
            </w:pPr>
            <w:r>
              <w:rPr>
                <w:rFonts w:hint="eastAsia"/>
                <w:b w:val="0"/>
                <w:bCs/>
                <w:color w:val="000000" w:themeColor="text1"/>
                <w:sz w:val="24"/>
                <w:szCs w:val="24"/>
                <w:highlight w:val="none"/>
                <w14:textFill>
                  <w14:solidFill>
                    <w14:schemeClr w14:val="tx1"/>
                  </w14:solidFill>
                </w14:textFill>
              </w:rPr>
              <w:t>从环保角度考虑，评价认为该项目建设可行。</w:t>
            </w:r>
          </w:p>
        </w:tc>
      </w:tr>
    </w:tbl>
    <w:p>
      <w:pPr>
        <w:rPr>
          <w:color w:val="FF0000"/>
          <w:highlight w:val="none"/>
        </w:rPr>
        <w:sectPr>
          <w:pgSz w:w="11906" w:h="16838"/>
          <w:pgMar w:top="1701" w:right="1531" w:bottom="1701" w:left="1531" w:header="1134" w:footer="992" w:gutter="0"/>
          <w:pgBorders>
            <w:top w:val="none" w:sz="0" w:space="0"/>
            <w:left w:val="none" w:sz="0" w:space="0"/>
            <w:bottom w:val="none" w:sz="0" w:space="0"/>
            <w:right w:val="none" w:sz="0" w:space="0"/>
          </w:pgBorders>
          <w:cols w:space="425" w:num="1"/>
          <w:docGrid w:type="lines" w:linePitch="312" w:charSpace="0"/>
        </w:sectPr>
      </w:pPr>
    </w:p>
    <w:p>
      <w:pPr>
        <w:pStyle w:val="20"/>
        <w:adjustRightInd w:val="0"/>
        <w:snapToGrid w:val="0"/>
        <w:spacing w:before="0" w:beforeAutospacing="0" w:after="0" w:afterAutospacing="0"/>
        <w:jc w:val="center"/>
        <w:outlineLvl w:val="0"/>
        <w:rPr>
          <w:rFonts w:hint="eastAsia" w:ascii="黑体" w:hAnsi="黑体" w:eastAsia="黑体" w:cs="黑体"/>
          <w:snapToGrid w:val="0"/>
          <w:color w:val="000000" w:themeColor="text1"/>
          <w:sz w:val="38"/>
          <w:szCs w:val="38"/>
          <w:highlight w:val="none"/>
          <w14:textFill>
            <w14:solidFill>
              <w14:schemeClr w14:val="tx1"/>
            </w14:solidFill>
          </w14:textFill>
        </w:rPr>
      </w:pPr>
      <w:bookmarkStart w:id="22" w:name="_Toc7885"/>
      <w:r>
        <w:rPr>
          <w:rFonts w:hint="eastAsia" w:ascii="黑体" w:hAnsi="黑体" w:eastAsia="黑体" w:cs="黑体"/>
          <w:snapToGrid w:val="0"/>
          <w:color w:val="000000" w:themeColor="text1"/>
          <w:sz w:val="38"/>
          <w:szCs w:val="38"/>
          <w:highlight w:val="none"/>
          <w14:textFill>
            <w14:solidFill>
              <w14:schemeClr w14:val="tx1"/>
            </w14:solidFill>
          </w14:textFill>
        </w:rPr>
        <w:t>建设项目污染物排放量汇总表</w:t>
      </w:r>
      <w:bookmarkEnd w:id="22"/>
    </w:p>
    <w:tbl>
      <w:tblPr>
        <w:tblStyle w:val="28"/>
        <w:tblW w:w="14024" w:type="dxa"/>
        <w:tblInd w:w="-23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2066"/>
        <w:gridCol w:w="1521"/>
        <w:gridCol w:w="1456"/>
        <w:gridCol w:w="1521"/>
        <w:gridCol w:w="1559"/>
        <w:gridCol w:w="1418"/>
        <w:gridCol w:w="1843"/>
        <w:gridCol w:w="1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75" w:type="dxa"/>
            <w:tcBorders>
              <w:tl2br w:val="single" w:color="auto" w:sz="4" w:space="0"/>
            </w:tcBorders>
            <w:tcMar>
              <w:left w:w="28" w:type="dxa"/>
              <w:right w:w="28" w:type="dxa"/>
            </w:tcMar>
            <w:vAlign w:val="center"/>
          </w:tcPr>
          <w:p>
            <w:pPr>
              <w:pStyle w:val="36"/>
              <w:spacing w:beforeLines="0" w:afterLines="0" w:line="240" w:lineRule="auto"/>
              <w:jc w:val="right"/>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项目</w:t>
            </w:r>
          </w:p>
          <w:p>
            <w:pPr>
              <w:pStyle w:val="36"/>
              <w:spacing w:beforeLines="0" w:afterLines="0" w:line="240" w:lineRule="auto"/>
              <w:ind w:firstLine="198" w:firstLineChars="100"/>
              <w:jc w:val="left"/>
              <w:rPr>
                <w:rFonts w:hint="default" w:ascii="Times New Roman" w:hAnsi="Times New Roman" w:eastAsia="黑体" w:cs="Times New Roman"/>
                <w:snapToGrid w:val="0"/>
                <w:color w:val="auto"/>
                <w:spacing w:val="-6"/>
                <w:kern w:val="21"/>
                <w:sz w:val="21"/>
                <w:szCs w:val="21"/>
                <w:highlight w:val="none"/>
              </w:rPr>
            </w:pPr>
            <w:r>
              <w:rPr>
                <w:rFonts w:hint="default" w:ascii="Times New Roman" w:hAnsi="Times New Roman" w:eastAsia="黑体" w:cs="Times New Roman"/>
                <w:snapToGrid w:val="0"/>
                <w:color w:val="auto"/>
                <w:spacing w:val="-6"/>
                <w:kern w:val="21"/>
                <w:sz w:val="21"/>
                <w:szCs w:val="21"/>
                <w:highlight w:val="none"/>
              </w:rPr>
              <w:t>分类</w:t>
            </w:r>
          </w:p>
        </w:tc>
        <w:tc>
          <w:tcPr>
            <w:tcW w:w="2066" w:type="dxa"/>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污染物名称</w:t>
            </w:r>
          </w:p>
        </w:tc>
        <w:tc>
          <w:tcPr>
            <w:tcW w:w="1521" w:type="dxa"/>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现有工程</w:t>
            </w:r>
          </w:p>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排放量（固体废物产生量）</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1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cs="Times New Roman"/>
                <w:color w:val="auto"/>
                <w:kern w:val="2"/>
                <w:sz w:val="21"/>
                <w:szCs w:val="21"/>
                <w:highlight w:val="none"/>
              </w:rPr>
              <w:t>①</w:t>
            </w:r>
            <w:r>
              <w:rPr>
                <w:rFonts w:hint="default" w:ascii="Times New Roman" w:hAnsi="Times New Roman" w:eastAsia="黑体" w:cs="Times New Roman"/>
                <w:snapToGrid w:val="0"/>
                <w:color w:val="auto"/>
                <w:kern w:val="21"/>
                <w:sz w:val="21"/>
                <w:szCs w:val="21"/>
                <w:highlight w:val="none"/>
              </w:rPr>
              <w:fldChar w:fldCharType="end"/>
            </w:r>
          </w:p>
        </w:tc>
        <w:tc>
          <w:tcPr>
            <w:tcW w:w="1456" w:type="dxa"/>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现有工程</w:t>
            </w:r>
          </w:p>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许可排放量</w:t>
            </w:r>
          </w:p>
          <w:p>
            <w:pPr>
              <w:pStyle w:val="36"/>
              <w:spacing w:beforeLines="0" w:afterLines="0"/>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2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cs="Times New Roman"/>
                <w:snapToGrid w:val="0"/>
                <w:color w:val="auto"/>
                <w:kern w:val="21"/>
                <w:sz w:val="21"/>
                <w:szCs w:val="21"/>
                <w:highlight w:val="none"/>
              </w:rPr>
              <w:t>②</w:t>
            </w:r>
            <w:r>
              <w:rPr>
                <w:rFonts w:hint="default" w:ascii="Times New Roman" w:hAnsi="Times New Roman" w:eastAsia="黑体" w:cs="Times New Roman"/>
                <w:snapToGrid w:val="0"/>
                <w:color w:val="auto"/>
                <w:kern w:val="21"/>
                <w:sz w:val="21"/>
                <w:szCs w:val="21"/>
                <w:highlight w:val="none"/>
              </w:rPr>
              <w:fldChar w:fldCharType="end"/>
            </w:r>
          </w:p>
        </w:tc>
        <w:tc>
          <w:tcPr>
            <w:tcW w:w="1521" w:type="dxa"/>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在建工程</w:t>
            </w:r>
          </w:p>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排放量（固体废物产生量）</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3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cs="Times New Roman"/>
                <w:color w:val="auto"/>
                <w:kern w:val="2"/>
                <w:sz w:val="21"/>
                <w:szCs w:val="21"/>
                <w:highlight w:val="none"/>
              </w:rPr>
              <w:t>③</w:t>
            </w:r>
            <w:r>
              <w:rPr>
                <w:rFonts w:hint="default" w:ascii="Times New Roman" w:hAnsi="Times New Roman" w:eastAsia="黑体" w:cs="Times New Roman"/>
                <w:snapToGrid w:val="0"/>
                <w:color w:val="auto"/>
                <w:kern w:val="21"/>
                <w:sz w:val="21"/>
                <w:szCs w:val="21"/>
                <w:highlight w:val="none"/>
              </w:rPr>
              <w:fldChar w:fldCharType="end"/>
            </w:r>
          </w:p>
        </w:tc>
        <w:tc>
          <w:tcPr>
            <w:tcW w:w="1559" w:type="dxa"/>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本项目</w:t>
            </w:r>
          </w:p>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排放量（固体废物产生量）</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4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cs="Times New Roman"/>
                <w:color w:val="auto"/>
                <w:kern w:val="2"/>
                <w:sz w:val="21"/>
                <w:szCs w:val="21"/>
                <w:highlight w:val="none"/>
              </w:rPr>
              <w:t>④</w:t>
            </w:r>
            <w:r>
              <w:rPr>
                <w:rFonts w:hint="default" w:ascii="Times New Roman" w:hAnsi="Times New Roman" w:eastAsia="黑体" w:cs="Times New Roman"/>
                <w:snapToGrid w:val="0"/>
                <w:color w:val="auto"/>
                <w:kern w:val="21"/>
                <w:sz w:val="21"/>
                <w:szCs w:val="21"/>
                <w:highlight w:val="none"/>
              </w:rPr>
              <w:fldChar w:fldCharType="end"/>
            </w:r>
          </w:p>
        </w:tc>
        <w:tc>
          <w:tcPr>
            <w:tcW w:w="1418" w:type="dxa"/>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以新带老</w:t>
            </w:r>
          </w:p>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削减量（新建项目不填）</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5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cs="Times New Roman"/>
                <w:color w:val="auto"/>
                <w:kern w:val="2"/>
                <w:sz w:val="21"/>
                <w:szCs w:val="21"/>
                <w:highlight w:val="none"/>
              </w:rPr>
              <w:t>⑤</w:t>
            </w:r>
            <w:r>
              <w:rPr>
                <w:rFonts w:hint="default" w:ascii="Times New Roman" w:hAnsi="Times New Roman" w:eastAsia="黑体" w:cs="Times New Roman"/>
                <w:snapToGrid w:val="0"/>
                <w:color w:val="auto"/>
                <w:kern w:val="21"/>
                <w:sz w:val="21"/>
                <w:szCs w:val="21"/>
                <w:highlight w:val="none"/>
              </w:rPr>
              <w:fldChar w:fldCharType="end"/>
            </w:r>
          </w:p>
        </w:tc>
        <w:tc>
          <w:tcPr>
            <w:tcW w:w="1843" w:type="dxa"/>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本项目建成后</w:t>
            </w:r>
          </w:p>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全厂排放量（固体废物产生量）</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6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cs="Times New Roman"/>
                <w:color w:val="auto"/>
                <w:kern w:val="2"/>
                <w:sz w:val="21"/>
                <w:szCs w:val="21"/>
                <w:highlight w:val="none"/>
              </w:rPr>
              <w:t>⑥</w:t>
            </w:r>
            <w:r>
              <w:rPr>
                <w:rFonts w:hint="default" w:ascii="Times New Roman" w:hAnsi="Times New Roman" w:eastAsia="黑体" w:cs="Times New Roman"/>
                <w:snapToGrid w:val="0"/>
                <w:color w:val="auto"/>
                <w:kern w:val="21"/>
                <w:sz w:val="21"/>
                <w:szCs w:val="21"/>
                <w:highlight w:val="none"/>
              </w:rPr>
              <w:fldChar w:fldCharType="end"/>
            </w:r>
          </w:p>
        </w:tc>
        <w:tc>
          <w:tcPr>
            <w:tcW w:w="1465" w:type="dxa"/>
            <w:tcMar>
              <w:left w:w="28" w:type="dxa"/>
              <w:right w:w="28" w:type="dxa"/>
            </w:tcMar>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变化量</w:t>
            </w:r>
          </w:p>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7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cs="Times New Roman"/>
                <w:color w:val="auto"/>
                <w:kern w:val="2"/>
                <w:sz w:val="21"/>
                <w:szCs w:val="21"/>
                <w:highlight w:val="none"/>
              </w:rPr>
              <w:t>⑦</w:t>
            </w:r>
            <w:r>
              <w:rPr>
                <w:rFonts w:hint="default" w:ascii="Times New Roman" w:hAnsi="Times New Roman" w:eastAsia="黑体" w:cs="Times New Roman"/>
                <w:snapToGrid w:val="0"/>
                <w:color w:val="auto"/>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2066" w:type="dxa"/>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颗粒物</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4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snapToGrid w:val="0"/>
                <w:color w:val="auto"/>
                <w:kern w:val="21"/>
                <w:sz w:val="21"/>
                <w:szCs w:val="21"/>
                <w:highlight w:val="none"/>
                <w:lang w:val="en-US" w:eastAsia="zh-CN"/>
              </w:rPr>
            </w:pPr>
            <w:r>
              <w:rPr>
                <w:rFonts w:hint="eastAsia" w:eastAsia="黑体" w:cs="Times New Roman"/>
                <w:snapToGrid w:val="0"/>
                <w:color w:val="auto"/>
                <w:kern w:val="21"/>
                <w:sz w:val="21"/>
                <w:szCs w:val="21"/>
                <w:highlight w:val="none"/>
                <w:lang w:val="en-US" w:eastAsia="zh-CN"/>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559"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142</w:t>
            </w:r>
            <w:r>
              <w:rPr>
                <w:rFonts w:hint="default" w:ascii="Times New Roman" w:hAnsi="Times New Roman" w:cs="Times New Roman"/>
                <w:color w:val="auto"/>
                <w:sz w:val="21"/>
                <w:szCs w:val="21"/>
                <w:highlight w:val="none"/>
              </w:rPr>
              <w:t>t/a</w:t>
            </w:r>
          </w:p>
        </w:tc>
        <w:tc>
          <w:tcPr>
            <w:tcW w:w="14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843"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142</w:t>
            </w:r>
            <w:r>
              <w:rPr>
                <w:rFonts w:hint="default" w:ascii="Times New Roman" w:hAnsi="Times New Roman" w:cs="Times New Roman"/>
                <w:color w:val="auto"/>
                <w:sz w:val="21"/>
                <w:szCs w:val="21"/>
                <w:highlight w:val="none"/>
              </w:rPr>
              <w:t>t/a</w:t>
            </w:r>
          </w:p>
        </w:tc>
        <w:tc>
          <w:tcPr>
            <w:tcW w:w="1465"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lang w:val="en-US" w:eastAsia="zh-CN"/>
              </w:rPr>
              <w:t>+</w:t>
            </w:r>
            <w:r>
              <w:rPr>
                <w:rFonts w:hint="default" w:ascii="Times New Roman" w:hAnsi="Times New Roman"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142</w:t>
            </w:r>
            <w:r>
              <w:rPr>
                <w:rFonts w:hint="default" w:ascii="Times New Roman" w:hAnsi="Times New Roman"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restart"/>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2066" w:type="dxa"/>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COD</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559"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418"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843"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465"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continue"/>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66" w:type="dxa"/>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氨氮</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559"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418"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843"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465"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restart"/>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一般工业固体废物</w:t>
            </w:r>
          </w:p>
        </w:tc>
        <w:tc>
          <w:tcPr>
            <w:tcW w:w="2066" w:type="dxa"/>
            <w:vAlign w:val="center"/>
          </w:tcPr>
          <w:p>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除尘灰</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p>
        </w:tc>
        <w:tc>
          <w:tcPr>
            <w:tcW w:w="1559"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r>
              <w:rPr>
                <w:rFonts w:hint="default" w:ascii="Times New Roman" w:hAnsi="Times New Roman" w:cs="Times New Roman"/>
                <w:color w:val="auto"/>
                <w:sz w:val="21"/>
                <w:szCs w:val="21"/>
                <w:highlight w:val="none"/>
              </w:rPr>
              <w:t>t/a</w:t>
            </w:r>
          </w:p>
        </w:tc>
        <w:tc>
          <w:tcPr>
            <w:tcW w:w="1418" w:type="dxa"/>
            <w:vAlign w:val="center"/>
          </w:tcPr>
          <w:p>
            <w:pPr>
              <w:jc w:val="center"/>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p>
        </w:tc>
        <w:tc>
          <w:tcPr>
            <w:tcW w:w="1843"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r>
              <w:rPr>
                <w:rFonts w:hint="default" w:ascii="Times New Roman" w:hAnsi="Times New Roman" w:cs="Times New Roman"/>
                <w:color w:val="auto"/>
                <w:sz w:val="21"/>
                <w:szCs w:val="21"/>
                <w:highlight w:val="none"/>
              </w:rPr>
              <w:t>t/a</w:t>
            </w:r>
          </w:p>
        </w:tc>
        <w:tc>
          <w:tcPr>
            <w:tcW w:w="1465"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r>
              <w:rPr>
                <w:rFonts w:hint="eastAsia" w:ascii="Times New Roman" w:hAnsi="Times New Roman" w:cs="Times New Roman"/>
                <w:color w:val="auto"/>
                <w:sz w:val="21"/>
                <w:szCs w:val="21"/>
                <w:highlight w:val="none"/>
                <w:lang w:val="en-US" w:eastAsia="zh-CN"/>
              </w:rPr>
              <w:t>2000</w:t>
            </w:r>
            <w:r>
              <w:rPr>
                <w:rFonts w:hint="default" w:ascii="Times New Roman" w:hAnsi="Times New Roman"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continue"/>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66" w:type="dxa"/>
            <w:vAlign w:val="center"/>
          </w:tcPr>
          <w:p>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废除尘布袋</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559" w:type="dxa"/>
            <w:vAlign w:val="center"/>
          </w:tcPr>
          <w:p>
            <w:pPr>
              <w:pStyle w:val="36"/>
              <w:spacing w:beforeLines="0" w:afterLines="0" w:line="240" w:lineRule="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c>
          <w:tcPr>
            <w:tcW w:w="1418" w:type="dxa"/>
            <w:vAlign w:val="center"/>
          </w:tcPr>
          <w:p>
            <w:pPr>
              <w:jc w:val="center"/>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p>
        </w:tc>
        <w:tc>
          <w:tcPr>
            <w:tcW w:w="1843" w:type="dxa"/>
            <w:vAlign w:val="center"/>
          </w:tcPr>
          <w:p>
            <w:pPr>
              <w:pStyle w:val="36"/>
              <w:spacing w:beforeLines="0" w:afterLines="0" w:line="240" w:lineRule="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c>
          <w:tcPr>
            <w:tcW w:w="1465"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continue"/>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66" w:type="dxa"/>
            <w:vAlign w:val="center"/>
          </w:tcPr>
          <w:p>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废包装材料</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559" w:type="dxa"/>
            <w:vAlign w:val="center"/>
          </w:tcPr>
          <w:p>
            <w:pPr>
              <w:pStyle w:val="36"/>
              <w:spacing w:beforeLines="0" w:afterLines="0" w:line="240" w:lineRule="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c>
          <w:tcPr>
            <w:tcW w:w="1418" w:type="dxa"/>
            <w:vAlign w:val="center"/>
          </w:tcPr>
          <w:p>
            <w:pPr>
              <w:jc w:val="center"/>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p>
        </w:tc>
        <w:tc>
          <w:tcPr>
            <w:tcW w:w="1843" w:type="dxa"/>
            <w:vAlign w:val="center"/>
          </w:tcPr>
          <w:p>
            <w:pPr>
              <w:pStyle w:val="36"/>
              <w:spacing w:beforeLines="0" w:afterLines="0" w:line="240" w:lineRule="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c>
          <w:tcPr>
            <w:tcW w:w="1465"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continue"/>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66" w:type="dxa"/>
            <w:vAlign w:val="center"/>
          </w:tcPr>
          <w:p>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磁选废屑</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559" w:type="dxa"/>
            <w:vAlign w:val="center"/>
          </w:tcPr>
          <w:p>
            <w:pPr>
              <w:pStyle w:val="36"/>
              <w:spacing w:beforeLines="0" w:afterLines="0" w:line="240" w:lineRule="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1418" w:type="dxa"/>
            <w:vAlign w:val="center"/>
          </w:tcPr>
          <w:p>
            <w:pPr>
              <w:jc w:val="center"/>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p>
        </w:tc>
        <w:tc>
          <w:tcPr>
            <w:tcW w:w="1843" w:type="dxa"/>
            <w:vAlign w:val="center"/>
          </w:tcPr>
          <w:p>
            <w:pPr>
              <w:pStyle w:val="36"/>
              <w:spacing w:beforeLines="0" w:afterLines="0" w:line="240" w:lineRule="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1465"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restart"/>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w:t>
            </w:r>
          </w:p>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废物</w:t>
            </w:r>
          </w:p>
        </w:tc>
        <w:tc>
          <w:tcPr>
            <w:tcW w:w="2066" w:type="dxa"/>
            <w:vAlign w:val="center"/>
          </w:tcPr>
          <w:p>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废矿物油</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lang w:val="en-US" w:eastAsia="zh-CN"/>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lang w:val="en-US" w:eastAsia="zh-CN"/>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lang w:val="en-US" w:eastAsia="zh-CN"/>
              </w:rPr>
              <w:t>/</w:t>
            </w:r>
          </w:p>
        </w:tc>
        <w:tc>
          <w:tcPr>
            <w:tcW w:w="1559" w:type="dxa"/>
            <w:vAlign w:val="center"/>
          </w:tcPr>
          <w:p>
            <w:pPr>
              <w:autoSpaceDE w:val="0"/>
              <w:autoSpaceDN w:val="0"/>
              <w:jc w:val="center"/>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1418"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843" w:type="dxa"/>
            <w:vAlign w:val="center"/>
          </w:tcPr>
          <w:p>
            <w:pPr>
              <w:autoSpaceDE w:val="0"/>
              <w:autoSpaceDN w:val="0"/>
              <w:jc w:val="center"/>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1465" w:type="dxa"/>
            <w:vAlign w:val="center"/>
          </w:tcPr>
          <w:p>
            <w:pPr>
              <w:autoSpaceDE w:val="0"/>
              <w:autoSpaceDN w:val="0"/>
              <w:jc w:val="center"/>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continue"/>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66" w:type="dxa"/>
            <w:vAlign w:val="center"/>
          </w:tcPr>
          <w:p>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废油桶</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rPr>
              <w:t>/</w:t>
            </w:r>
          </w:p>
        </w:tc>
        <w:tc>
          <w:tcPr>
            <w:tcW w:w="1559"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t/a</w:t>
            </w:r>
          </w:p>
        </w:tc>
        <w:tc>
          <w:tcPr>
            <w:tcW w:w="1418"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843"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t/a</w:t>
            </w:r>
          </w:p>
        </w:tc>
        <w:tc>
          <w:tcPr>
            <w:tcW w:w="1465"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75" w:type="dxa"/>
            <w:vMerge w:val="continue"/>
            <w:vAlign w:val="center"/>
          </w:tcPr>
          <w:p>
            <w:pPr>
              <w:pStyle w:val="36"/>
              <w:spacing w:beforeLines="0" w:afterLines="0" w:line="240" w:lineRule="auto"/>
              <w:rPr>
                <w:rFonts w:hint="default" w:ascii="Times New Roman" w:hAnsi="Times New Roman" w:eastAsia="宋体" w:cs="Times New Roman"/>
                <w:snapToGrid w:val="0"/>
                <w:color w:val="auto"/>
                <w:kern w:val="21"/>
                <w:sz w:val="21"/>
                <w:szCs w:val="21"/>
                <w:highlight w:val="none"/>
              </w:rPr>
            </w:pPr>
          </w:p>
        </w:tc>
        <w:tc>
          <w:tcPr>
            <w:tcW w:w="2066" w:type="dxa"/>
            <w:vAlign w:val="center"/>
          </w:tcPr>
          <w:p>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snapToGrid w:val="0"/>
                <w:color w:val="auto"/>
                <w:kern w:val="21"/>
                <w:sz w:val="21"/>
                <w:szCs w:val="21"/>
                <w:highlight w:val="none"/>
                <w:lang w:val="en-US" w:eastAsia="zh-CN" w:bidi="ar-SA"/>
              </w:rPr>
              <w:t>检测废液</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456"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521" w:type="dxa"/>
            <w:vAlign w:val="center"/>
          </w:tcPr>
          <w:p>
            <w:pPr>
              <w:pStyle w:val="36"/>
              <w:spacing w:beforeLines="0" w:afterLines="0" w:line="240" w:lineRule="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w:t>
            </w:r>
          </w:p>
        </w:tc>
        <w:tc>
          <w:tcPr>
            <w:tcW w:w="1559"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w:t>
            </w:r>
            <w:r>
              <w:rPr>
                <w:rFonts w:hint="default" w:ascii="Times New Roman" w:hAnsi="Times New Roman" w:cs="Times New Roman"/>
                <w:color w:val="auto"/>
                <w:sz w:val="21"/>
                <w:szCs w:val="21"/>
                <w:highlight w:val="none"/>
              </w:rPr>
              <w:t>t/a</w:t>
            </w:r>
          </w:p>
        </w:tc>
        <w:tc>
          <w:tcPr>
            <w:tcW w:w="1418" w:type="dxa"/>
            <w:vAlign w:val="center"/>
          </w:tcPr>
          <w:p>
            <w:pPr>
              <w:pStyle w:val="36"/>
              <w:spacing w:beforeLines="0" w:afterLines="0" w:line="240" w:lineRule="auto"/>
              <w:rPr>
                <w:rFonts w:hint="eastAsia" w:ascii="Times New Roman" w:hAnsi="Times New Roman" w:eastAsia="黑体" w:cs="Times New Roman"/>
                <w:snapToGrid w:val="0"/>
                <w:color w:val="auto"/>
                <w:kern w:val="21"/>
                <w:sz w:val="21"/>
                <w:szCs w:val="21"/>
                <w:highlight w:val="none"/>
                <w:lang w:val="en-US" w:eastAsia="zh-CN"/>
              </w:rPr>
            </w:pPr>
            <w:r>
              <w:rPr>
                <w:rFonts w:hint="eastAsia" w:ascii="Times New Roman" w:hAnsi="Times New Roman" w:eastAsia="黑体" w:cs="Times New Roman"/>
                <w:snapToGrid w:val="0"/>
                <w:color w:val="auto"/>
                <w:kern w:val="21"/>
                <w:sz w:val="21"/>
                <w:szCs w:val="21"/>
                <w:highlight w:val="none"/>
                <w:lang w:val="en-US" w:eastAsia="zh-CN"/>
              </w:rPr>
              <w:t>/</w:t>
            </w:r>
          </w:p>
        </w:tc>
        <w:tc>
          <w:tcPr>
            <w:tcW w:w="1843"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w:t>
            </w:r>
            <w:r>
              <w:rPr>
                <w:rFonts w:hint="default" w:ascii="Times New Roman" w:hAnsi="Times New Roman" w:cs="Times New Roman"/>
                <w:color w:val="auto"/>
                <w:sz w:val="21"/>
                <w:szCs w:val="21"/>
                <w:highlight w:val="none"/>
              </w:rPr>
              <w:t>t/a</w:t>
            </w:r>
          </w:p>
        </w:tc>
        <w:tc>
          <w:tcPr>
            <w:tcW w:w="1465"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黑体" w:cs="Times New Roman"/>
                <w:snapToGrid w:val="0"/>
                <w:color w:val="auto"/>
                <w:kern w:val="21"/>
                <w:sz w:val="21"/>
                <w:szCs w:val="21"/>
                <w:highlight w:val="none"/>
                <w:lang w:val="en-US" w:eastAsia="zh-CN"/>
              </w:rPr>
              <w:t>+</w:t>
            </w:r>
            <w:r>
              <w:rPr>
                <w:rFonts w:hint="eastAsia" w:cs="Times New Roman"/>
                <w:color w:val="auto"/>
                <w:sz w:val="21"/>
                <w:szCs w:val="21"/>
                <w:highlight w:val="none"/>
                <w:lang w:val="en-US" w:eastAsia="zh-CN"/>
              </w:rPr>
              <w:t>0.01</w:t>
            </w:r>
            <w:r>
              <w:rPr>
                <w:rFonts w:hint="default" w:ascii="Times New Roman" w:hAnsi="Times New Roman"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241" w:type="dxa"/>
            <w:gridSpan w:val="2"/>
            <w:vAlign w:val="center"/>
          </w:tcPr>
          <w:p>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生活垃圾</w:t>
            </w:r>
          </w:p>
        </w:tc>
        <w:tc>
          <w:tcPr>
            <w:tcW w:w="1521" w:type="dxa"/>
            <w:vAlign w:val="center"/>
          </w:tcPr>
          <w:p>
            <w:pPr>
              <w:pStyle w:val="36"/>
              <w:spacing w:beforeLines="0" w:afterLines="0" w:line="240" w:lineRule="auto"/>
              <w:rPr>
                <w:rFonts w:hint="eastAsia" w:ascii="Times New Roman" w:hAnsi="Times New Roman" w:eastAsia="黑体" w:cs="Times New Roman"/>
                <w:snapToGrid w:val="0"/>
                <w:color w:val="auto"/>
                <w:kern w:val="21"/>
                <w:sz w:val="21"/>
                <w:szCs w:val="21"/>
                <w:highlight w:val="none"/>
                <w:lang w:val="en-US" w:eastAsia="zh-CN"/>
              </w:rPr>
            </w:pPr>
            <w:r>
              <w:rPr>
                <w:rFonts w:hint="eastAsia" w:ascii="Times New Roman" w:hAnsi="Times New Roman" w:eastAsia="黑体" w:cs="Times New Roman"/>
                <w:snapToGrid w:val="0"/>
                <w:color w:val="auto"/>
                <w:kern w:val="21"/>
                <w:sz w:val="21"/>
                <w:szCs w:val="21"/>
                <w:highlight w:val="none"/>
                <w:lang w:val="en-US" w:eastAsia="zh-CN"/>
              </w:rPr>
              <w:t>/</w:t>
            </w:r>
          </w:p>
        </w:tc>
        <w:tc>
          <w:tcPr>
            <w:tcW w:w="1456" w:type="dxa"/>
            <w:vAlign w:val="center"/>
          </w:tcPr>
          <w:p>
            <w:pPr>
              <w:pStyle w:val="36"/>
              <w:spacing w:beforeLines="0" w:afterLines="0" w:line="240" w:lineRule="auto"/>
              <w:rPr>
                <w:rFonts w:hint="eastAsia" w:ascii="Times New Roman" w:hAnsi="Times New Roman" w:eastAsia="黑体" w:cs="Times New Roman"/>
                <w:snapToGrid w:val="0"/>
                <w:color w:val="auto"/>
                <w:kern w:val="21"/>
                <w:sz w:val="21"/>
                <w:szCs w:val="21"/>
                <w:highlight w:val="none"/>
                <w:lang w:val="en-US" w:eastAsia="zh-CN"/>
              </w:rPr>
            </w:pPr>
            <w:r>
              <w:rPr>
                <w:rFonts w:hint="eastAsia" w:ascii="Times New Roman" w:hAnsi="Times New Roman" w:eastAsia="黑体" w:cs="Times New Roman"/>
                <w:snapToGrid w:val="0"/>
                <w:color w:val="auto"/>
                <w:kern w:val="21"/>
                <w:sz w:val="21"/>
                <w:szCs w:val="21"/>
                <w:highlight w:val="none"/>
                <w:lang w:val="en-US" w:eastAsia="zh-CN"/>
              </w:rPr>
              <w:t>/</w:t>
            </w:r>
          </w:p>
        </w:tc>
        <w:tc>
          <w:tcPr>
            <w:tcW w:w="1521" w:type="dxa"/>
            <w:vAlign w:val="center"/>
          </w:tcPr>
          <w:p>
            <w:pPr>
              <w:pStyle w:val="36"/>
              <w:spacing w:beforeLines="0" w:afterLines="0" w:line="240" w:lineRule="auto"/>
              <w:rPr>
                <w:rFonts w:hint="eastAsia" w:ascii="Times New Roman" w:hAnsi="Times New Roman" w:eastAsia="黑体" w:cs="Times New Roman"/>
                <w:snapToGrid w:val="0"/>
                <w:color w:val="auto"/>
                <w:kern w:val="21"/>
                <w:sz w:val="21"/>
                <w:szCs w:val="21"/>
                <w:highlight w:val="none"/>
                <w:lang w:val="en-US" w:eastAsia="zh-CN"/>
              </w:rPr>
            </w:pPr>
            <w:r>
              <w:rPr>
                <w:rFonts w:hint="eastAsia" w:ascii="Times New Roman" w:hAnsi="Times New Roman" w:eastAsia="黑体" w:cs="Times New Roman"/>
                <w:snapToGrid w:val="0"/>
                <w:color w:val="auto"/>
                <w:kern w:val="21"/>
                <w:sz w:val="21"/>
                <w:szCs w:val="21"/>
                <w:highlight w:val="none"/>
                <w:lang w:val="en-US" w:eastAsia="zh-CN"/>
              </w:rPr>
              <w:t>/</w:t>
            </w:r>
          </w:p>
        </w:tc>
        <w:tc>
          <w:tcPr>
            <w:tcW w:w="1559"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t/a</w:t>
            </w:r>
          </w:p>
        </w:tc>
        <w:tc>
          <w:tcPr>
            <w:tcW w:w="1418" w:type="dxa"/>
            <w:vAlign w:val="center"/>
          </w:tcPr>
          <w:p>
            <w:pPr>
              <w:pStyle w:val="36"/>
              <w:spacing w:beforeLines="0" w:afterLines="0" w:line="240" w:lineRule="auto"/>
              <w:rPr>
                <w:rFonts w:hint="eastAsia" w:ascii="Times New Roman" w:hAnsi="Times New Roman" w:eastAsia="黑体" w:cs="Times New Roman"/>
                <w:snapToGrid w:val="0"/>
                <w:color w:val="auto"/>
                <w:kern w:val="21"/>
                <w:sz w:val="21"/>
                <w:szCs w:val="21"/>
                <w:highlight w:val="none"/>
                <w:lang w:val="en-US" w:eastAsia="zh-CN"/>
              </w:rPr>
            </w:pPr>
            <w:r>
              <w:rPr>
                <w:rFonts w:hint="eastAsia" w:ascii="Times New Roman" w:hAnsi="Times New Roman" w:eastAsia="黑体" w:cs="Times New Roman"/>
                <w:snapToGrid w:val="0"/>
                <w:color w:val="auto"/>
                <w:kern w:val="21"/>
                <w:sz w:val="21"/>
                <w:szCs w:val="21"/>
                <w:highlight w:val="none"/>
                <w:lang w:val="en-US" w:eastAsia="zh-CN"/>
              </w:rPr>
              <w:t>/</w:t>
            </w:r>
          </w:p>
        </w:tc>
        <w:tc>
          <w:tcPr>
            <w:tcW w:w="1843"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t/a</w:t>
            </w:r>
          </w:p>
        </w:tc>
        <w:tc>
          <w:tcPr>
            <w:tcW w:w="1465" w:type="dxa"/>
            <w:vAlign w:val="center"/>
          </w:tcPr>
          <w:p>
            <w:pPr>
              <w:autoSpaceDE w:val="0"/>
              <w:autoSpaceDN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t/a</w:t>
            </w:r>
          </w:p>
        </w:tc>
      </w:tr>
    </w:tbl>
    <w:p>
      <w:pPr>
        <w:pStyle w:val="36"/>
        <w:spacing w:beforeLines="0" w:afterLines="0"/>
        <w:jc w:val="left"/>
        <w:rPr>
          <w:color w:val="000000" w:themeColor="text1"/>
          <w:highlight w:val="none"/>
          <w14:textFill>
            <w14:solidFill>
              <w14:schemeClr w14:val="tx1"/>
            </w14:solidFill>
          </w14:textFill>
        </w:rPr>
      </w:pPr>
      <w:r>
        <w:rPr>
          <w:snapToGrid w:val="0"/>
          <w:color w:val="000000" w:themeColor="text1"/>
          <w:kern w:val="21"/>
          <w:szCs w:val="21"/>
          <w:highlight w:val="none"/>
          <w14:textFill>
            <w14:solidFill>
              <w14:schemeClr w14:val="tx1"/>
            </w14:solidFill>
          </w14:textFill>
        </w:rPr>
        <w:t>注：</w:t>
      </w:r>
      <w:r>
        <w:rPr>
          <w:snapToGrid w:val="0"/>
          <w:color w:val="000000" w:themeColor="text1"/>
          <w:spacing w:val="-16"/>
          <w:kern w:val="21"/>
          <w:szCs w:val="21"/>
          <w:highlight w:val="none"/>
          <w14:textFill>
            <w14:solidFill>
              <w14:schemeClr w14:val="tx1"/>
            </w14:solidFill>
          </w14:textFill>
        </w:rPr>
        <w:fldChar w:fldCharType="begin"/>
      </w:r>
      <w:r>
        <w:rPr>
          <w:snapToGrid w:val="0"/>
          <w:color w:val="000000" w:themeColor="text1"/>
          <w:spacing w:val="-16"/>
          <w:kern w:val="21"/>
          <w:szCs w:val="21"/>
          <w:highlight w:val="none"/>
          <w14:textFill>
            <w14:solidFill>
              <w14:schemeClr w14:val="tx1"/>
            </w14:solidFill>
          </w14:textFill>
        </w:rPr>
        <w:instrText xml:space="preserve"> = 6 \* GB3 \* MERGEFORMAT </w:instrText>
      </w:r>
      <w:r>
        <w:rPr>
          <w:snapToGrid w:val="0"/>
          <w:color w:val="000000" w:themeColor="text1"/>
          <w:spacing w:val="-16"/>
          <w:kern w:val="2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⑥</w:t>
      </w:r>
      <w:r>
        <w:rPr>
          <w:snapToGrid w:val="0"/>
          <w:color w:val="000000" w:themeColor="text1"/>
          <w:spacing w:val="-16"/>
          <w:kern w:val="21"/>
          <w:szCs w:val="21"/>
          <w:highlight w:val="none"/>
          <w14:textFill>
            <w14:solidFill>
              <w14:schemeClr w14:val="tx1"/>
            </w14:solidFill>
          </w14:textFill>
        </w:rPr>
        <w:fldChar w:fldCharType="end"/>
      </w:r>
      <w:r>
        <w:rPr>
          <w:snapToGrid w:val="0"/>
          <w:color w:val="000000" w:themeColor="text1"/>
          <w:spacing w:val="-1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1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①</w:t>
      </w:r>
      <w:r>
        <w:rPr>
          <w:snapToGrid w:val="0"/>
          <w:color w:val="000000" w:themeColor="text1"/>
          <w:spacing w:val="-6"/>
          <w:kern w:val="21"/>
          <w:szCs w:val="21"/>
          <w:highlight w:val="none"/>
          <w14:textFill>
            <w14:solidFill>
              <w14:schemeClr w14:val="tx1"/>
            </w14:solidFill>
          </w14:textFill>
        </w:rPr>
        <w:fldChar w:fldCharType="end"/>
      </w:r>
      <w:r>
        <w:rPr>
          <w:snapToGrid w:val="0"/>
          <w:color w:val="000000" w:themeColor="text1"/>
          <w:spacing w:val="-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3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③</w:t>
      </w:r>
      <w:r>
        <w:rPr>
          <w:snapToGrid w:val="0"/>
          <w:color w:val="000000" w:themeColor="text1"/>
          <w:spacing w:val="-6"/>
          <w:kern w:val="21"/>
          <w:szCs w:val="21"/>
          <w:highlight w:val="none"/>
          <w14:textFill>
            <w14:solidFill>
              <w14:schemeClr w14:val="tx1"/>
            </w14:solidFill>
          </w14:textFill>
        </w:rPr>
        <w:fldChar w:fldCharType="end"/>
      </w:r>
      <w:r>
        <w:rPr>
          <w:snapToGrid w:val="0"/>
          <w:color w:val="000000" w:themeColor="text1"/>
          <w:spacing w:val="-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4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④</w:t>
      </w:r>
      <w:r>
        <w:rPr>
          <w:snapToGrid w:val="0"/>
          <w:color w:val="000000" w:themeColor="text1"/>
          <w:spacing w:val="-6"/>
          <w:kern w:val="21"/>
          <w:szCs w:val="21"/>
          <w:highlight w:val="none"/>
          <w14:textFill>
            <w14:solidFill>
              <w14:schemeClr w14:val="tx1"/>
            </w14:solidFill>
          </w14:textFill>
        </w:rPr>
        <w:fldChar w:fldCharType="end"/>
      </w:r>
      <w:r>
        <w:rPr>
          <w:snapToGrid w:val="0"/>
          <w:color w:val="000000" w:themeColor="text1"/>
          <w:spacing w:val="-6"/>
          <w:kern w:val="21"/>
          <w:szCs w:val="21"/>
          <w:highlight w:val="none"/>
          <w14:textFill>
            <w14:solidFill>
              <w14:schemeClr w14:val="tx1"/>
            </w14:solidFill>
          </w14:textFill>
        </w:rPr>
        <w:t>-</w:t>
      </w:r>
      <w:r>
        <w:rPr>
          <w:snapToGrid w:val="0"/>
          <w:color w:val="000000" w:themeColor="text1"/>
          <w:spacing w:val="-16"/>
          <w:kern w:val="21"/>
          <w:szCs w:val="21"/>
          <w:highlight w:val="none"/>
          <w14:textFill>
            <w14:solidFill>
              <w14:schemeClr w14:val="tx1"/>
            </w14:solidFill>
          </w14:textFill>
        </w:rPr>
        <w:fldChar w:fldCharType="begin"/>
      </w:r>
      <w:r>
        <w:rPr>
          <w:snapToGrid w:val="0"/>
          <w:color w:val="000000" w:themeColor="text1"/>
          <w:spacing w:val="-16"/>
          <w:kern w:val="21"/>
          <w:szCs w:val="21"/>
          <w:highlight w:val="none"/>
          <w14:textFill>
            <w14:solidFill>
              <w14:schemeClr w14:val="tx1"/>
            </w14:solidFill>
          </w14:textFill>
        </w:rPr>
        <w:instrText xml:space="preserve"> = 5 \* GB3 \* MERGEFORMAT </w:instrText>
      </w:r>
      <w:r>
        <w:rPr>
          <w:snapToGrid w:val="0"/>
          <w:color w:val="000000" w:themeColor="text1"/>
          <w:spacing w:val="-16"/>
          <w:kern w:val="2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⑤</w:t>
      </w:r>
      <w:r>
        <w:rPr>
          <w:snapToGrid w:val="0"/>
          <w:color w:val="000000" w:themeColor="text1"/>
          <w:spacing w:val="-16"/>
          <w:kern w:val="21"/>
          <w:szCs w:val="21"/>
          <w:highlight w:val="none"/>
          <w14:textFill>
            <w14:solidFill>
              <w14:schemeClr w14:val="tx1"/>
            </w14:solidFill>
          </w14:textFill>
        </w:rPr>
        <w:fldChar w:fldCharType="end"/>
      </w:r>
      <w:r>
        <w:rPr>
          <w:snapToGrid w:val="0"/>
          <w:color w:val="000000" w:themeColor="text1"/>
          <w:spacing w:val="-1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7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⑦</w:t>
      </w:r>
      <w:r>
        <w:rPr>
          <w:snapToGrid w:val="0"/>
          <w:color w:val="000000" w:themeColor="text1"/>
          <w:spacing w:val="-6"/>
          <w:kern w:val="21"/>
          <w:szCs w:val="21"/>
          <w:highlight w:val="none"/>
          <w14:textFill>
            <w14:solidFill>
              <w14:schemeClr w14:val="tx1"/>
            </w14:solidFill>
          </w14:textFill>
        </w:rPr>
        <w:fldChar w:fldCharType="end"/>
      </w:r>
      <w:r>
        <w:rPr>
          <w:snapToGrid w:val="0"/>
          <w:color w:val="000000" w:themeColor="text1"/>
          <w:spacing w:val="-6"/>
          <w:kern w:val="21"/>
          <w:szCs w:val="21"/>
          <w:highlight w:val="none"/>
          <w14:textFill>
            <w14:solidFill>
              <w14:schemeClr w14:val="tx1"/>
            </w14:solidFill>
          </w14:textFill>
        </w:rPr>
        <w:t>=</w:t>
      </w:r>
      <w:r>
        <w:rPr>
          <w:snapToGrid w:val="0"/>
          <w:color w:val="000000" w:themeColor="text1"/>
          <w:spacing w:val="-16"/>
          <w:kern w:val="21"/>
          <w:szCs w:val="21"/>
          <w:highlight w:val="none"/>
          <w14:textFill>
            <w14:solidFill>
              <w14:schemeClr w14:val="tx1"/>
            </w14:solidFill>
          </w14:textFill>
        </w:rPr>
        <w:fldChar w:fldCharType="begin"/>
      </w:r>
      <w:r>
        <w:rPr>
          <w:snapToGrid w:val="0"/>
          <w:color w:val="000000" w:themeColor="text1"/>
          <w:spacing w:val="-16"/>
          <w:kern w:val="21"/>
          <w:szCs w:val="21"/>
          <w:highlight w:val="none"/>
          <w14:textFill>
            <w14:solidFill>
              <w14:schemeClr w14:val="tx1"/>
            </w14:solidFill>
          </w14:textFill>
        </w:rPr>
        <w:instrText xml:space="preserve"> = 6 \* GB3 \* MERGEFORMAT </w:instrText>
      </w:r>
      <w:r>
        <w:rPr>
          <w:snapToGrid w:val="0"/>
          <w:color w:val="000000" w:themeColor="text1"/>
          <w:spacing w:val="-16"/>
          <w:kern w:val="2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⑥</w:t>
      </w:r>
      <w:r>
        <w:rPr>
          <w:snapToGrid w:val="0"/>
          <w:color w:val="000000" w:themeColor="text1"/>
          <w:spacing w:val="-16"/>
          <w:kern w:val="21"/>
          <w:szCs w:val="21"/>
          <w:highlight w:val="none"/>
          <w14:textFill>
            <w14:solidFill>
              <w14:schemeClr w14:val="tx1"/>
            </w14:solidFill>
          </w14:textFill>
        </w:rPr>
        <w:fldChar w:fldCharType="end"/>
      </w:r>
      <w:r>
        <w:rPr>
          <w:snapToGrid w:val="0"/>
          <w:color w:val="000000" w:themeColor="text1"/>
          <w:spacing w:val="-16"/>
          <w:kern w:val="21"/>
          <w:szCs w:val="21"/>
          <w:highlight w:val="none"/>
          <w14:textFill>
            <w14:solidFill>
              <w14:schemeClr w14:val="tx1"/>
            </w14:solidFill>
          </w14:textFill>
        </w:rPr>
        <w:t>-</w:t>
      </w:r>
      <w:r>
        <w:rPr>
          <w:snapToGrid w:val="0"/>
          <w:color w:val="000000" w:themeColor="text1"/>
          <w:spacing w:val="-6"/>
          <w:kern w:val="21"/>
          <w:szCs w:val="21"/>
          <w:highlight w:val="none"/>
          <w14:textFill>
            <w14:solidFill>
              <w14:schemeClr w14:val="tx1"/>
            </w14:solidFill>
          </w14:textFill>
        </w:rPr>
        <w:fldChar w:fldCharType="begin"/>
      </w:r>
      <w:r>
        <w:rPr>
          <w:snapToGrid w:val="0"/>
          <w:color w:val="000000" w:themeColor="text1"/>
          <w:spacing w:val="-6"/>
          <w:kern w:val="21"/>
          <w:szCs w:val="21"/>
          <w:highlight w:val="none"/>
          <w14:textFill>
            <w14:solidFill>
              <w14:schemeClr w14:val="tx1"/>
            </w14:solidFill>
          </w14:textFill>
        </w:rPr>
        <w:instrText xml:space="preserve"> = 1 \* GB3 \* MERGEFORMAT </w:instrText>
      </w:r>
      <w:r>
        <w:rPr>
          <w:snapToGrid w:val="0"/>
          <w:color w:val="000000" w:themeColor="text1"/>
          <w:spacing w:val="-6"/>
          <w:kern w:val="21"/>
          <w:szCs w:val="21"/>
          <w:highlight w:val="none"/>
          <w14:textFill>
            <w14:solidFill>
              <w14:schemeClr w14:val="tx1"/>
            </w14:solidFill>
          </w14:textFill>
        </w:rPr>
        <w:fldChar w:fldCharType="separate"/>
      </w:r>
      <w:r>
        <w:rPr>
          <w:rFonts w:hint="eastAsia"/>
          <w:color w:val="000000" w:themeColor="text1"/>
          <w:szCs w:val="21"/>
          <w:highlight w:val="none"/>
          <w14:textFill>
            <w14:solidFill>
              <w14:schemeClr w14:val="tx1"/>
            </w14:solidFill>
          </w14:textFill>
        </w:rPr>
        <w:t>①</w:t>
      </w:r>
      <w:r>
        <w:rPr>
          <w:snapToGrid w:val="0"/>
          <w:color w:val="000000" w:themeColor="text1"/>
          <w:spacing w:val="-6"/>
          <w:kern w:val="21"/>
          <w:szCs w:val="21"/>
          <w:highlight w:val="none"/>
          <w14:textFill>
            <w14:solidFill>
              <w14:schemeClr w14:val="tx1"/>
            </w14:solidFill>
          </w14:textFill>
        </w:rPr>
        <w:fldChar w:fldCharType="end"/>
      </w:r>
    </w:p>
    <w:p>
      <w:pPr>
        <w:bidi w:val="0"/>
        <w:rPr>
          <w:rFonts w:hint="eastAsia"/>
          <w:lang w:val="en-US" w:eastAsia="zh-CN"/>
        </w:rPr>
      </w:pPr>
    </w:p>
    <w:sectPr>
      <w:headerReference r:id="rId6" w:type="default"/>
      <w:footerReference r:id="rId7" w:type="default"/>
      <w:pgSz w:w="16840" w:h="11907" w:orient="landscape"/>
      <w:pgMar w:top="1440" w:right="1800" w:bottom="1440" w:left="1800" w:header="567" w:footer="567"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D491C6-5806-4ED8-B356-850ED51A96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FDB244AD-E876-4EA1-990B-46535C3E0BCD}"/>
  </w:font>
  <w:font w:name="等线 Light">
    <w:panose1 w:val="02010600030101010101"/>
    <w:charset w:val="86"/>
    <w:family w:val="auto"/>
    <w:pitch w:val="default"/>
    <w:sig w:usb0="A00002BF" w:usb1="38CF7CFA" w:usb2="00000016" w:usb3="00000000" w:csb0="0004000F" w:csb1="00000000"/>
  </w:font>
  <w:font w:name="Times new romo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3" w:fontKey="{8E3095DD-BC7A-437A-A423-26D0000DD7B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embedRegular r:id="rId4" w:fontKey="{9D47B8E9-28DF-4613-A8FB-7938890B28EC}"/>
  </w:font>
  <w:font w:name="方正小标宋_GBK">
    <w:panose1 w:val="02000000000000000000"/>
    <w:charset w:val="86"/>
    <w:family w:val="script"/>
    <w:pitch w:val="default"/>
    <w:sig w:usb0="A00002BF" w:usb1="38CF7CFA" w:usb2="00082016" w:usb3="00000000" w:csb0="00040001" w:csb1="00000000"/>
    <w:embedRegular r:id="rId5" w:fontKey="{9B4F6BDA-DBFB-4FBA-B39B-89B1E4BA86FE}"/>
  </w:font>
  <w:font w:name="方正楷体_GB2312">
    <w:panose1 w:val="02000000000000000000"/>
    <w:charset w:val="86"/>
    <w:family w:val="auto"/>
    <w:pitch w:val="default"/>
    <w:sig w:usb0="A00002BF" w:usb1="184F6CFA" w:usb2="00000012" w:usb3="00000000" w:csb0="00040001" w:csb1="00000000"/>
    <w:embedRegular r:id="rId6" w:fontKey="{DFFEE040-C6C7-4218-B907-B02F941D36B9}"/>
  </w:font>
  <w:font w:name="Wingdings 2">
    <w:panose1 w:val="05020102010507070707"/>
    <w:charset w:val="02"/>
    <w:family w:val="roman"/>
    <w:pitch w:val="default"/>
    <w:sig w:usb0="00000000" w:usb1="00000000" w:usb2="00000000" w:usb3="00000000" w:csb0="80000000" w:csb1="00000000"/>
    <w:embedRegular r:id="rId7" w:fontKey="{83504357-D122-48CF-98E8-E4611546FACA}"/>
  </w:font>
  <w:font w:name="Times New Roman Regular">
    <w:altName w:val="Times New Roman"/>
    <w:panose1 w:val="02020603050405020304"/>
    <w:charset w:val="00"/>
    <w:family w:val="auto"/>
    <w:pitch w:val="default"/>
    <w:sig w:usb0="00000000" w:usb1="00000000" w:usb2="00000009" w:usb3="00000000" w:csb0="400001FF" w:csb1="FFFF0000"/>
    <w:embedRegular r:id="rId8" w:fontKey="{D3CB89F1-62EB-44BB-9B89-725D9660EB73}"/>
  </w:font>
  <w:font w:name="Segoe UI">
    <w:panose1 w:val="020B0502040204020203"/>
    <w:charset w:val="00"/>
    <w:family w:val="auto"/>
    <w:pitch w:val="default"/>
    <w:sig w:usb0="E4002EFF" w:usb1="C000E47F" w:usb2="00000009" w:usb3="00000000" w:csb0="200001FF" w:csb1="00000000"/>
    <w:embedRegular r:id="rId9" w:fontKey="{56FACA38-7D93-43B4-B0B3-94674F51ECF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 w:val="24"/>
        <w:szCs w:val="24"/>
      </w:rPr>
    </w:pP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27807"/>
    </w:sdtPr>
    <w:sdtEndPr>
      <w:rPr>
        <w:sz w:val="21"/>
        <w:szCs w:val="21"/>
      </w:rPr>
    </w:sdtEndPr>
    <w:sdtContent>
      <w:p>
        <w:pPr>
          <w:pStyle w:val="1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2407EF"/>
    <w:multiLevelType w:val="singleLevel"/>
    <w:tmpl w:val="362407EF"/>
    <w:lvl w:ilvl="0" w:tentative="0">
      <w:start w:val="1"/>
      <w:numFmt w:val="decimal"/>
      <w:pStyle w:val="100"/>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3NmMxZjkzMGI3YTBiYWVlOTI3MGZhZmUwMmI5OGIifQ=="/>
    <w:docVar w:name="KSO_WPS_MARK_KEY" w:val="d7873b76-1f4f-4649-8a5c-ee5fa78c91fa"/>
  </w:docVars>
  <w:rsids>
    <w:rsidRoot w:val="00172A27"/>
    <w:rsid w:val="00005A1E"/>
    <w:rsid w:val="00005E56"/>
    <w:rsid w:val="00007239"/>
    <w:rsid w:val="000100FA"/>
    <w:rsid w:val="00021AD4"/>
    <w:rsid w:val="00023A38"/>
    <w:rsid w:val="00025FB7"/>
    <w:rsid w:val="0003706A"/>
    <w:rsid w:val="00037996"/>
    <w:rsid w:val="000379A5"/>
    <w:rsid w:val="00044190"/>
    <w:rsid w:val="00045575"/>
    <w:rsid w:val="00060C6A"/>
    <w:rsid w:val="000660F5"/>
    <w:rsid w:val="000665C9"/>
    <w:rsid w:val="00067861"/>
    <w:rsid w:val="0006787D"/>
    <w:rsid w:val="00067FF1"/>
    <w:rsid w:val="000759B5"/>
    <w:rsid w:val="00082531"/>
    <w:rsid w:val="00082D65"/>
    <w:rsid w:val="00083C9E"/>
    <w:rsid w:val="00096CDE"/>
    <w:rsid w:val="000A1016"/>
    <w:rsid w:val="000A644C"/>
    <w:rsid w:val="000B22E7"/>
    <w:rsid w:val="000B4054"/>
    <w:rsid w:val="000B4874"/>
    <w:rsid w:val="000C0409"/>
    <w:rsid w:val="000C5273"/>
    <w:rsid w:val="000C5278"/>
    <w:rsid w:val="000C6E63"/>
    <w:rsid w:val="000C71E8"/>
    <w:rsid w:val="000D0A60"/>
    <w:rsid w:val="000D0D49"/>
    <w:rsid w:val="000D3330"/>
    <w:rsid w:val="000D3588"/>
    <w:rsid w:val="000D3C1F"/>
    <w:rsid w:val="000D70AF"/>
    <w:rsid w:val="000D7EE9"/>
    <w:rsid w:val="000E039D"/>
    <w:rsid w:val="000E121B"/>
    <w:rsid w:val="000E42DA"/>
    <w:rsid w:val="000E54B7"/>
    <w:rsid w:val="000F348F"/>
    <w:rsid w:val="000F362D"/>
    <w:rsid w:val="000F37BD"/>
    <w:rsid w:val="00106083"/>
    <w:rsid w:val="00110C38"/>
    <w:rsid w:val="001130E2"/>
    <w:rsid w:val="0011550E"/>
    <w:rsid w:val="00120892"/>
    <w:rsid w:val="00124C28"/>
    <w:rsid w:val="00125BCD"/>
    <w:rsid w:val="001340AB"/>
    <w:rsid w:val="001368E2"/>
    <w:rsid w:val="001412CF"/>
    <w:rsid w:val="001416CC"/>
    <w:rsid w:val="001456E5"/>
    <w:rsid w:val="001478AA"/>
    <w:rsid w:val="0015129A"/>
    <w:rsid w:val="001516EA"/>
    <w:rsid w:val="001532EE"/>
    <w:rsid w:val="001578C7"/>
    <w:rsid w:val="001644CB"/>
    <w:rsid w:val="001729D7"/>
    <w:rsid w:val="00172A27"/>
    <w:rsid w:val="00175A7A"/>
    <w:rsid w:val="00180257"/>
    <w:rsid w:val="00180602"/>
    <w:rsid w:val="001810F9"/>
    <w:rsid w:val="001812D8"/>
    <w:rsid w:val="00182295"/>
    <w:rsid w:val="0018317D"/>
    <w:rsid w:val="00184659"/>
    <w:rsid w:val="00187D79"/>
    <w:rsid w:val="00190B9E"/>
    <w:rsid w:val="00191AE7"/>
    <w:rsid w:val="00193298"/>
    <w:rsid w:val="001A0EF0"/>
    <w:rsid w:val="001A1E7B"/>
    <w:rsid w:val="001B1B53"/>
    <w:rsid w:val="001B25B4"/>
    <w:rsid w:val="001B51A1"/>
    <w:rsid w:val="001B5956"/>
    <w:rsid w:val="001B5E8B"/>
    <w:rsid w:val="001C6F8C"/>
    <w:rsid w:val="001D0933"/>
    <w:rsid w:val="001D438E"/>
    <w:rsid w:val="001D559A"/>
    <w:rsid w:val="001D7188"/>
    <w:rsid w:val="001D7CF6"/>
    <w:rsid w:val="001E0333"/>
    <w:rsid w:val="001E0945"/>
    <w:rsid w:val="001F1CAB"/>
    <w:rsid w:val="001F4853"/>
    <w:rsid w:val="001F500E"/>
    <w:rsid w:val="001F60D2"/>
    <w:rsid w:val="001F6861"/>
    <w:rsid w:val="00201A0D"/>
    <w:rsid w:val="002041D2"/>
    <w:rsid w:val="00225062"/>
    <w:rsid w:val="00225407"/>
    <w:rsid w:val="00231467"/>
    <w:rsid w:val="002349F7"/>
    <w:rsid w:val="00240237"/>
    <w:rsid w:val="00243CA7"/>
    <w:rsid w:val="002472FF"/>
    <w:rsid w:val="00250FA7"/>
    <w:rsid w:val="0025148D"/>
    <w:rsid w:val="00254DC7"/>
    <w:rsid w:val="0025624D"/>
    <w:rsid w:val="0025640C"/>
    <w:rsid w:val="00260791"/>
    <w:rsid w:val="0026106B"/>
    <w:rsid w:val="002728B8"/>
    <w:rsid w:val="00273610"/>
    <w:rsid w:val="00276398"/>
    <w:rsid w:val="002769A8"/>
    <w:rsid w:val="00276C0F"/>
    <w:rsid w:val="00290056"/>
    <w:rsid w:val="00293C95"/>
    <w:rsid w:val="0029463B"/>
    <w:rsid w:val="00294CB0"/>
    <w:rsid w:val="002A115E"/>
    <w:rsid w:val="002A59D9"/>
    <w:rsid w:val="002A695C"/>
    <w:rsid w:val="002B24E0"/>
    <w:rsid w:val="002C14FA"/>
    <w:rsid w:val="002C2974"/>
    <w:rsid w:val="002C5BE0"/>
    <w:rsid w:val="002D0F75"/>
    <w:rsid w:val="002D4653"/>
    <w:rsid w:val="002D634C"/>
    <w:rsid w:val="002E21A0"/>
    <w:rsid w:val="002E5166"/>
    <w:rsid w:val="002E543D"/>
    <w:rsid w:val="002E63DA"/>
    <w:rsid w:val="002E6B0B"/>
    <w:rsid w:val="002F1B1B"/>
    <w:rsid w:val="002F507A"/>
    <w:rsid w:val="00301C1E"/>
    <w:rsid w:val="00302EF4"/>
    <w:rsid w:val="0030520A"/>
    <w:rsid w:val="00306A53"/>
    <w:rsid w:val="003128F5"/>
    <w:rsid w:val="00316CB2"/>
    <w:rsid w:val="0032445E"/>
    <w:rsid w:val="00325858"/>
    <w:rsid w:val="00326978"/>
    <w:rsid w:val="00327ABE"/>
    <w:rsid w:val="0033186C"/>
    <w:rsid w:val="00336834"/>
    <w:rsid w:val="00347294"/>
    <w:rsid w:val="00351950"/>
    <w:rsid w:val="003536CD"/>
    <w:rsid w:val="003572B6"/>
    <w:rsid w:val="0036466F"/>
    <w:rsid w:val="003665F6"/>
    <w:rsid w:val="00367082"/>
    <w:rsid w:val="00370F99"/>
    <w:rsid w:val="0037673C"/>
    <w:rsid w:val="00381BD7"/>
    <w:rsid w:val="00386FEE"/>
    <w:rsid w:val="00396F10"/>
    <w:rsid w:val="003B0E87"/>
    <w:rsid w:val="003B2B4C"/>
    <w:rsid w:val="003B2CF0"/>
    <w:rsid w:val="003B3E18"/>
    <w:rsid w:val="003B4B5B"/>
    <w:rsid w:val="003C0140"/>
    <w:rsid w:val="003C141D"/>
    <w:rsid w:val="003C2855"/>
    <w:rsid w:val="003C2B5A"/>
    <w:rsid w:val="003C4ED4"/>
    <w:rsid w:val="003C52EC"/>
    <w:rsid w:val="003D3EAF"/>
    <w:rsid w:val="003D51AF"/>
    <w:rsid w:val="003D77BD"/>
    <w:rsid w:val="003E4865"/>
    <w:rsid w:val="003E54C3"/>
    <w:rsid w:val="003E6D91"/>
    <w:rsid w:val="003F1DE0"/>
    <w:rsid w:val="003F3A88"/>
    <w:rsid w:val="003F4606"/>
    <w:rsid w:val="003F719B"/>
    <w:rsid w:val="00406010"/>
    <w:rsid w:val="00417B37"/>
    <w:rsid w:val="00423C6D"/>
    <w:rsid w:val="00425F22"/>
    <w:rsid w:val="00434CF8"/>
    <w:rsid w:val="00435C92"/>
    <w:rsid w:val="00437F4B"/>
    <w:rsid w:val="00444ABD"/>
    <w:rsid w:val="00463714"/>
    <w:rsid w:val="004654C2"/>
    <w:rsid w:val="0047031C"/>
    <w:rsid w:val="00475AEE"/>
    <w:rsid w:val="0048411D"/>
    <w:rsid w:val="0048602C"/>
    <w:rsid w:val="004879A9"/>
    <w:rsid w:val="004905ED"/>
    <w:rsid w:val="004909F6"/>
    <w:rsid w:val="00493763"/>
    <w:rsid w:val="004964E4"/>
    <w:rsid w:val="004B0568"/>
    <w:rsid w:val="004B0D73"/>
    <w:rsid w:val="004B499C"/>
    <w:rsid w:val="004B4AED"/>
    <w:rsid w:val="004B4B8C"/>
    <w:rsid w:val="004C2182"/>
    <w:rsid w:val="004C40E7"/>
    <w:rsid w:val="004D4AEB"/>
    <w:rsid w:val="004D4D69"/>
    <w:rsid w:val="004D4F5F"/>
    <w:rsid w:val="004D5420"/>
    <w:rsid w:val="004D7363"/>
    <w:rsid w:val="004E06BC"/>
    <w:rsid w:val="004E1362"/>
    <w:rsid w:val="004E2BC5"/>
    <w:rsid w:val="004E329D"/>
    <w:rsid w:val="004E32D3"/>
    <w:rsid w:val="004E432D"/>
    <w:rsid w:val="004E4677"/>
    <w:rsid w:val="004E4B19"/>
    <w:rsid w:val="004E7EA2"/>
    <w:rsid w:val="004F21EF"/>
    <w:rsid w:val="004F3174"/>
    <w:rsid w:val="004F6279"/>
    <w:rsid w:val="004F72F0"/>
    <w:rsid w:val="00506FCE"/>
    <w:rsid w:val="005107CB"/>
    <w:rsid w:val="005123C6"/>
    <w:rsid w:val="00515760"/>
    <w:rsid w:val="00516F8E"/>
    <w:rsid w:val="0051777A"/>
    <w:rsid w:val="005208FA"/>
    <w:rsid w:val="0053010B"/>
    <w:rsid w:val="005340CB"/>
    <w:rsid w:val="00537786"/>
    <w:rsid w:val="005438A3"/>
    <w:rsid w:val="00545011"/>
    <w:rsid w:val="00550033"/>
    <w:rsid w:val="00550981"/>
    <w:rsid w:val="005533E2"/>
    <w:rsid w:val="00555E10"/>
    <w:rsid w:val="00563203"/>
    <w:rsid w:val="00565F6C"/>
    <w:rsid w:val="00566B8D"/>
    <w:rsid w:val="00566C82"/>
    <w:rsid w:val="005716A3"/>
    <w:rsid w:val="00575F8C"/>
    <w:rsid w:val="0057742D"/>
    <w:rsid w:val="00580EBC"/>
    <w:rsid w:val="0058423D"/>
    <w:rsid w:val="005846F4"/>
    <w:rsid w:val="00584A46"/>
    <w:rsid w:val="00586E81"/>
    <w:rsid w:val="0059109A"/>
    <w:rsid w:val="00594484"/>
    <w:rsid w:val="005A3F82"/>
    <w:rsid w:val="005C1665"/>
    <w:rsid w:val="005D6280"/>
    <w:rsid w:val="005D6A44"/>
    <w:rsid w:val="005D7BF7"/>
    <w:rsid w:val="005E0048"/>
    <w:rsid w:val="005E063A"/>
    <w:rsid w:val="005E34E2"/>
    <w:rsid w:val="005E35A6"/>
    <w:rsid w:val="005E432B"/>
    <w:rsid w:val="005F39F3"/>
    <w:rsid w:val="005F5336"/>
    <w:rsid w:val="005F5544"/>
    <w:rsid w:val="005F5AB5"/>
    <w:rsid w:val="005F7FDB"/>
    <w:rsid w:val="00600E2D"/>
    <w:rsid w:val="006051D7"/>
    <w:rsid w:val="006117A2"/>
    <w:rsid w:val="006117CD"/>
    <w:rsid w:val="0061392B"/>
    <w:rsid w:val="00613B5D"/>
    <w:rsid w:val="006215A1"/>
    <w:rsid w:val="00622EAF"/>
    <w:rsid w:val="00630D0E"/>
    <w:rsid w:val="00632EAB"/>
    <w:rsid w:val="0063545D"/>
    <w:rsid w:val="0064070B"/>
    <w:rsid w:val="006451E1"/>
    <w:rsid w:val="006458D4"/>
    <w:rsid w:val="006548B7"/>
    <w:rsid w:val="00656977"/>
    <w:rsid w:val="006637A2"/>
    <w:rsid w:val="00665255"/>
    <w:rsid w:val="00667439"/>
    <w:rsid w:val="00671389"/>
    <w:rsid w:val="00673FB7"/>
    <w:rsid w:val="006741B4"/>
    <w:rsid w:val="00677688"/>
    <w:rsid w:val="006817A5"/>
    <w:rsid w:val="00682B2D"/>
    <w:rsid w:val="006834CE"/>
    <w:rsid w:val="00686BE8"/>
    <w:rsid w:val="006906D8"/>
    <w:rsid w:val="00690F44"/>
    <w:rsid w:val="00695560"/>
    <w:rsid w:val="00695CBD"/>
    <w:rsid w:val="006A4230"/>
    <w:rsid w:val="006A65F4"/>
    <w:rsid w:val="006B0F78"/>
    <w:rsid w:val="006B5030"/>
    <w:rsid w:val="006C0DA5"/>
    <w:rsid w:val="006C3546"/>
    <w:rsid w:val="006E56BF"/>
    <w:rsid w:val="006E5C2F"/>
    <w:rsid w:val="006E606E"/>
    <w:rsid w:val="006E7AFE"/>
    <w:rsid w:val="006F0F84"/>
    <w:rsid w:val="006F5EE9"/>
    <w:rsid w:val="00712114"/>
    <w:rsid w:val="00712993"/>
    <w:rsid w:val="007140FD"/>
    <w:rsid w:val="007144B5"/>
    <w:rsid w:val="007162BE"/>
    <w:rsid w:val="00716ABF"/>
    <w:rsid w:val="00716C00"/>
    <w:rsid w:val="00717891"/>
    <w:rsid w:val="00725D99"/>
    <w:rsid w:val="007261B0"/>
    <w:rsid w:val="0073382A"/>
    <w:rsid w:val="0073537E"/>
    <w:rsid w:val="00735460"/>
    <w:rsid w:val="00737BEF"/>
    <w:rsid w:val="00745321"/>
    <w:rsid w:val="00745E66"/>
    <w:rsid w:val="00747158"/>
    <w:rsid w:val="00751E45"/>
    <w:rsid w:val="00752C9F"/>
    <w:rsid w:val="007647C5"/>
    <w:rsid w:val="00764B22"/>
    <w:rsid w:val="0076500B"/>
    <w:rsid w:val="00766FE7"/>
    <w:rsid w:val="00770A3B"/>
    <w:rsid w:val="00776F41"/>
    <w:rsid w:val="00786A89"/>
    <w:rsid w:val="007909FF"/>
    <w:rsid w:val="00790EC5"/>
    <w:rsid w:val="00795FBC"/>
    <w:rsid w:val="007A4651"/>
    <w:rsid w:val="007A5295"/>
    <w:rsid w:val="007B03E1"/>
    <w:rsid w:val="007B04CD"/>
    <w:rsid w:val="007B365B"/>
    <w:rsid w:val="007C0C12"/>
    <w:rsid w:val="007C2B61"/>
    <w:rsid w:val="007D1334"/>
    <w:rsid w:val="007E0730"/>
    <w:rsid w:val="007E0AB1"/>
    <w:rsid w:val="007E12B3"/>
    <w:rsid w:val="00813A2E"/>
    <w:rsid w:val="00815F33"/>
    <w:rsid w:val="00816FCF"/>
    <w:rsid w:val="008215CC"/>
    <w:rsid w:val="00831301"/>
    <w:rsid w:val="00834734"/>
    <w:rsid w:val="00835F88"/>
    <w:rsid w:val="008401CC"/>
    <w:rsid w:val="00840C77"/>
    <w:rsid w:val="00840ECF"/>
    <w:rsid w:val="00841E5A"/>
    <w:rsid w:val="00853B3E"/>
    <w:rsid w:val="00855BB9"/>
    <w:rsid w:val="00861AB8"/>
    <w:rsid w:val="00861E4F"/>
    <w:rsid w:val="008627D9"/>
    <w:rsid w:val="0086417C"/>
    <w:rsid w:val="008644E5"/>
    <w:rsid w:val="008769B8"/>
    <w:rsid w:val="0088051E"/>
    <w:rsid w:val="00883B86"/>
    <w:rsid w:val="00887FB8"/>
    <w:rsid w:val="00890930"/>
    <w:rsid w:val="00894A22"/>
    <w:rsid w:val="008A304F"/>
    <w:rsid w:val="008A608A"/>
    <w:rsid w:val="008A60D1"/>
    <w:rsid w:val="008B1217"/>
    <w:rsid w:val="008B1E87"/>
    <w:rsid w:val="008B3CB9"/>
    <w:rsid w:val="008B46B0"/>
    <w:rsid w:val="008B47BD"/>
    <w:rsid w:val="008C1571"/>
    <w:rsid w:val="008C399F"/>
    <w:rsid w:val="008C47B2"/>
    <w:rsid w:val="008C5944"/>
    <w:rsid w:val="008C7756"/>
    <w:rsid w:val="008D6113"/>
    <w:rsid w:val="008D68E4"/>
    <w:rsid w:val="008E37E4"/>
    <w:rsid w:val="008E54C2"/>
    <w:rsid w:val="008F062F"/>
    <w:rsid w:val="008F5BF0"/>
    <w:rsid w:val="00901921"/>
    <w:rsid w:val="0090289B"/>
    <w:rsid w:val="00902A7B"/>
    <w:rsid w:val="00905A84"/>
    <w:rsid w:val="00911C5F"/>
    <w:rsid w:val="00916E22"/>
    <w:rsid w:val="00921C61"/>
    <w:rsid w:val="009264C5"/>
    <w:rsid w:val="0092650F"/>
    <w:rsid w:val="009270A6"/>
    <w:rsid w:val="009330A0"/>
    <w:rsid w:val="009438F0"/>
    <w:rsid w:val="00945130"/>
    <w:rsid w:val="00945B64"/>
    <w:rsid w:val="00953506"/>
    <w:rsid w:val="009538F6"/>
    <w:rsid w:val="00957FFA"/>
    <w:rsid w:val="00967E4D"/>
    <w:rsid w:val="00971E18"/>
    <w:rsid w:val="009758F2"/>
    <w:rsid w:val="00982851"/>
    <w:rsid w:val="0098609A"/>
    <w:rsid w:val="0099301B"/>
    <w:rsid w:val="00993916"/>
    <w:rsid w:val="009961C6"/>
    <w:rsid w:val="009A0EF6"/>
    <w:rsid w:val="009A1C8B"/>
    <w:rsid w:val="009A631A"/>
    <w:rsid w:val="009A6FCF"/>
    <w:rsid w:val="009A75F1"/>
    <w:rsid w:val="009B04FD"/>
    <w:rsid w:val="009B2D95"/>
    <w:rsid w:val="009B3A06"/>
    <w:rsid w:val="009B3B18"/>
    <w:rsid w:val="009B51FF"/>
    <w:rsid w:val="009B5BCF"/>
    <w:rsid w:val="009C1647"/>
    <w:rsid w:val="009C2768"/>
    <w:rsid w:val="009C73AE"/>
    <w:rsid w:val="009D2ED6"/>
    <w:rsid w:val="009D2FD7"/>
    <w:rsid w:val="009F47A5"/>
    <w:rsid w:val="009F6E2B"/>
    <w:rsid w:val="00A0485D"/>
    <w:rsid w:val="00A04C8C"/>
    <w:rsid w:val="00A06DB8"/>
    <w:rsid w:val="00A16AED"/>
    <w:rsid w:val="00A21230"/>
    <w:rsid w:val="00A21DD4"/>
    <w:rsid w:val="00A24B14"/>
    <w:rsid w:val="00A252A0"/>
    <w:rsid w:val="00A26699"/>
    <w:rsid w:val="00A26E3F"/>
    <w:rsid w:val="00A27A85"/>
    <w:rsid w:val="00A32472"/>
    <w:rsid w:val="00A35608"/>
    <w:rsid w:val="00A357A3"/>
    <w:rsid w:val="00A35D1C"/>
    <w:rsid w:val="00A36BFF"/>
    <w:rsid w:val="00A42B0F"/>
    <w:rsid w:val="00A43052"/>
    <w:rsid w:val="00A432E2"/>
    <w:rsid w:val="00A52587"/>
    <w:rsid w:val="00A570E8"/>
    <w:rsid w:val="00A570EC"/>
    <w:rsid w:val="00A611BA"/>
    <w:rsid w:val="00A623DB"/>
    <w:rsid w:val="00A650CB"/>
    <w:rsid w:val="00A658DB"/>
    <w:rsid w:val="00A708FA"/>
    <w:rsid w:val="00A82813"/>
    <w:rsid w:val="00A87872"/>
    <w:rsid w:val="00A94C44"/>
    <w:rsid w:val="00A9514B"/>
    <w:rsid w:val="00A95405"/>
    <w:rsid w:val="00A97E46"/>
    <w:rsid w:val="00AA25DC"/>
    <w:rsid w:val="00AC18A3"/>
    <w:rsid w:val="00AC307C"/>
    <w:rsid w:val="00AD3FEB"/>
    <w:rsid w:val="00AE1E85"/>
    <w:rsid w:val="00AE30B0"/>
    <w:rsid w:val="00AE3321"/>
    <w:rsid w:val="00B00563"/>
    <w:rsid w:val="00B076DD"/>
    <w:rsid w:val="00B07CB7"/>
    <w:rsid w:val="00B12F95"/>
    <w:rsid w:val="00B13004"/>
    <w:rsid w:val="00B217A0"/>
    <w:rsid w:val="00B21E32"/>
    <w:rsid w:val="00B27068"/>
    <w:rsid w:val="00B2775B"/>
    <w:rsid w:val="00B30605"/>
    <w:rsid w:val="00B44140"/>
    <w:rsid w:val="00B45855"/>
    <w:rsid w:val="00B4732B"/>
    <w:rsid w:val="00B5008C"/>
    <w:rsid w:val="00B51DDF"/>
    <w:rsid w:val="00B572E4"/>
    <w:rsid w:val="00B60784"/>
    <w:rsid w:val="00B70FAA"/>
    <w:rsid w:val="00B7221E"/>
    <w:rsid w:val="00B72D09"/>
    <w:rsid w:val="00B73CB0"/>
    <w:rsid w:val="00B81E4C"/>
    <w:rsid w:val="00B82A2B"/>
    <w:rsid w:val="00B82D2D"/>
    <w:rsid w:val="00B842BA"/>
    <w:rsid w:val="00B84D9D"/>
    <w:rsid w:val="00B86121"/>
    <w:rsid w:val="00B86E1D"/>
    <w:rsid w:val="00B87B33"/>
    <w:rsid w:val="00B910DB"/>
    <w:rsid w:val="00B91476"/>
    <w:rsid w:val="00B937DA"/>
    <w:rsid w:val="00B95B5E"/>
    <w:rsid w:val="00BA2748"/>
    <w:rsid w:val="00BA2DFF"/>
    <w:rsid w:val="00BA35E5"/>
    <w:rsid w:val="00BA51B0"/>
    <w:rsid w:val="00BA51B2"/>
    <w:rsid w:val="00BA5CAB"/>
    <w:rsid w:val="00BB2C42"/>
    <w:rsid w:val="00BB3908"/>
    <w:rsid w:val="00BC05B7"/>
    <w:rsid w:val="00BC30D1"/>
    <w:rsid w:val="00BC5F2B"/>
    <w:rsid w:val="00BC6632"/>
    <w:rsid w:val="00BD1B75"/>
    <w:rsid w:val="00BD3858"/>
    <w:rsid w:val="00BD4D5B"/>
    <w:rsid w:val="00BD5F5F"/>
    <w:rsid w:val="00BE4061"/>
    <w:rsid w:val="00BE5AE6"/>
    <w:rsid w:val="00BE76D1"/>
    <w:rsid w:val="00BE7787"/>
    <w:rsid w:val="00BF4E6E"/>
    <w:rsid w:val="00BF651D"/>
    <w:rsid w:val="00BF761A"/>
    <w:rsid w:val="00C0744B"/>
    <w:rsid w:val="00C1144A"/>
    <w:rsid w:val="00C179EB"/>
    <w:rsid w:val="00C22D3C"/>
    <w:rsid w:val="00C23EB9"/>
    <w:rsid w:val="00C26EC9"/>
    <w:rsid w:val="00C35439"/>
    <w:rsid w:val="00C371FC"/>
    <w:rsid w:val="00C37C3D"/>
    <w:rsid w:val="00C40219"/>
    <w:rsid w:val="00C551F8"/>
    <w:rsid w:val="00C55478"/>
    <w:rsid w:val="00C56A7A"/>
    <w:rsid w:val="00C625CC"/>
    <w:rsid w:val="00C728D9"/>
    <w:rsid w:val="00C81A51"/>
    <w:rsid w:val="00C81B75"/>
    <w:rsid w:val="00C81D1F"/>
    <w:rsid w:val="00C85B90"/>
    <w:rsid w:val="00C85C3E"/>
    <w:rsid w:val="00C868DF"/>
    <w:rsid w:val="00C972F9"/>
    <w:rsid w:val="00CA0B79"/>
    <w:rsid w:val="00CA2765"/>
    <w:rsid w:val="00CA4A65"/>
    <w:rsid w:val="00CA6F75"/>
    <w:rsid w:val="00CA7009"/>
    <w:rsid w:val="00CC3FB0"/>
    <w:rsid w:val="00CC49B4"/>
    <w:rsid w:val="00CD0701"/>
    <w:rsid w:val="00CD41DE"/>
    <w:rsid w:val="00CE3BBC"/>
    <w:rsid w:val="00CE4623"/>
    <w:rsid w:val="00CE7B58"/>
    <w:rsid w:val="00CF2C02"/>
    <w:rsid w:val="00CF2D3E"/>
    <w:rsid w:val="00CF54DC"/>
    <w:rsid w:val="00CF6291"/>
    <w:rsid w:val="00D03220"/>
    <w:rsid w:val="00D07DEA"/>
    <w:rsid w:val="00D16D01"/>
    <w:rsid w:val="00D22A15"/>
    <w:rsid w:val="00D22E3B"/>
    <w:rsid w:val="00D24DC6"/>
    <w:rsid w:val="00D25F8C"/>
    <w:rsid w:val="00D26D4D"/>
    <w:rsid w:val="00D31372"/>
    <w:rsid w:val="00D357EC"/>
    <w:rsid w:val="00D6036E"/>
    <w:rsid w:val="00D6625C"/>
    <w:rsid w:val="00D67963"/>
    <w:rsid w:val="00D7417B"/>
    <w:rsid w:val="00D76209"/>
    <w:rsid w:val="00D8641D"/>
    <w:rsid w:val="00D93321"/>
    <w:rsid w:val="00D95871"/>
    <w:rsid w:val="00D95E5F"/>
    <w:rsid w:val="00DA1AA8"/>
    <w:rsid w:val="00DA1EA6"/>
    <w:rsid w:val="00DA2798"/>
    <w:rsid w:val="00DA300C"/>
    <w:rsid w:val="00DB0B79"/>
    <w:rsid w:val="00DB1259"/>
    <w:rsid w:val="00DB6785"/>
    <w:rsid w:val="00DC68B9"/>
    <w:rsid w:val="00DD254C"/>
    <w:rsid w:val="00DD3CD0"/>
    <w:rsid w:val="00DD6C2C"/>
    <w:rsid w:val="00DE0C00"/>
    <w:rsid w:val="00DE1826"/>
    <w:rsid w:val="00DE437E"/>
    <w:rsid w:val="00DE6053"/>
    <w:rsid w:val="00DF19EE"/>
    <w:rsid w:val="00DF3B16"/>
    <w:rsid w:val="00E128EF"/>
    <w:rsid w:val="00E1483A"/>
    <w:rsid w:val="00E24CC8"/>
    <w:rsid w:val="00E3281E"/>
    <w:rsid w:val="00E366CB"/>
    <w:rsid w:val="00E379D0"/>
    <w:rsid w:val="00E40260"/>
    <w:rsid w:val="00E448F7"/>
    <w:rsid w:val="00E47118"/>
    <w:rsid w:val="00E5183F"/>
    <w:rsid w:val="00E5206B"/>
    <w:rsid w:val="00E53EFE"/>
    <w:rsid w:val="00E54AC1"/>
    <w:rsid w:val="00E55EF2"/>
    <w:rsid w:val="00E56FB0"/>
    <w:rsid w:val="00E673BB"/>
    <w:rsid w:val="00E6774B"/>
    <w:rsid w:val="00E67F2C"/>
    <w:rsid w:val="00E71DB0"/>
    <w:rsid w:val="00E73E27"/>
    <w:rsid w:val="00E749DF"/>
    <w:rsid w:val="00E75A51"/>
    <w:rsid w:val="00E80B07"/>
    <w:rsid w:val="00E826AD"/>
    <w:rsid w:val="00E850E1"/>
    <w:rsid w:val="00E91A23"/>
    <w:rsid w:val="00E92620"/>
    <w:rsid w:val="00E948A7"/>
    <w:rsid w:val="00E977C7"/>
    <w:rsid w:val="00EA6BAB"/>
    <w:rsid w:val="00EB41F6"/>
    <w:rsid w:val="00EB6640"/>
    <w:rsid w:val="00EB7B41"/>
    <w:rsid w:val="00EC0DB6"/>
    <w:rsid w:val="00EC2E99"/>
    <w:rsid w:val="00EC4F0E"/>
    <w:rsid w:val="00ED4D2B"/>
    <w:rsid w:val="00ED5D0E"/>
    <w:rsid w:val="00ED5FA1"/>
    <w:rsid w:val="00EE1439"/>
    <w:rsid w:val="00EE1B03"/>
    <w:rsid w:val="00EE3379"/>
    <w:rsid w:val="00EE42FD"/>
    <w:rsid w:val="00EE62B3"/>
    <w:rsid w:val="00EE7FB9"/>
    <w:rsid w:val="00EF2EC1"/>
    <w:rsid w:val="00EF57D3"/>
    <w:rsid w:val="00EF5F68"/>
    <w:rsid w:val="00F0141B"/>
    <w:rsid w:val="00F047CE"/>
    <w:rsid w:val="00F06E6A"/>
    <w:rsid w:val="00F07B7B"/>
    <w:rsid w:val="00F10D5E"/>
    <w:rsid w:val="00F124CC"/>
    <w:rsid w:val="00F14D96"/>
    <w:rsid w:val="00F14DEF"/>
    <w:rsid w:val="00F14E81"/>
    <w:rsid w:val="00F157B9"/>
    <w:rsid w:val="00F4281C"/>
    <w:rsid w:val="00F445A3"/>
    <w:rsid w:val="00F51EB4"/>
    <w:rsid w:val="00F56CF3"/>
    <w:rsid w:val="00F60501"/>
    <w:rsid w:val="00F60638"/>
    <w:rsid w:val="00F61008"/>
    <w:rsid w:val="00F6379B"/>
    <w:rsid w:val="00F7023F"/>
    <w:rsid w:val="00F709C1"/>
    <w:rsid w:val="00F72F30"/>
    <w:rsid w:val="00F73226"/>
    <w:rsid w:val="00F752DD"/>
    <w:rsid w:val="00F75E2D"/>
    <w:rsid w:val="00F771E2"/>
    <w:rsid w:val="00F77480"/>
    <w:rsid w:val="00F77A49"/>
    <w:rsid w:val="00F81DDF"/>
    <w:rsid w:val="00F84AD8"/>
    <w:rsid w:val="00F92875"/>
    <w:rsid w:val="00FA0572"/>
    <w:rsid w:val="00FA15F6"/>
    <w:rsid w:val="00FA3484"/>
    <w:rsid w:val="00FA6626"/>
    <w:rsid w:val="00FA69CB"/>
    <w:rsid w:val="00FA76A2"/>
    <w:rsid w:val="00FB15D4"/>
    <w:rsid w:val="00FB589A"/>
    <w:rsid w:val="00FB67BF"/>
    <w:rsid w:val="00FC0016"/>
    <w:rsid w:val="00FC3401"/>
    <w:rsid w:val="00FC60CE"/>
    <w:rsid w:val="00FC72D2"/>
    <w:rsid w:val="00FD1645"/>
    <w:rsid w:val="00FD4FA1"/>
    <w:rsid w:val="00FD66FD"/>
    <w:rsid w:val="00FE1B40"/>
    <w:rsid w:val="00FE2AB0"/>
    <w:rsid w:val="00FF68B5"/>
    <w:rsid w:val="010E0921"/>
    <w:rsid w:val="01200B6A"/>
    <w:rsid w:val="01401F5A"/>
    <w:rsid w:val="014F3A8A"/>
    <w:rsid w:val="01576A0C"/>
    <w:rsid w:val="01655333"/>
    <w:rsid w:val="017C15DE"/>
    <w:rsid w:val="018502B5"/>
    <w:rsid w:val="0187402D"/>
    <w:rsid w:val="01AE6E74"/>
    <w:rsid w:val="01BD441C"/>
    <w:rsid w:val="01C91BC5"/>
    <w:rsid w:val="01F974E8"/>
    <w:rsid w:val="01FF1E15"/>
    <w:rsid w:val="0200793B"/>
    <w:rsid w:val="024075E8"/>
    <w:rsid w:val="02436F63"/>
    <w:rsid w:val="02682A2A"/>
    <w:rsid w:val="02686993"/>
    <w:rsid w:val="027A76EE"/>
    <w:rsid w:val="02A66461"/>
    <w:rsid w:val="02B50726"/>
    <w:rsid w:val="02BC30A7"/>
    <w:rsid w:val="02D86518"/>
    <w:rsid w:val="02EA2661"/>
    <w:rsid w:val="02ED3BC6"/>
    <w:rsid w:val="02EF5CDD"/>
    <w:rsid w:val="02F02F4A"/>
    <w:rsid w:val="02FA438B"/>
    <w:rsid w:val="031814D4"/>
    <w:rsid w:val="033479E0"/>
    <w:rsid w:val="034D32D6"/>
    <w:rsid w:val="036E267D"/>
    <w:rsid w:val="039D7B38"/>
    <w:rsid w:val="03A70A38"/>
    <w:rsid w:val="03B67FCA"/>
    <w:rsid w:val="03FC75AB"/>
    <w:rsid w:val="040845C6"/>
    <w:rsid w:val="04095165"/>
    <w:rsid w:val="041D6583"/>
    <w:rsid w:val="04223B99"/>
    <w:rsid w:val="04284AA8"/>
    <w:rsid w:val="043370F5"/>
    <w:rsid w:val="04385E02"/>
    <w:rsid w:val="044605DF"/>
    <w:rsid w:val="04460E6B"/>
    <w:rsid w:val="04646D02"/>
    <w:rsid w:val="0468250E"/>
    <w:rsid w:val="046C1642"/>
    <w:rsid w:val="04787118"/>
    <w:rsid w:val="047D5273"/>
    <w:rsid w:val="048E122E"/>
    <w:rsid w:val="04AD13C2"/>
    <w:rsid w:val="04C16F98"/>
    <w:rsid w:val="04C82992"/>
    <w:rsid w:val="04CC63A3"/>
    <w:rsid w:val="04E565D4"/>
    <w:rsid w:val="04FE15F6"/>
    <w:rsid w:val="051060E7"/>
    <w:rsid w:val="051C02E6"/>
    <w:rsid w:val="053067DA"/>
    <w:rsid w:val="05401D75"/>
    <w:rsid w:val="05471D94"/>
    <w:rsid w:val="054D733B"/>
    <w:rsid w:val="05500BDA"/>
    <w:rsid w:val="0558152F"/>
    <w:rsid w:val="057940B5"/>
    <w:rsid w:val="057C7CDC"/>
    <w:rsid w:val="05A827C4"/>
    <w:rsid w:val="05B4295E"/>
    <w:rsid w:val="05C444EF"/>
    <w:rsid w:val="05DC53FD"/>
    <w:rsid w:val="05E57574"/>
    <w:rsid w:val="0609094D"/>
    <w:rsid w:val="061614DB"/>
    <w:rsid w:val="06166002"/>
    <w:rsid w:val="06265340"/>
    <w:rsid w:val="0660735B"/>
    <w:rsid w:val="066371B1"/>
    <w:rsid w:val="066B5CCB"/>
    <w:rsid w:val="067D6F65"/>
    <w:rsid w:val="06846D8D"/>
    <w:rsid w:val="0687062B"/>
    <w:rsid w:val="069B5E85"/>
    <w:rsid w:val="06C60D71"/>
    <w:rsid w:val="06E65187"/>
    <w:rsid w:val="06EC0678"/>
    <w:rsid w:val="072F1067"/>
    <w:rsid w:val="073026EE"/>
    <w:rsid w:val="07487DBA"/>
    <w:rsid w:val="07564F61"/>
    <w:rsid w:val="075B5D40"/>
    <w:rsid w:val="076467B2"/>
    <w:rsid w:val="07646BD8"/>
    <w:rsid w:val="07711052"/>
    <w:rsid w:val="077E558A"/>
    <w:rsid w:val="078441FF"/>
    <w:rsid w:val="07966D78"/>
    <w:rsid w:val="07A50AFC"/>
    <w:rsid w:val="07A62C4F"/>
    <w:rsid w:val="07AF1773"/>
    <w:rsid w:val="07EF6AC0"/>
    <w:rsid w:val="07FB307F"/>
    <w:rsid w:val="0802771E"/>
    <w:rsid w:val="080C48FA"/>
    <w:rsid w:val="08122176"/>
    <w:rsid w:val="08486FC5"/>
    <w:rsid w:val="08601134"/>
    <w:rsid w:val="08745278"/>
    <w:rsid w:val="0877387E"/>
    <w:rsid w:val="087D5842"/>
    <w:rsid w:val="088968DD"/>
    <w:rsid w:val="088F72E1"/>
    <w:rsid w:val="08A37A96"/>
    <w:rsid w:val="08A7247E"/>
    <w:rsid w:val="08BA6A96"/>
    <w:rsid w:val="08DF792C"/>
    <w:rsid w:val="08F85810"/>
    <w:rsid w:val="09005BC4"/>
    <w:rsid w:val="09014EEB"/>
    <w:rsid w:val="094C3466"/>
    <w:rsid w:val="094C382F"/>
    <w:rsid w:val="096E7880"/>
    <w:rsid w:val="098F73BD"/>
    <w:rsid w:val="09A34AFA"/>
    <w:rsid w:val="09BD3422"/>
    <w:rsid w:val="09D75426"/>
    <w:rsid w:val="09F75C16"/>
    <w:rsid w:val="09FA2E31"/>
    <w:rsid w:val="0A1E3C5A"/>
    <w:rsid w:val="0A1E44DA"/>
    <w:rsid w:val="0A207C9D"/>
    <w:rsid w:val="0A256191"/>
    <w:rsid w:val="0A5E006F"/>
    <w:rsid w:val="0A680072"/>
    <w:rsid w:val="0A851326"/>
    <w:rsid w:val="0A93596B"/>
    <w:rsid w:val="0A9B1EDA"/>
    <w:rsid w:val="0AA34C5A"/>
    <w:rsid w:val="0AA6399E"/>
    <w:rsid w:val="0AB319EF"/>
    <w:rsid w:val="0AB42C3E"/>
    <w:rsid w:val="0ABB751A"/>
    <w:rsid w:val="0AC36E49"/>
    <w:rsid w:val="0AD025FD"/>
    <w:rsid w:val="0AE545BA"/>
    <w:rsid w:val="0AE918B4"/>
    <w:rsid w:val="0AED06A3"/>
    <w:rsid w:val="0AF86116"/>
    <w:rsid w:val="0B145A0F"/>
    <w:rsid w:val="0B1C3A38"/>
    <w:rsid w:val="0B1C3AEA"/>
    <w:rsid w:val="0B29449F"/>
    <w:rsid w:val="0B3A342D"/>
    <w:rsid w:val="0B411A07"/>
    <w:rsid w:val="0B412664"/>
    <w:rsid w:val="0B471607"/>
    <w:rsid w:val="0B52745A"/>
    <w:rsid w:val="0B5B2D1D"/>
    <w:rsid w:val="0B6F1577"/>
    <w:rsid w:val="0B756CA4"/>
    <w:rsid w:val="0B900786"/>
    <w:rsid w:val="0B964155"/>
    <w:rsid w:val="0BAA3AAF"/>
    <w:rsid w:val="0BCA3494"/>
    <w:rsid w:val="0BCF2858"/>
    <w:rsid w:val="0BDE0703"/>
    <w:rsid w:val="0BE46D3E"/>
    <w:rsid w:val="0BEA67E4"/>
    <w:rsid w:val="0BEB1A51"/>
    <w:rsid w:val="0BFA772C"/>
    <w:rsid w:val="0C014064"/>
    <w:rsid w:val="0C160BA1"/>
    <w:rsid w:val="0C2A5FEE"/>
    <w:rsid w:val="0C2F32F7"/>
    <w:rsid w:val="0C331C58"/>
    <w:rsid w:val="0C36616B"/>
    <w:rsid w:val="0C5F7D7E"/>
    <w:rsid w:val="0C6A432F"/>
    <w:rsid w:val="0C6C3175"/>
    <w:rsid w:val="0C9F7D6E"/>
    <w:rsid w:val="0CA75583"/>
    <w:rsid w:val="0CAA2C55"/>
    <w:rsid w:val="0CB64B33"/>
    <w:rsid w:val="0CC66122"/>
    <w:rsid w:val="0CD21ED4"/>
    <w:rsid w:val="0CD70950"/>
    <w:rsid w:val="0CDA08B0"/>
    <w:rsid w:val="0CE35552"/>
    <w:rsid w:val="0CEA36C2"/>
    <w:rsid w:val="0CEF37BB"/>
    <w:rsid w:val="0CF956B3"/>
    <w:rsid w:val="0D1B2812"/>
    <w:rsid w:val="0D1F15BD"/>
    <w:rsid w:val="0D1F5436"/>
    <w:rsid w:val="0D227DD4"/>
    <w:rsid w:val="0D36034E"/>
    <w:rsid w:val="0D405695"/>
    <w:rsid w:val="0D4C612B"/>
    <w:rsid w:val="0D613984"/>
    <w:rsid w:val="0D6E38DE"/>
    <w:rsid w:val="0D764CE0"/>
    <w:rsid w:val="0D774F56"/>
    <w:rsid w:val="0D7954FD"/>
    <w:rsid w:val="0D83400A"/>
    <w:rsid w:val="0D841421"/>
    <w:rsid w:val="0D8C4BF5"/>
    <w:rsid w:val="0D981675"/>
    <w:rsid w:val="0D98515C"/>
    <w:rsid w:val="0DA91814"/>
    <w:rsid w:val="0DAB53B1"/>
    <w:rsid w:val="0DAD608F"/>
    <w:rsid w:val="0DC45E43"/>
    <w:rsid w:val="0DCF4D92"/>
    <w:rsid w:val="0DFB51CD"/>
    <w:rsid w:val="0E0E15F5"/>
    <w:rsid w:val="0E1A563E"/>
    <w:rsid w:val="0E1D2763"/>
    <w:rsid w:val="0E434E7F"/>
    <w:rsid w:val="0E5131BF"/>
    <w:rsid w:val="0E5A03D3"/>
    <w:rsid w:val="0E7A7053"/>
    <w:rsid w:val="0E855450"/>
    <w:rsid w:val="0E8E48BE"/>
    <w:rsid w:val="0E9839CC"/>
    <w:rsid w:val="0EAE0CF3"/>
    <w:rsid w:val="0EB14497"/>
    <w:rsid w:val="0EC1061B"/>
    <w:rsid w:val="0EC57F43"/>
    <w:rsid w:val="0EDB62DF"/>
    <w:rsid w:val="0EDF2288"/>
    <w:rsid w:val="0EE91E83"/>
    <w:rsid w:val="0F1F541B"/>
    <w:rsid w:val="0F205179"/>
    <w:rsid w:val="0F4D2617"/>
    <w:rsid w:val="0F4E2FBE"/>
    <w:rsid w:val="0F5A39E9"/>
    <w:rsid w:val="0F5B2655"/>
    <w:rsid w:val="0F7C33C7"/>
    <w:rsid w:val="0FA36571"/>
    <w:rsid w:val="0FA57616"/>
    <w:rsid w:val="0FAB1E11"/>
    <w:rsid w:val="0FBD1CE9"/>
    <w:rsid w:val="0FBF5598"/>
    <w:rsid w:val="0FC30926"/>
    <w:rsid w:val="0FC41FA8"/>
    <w:rsid w:val="0FD348E1"/>
    <w:rsid w:val="0FDB7FAB"/>
    <w:rsid w:val="0FDE750E"/>
    <w:rsid w:val="0FE219B7"/>
    <w:rsid w:val="0FE224D3"/>
    <w:rsid w:val="0FE94D60"/>
    <w:rsid w:val="0FF56606"/>
    <w:rsid w:val="0FF85291"/>
    <w:rsid w:val="0FFE195E"/>
    <w:rsid w:val="10024093"/>
    <w:rsid w:val="10026E03"/>
    <w:rsid w:val="1008126D"/>
    <w:rsid w:val="10246CD9"/>
    <w:rsid w:val="10345380"/>
    <w:rsid w:val="104A573F"/>
    <w:rsid w:val="108D4996"/>
    <w:rsid w:val="1098128C"/>
    <w:rsid w:val="10A8365F"/>
    <w:rsid w:val="10B13202"/>
    <w:rsid w:val="10EB6E85"/>
    <w:rsid w:val="10ED6A59"/>
    <w:rsid w:val="10F759A1"/>
    <w:rsid w:val="110A3EE5"/>
    <w:rsid w:val="110F4FB2"/>
    <w:rsid w:val="111626F8"/>
    <w:rsid w:val="111B6540"/>
    <w:rsid w:val="1120443C"/>
    <w:rsid w:val="1122342A"/>
    <w:rsid w:val="114063D0"/>
    <w:rsid w:val="116E48C1"/>
    <w:rsid w:val="117A3266"/>
    <w:rsid w:val="11844D14"/>
    <w:rsid w:val="118B03DD"/>
    <w:rsid w:val="11934328"/>
    <w:rsid w:val="119A29BC"/>
    <w:rsid w:val="11B304FD"/>
    <w:rsid w:val="11BB73DB"/>
    <w:rsid w:val="11BD71AA"/>
    <w:rsid w:val="124949E7"/>
    <w:rsid w:val="126731AA"/>
    <w:rsid w:val="128B4D23"/>
    <w:rsid w:val="129C424B"/>
    <w:rsid w:val="12A52565"/>
    <w:rsid w:val="12B039D1"/>
    <w:rsid w:val="12BD781E"/>
    <w:rsid w:val="12CB287F"/>
    <w:rsid w:val="12CE7591"/>
    <w:rsid w:val="12D0549C"/>
    <w:rsid w:val="12DA08F3"/>
    <w:rsid w:val="12E04A49"/>
    <w:rsid w:val="12F64B6E"/>
    <w:rsid w:val="1312127D"/>
    <w:rsid w:val="13193953"/>
    <w:rsid w:val="132502C8"/>
    <w:rsid w:val="1333549D"/>
    <w:rsid w:val="133451EC"/>
    <w:rsid w:val="135C133F"/>
    <w:rsid w:val="137F4B64"/>
    <w:rsid w:val="13854144"/>
    <w:rsid w:val="13881F85"/>
    <w:rsid w:val="138E1B40"/>
    <w:rsid w:val="1394729E"/>
    <w:rsid w:val="13C61AF2"/>
    <w:rsid w:val="13C75EBA"/>
    <w:rsid w:val="13CF064E"/>
    <w:rsid w:val="13D719AE"/>
    <w:rsid w:val="13E866B0"/>
    <w:rsid w:val="14060DE1"/>
    <w:rsid w:val="140A5F33"/>
    <w:rsid w:val="14121CFA"/>
    <w:rsid w:val="14131303"/>
    <w:rsid w:val="14313F3C"/>
    <w:rsid w:val="14325227"/>
    <w:rsid w:val="144C21F8"/>
    <w:rsid w:val="14652A22"/>
    <w:rsid w:val="146B26BB"/>
    <w:rsid w:val="147E1E44"/>
    <w:rsid w:val="14BA2C59"/>
    <w:rsid w:val="14D049DE"/>
    <w:rsid w:val="14E42AAC"/>
    <w:rsid w:val="14E82BDD"/>
    <w:rsid w:val="14F4761F"/>
    <w:rsid w:val="14F70BFD"/>
    <w:rsid w:val="14F77FC4"/>
    <w:rsid w:val="14FC30C1"/>
    <w:rsid w:val="151B6442"/>
    <w:rsid w:val="15231362"/>
    <w:rsid w:val="15284D87"/>
    <w:rsid w:val="152D239E"/>
    <w:rsid w:val="15355F42"/>
    <w:rsid w:val="153E7EAD"/>
    <w:rsid w:val="15442576"/>
    <w:rsid w:val="154A4D7F"/>
    <w:rsid w:val="154D0C92"/>
    <w:rsid w:val="155E647D"/>
    <w:rsid w:val="15995251"/>
    <w:rsid w:val="15A96D62"/>
    <w:rsid w:val="15AA689B"/>
    <w:rsid w:val="15C34AB0"/>
    <w:rsid w:val="15D34EE8"/>
    <w:rsid w:val="15D43FBE"/>
    <w:rsid w:val="15FC6940"/>
    <w:rsid w:val="15FF01DE"/>
    <w:rsid w:val="160E0BFB"/>
    <w:rsid w:val="161A0A11"/>
    <w:rsid w:val="162E5377"/>
    <w:rsid w:val="16465E0D"/>
    <w:rsid w:val="16510A53"/>
    <w:rsid w:val="16571DC8"/>
    <w:rsid w:val="165F621E"/>
    <w:rsid w:val="1675334D"/>
    <w:rsid w:val="16775356"/>
    <w:rsid w:val="16782B7B"/>
    <w:rsid w:val="16917AAF"/>
    <w:rsid w:val="16AD69D2"/>
    <w:rsid w:val="16C4566D"/>
    <w:rsid w:val="16E7241B"/>
    <w:rsid w:val="16EA1602"/>
    <w:rsid w:val="17005FBC"/>
    <w:rsid w:val="170A4EBA"/>
    <w:rsid w:val="170F4981"/>
    <w:rsid w:val="17112BA5"/>
    <w:rsid w:val="171946A2"/>
    <w:rsid w:val="17200D7B"/>
    <w:rsid w:val="1729106A"/>
    <w:rsid w:val="17581E52"/>
    <w:rsid w:val="17632BD5"/>
    <w:rsid w:val="177155F1"/>
    <w:rsid w:val="17920BDE"/>
    <w:rsid w:val="17A54DB5"/>
    <w:rsid w:val="17AE1509"/>
    <w:rsid w:val="17B001A3"/>
    <w:rsid w:val="17CB4461"/>
    <w:rsid w:val="17D24D5F"/>
    <w:rsid w:val="17FA6A15"/>
    <w:rsid w:val="180737B7"/>
    <w:rsid w:val="1813493B"/>
    <w:rsid w:val="18181DEA"/>
    <w:rsid w:val="1823394E"/>
    <w:rsid w:val="182A0E16"/>
    <w:rsid w:val="18374765"/>
    <w:rsid w:val="18541C62"/>
    <w:rsid w:val="185540E5"/>
    <w:rsid w:val="18566873"/>
    <w:rsid w:val="18630C83"/>
    <w:rsid w:val="186E55AA"/>
    <w:rsid w:val="188A39C4"/>
    <w:rsid w:val="189E2C87"/>
    <w:rsid w:val="18BC008C"/>
    <w:rsid w:val="18C273EE"/>
    <w:rsid w:val="18D21BDA"/>
    <w:rsid w:val="18EB6B88"/>
    <w:rsid w:val="19120228"/>
    <w:rsid w:val="191927D4"/>
    <w:rsid w:val="191F46F3"/>
    <w:rsid w:val="19275192"/>
    <w:rsid w:val="192F4936"/>
    <w:rsid w:val="19306900"/>
    <w:rsid w:val="19393A07"/>
    <w:rsid w:val="19433422"/>
    <w:rsid w:val="1964382E"/>
    <w:rsid w:val="196A1650"/>
    <w:rsid w:val="1981715C"/>
    <w:rsid w:val="199076A2"/>
    <w:rsid w:val="19964797"/>
    <w:rsid w:val="19BE215E"/>
    <w:rsid w:val="19BF76EB"/>
    <w:rsid w:val="19CA28B1"/>
    <w:rsid w:val="19E85593"/>
    <w:rsid w:val="19F90548"/>
    <w:rsid w:val="1A002777"/>
    <w:rsid w:val="1A0E2268"/>
    <w:rsid w:val="1A123794"/>
    <w:rsid w:val="1A2B6F5F"/>
    <w:rsid w:val="1A352420"/>
    <w:rsid w:val="1A3F2FF8"/>
    <w:rsid w:val="1A4408B5"/>
    <w:rsid w:val="1A6B315A"/>
    <w:rsid w:val="1A741AAF"/>
    <w:rsid w:val="1A845156"/>
    <w:rsid w:val="1A8614E2"/>
    <w:rsid w:val="1A8C400A"/>
    <w:rsid w:val="1A8C6AE4"/>
    <w:rsid w:val="1AA03612"/>
    <w:rsid w:val="1AAB4BCA"/>
    <w:rsid w:val="1AC10C11"/>
    <w:rsid w:val="1ACA67E5"/>
    <w:rsid w:val="1AED5784"/>
    <w:rsid w:val="1AF000F5"/>
    <w:rsid w:val="1AF476AD"/>
    <w:rsid w:val="1B077EE7"/>
    <w:rsid w:val="1B1C5931"/>
    <w:rsid w:val="1B2304CB"/>
    <w:rsid w:val="1B281F85"/>
    <w:rsid w:val="1B2D759B"/>
    <w:rsid w:val="1B5811BD"/>
    <w:rsid w:val="1B6D1746"/>
    <w:rsid w:val="1B721452"/>
    <w:rsid w:val="1B866036"/>
    <w:rsid w:val="1B8D3E30"/>
    <w:rsid w:val="1B950C9D"/>
    <w:rsid w:val="1B993A77"/>
    <w:rsid w:val="1B99761E"/>
    <w:rsid w:val="1B9E3F3F"/>
    <w:rsid w:val="1BA97566"/>
    <w:rsid w:val="1BAA299A"/>
    <w:rsid w:val="1BAB7230"/>
    <w:rsid w:val="1BB051EB"/>
    <w:rsid w:val="1BB235FD"/>
    <w:rsid w:val="1BB73497"/>
    <w:rsid w:val="1BEB5458"/>
    <w:rsid w:val="1BEC76C7"/>
    <w:rsid w:val="1C033E58"/>
    <w:rsid w:val="1C163B8C"/>
    <w:rsid w:val="1C1D0980"/>
    <w:rsid w:val="1C3209DF"/>
    <w:rsid w:val="1C35554F"/>
    <w:rsid w:val="1C414343"/>
    <w:rsid w:val="1C442812"/>
    <w:rsid w:val="1C4F05BA"/>
    <w:rsid w:val="1C7A05BE"/>
    <w:rsid w:val="1C7A6810"/>
    <w:rsid w:val="1C7C447D"/>
    <w:rsid w:val="1C987B51"/>
    <w:rsid w:val="1CA2423C"/>
    <w:rsid w:val="1CA70C88"/>
    <w:rsid w:val="1CE05FE6"/>
    <w:rsid w:val="1CF50EA9"/>
    <w:rsid w:val="1D24677C"/>
    <w:rsid w:val="1D282217"/>
    <w:rsid w:val="1D305121"/>
    <w:rsid w:val="1D37025D"/>
    <w:rsid w:val="1D372C07"/>
    <w:rsid w:val="1D3A3B36"/>
    <w:rsid w:val="1D4478A7"/>
    <w:rsid w:val="1D4F1855"/>
    <w:rsid w:val="1D566B26"/>
    <w:rsid w:val="1D7A71E1"/>
    <w:rsid w:val="1DB45D52"/>
    <w:rsid w:val="1DB72E7F"/>
    <w:rsid w:val="1DCC1A33"/>
    <w:rsid w:val="1DFB4EFA"/>
    <w:rsid w:val="1DFD2216"/>
    <w:rsid w:val="1E025426"/>
    <w:rsid w:val="1E065784"/>
    <w:rsid w:val="1E097D8B"/>
    <w:rsid w:val="1E1A5D2C"/>
    <w:rsid w:val="1E2702D2"/>
    <w:rsid w:val="1E3B0005"/>
    <w:rsid w:val="1E8A4FF2"/>
    <w:rsid w:val="1E917345"/>
    <w:rsid w:val="1EBB1C8A"/>
    <w:rsid w:val="1ECC572E"/>
    <w:rsid w:val="1ED12DD9"/>
    <w:rsid w:val="1F026EAD"/>
    <w:rsid w:val="1F0A5310"/>
    <w:rsid w:val="1F1E495D"/>
    <w:rsid w:val="1F220A99"/>
    <w:rsid w:val="1F262EC1"/>
    <w:rsid w:val="1F5E3523"/>
    <w:rsid w:val="1F606B81"/>
    <w:rsid w:val="1F84350B"/>
    <w:rsid w:val="1F8C47D3"/>
    <w:rsid w:val="1F9A2D26"/>
    <w:rsid w:val="1FA871F0"/>
    <w:rsid w:val="1FB5190D"/>
    <w:rsid w:val="1FB723C0"/>
    <w:rsid w:val="1FC61D6D"/>
    <w:rsid w:val="1FD038B1"/>
    <w:rsid w:val="1FE305D3"/>
    <w:rsid w:val="200863BC"/>
    <w:rsid w:val="204E60B1"/>
    <w:rsid w:val="20566C4C"/>
    <w:rsid w:val="205D447F"/>
    <w:rsid w:val="20620C14"/>
    <w:rsid w:val="206F65F1"/>
    <w:rsid w:val="2072013C"/>
    <w:rsid w:val="208F215E"/>
    <w:rsid w:val="20936484"/>
    <w:rsid w:val="20A25B7C"/>
    <w:rsid w:val="20B64B15"/>
    <w:rsid w:val="20BD452B"/>
    <w:rsid w:val="20C20C01"/>
    <w:rsid w:val="20CF68F7"/>
    <w:rsid w:val="20E25A68"/>
    <w:rsid w:val="20F85CB8"/>
    <w:rsid w:val="210B5C89"/>
    <w:rsid w:val="210E39CB"/>
    <w:rsid w:val="21110DC5"/>
    <w:rsid w:val="212618FF"/>
    <w:rsid w:val="212833BD"/>
    <w:rsid w:val="213815E7"/>
    <w:rsid w:val="214271D1"/>
    <w:rsid w:val="216D4A72"/>
    <w:rsid w:val="21863561"/>
    <w:rsid w:val="219F0AC7"/>
    <w:rsid w:val="21A03DB6"/>
    <w:rsid w:val="21C32502"/>
    <w:rsid w:val="21D37880"/>
    <w:rsid w:val="21DA38AD"/>
    <w:rsid w:val="22010AC4"/>
    <w:rsid w:val="220B6806"/>
    <w:rsid w:val="22204E00"/>
    <w:rsid w:val="2245454D"/>
    <w:rsid w:val="22471DE4"/>
    <w:rsid w:val="224858B3"/>
    <w:rsid w:val="225318EF"/>
    <w:rsid w:val="225E5814"/>
    <w:rsid w:val="225F1636"/>
    <w:rsid w:val="226E2973"/>
    <w:rsid w:val="226F3FF6"/>
    <w:rsid w:val="22755619"/>
    <w:rsid w:val="2277128A"/>
    <w:rsid w:val="227C4247"/>
    <w:rsid w:val="22814DDF"/>
    <w:rsid w:val="22833F45"/>
    <w:rsid w:val="22834446"/>
    <w:rsid w:val="228D0920"/>
    <w:rsid w:val="22924FB1"/>
    <w:rsid w:val="22A53DCC"/>
    <w:rsid w:val="22B4414A"/>
    <w:rsid w:val="22B503A8"/>
    <w:rsid w:val="22C2681B"/>
    <w:rsid w:val="22CD22B4"/>
    <w:rsid w:val="22F2367C"/>
    <w:rsid w:val="22F32E79"/>
    <w:rsid w:val="231C0A1F"/>
    <w:rsid w:val="231C6B32"/>
    <w:rsid w:val="23290302"/>
    <w:rsid w:val="232E450F"/>
    <w:rsid w:val="233C2C53"/>
    <w:rsid w:val="2341634B"/>
    <w:rsid w:val="238E0DF3"/>
    <w:rsid w:val="239C09E3"/>
    <w:rsid w:val="23AB3BD0"/>
    <w:rsid w:val="23B82A11"/>
    <w:rsid w:val="23F94533"/>
    <w:rsid w:val="24015121"/>
    <w:rsid w:val="240B2444"/>
    <w:rsid w:val="241F1A4B"/>
    <w:rsid w:val="2430397C"/>
    <w:rsid w:val="243100B8"/>
    <w:rsid w:val="2438200B"/>
    <w:rsid w:val="243B3FAC"/>
    <w:rsid w:val="24482D50"/>
    <w:rsid w:val="244F2331"/>
    <w:rsid w:val="24533C4F"/>
    <w:rsid w:val="2476155B"/>
    <w:rsid w:val="24767649"/>
    <w:rsid w:val="249064A5"/>
    <w:rsid w:val="24961D0D"/>
    <w:rsid w:val="249B16D2"/>
    <w:rsid w:val="249B7A78"/>
    <w:rsid w:val="24B462EB"/>
    <w:rsid w:val="24C50224"/>
    <w:rsid w:val="24C50845"/>
    <w:rsid w:val="24C60977"/>
    <w:rsid w:val="24D70266"/>
    <w:rsid w:val="24DB5972"/>
    <w:rsid w:val="24F6260D"/>
    <w:rsid w:val="24FD3B3B"/>
    <w:rsid w:val="25007ACF"/>
    <w:rsid w:val="25034199"/>
    <w:rsid w:val="25074C14"/>
    <w:rsid w:val="250F5C5D"/>
    <w:rsid w:val="25137802"/>
    <w:rsid w:val="2519649B"/>
    <w:rsid w:val="252A1FFB"/>
    <w:rsid w:val="252E7CF3"/>
    <w:rsid w:val="25506496"/>
    <w:rsid w:val="255C294B"/>
    <w:rsid w:val="2565326D"/>
    <w:rsid w:val="258141FD"/>
    <w:rsid w:val="258A4CDD"/>
    <w:rsid w:val="25BD32CA"/>
    <w:rsid w:val="25D074A1"/>
    <w:rsid w:val="25E22D30"/>
    <w:rsid w:val="25E60A73"/>
    <w:rsid w:val="260809E9"/>
    <w:rsid w:val="26231823"/>
    <w:rsid w:val="2624159B"/>
    <w:rsid w:val="263F224F"/>
    <w:rsid w:val="26414749"/>
    <w:rsid w:val="265B4A93"/>
    <w:rsid w:val="26666271"/>
    <w:rsid w:val="266A25C3"/>
    <w:rsid w:val="266A3452"/>
    <w:rsid w:val="26702394"/>
    <w:rsid w:val="267609FD"/>
    <w:rsid w:val="26832064"/>
    <w:rsid w:val="26897FC9"/>
    <w:rsid w:val="268A7862"/>
    <w:rsid w:val="26A4706E"/>
    <w:rsid w:val="26B5718D"/>
    <w:rsid w:val="26EE4083"/>
    <w:rsid w:val="26F22263"/>
    <w:rsid w:val="26F84556"/>
    <w:rsid w:val="26FE299E"/>
    <w:rsid w:val="271A2793"/>
    <w:rsid w:val="271D560E"/>
    <w:rsid w:val="271E248E"/>
    <w:rsid w:val="272B7470"/>
    <w:rsid w:val="273C5B82"/>
    <w:rsid w:val="27471779"/>
    <w:rsid w:val="27486546"/>
    <w:rsid w:val="2749750B"/>
    <w:rsid w:val="274C7976"/>
    <w:rsid w:val="2757192D"/>
    <w:rsid w:val="27673E35"/>
    <w:rsid w:val="27734537"/>
    <w:rsid w:val="27740D6B"/>
    <w:rsid w:val="27835ABA"/>
    <w:rsid w:val="27873B8F"/>
    <w:rsid w:val="27880CBE"/>
    <w:rsid w:val="278B67C1"/>
    <w:rsid w:val="279E3FA3"/>
    <w:rsid w:val="27A27C8F"/>
    <w:rsid w:val="27B0758A"/>
    <w:rsid w:val="27C500E8"/>
    <w:rsid w:val="27C952E2"/>
    <w:rsid w:val="27D462FD"/>
    <w:rsid w:val="27D668C5"/>
    <w:rsid w:val="27F6425C"/>
    <w:rsid w:val="28017DE6"/>
    <w:rsid w:val="28254229"/>
    <w:rsid w:val="282E6B76"/>
    <w:rsid w:val="28437BCE"/>
    <w:rsid w:val="28557E78"/>
    <w:rsid w:val="2856543A"/>
    <w:rsid w:val="286F7C9A"/>
    <w:rsid w:val="287068C1"/>
    <w:rsid w:val="2886653D"/>
    <w:rsid w:val="288C0C61"/>
    <w:rsid w:val="28AA3FD9"/>
    <w:rsid w:val="28C23075"/>
    <w:rsid w:val="28E41C6A"/>
    <w:rsid w:val="29086A4B"/>
    <w:rsid w:val="2912392D"/>
    <w:rsid w:val="291E6775"/>
    <w:rsid w:val="29214463"/>
    <w:rsid w:val="292D173D"/>
    <w:rsid w:val="29544ACB"/>
    <w:rsid w:val="29564161"/>
    <w:rsid w:val="2983494C"/>
    <w:rsid w:val="298B6D36"/>
    <w:rsid w:val="29923B03"/>
    <w:rsid w:val="29AA7DF8"/>
    <w:rsid w:val="29AE5AA6"/>
    <w:rsid w:val="2A0B6F8E"/>
    <w:rsid w:val="2A0E264A"/>
    <w:rsid w:val="2A187669"/>
    <w:rsid w:val="2A1A2E9F"/>
    <w:rsid w:val="2A1B1FD5"/>
    <w:rsid w:val="2A2E29E8"/>
    <w:rsid w:val="2A402D5E"/>
    <w:rsid w:val="2A417C35"/>
    <w:rsid w:val="2A574690"/>
    <w:rsid w:val="2A721FE9"/>
    <w:rsid w:val="2A731D2F"/>
    <w:rsid w:val="2A750617"/>
    <w:rsid w:val="2A757CA7"/>
    <w:rsid w:val="2A805EEE"/>
    <w:rsid w:val="2A8F792B"/>
    <w:rsid w:val="2A905451"/>
    <w:rsid w:val="2AA42CAA"/>
    <w:rsid w:val="2AA56730"/>
    <w:rsid w:val="2AD1246D"/>
    <w:rsid w:val="2AF12B7A"/>
    <w:rsid w:val="2B18384E"/>
    <w:rsid w:val="2B220990"/>
    <w:rsid w:val="2B39268C"/>
    <w:rsid w:val="2B3E3ACA"/>
    <w:rsid w:val="2B4104F9"/>
    <w:rsid w:val="2B482C09"/>
    <w:rsid w:val="2B520958"/>
    <w:rsid w:val="2B52393D"/>
    <w:rsid w:val="2B6446AE"/>
    <w:rsid w:val="2B794137"/>
    <w:rsid w:val="2B7D4158"/>
    <w:rsid w:val="2BB003CA"/>
    <w:rsid w:val="2BCA04EF"/>
    <w:rsid w:val="2BCE24F0"/>
    <w:rsid w:val="2BF81500"/>
    <w:rsid w:val="2C035D4D"/>
    <w:rsid w:val="2C0B1233"/>
    <w:rsid w:val="2C0F17CD"/>
    <w:rsid w:val="2C267E1B"/>
    <w:rsid w:val="2C4364D9"/>
    <w:rsid w:val="2C5460E7"/>
    <w:rsid w:val="2C6E3C27"/>
    <w:rsid w:val="2C7B60AB"/>
    <w:rsid w:val="2C844B41"/>
    <w:rsid w:val="2C8E07A2"/>
    <w:rsid w:val="2C9B0474"/>
    <w:rsid w:val="2CB53E4C"/>
    <w:rsid w:val="2CDD74B1"/>
    <w:rsid w:val="2CF27769"/>
    <w:rsid w:val="2CF56940"/>
    <w:rsid w:val="2D0615EA"/>
    <w:rsid w:val="2D063205"/>
    <w:rsid w:val="2D2563A1"/>
    <w:rsid w:val="2D2F71A3"/>
    <w:rsid w:val="2D3309E3"/>
    <w:rsid w:val="2D4D587B"/>
    <w:rsid w:val="2D4D75BA"/>
    <w:rsid w:val="2D5B1D46"/>
    <w:rsid w:val="2D5F28FE"/>
    <w:rsid w:val="2D821730"/>
    <w:rsid w:val="2D8748E9"/>
    <w:rsid w:val="2D8779CA"/>
    <w:rsid w:val="2D8D306A"/>
    <w:rsid w:val="2D99286E"/>
    <w:rsid w:val="2DA40F97"/>
    <w:rsid w:val="2DB06383"/>
    <w:rsid w:val="2DBB3074"/>
    <w:rsid w:val="2E0927F6"/>
    <w:rsid w:val="2E0E21B3"/>
    <w:rsid w:val="2E0E33C0"/>
    <w:rsid w:val="2E0F48DF"/>
    <w:rsid w:val="2E101F42"/>
    <w:rsid w:val="2E126EB8"/>
    <w:rsid w:val="2E187E18"/>
    <w:rsid w:val="2E2104C3"/>
    <w:rsid w:val="2E225D93"/>
    <w:rsid w:val="2E387F10"/>
    <w:rsid w:val="2E3E2DA1"/>
    <w:rsid w:val="2E505904"/>
    <w:rsid w:val="2E51745C"/>
    <w:rsid w:val="2E5E3A03"/>
    <w:rsid w:val="2E6160E2"/>
    <w:rsid w:val="2E823302"/>
    <w:rsid w:val="2E9E285C"/>
    <w:rsid w:val="2EA11D1D"/>
    <w:rsid w:val="2ECB03BF"/>
    <w:rsid w:val="2ECD6C74"/>
    <w:rsid w:val="2ED975A3"/>
    <w:rsid w:val="2EE1755E"/>
    <w:rsid w:val="2F1E618A"/>
    <w:rsid w:val="2F42035B"/>
    <w:rsid w:val="2F501305"/>
    <w:rsid w:val="2F6D5D61"/>
    <w:rsid w:val="2F761F0A"/>
    <w:rsid w:val="2F7D70BA"/>
    <w:rsid w:val="2F8F3C58"/>
    <w:rsid w:val="2FA373A6"/>
    <w:rsid w:val="2FE204FD"/>
    <w:rsid w:val="2FF4163D"/>
    <w:rsid w:val="2FF46FDA"/>
    <w:rsid w:val="3003685D"/>
    <w:rsid w:val="3005243D"/>
    <w:rsid w:val="3025488D"/>
    <w:rsid w:val="30263342"/>
    <w:rsid w:val="302A50FC"/>
    <w:rsid w:val="302A703F"/>
    <w:rsid w:val="30647773"/>
    <w:rsid w:val="30855D08"/>
    <w:rsid w:val="309013EB"/>
    <w:rsid w:val="309A7A3E"/>
    <w:rsid w:val="309D08C8"/>
    <w:rsid w:val="30B96D0F"/>
    <w:rsid w:val="30BA152D"/>
    <w:rsid w:val="30D75D7D"/>
    <w:rsid w:val="30E06A1A"/>
    <w:rsid w:val="30E262DA"/>
    <w:rsid w:val="30F02616"/>
    <w:rsid w:val="30F54260"/>
    <w:rsid w:val="311B7A5A"/>
    <w:rsid w:val="31216E03"/>
    <w:rsid w:val="312525F7"/>
    <w:rsid w:val="31323509"/>
    <w:rsid w:val="315730CB"/>
    <w:rsid w:val="31672A09"/>
    <w:rsid w:val="316E2D8F"/>
    <w:rsid w:val="31776450"/>
    <w:rsid w:val="317772F8"/>
    <w:rsid w:val="317C228B"/>
    <w:rsid w:val="319E2D8A"/>
    <w:rsid w:val="31C36CF8"/>
    <w:rsid w:val="31CB3F73"/>
    <w:rsid w:val="31D16A7B"/>
    <w:rsid w:val="31D40319"/>
    <w:rsid w:val="31D80C57"/>
    <w:rsid w:val="31E74094"/>
    <w:rsid w:val="3204707B"/>
    <w:rsid w:val="322E1E8E"/>
    <w:rsid w:val="324A05DB"/>
    <w:rsid w:val="32737B32"/>
    <w:rsid w:val="327A055D"/>
    <w:rsid w:val="327A6DAD"/>
    <w:rsid w:val="32862C2C"/>
    <w:rsid w:val="329C44C9"/>
    <w:rsid w:val="32A01FA9"/>
    <w:rsid w:val="32A0771A"/>
    <w:rsid w:val="32AB72CC"/>
    <w:rsid w:val="32C1089D"/>
    <w:rsid w:val="32C42574"/>
    <w:rsid w:val="32E94E4C"/>
    <w:rsid w:val="32F0308B"/>
    <w:rsid w:val="32F756F3"/>
    <w:rsid w:val="32FA5B5D"/>
    <w:rsid w:val="33053CF6"/>
    <w:rsid w:val="330A669B"/>
    <w:rsid w:val="330D6822"/>
    <w:rsid w:val="331C7748"/>
    <w:rsid w:val="33226E62"/>
    <w:rsid w:val="33271199"/>
    <w:rsid w:val="334D3EDF"/>
    <w:rsid w:val="33584C40"/>
    <w:rsid w:val="33656452"/>
    <w:rsid w:val="33736FA2"/>
    <w:rsid w:val="3388090F"/>
    <w:rsid w:val="33883169"/>
    <w:rsid w:val="338C58E5"/>
    <w:rsid w:val="33B32865"/>
    <w:rsid w:val="33B835E1"/>
    <w:rsid w:val="33C46C09"/>
    <w:rsid w:val="33C76823"/>
    <w:rsid w:val="33CF2B46"/>
    <w:rsid w:val="33FD5466"/>
    <w:rsid w:val="33FF6811"/>
    <w:rsid w:val="34045BBB"/>
    <w:rsid w:val="34265A76"/>
    <w:rsid w:val="344E4DA2"/>
    <w:rsid w:val="34541B4A"/>
    <w:rsid w:val="345C7D0F"/>
    <w:rsid w:val="347120CB"/>
    <w:rsid w:val="347E1011"/>
    <w:rsid w:val="34830223"/>
    <w:rsid w:val="34A43FD3"/>
    <w:rsid w:val="34C52780"/>
    <w:rsid w:val="34CD44E1"/>
    <w:rsid w:val="34E83023"/>
    <w:rsid w:val="34EC55E6"/>
    <w:rsid w:val="34F13859"/>
    <w:rsid w:val="34F87098"/>
    <w:rsid w:val="351849C1"/>
    <w:rsid w:val="35197A4C"/>
    <w:rsid w:val="352F465E"/>
    <w:rsid w:val="354A7C20"/>
    <w:rsid w:val="354B621F"/>
    <w:rsid w:val="354C3247"/>
    <w:rsid w:val="354E7AB9"/>
    <w:rsid w:val="3558300F"/>
    <w:rsid w:val="35645510"/>
    <w:rsid w:val="35742FC7"/>
    <w:rsid w:val="35820356"/>
    <w:rsid w:val="35852BAF"/>
    <w:rsid w:val="358856A2"/>
    <w:rsid w:val="358C3BA0"/>
    <w:rsid w:val="35A73B33"/>
    <w:rsid w:val="35BE2E72"/>
    <w:rsid w:val="35C97159"/>
    <w:rsid w:val="35D24AF0"/>
    <w:rsid w:val="35D47D1A"/>
    <w:rsid w:val="35DD3857"/>
    <w:rsid w:val="35E87EEF"/>
    <w:rsid w:val="35F30E73"/>
    <w:rsid w:val="35FC0710"/>
    <w:rsid w:val="360A4FDA"/>
    <w:rsid w:val="36195880"/>
    <w:rsid w:val="363E1CC8"/>
    <w:rsid w:val="363E2EB7"/>
    <w:rsid w:val="364165FC"/>
    <w:rsid w:val="3642157C"/>
    <w:rsid w:val="365D6B2F"/>
    <w:rsid w:val="366C7DAF"/>
    <w:rsid w:val="36743E79"/>
    <w:rsid w:val="367E213D"/>
    <w:rsid w:val="36881635"/>
    <w:rsid w:val="36966AFF"/>
    <w:rsid w:val="369D28DC"/>
    <w:rsid w:val="36A26B39"/>
    <w:rsid w:val="36B3674F"/>
    <w:rsid w:val="36BF7BFC"/>
    <w:rsid w:val="36C32338"/>
    <w:rsid w:val="36CB595D"/>
    <w:rsid w:val="36CE429A"/>
    <w:rsid w:val="36E64758"/>
    <w:rsid w:val="36F22B3E"/>
    <w:rsid w:val="37000F79"/>
    <w:rsid w:val="371174CC"/>
    <w:rsid w:val="37123663"/>
    <w:rsid w:val="371847D8"/>
    <w:rsid w:val="372F60EF"/>
    <w:rsid w:val="372F62FB"/>
    <w:rsid w:val="37364584"/>
    <w:rsid w:val="373C2345"/>
    <w:rsid w:val="37530AEE"/>
    <w:rsid w:val="376E2676"/>
    <w:rsid w:val="378123A9"/>
    <w:rsid w:val="37920A5A"/>
    <w:rsid w:val="37B72D72"/>
    <w:rsid w:val="37D90812"/>
    <w:rsid w:val="37DB1F6C"/>
    <w:rsid w:val="37DF20DE"/>
    <w:rsid w:val="37EF0353"/>
    <w:rsid w:val="37EF4766"/>
    <w:rsid w:val="37F41DD7"/>
    <w:rsid w:val="37F60FE9"/>
    <w:rsid w:val="37F94635"/>
    <w:rsid w:val="38077B09"/>
    <w:rsid w:val="381A1B75"/>
    <w:rsid w:val="38232590"/>
    <w:rsid w:val="38237904"/>
    <w:rsid w:val="383C1B70"/>
    <w:rsid w:val="384064AA"/>
    <w:rsid w:val="38451629"/>
    <w:rsid w:val="38457835"/>
    <w:rsid w:val="384669F0"/>
    <w:rsid w:val="384B4DE5"/>
    <w:rsid w:val="38561A88"/>
    <w:rsid w:val="386A5119"/>
    <w:rsid w:val="38763ED8"/>
    <w:rsid w:val="38885C78"/>
    <w:rsid w:val="388D700B"/>
    <w:rsid w:val="38A8569C"/>
    <w:rsid w:val="38A94FE7"/>
    <w:rsid w:val="38C743D2"/>
    <w:rsid w:val="38CE0040"/>
    <w:rsid w:val="38D43D3D"/>
    <w:rsid w:val="38F562A5"/>
    <w:rsid w:val="38F947C9"/>
    <w:rsid w:val="392419CF"/>
    <w:rsid w:val="3925011F"/>
    <w:rsid w:val="393A23BF"/>
    <w:rsid w:val="3948356E"/>
    <w:rsid w:val="3951412A"/>
    <w:rsid w:val="39583F74"/>
    <w:rsid w:val="396226AE"/>
    <w:rsid w:val="396B21EB"/>
    <w:rsid w:val="399438DB"/>
    <w:rsid w:val="399B1822"/>
    <w:rsid w:val="39BC3D54"/>
    <w:rsid w:val="39BD78E5"/>
    <w:rsid w:val="39BE1343"/>
    <w:rsid w:val="39BE31D2"/>
    <w:rsid w:val="39C14820"/>
    <w:rsid w:val="39C66799"/>
    <w:rsid w:val="39F2758E"/>
    <w:rsid w:val="39F85ACE"/>
    <w:rsid w:val="39FE19AD"/>
    <w:rsid w:val="3A173CF6"/>
    <w:rsid w:val="3A375D56"/>
    <w:rsid w:val="3A4D6EBA"/>
    <w:rsid w:val="3A541CD3"/>
    <w:rsid w:val="3A974416"/>
    <w:rsid w:val="3AA661B2"/>
    <w:rsid w:val="3AB87F08"/>
    <w:rsid w:val="3ACC1154"/>
    <w:rsid w:val="3AEB48BA"/>
    <w:rsid w:val="3AF72F82"/>
    <w:rsid w:val="3B021A53"/>
    <w:rsid w:val="3B04344E"/>
    <w:rsid w:val="3B057795"/>
    <w:rsid w:val="3B1D4ADF"/>
    <w:rsid w:val="3B1F7135"/>
    <w:rsid w:val="3B2A0FAA"/>
    <w:rsid w:val="3B2A285A"/>
    <w:rsid w:val="3B2E2848"/>
    <w:rsid w:val="3B3F0A28"/>
    <w:rsid w:val="3B4B2CAE"/>
    <w:rsid w:val="3B551709"/>
    <w:rsid w:val="3B5D7E10"/>
    <w:rsid w:val="3B851B4B"/>
    <w:rsid w:val="3B8A2182"/>
    <w:rsid w:val="3B8F4DF4"/>
    <w:rsid w:val="3B900DC8"/>
    <w:rsid w:val="3BA90120"/>
    <w:rsid w:val="3BB71777"/>
    <w:rsid w:val="3BB8659E"/>
    <w:rsid w:val="3BC74A4B"/>
    <w:rsid w:val="3BD25904"/>
    <w:rsid w:val="3BF65BD7"/>
    <w:rsid w:val="3C03351E"/>
    <w:rsid w:val="3C090BBF"/>
    <w:rsid w:val="3C0D06AF"/>
    <w:rsid w:val="3C1F1CF5"/>
    <w:rsid w:val="3C423D71"/>
    <w:rsid w:val="3C59493B"/>
    <w:rsid w:val="3CB52C63"/>
    <w:rsid w:val="3CBD009A"/>
    <w:rsid w:val="3CD4155C"/>
    <w:rsid w:val="3CE26B35"/>
    <w:rsid w:val="3CEC2ED7"/>
    <w:rsid w:val="3CEF6007"/>
    <w:rsid w:val="3CF06248"/>
    <w:rsid w:val="3CF36495"/>
    <w:rsid w:val="3CF74EBC"/>
    <w:rsid w:val="3CFE449C"/>
    <w:rsid w:val="3D001AEE"/>
    <w:rsid w:val="3D0575D8"/>
    <w:rsid w:val="3D0F2EA3"/>
    <w:rsid w:val="3D126672"/>
    <w:rsid w:val="3D1C7D17"/>
    <w:rsid w:val="3D3636F5"/>
    <w:rsid w:val="3D375B6E"/>
    <w:rsid w:val="3D383EEB"/>
    <w:rsid w:val="3D544EA2"/>
    <w:rsid w:val="3D594A24"/>
    <w:rsid w:val="3D7E1994"/>
    <w:rsid w:val="3D8C015B"/>
    <w:rsid w:val="3D96372E"/>
    <w:rsid w:val="3D995F73"/>
    <w:rsid w:val="3DB10AB8"/>
    <w:rsid w:val="3DB64F42"/>
    <w:rsid w:val="3DBB42B5"/>
    <w:rsid w:val="3DE14E64"/>
    <w:rsid w:val="3DE94C21"/>
    <w:rsid w:val="3DEC5488"/>
    <w:rsid w:val="3DFF7EA5"/>
    <w:rsid w:val="3E2919ED"/>
    <w:rsid w:val="3E371A14"/>
    <w:rsid w:val="3E3A59A8"/>
    <w:rsid w:val="3E436B44"/>
    <w:rsid w:val="3E5436E6"/>
    <w:rsid w:val="3E545605"/>
    <w:rsid w:val="3E6851BB"/>
    <w:rsid w:val="3E6E73FF"/>
    <w:rsid w:val="3E7208D0"/>
    <w:rsid w:val="3E8353E3"/>
    <w:rsid w:val="3EA34C54"/>
    <w:rsid w:val="3EAE35B1"/>
    <w:rsid w:val="3EB27FDB"/>
    <w:rsid w:val="3EB5502E"/>
    <w:rsid w:val="3EBC76DA"/>
    <w:rsid w:val="3ECC2B23"/>
    <w:rsid w:val="3ED742A1"/>
    <w:rsid w:val="3EEA10AA"/>
    <w:rsid w:val="3EF773F5"/>
    <w:rsid w:val="3EF94F1B"/>
    <w:rsid w:val="3EFD5E3D"/>
    <w:rsid w:val="3F124ED5"/>
    <w:rsid w:val="3F200698"/>
    <w:rsid w:val="3F2301EA"/>
    <w:rsid w:val="3F235AF6"/>
    <w:rsid w:val="3F405E1B"/>
    <w:rsid w:val="3F44188F"/>
    <w:rsid w:val="3F4A39C9"/>
    <w:rsid w:val="3F546C30"/>
    <w:rsid w:val="3F5B1964"/>
    <w:rsid w:val="3F5C1F0C"/>
    <w:rsid w:val="3F732F1F"/>
    <w:rsid w:val="3F984D5F"/>
    <w:rsid w:val="3FA72BC9"/>
    <w:rsid w:val="3FC92B3F"/>
    <w:rsid w:val="3FDB2873"/>
    <w:rsid w:val="3FE33156"/>
    <w:rsid w:val="3FFF0C57"/>
    <w:rsid w:val="40021CD2"/>
    <w:rsid w:val="400301C0"/>
    <w:rsid w:val="40112738"/>
    <w:rsid w:val="401B7113"/>
    <w:rsid w:val="401F6BE2"/>
    <w:rsid w:val="403304E7"/>
    <w:rsid w:val="403326AF"/>
    <w:rsid w:val="403A3A3D"/>
    <w:rsid w:val="405C7B6C"/>
    <w:rsid w:val="405F32D2"/>
    <w:rsid w:val="406115A1"/>
    <w:rsid w:val="4066497A"/>
    <w:rsid w:val="40712EDE"/>
    <w:rsid w:val="4080519A"/>
    <w:rsid w:val="408061E4"/>
    <w:rsid w:val="408B53C4"/>
    <w:rsid w:val="409206D5"/>
    <w:rsid w:val="4095482F"/>
    <w:rsid w:val="40990416"/>
    <w:rsid w:val="40B25CC9"/>
    <w:rsid w:val="40C81580"/>
    <w:rsid w:val="40D0614F"/>
    <w:rsid w:val="410D2F00"/>
    <w:rsid w:val="41200E85"/>
    <w:rsid w:val="41322966"/>
    <w:rsid w:val="413D1A37"/>
    <w:rsid w:val="41464AA6"/>
    <w:rsid w:val="41464C97"/>
    <w:rsid w:val="414B48D1"/>
    <w:rsid w:val="41720FB5"/>
    <w:rsid w:val="418F1CB2"/>
    <w:rsid w:val="41993B0D"/>
    <w:rsid w:val="41DC6466"/>
    <w:rsid w:val="41DF489C"/>
    <w:rsid w:val="41E32216"/>
    <w:rsid w:val="41E53E7C"/>
    <w:rsid w:val="41EC1C89"/>
    <w:rsid w:val="41F63994"/>
    <w:rsid w:val="421760DD"/>
    <w:rsid w:val="422C21D3"/>
    <w:rsid w:val="423813F6"/>
    <w:rsid w:val="426F70D4"/>
    <w:rsid w:val="427029FB"/>
    <w:rsid w:val="42752DFE"/>
    <w:rsid w:val="4278084D"/>
    <w:rsid w:val="428A2BBD"/>
    <w:rsid w:val="42976F25"/>
    <w:rsid w:val="42984A4B"/>
    <w:rsid w:val="42B51912"/>
    <w:rsid w:val="42B84BCC"/>
    <w:rsid w:val="42C5318D"/>
    <w:rsid w:val="42C57F36"/>
    <w:rsid w:val="42CD2356"/>
    <w:rsid w:val="42D919BE"/>
    <w:rsid w:val="42DB6B50"/>
    <w:rsid w:val="42E460CD"/>
    <w:rsid w:val="42F0224E"/>
    <w:rsid w:val="42F06635"/>
    <w:rsid w:val="42F639C2"/>
    <w:rsid w:val="430420E0"/>
    <w:rsid w:val="43151407"/>
    <w:rsid w:val="432435BA"/>
    <w:rsid w:val="435C6CA7"/>
    <w:rsid w:val="43650DD1"/>
    <w:rsid w:val="439B3672"/>
    <w:rsid w:val="43A24A91"/>
    <w:rsid w:val="43B32B1F"/>
    <w:rsid w:val="43B64CA8"/>
    <w:rsid w:val="43B72B32"/>
    <w:rsid w:val="43B92ECB"/>
    <w:rsid w:val="43DB76E1"/>
    <w:rsid w:val="43DF5027"/>
    <w:rsid w:val="43E90EDE"/>
    <w:rsid w:val="43FC7E34"/>
    <w:rsid w:val="44066A45"/>
    <w:rsid w:val="44193FDD"/>
    <w:rsid w:val="4431207D"/>
    <w:rsid w:val="44326EAC"/>
    <w:rsid w:val="443D3AFC"/>
    <w:rsid w:val="445138C5"/>
    <w:rsid w:val="445B5CFC"/>
    <w:rsid w:val="445E4C29"/>
    <w:rsid w:val="446A724F"/>
    <w:rsid w:val="4487121B"/>
    <w:rsid w:val="44953938"/>
    <w:rsid w:val="449E05CE"/>
    <w:rsid w:val="44BA514C"/>
    <w:rsid w:val="44C757E3"/>
    <w:rsid w:val="44D44062"/>
    <w:rsid w:val="44D5364A"/>
    <w:rsid w:val="44E95A32"/>
    <w:rsid w:val="44F8123A"/>
    <w:rsid w:val="4511787E"/>
    <w:rsid w:val="45163CE2"/>
    <w:rsid w:val="451B0980"/>
    <w:rsid w:val="45201869"/>
    <w:rsid w:val="4522182A"/>
    <w:rsid w:val="4540678D"/>
    <w:rsid w:val="454D39F9"/>
    <w:rsid w:val="455235D7"/>
    <w:rsid w:val="455530C7"/>
    <w:rsid w:val="455A2F1E"/>
    <w:rsid w:val="45660E30"/>
    <w:rsid w:val="45750D2B"/>
    <w:rsid w:val="457A4FD0"/>
    <w:rsid w:val="457D7DCF"/>
    <w:rsid w:val="4585575A"/>
    <w:rsid w:val="458D2861"/>
    <w:rsid w:val="459F2A47"/>
    <w:rsid w:val="45B44E57"/>
    <w:rsid w:val="45B61DB8"/>
    <w:rsid w:val="45CB798D"/>
    <w:rsid w:val="45DF1448"/>
    <w:rsid w:val="45F14B9E"/>
    <w:rsid w:val="46016203"/>
    <w:rsid w:val="46321BFC"/>
    <w:rsid w:val="464078D3"/>
    <w:rsid w:val="464D2E24"/>
    <w:rsid w:val="46656304"/>
    <w:rsid w:val="467275FB"/>
    <w:rsid w:val="467767AB"/>
    <w:rsid w:val="467D1B4B"/>
    <w:rsid w:val="46861DC9"/>
    <w:rsid w:val="46875502"/>
    <w:rsid w:val="468B4C01"/>
    <w:rsid w:val="469A6FE4"/>
    <w:rsid w:val="46AD6480"/>
    <w:rsid w:val="46B03787"/>
    <w:rsid w:val="46BD7176"/>
    <w:rsid w:val="46D32130"/>
    <w:rsid w:val="46D669D6"/>
    <w:rsid w:val="46DA15CF"/>
    <w:rsid w:val="46E93901"/>
    <w:rsid w:val="46E97F6B"/>
    <w:rsid w:val="46F30DEA"/>
    <w:rsid w:val="46FF51DB"/>
    <w:rsid w:val="47097F65"/>
    <w:rsid w:val="470B7EE1"/>
    <w:rsid w:val="47320639"/>
    <w:rsid w:val="473A07C7"/>
    <w:rsid w:val="474C1CFE"/>
    <w:rsid w:val="474C58F5"/>
    <w:rsid w:val="4760647F"/>
    <w:rsid w:val="478015E2"/>
    <w:rsid w:val="47892B0A"/>
    <w:rsid w:val="478D6B48"/>
    <w:rsid w:val="47A3636C"/>
    <w:rsid w:val="47AB5220"/>
    <w:rsid w:val="47AC3472"/>
    <w:rsid w:val="47C167F2"/>
    <w:rsid w:val="47CF0F0F"/>
    <w:rsid w:val="47D66741"/>
    <w:rsid w:val="47DF2A42"/>
    <w:rsid w:val="47E81FD1"/>
    <w:rsid w:val="47F250F2"/>
    <w:rsid w:val="47F47767"/>
    <w:rsid w:val="480E314B"/>
    <w:rsid w:val="48164D90"/>
    <w:rsid w:val="481903DC"/>
    <w:rsid w:val="481B05F8"/>
    <w:rsid w:val="481F099B"/>
    <w:rsid w:val="48290B93"/>
    <w:rsid w:val="48333D5F"/>
    <w:rsid w:val="48336869"/>
    <w:rsid w:val="483920A2"/>
    <w:rsid w:val="48416365"/>
    <w:rsid w:val="48425B85"/>
    <w:rsid w:val="48547EF6"/>
    <w:rsid w:val="48651873"/>
    <w:rsid w:val="487330B4"/>
    <w:rsid w:val="48852E4B"/>
    <w:rsid w:val="48875C1D"/>
    <w:rsid w:val="48A16297"/>
    <w:rsid w:val="48A7484E"/>
    <w:rsid w:val="48AB7AD2"/>
    <w:rsid w:val="48B97E69"/>
    <w:rsid w:val="48E76C32"/>
    <w:rsid w:val="490474B0"/>
    <w:rsid w:val="49252811"/>
    <w:rsid w:val="492E6F78"/>
    <w:rsid w:val="493101B0"/>
    <w:rsid w:val="494B2817"/>
    <w:rsid w:val="494C582B"/>
    <w:rsid w:val="4958797B"/>
    <w:rsid w:val="495C1AB7"/>
    <w:rsid w:val="496658A3"/>
    <w:rsid w:val="498521CD"/>
    <w:rsid w:val="49961E1D"/>
    <w:rsid w:val="49963C16"/>
    <w:rsid w:val="49BC1AC0"/>
    <w:rsid w:val="49D85A26"/>
    <w:rsid w:val="49F20EE5"/>
    <w:rsid w:val="4A137078"/>
    <w:rsid w:val="4A222C04"/>
    <w:rsid w:val="4A40077C"/>
    <w:rsid w:val="4A4E0151"/>
    <w:rsid w:val="4A565917"/>
    <w:rsid w:val="4A6921BC"/>
    <w:rsid w:val="4A713C43"/>
    <w:rsid w:val="4A860821"/>
    <w:rsid w:val="4A895CED"/>
    <w:rsid w:val="4A9C36AB"/>
    <w:rsid w:val="4A9E2E1A"/>
    <w:rsid w:val="4AC41647"/>
    <w:rsid w:val="4AEA1BE7"/>
    <w:rsid w:val="4AEE119F"/>
    <w:rsid w:val="4B0C247A"/>
    <w:rsid w:val="4B2627E4"/>
    <w:rsid w:val="4B4B22D6"/>
    <w:rsid w:val="4B9A1834"/>
    <w:rsid w:val="4BAD3F3D"/>
    <w:rsid w:val="4BAD493A"/>
    <w:rsid w:val="4BBD1049"/>
    <w:rsid w:val="4C207508"/>
    <w:rsid w:val="4C2850DE"/>
    <w:rsid w:val="4C38548D"/>
    <w:rsid w:val="4C4D5FA7"/>
    <w:rsid w:val="4C4F1FEA"/>
    <w:rsid w:val="4C505C4D"/>
    <w:rsid w:val="4C6E2D2E"/>
    <w:rsid w:val="4C7F64B0"/>
    <w:rsid w:val="4CD8626C"/>
    <w:rsid w:val="4CDE27F7"/>
    <w:rsid w:val="4CE52F83"/>
    <w:rsid w:val="4CE70AA9"/>
    <w:rsid w:val="4CF1216C"/>
    <w:rsid w:val="4D186EB4"/>
    <w:rsid w:val="4D2B4717"/>
    <w:rsid w:val="4D3C262E"/>
    <w:rsid w:val="4D5C0EAB"/>
    <w:rsid w:val="4D6A0C7B"/>
    <w:rsid w:val="4D75339F"/>
    <w:rsid w:val="4DAD116D"/>
    <w:rsid w:val="4DB270C4"/>
    <w:rsid w:val="4DB73A11"/>
    <w:rsid w:val="4DB74B76"/>
    <w:rsid w:val="4DC10647"/>
    <w:rsid w:val="4DCD318D"/>
    <w:rsid w:val="4DEB45C9"/>
    <w:rsid w:val="4E026DC4"/>
    <w:rsid w:val="4E0F4DE0"/>
    <w:rsid w:val="4E1A35BD"/>
    <w:rsid w:val="4E4C3441"/>
    <w:rsid w:val="4E526C3C"/>
    <w:rsid w:val="4E630603"/>
    <w:rsid w:val="4E6D75EF"/>
    <w:rsid w:val="4E747F16"/>
    <w:rsid w:val="4EB228D7"/>
    <w:rsid w:val="4EB548D2"/>
    <w:rsid w:val="4EBD68E6"/>
    <w:rsid w:val="4ED77130"/>
    <w:rsid w:val="4EE71234"/>
    <w:rsid w:val="4EE74617"/>
    <w:rsid w:val="4EF83441"/>
    <w:rsid w:val="4F073D7D"/>
    <w:rsid w:val="4F161B19"/>
    <w:rsid w:val="4F304989"/>
    <w:rsid w:val="4F460556"/>
    <w:rsid w:val="4F4B7704"/>
    <w:rsid w:val="4F563CC4"/>
    <w:rsid w:val="4F5D76AA"/>
    <w:rsid w:val="4F5F183F"/>
    <w:rsid w:val="4F642884"/>
    <w:rsid w:val="4F945352"/>
    <w:rsid w:val="4F9F566B"/>
    <w:rsid w:val="4FA90E57"/>
    <w:rsid w:val="4FAD422B"/>
    <w:rsid w:val="4FC450D1"/>
    <w:rsid w:val="4FD76378"/>
    <w:rsid w:val="4FFF41B8"/>
    <w:rsid w:val="50024581"/>
    <w:rsid w:val="500367AB"/>
    <w:rsid w:val="50041972"/>
    <w:rsid w:val="5033690F"/>
    <w:rsid w:val="505439F5"/>
    <w:rsid w:val="506400A7"/>
    <w:rsid w:val="50771B24"/>
    <w:rsid w:val="507765E7"/>
    <w:rsid w:val="50940F47"/>
    <w:rsid w:val="509727E6"/>
    <w:rsid w:val="509976CA"/>
    <w:rsid w:val="50A13664"/>
    <w:rsid w:val="50B5354F"/>
    <w:rsid w:val="50E10D22"/>
    <w:rsid w:val="50E6050C"/>
    <w:rsid w:val="50EF43D0"/>
    <w:rsid w:val="50FA67BE"/>
    <w:rsid w:val="510E47D6"/>
    <w:rsid w:val="511677DA"/>
    <w:rsid w:val="515B2FA0"/>
    <w:rsid w:val="516C6D58"/>
    <w:rsid w:val="517154FB"/>
    <w:rsid w:val="518E0F4B"/>
    <w:rsid w:val="519848B0"/>
    <w:rsid w:val="519954EE"/>
    <w:rsid w:val="51AD6979"/>
    <w:rsid w:val="51C57F9D"/>
    <w:rsid w:val="51D23C87"/>
    <w:rsid w:val="51D81308"/>
    <w:rsid w:val="51E76134"/>
    <w:rsid w:val="51F23A4D"/>
    <w:rsid w:val="51F444BE"/>
    <w:rsid w:val="51FC4062"/>
    <w:rsid w:val="52071B9E"/>
    <w:rsid w:val="5215604D"/>
    <w:rsid w:val="52175619"/>
    <w:rsid w:val="52326C6A"/>
    <w:rsid w:val="527C6257"/>
    <w:rsid w:val="52924CC1"/>
    <w:rsid w:val="52A262D4"/>
    <w:rsid w:val="52B91073"/>
    <w:rsid w:val="52C804AE"/>
    <w:rsid w:val="52D65847"/>
    <w:rsid w:val="52DA780A"/>
    <w:rsid w:val="52F12681"/>
    <w:rsid w:val="52FB0F81"/>
    <w:rsid w:val="530C4011"/>
    <w:rsid w:val="53185E16"/>
    <w:rsid w:val="53243853"/>
    <w:rsid w:val="5327123C"/>
    <w:rsid w:val="533B387E"/>
    <w:rsid w:val="5371731E"/>
    <w:rsid w:val="53840D3D"/>
    <w:rsid w:val="53935B84"/>
    <w:rsid w:val="539C1BED"/>
    <w:rsid w:val="53A73DB8"/>
    <w:rsid w:val="53AC47FA"/>
    <w:rsid w:val="53BD07B5"/>
    <w:rsid w:val="53DB0C3B"/>
    <w:rsid w:val="53DC50DF"/>
    <w:rsid w:val="53E82D8C"/>
    <w:rsid w:val="54100863"/>
    <w:rsid w:val="54155225"/>
    <w:rsid w:val="54434FD7"/>
    <w:rsid w:val="54524DC7"/>
    <w:rsid w:val="546B7CAA"/>
    <w:rsid w:val="54767200"/>
    <w:rsid w:val="54930906"/>
    <w:rsid w:val="54946EA5"/>
    <w:rsid w:val="549C1209"/>
    <w:rsid w:val="54A0435F"/>
    <w:rsid w:val="54A22AAC"/>
    <w:rsid w:val="54B41BB8"/>
    <w:rsid w:val="54C0642D"/>
    <w:rsid w:val="54CF6505"/>
    <w:rsid w:val="54E55B5A"/>
    <w:rsid w:val="54E87AB4"/>
    <w:rsid w:val="54EF2BF0"/>
    <w:rsid w:val="54F40D0A"/>
    <w:rsid w:val="54F76B7B"/>
    <w:rsid w:val="55010DE9"/>
    <w:rsid w:val="550167C3"/>
    <w:rsid w:val="550B7360"/>
    <w:rsid w:val="55187206"/>
    <w:rsid w:val="552265D6"/>
    <w:rsid w:val="55227ACD"/>
    <w:rsid w:val="554747DA"/>
    <w:rsid w:val="55562C6F"/>
    <w:rsid w:val="555F0DE9"/>
    <w:rsid w:val="55627866"/>
    <w:rsid w:val="556B2554"/>
    <w:rsid w:val="5582797D"/>
    <w:rsid w:val="55A8471C"/>
    <w:rsid w:val="55BA2AB1"/>
    <w:rsid w:val="55BE6F81"/>
    <w:rsid w:val="55C21913"/>
    <w:rsid w:val="55D911AB"/>
    <w:rsid w:val="55E42029"/>
    <w:rsid w:val="561453CE"/>
    <w:rsid w:val="561623FF"/>
    <w:rsid w:val="563975FB"/>
    <w:rsid w:val="563F1955"/>
    <w:rsid w:val="564559ED"/>
    <w:rsid w:val="565E16A0"/>
    <w:rsid w:val="566F51B3"/>
    <w:rsid w:val="568B7D16"/>
    <w:rsid w:val="568D0913"/>
    <w:rsid w:val="568D7FAC"/>
    <w:rsid w:val="569E667C"/>
    <w:rsid w:val="56A02CA6"/>
    <w:rsid w:val="56A1616C"/>
    <w:rsid w:val="56AD7886"/>
    <w:rsid w:val="56BD6276"/>
    <w:rsid w:val="56EF77A9"/>
    <w:rsid w:val="57185BC6"/>
    <w:rsid w:val="571B584B"/>
    <w:rsid w:val="571D114B"/>
    <w:rsid w:val="573D226B"/>
    <w:rsid w:val="573E17D9"/>
    <w:rsid w:val="5764091B"/>
    <w:rsid w:val="5765719A"/>
    <w:rsid w:val="577675F9"/>
    <w:rsid w:val="577D0987"/>
    <w:rsid w:val="578174FF"/>
    <w:rsid w:val="57A31A70"/>
    <w:rsid w:val="57C80D40"/>
    <w:rsid w:val="5806097D"/>
    <w:rsid w:val="581B3CFC"/>
    <w:rsid w:val="583B394C"/>
    <w:rsid w:val="587872EE"/>
    <w:rsid w:val="58B83874"/>
    <w:rsid w:val="58CB6131"/>
    <w:rsid w:val="58EC7EF0"/>
    <w:rsid w:val="58F01528"/>
    <w:rsid w:val="58F24A5D"/>
    <w:rsid w:val="58F3610E"/>
    <w:rsid w:val="58FD56C7"/>
    <w:rsid w:val="5903425D"/>
    <w:rsid w:val="59147F2A"/>
    <w:rsid w:val="59172A11"/>
    <w:rsid w:val="591744C4"/>
    <w:rsid w:val="59225288"/>
    <w:rsid w:val="5932703B"/>
    <w:rsid w:val="5943350B"/>
    <w:rsid w:val="59534961"/>
    <w:rsid w:val="595C6E02"/>
    <w:rsid w:val="596A5729"/>
    <w:rsid w:val="59746D94"/>
    <w:rsid w:val="598148CA"/>
    <w:rsid w:val="59853B23"/>
    <w:rsid w:val="5992718C"/>
    <w:rsid w:val="59A10AFD"/>
    <w:rsid w:val="59A2217E"/>
    <w:rsid w:val="59C148A0"/>
    <w:rsid w:val="59C503C4"/>
    <w:rsid w:val="5A0A5DD6"/>
    <w:rsid w:val="5A1D3DD1"/>
    <w:rsid w:val="5A1F7AD4"/>
    <w:rsid w:val="5A3E01AA"/>
    <w:rsid w:val="5A414152"/>
    <w:rsid w:val="5A4C6CD9"/>
    <w:rsid w:val="5A604A46"/>
    <w:rsid w:val="5A6E07BD"/>
    <w:rsid w:val="5A742AEA"/>
    <w:rsid w:val="5A7511CB"/>
    <w:rsid w:val="5A7D3F6E"/>
    <w:rsid w:val="5A8569A3"/>
    <w:rsid w:val="5A963D0F"/>
    <w:rsid w:val="5AA35CE0"/>
    <w:rsid w:val="5ABE1D47"/>
    <w:rsid w:val="5ACC27AE"/>
    <w:rsid w:val="5AD07755"/>
    <w:rsid w:val="5AD738A8"/>
    <w:rsid w:val="5ADB3480"/>
    <w:rsid w:val="5AE74296"/>
    <w:rsid w:val="5AFA65F2"/>
    <w:rsid w:val="5B060F09"/>
    <w:rsid w:val="5B0E7818"/>
    <w:rsid w:val="5B15555B"/>
    <w:rsid w:val="5B1F1D55"/>
    <w:rsid w:val="5B22468D"/>
    <w:rsid w:val="5B23528D"/>
    <w:rsid w:val="5B291E67"/>
    <w:rsid w:val="5B2A4FDA"/>
    <w:rsid w:val="5B3271D7"/>
    <w:rsid w:val="5B35274D"/>
    <w:rsid w:val="5B364C03"/>
    <w:rsid w:val="5B515455"/>
    <w:rsid w:val="5B530396"/>
    <w:rsid w:val="5B597D7E"/>
    <w:rsid w:val="5B7E7157"/>
    <w:rsid w:val="5BA902E9"/>
    <w:rsid w:val="5BC31D7F"/>
    <w:rsid w:val="5BC528FD"/>
    <w:rsid w:val="5BC81E42"/>
    <w:rsid w:val="5BC84FA1"/>
    <w:rsid w:val="5BD3501A"/>
    <w:rsid w:val="5BE014E5"/>
    <w:rsid w:val="5C007491"/>
    <w:rsid w:val="5C2F261B"/>
    <w:rsid w:val="5C2F421A"/>
    <w:rsid w:val="5C41274D"/>
    <w:rsid w:val="5C5D2B35"/>
    <w:rsid w:val="5C6400F3"/>
    <w:rsid w:val="5C700BAA"/>
    <w:rsid w:val="5C817C69"/>
    <w:rsid w:val="5C9105E4"/>
    <w:rsid w:val="5C971E1A"/>
    <w:rsid w:val="5CA2602C"/>
    <w:rsid w:val="5CA70254"/>
    <w:rsid w:val="5CA7664F"/>
    <w:rsid w:val="5CCA3BE2"/>
    <w:rsid w:val="5CD527E1"/>
    <w:rsid w:val="5CEE7C31"/>
    <w:rsid w:val="5D1C543C"/>
    <w:rsid w:val="5D3A69D3"/>
    <w:rsid w:val="5D411CBC"/>
    <w:rsid w:val="5D543F0A"/>
    <w:rsid w:val="5D6B2ECB"/>
    <w:rsid w:val="5D7E7207"/>
    <w:rsid w:val="5D852344"/>
    <w:rsid w:val="5D902A97"/>
    <w:rsid w:val="5DB449D7"/>
    <w:rsid w:val="5DB974D1"/>
    <w:rsid w:val="5DCC3675"/>
    <w:rsid w:val="5E082F8D"/>
    <w:rsid w:val="5E186CDF"/>
    <w:rsid w:val="5E1B4400"/>
    <w:rsid w:val="5E275239"/>
    <w:rsid w:val="5E521BBD"/>
    <w:rsid w:val="5E543C4C"/>
    <w:rsid w:val="5E693A13"/>
    <w:rsid w:val="5EA26B75"/>
    <w:rsid w:val="5EAA7B88"/>
    <w:rsid w:val="5EBD679C"/>
    <w:rsid w:val="5ED20EEC"/>
    <w:rsid w:val="5ED703F9"/>
    <w:rsid w:val="5ED82947"/>
    <w:rsid w:val="5EE32AE2"/>
    <w:rsid w:val="5F077124"/>
    <w:rsid w:val="5F094BE9"/>
    <w:rsid w:val="5F102754"/>
    <w:rsid w:val="5F13397F"/>
    <w:rsid w:val="5F296CFF"/>
    <w:rsid w:val="5F3717B5"/>
    <w:rsid w:val="5F463D55"/>
    <w:rsid w:val="5F553F98"/>
    <w:rsid w:val="5F583CDC"/>
    <w:rsid w:val="5F5C70D4"/>
    <w:rsid w:val="5F624FD1"/>
    <w:rsid w:val="5F64242D"/>
    <w:rsid w:val="5F7A57AC"/>
    <w:rsid w:val="5F7C32D2"/>
    <w:rsid w:val="5F864151"/>
    <w:rsid w:val="5F9E149B"/>
    <w:rsid w:val="5FA263AE"/>
    <w:rsid w:val="5FA43EFF"/>
    <w:rsid w:val="5FA82319"/>
    <w:rsid w:val="5FAA42E4"/>
    <w:rsid w:val="5FDD7813"/>
    <w:rsid w:val="5FE04D41"/>
    <w:rsid w:val="5FE51EA2"/>
    <w:rsid w:val="5FF13D44"/>
    <w:rsid w:val="5FF615BD"/>
    <w:rsid w:val="5FF90DC7"/>
    <w:rsid w:val="5FFE018B"/>
    <w:rsid w:val="600D4872"/>
    <w:rsid w:val="60122565"/>
    <w:rsid w:val="60177D1E"/>
    <w:rsid w:val="602A71D2"/>
    <w:rsid w:val="60367925"/>
    <w:rsid w:val="604C140E"/>
    <w:rsid w:val="606764AF"/>
    <w:rsid w:val="60723276"/>
    <w:rsid w:val="6094289E"/>
    <w:rsid w:val="609D79A4"/>
    <w:rsid w:val="60AD570E"/>
    <w:rsid w:val="60B92304"/>
    <w:rsid w:val="60C42D14"/>
    <w:rsid w:val="60C72C73"/>
    <w:rsid w:val="60CE63B4"/>
    <w:rsid w:val="60DD4245"/>
    <w:rsid w:val="610267DE"/>
    <w:rsid w:val="610C038F"/>
    <w:rsid w:val="610C1869"/>
    <w:rsid w:val="610F72CE"/>
    <w:rsid w:val="6126799A"/>
    <w:rsid w:val="61511552"/>
    <w:rsid w:val="617F70AA"/>
    <w:rsid w:val="618648DC"/>
    <w:rsid w:val="61A55B52"/>
    <w:rsid w:val="61B32CB1"/>
    <w:rsid w:val="61C30A64"/>
    <w:rsid w:val="61D04CCF"/>
    <w:rsid w:val="61FC6176"/>
    <w:rsid w:val="620677CB"/>
    <w:rsid w:val="62117F82"/>
    <w:rsid w:val="622313C8"/>
    <w:rsid w:val="622F0AD0"/>
    <w:rsid w:val="6260309C"/>
    <w:rsid w:val="62782477"/>
    <w:rsid w:val="62854B94"/>
    <w:rsid w:val="62903D77"/>
    <w:rsid w:val="62B72874"/>
    <w:rsid w:val="62C850AC"/>
    <w:rsid w:val="62F82561"/>
    <w:rsid w:val="63095954"/>
    <w:rsid w:val="63112987"/>
    <w:rsid w:val="632717A7"/>
    <w:rsid w:val="63295594"/>
    <w:rsid w:val="632B3AF1"/>
    <w:rsid w:val="632C14B3"/>
    <w:rsid w:val="632C2508"/>
    <w:rsid w:val="632D381B"/>
    <w:rsid w:val="6337770F"/>
    <w:rsid w:val="633B40F8"/>
    <w:rsid w:val="63544BEA"/>
    <w:rsid w:val="636367D0"/>
    <w:rsid w:val="6376388D"/>
    <w:rsid w:val="6378483D"/>
    <w:rsid w:val="637C4FEA"/>
    <w:rsid w:val="637F3391"/>
    <w:rsid w:val="639A2609"/>
    <w:rsid w:val="639C1186"/>
    <w:rsid w:val="63B23767"/>
    <w:rsid w:val="63CB4828"/>
    <w:rsid w:val="63E679FF"/>
    <w:rsid w:val="63F200B4"/>
    <w:rsid w:val="6401140E"/>
    <w:rsid w:val="641131AA"/>
    <w:rsid w:val="64153F3B"/>
    <w:rsid w:val="6431668F"/>
    <w:rsid w:val="6446531E"/>
    <w:rsid w:val="64466571"/>
    <w:rsid w:val="645F1293"/>
    <w:rsid w:val="64616F3B"/>
    <w:rsid w:val="649746E9"/>
    <w:rsid w:val="649C4AAB"/>
    <w:rsid w:val="649E2B73"/>
    <w:rsid w:val="649F591D"/>
    <w:rsid w:val="64C061E0"/>
    <w:rsid w:val="64D1583B"/>
    <w:rsid w:val="64D86F10"/>
    <w:rsid w:val="64F87482"/>
    <w:rsid w:val="650F3EE6"/>
    <w:rsid w:val="65524353"/>
    <w:rsid w:val="656971DE"/>
    <w:rsid w:val="65734EF5"/>
    <w:rsid w:val="658645EA"/>
    <w:rsid w:val="65AA42EA"/>
    <w:rsid w:val="65AD59E5"/>
    <w:rsid w:val="65B40423"/>
    <w:rsid w:val="65C1452B"/>
    <w:rsid w:val="65DB40F0"/>
    <w:rsid w:val="65E0119B"/>
    <w:rsid w:val="65E63B9C"/>
    <w:rsid w:val="65F242EE"/>
    <w:rsid w:val="66081D64"/>
    <w:rsid w:val="66092D92"/>
    <w:rsid w:val="661007BC"/>
    <w:rsid w:val="661275CF"/>
    <w:rsid w:val="661C75BD"/>
    <w:rsid w:val="661F0E5C"/>
    <w:rsid w:val="66250709"/>
    <w:rsid w:val="66256916"/>
    <w:rsid w:val="66265476"/>
    <w:rsid w:val="66275276"/>
    <w:rsid w:val="66341D0E"/>
    <w:rsid w:val="66527D73"/>
    <w:rsid w:val="66642D82"/>
    <w:rsid w:val="666D1BC7"/>
    <w:rsid w:val="667747F4"/>
    <w:rsid w:val="669B0BB5"/>
    <w:rsid w:val="66A01F9C"/>
    <w:rsid w:val="66A45207"/>
    <w:rsid w:val="66BB3DC2"/>
    <w:rsid w:val="66BF4E50"/>
    <w:rsid w:val="66CD302B"/>
    <w:rsid w:val="66CE3D9F"/>
    <w:rsid w:val="66D12B48"/>
    <w:rsid w:val="66E711A1"/>
    <w:rsid w:val="66F145A6"/>
    <w:rsid w:val="671604B0"/>
    <w:rsid w:val="6734111D"/>
    <w:rsid w:val="673760C6"/>
    <w:rsid w:val="67464553"/>
    <w:rsid w:val="675C175D"/>
    <w:rsid w:val="675F3C06"/>
    <w:rsid w:val="676F0466"/>
    <w:rsid w:val="6775001E"/>
    <w:rsid w:val="677B6983"/>
    <w:rsid w:val="67917192"/>
    <w:rsid w:val="679413D5"/>
    <w:rsid w:val="6796339F"/>
    <w:rsid w:val="679D472E"/>
    <w:rsid w:val="67A24503"/>
    <w:rsid w:val="67A33B49"/>
    <w:rsid w:val="67A401A8"/>
    <w:rsid w:val="67B57B22"/>
    <w:rsid w:val="67B63E1E"/>
    <w:rsid w:val="67C85996"/>
    <w:rsid w:val="67D068B1"/>
    <w:rsid w:val="67E92A0F"/>
    <w:rsid w:val="67EB10AB"/>
    <w:rsid w:val="67F0485E"/>
    <w:rsid w:val="680D5840"/>
    <w:rsid w:val="681A5D7E"/>
    <w:rsid w:val="683040D9"/>
    <w:rsid w:val="68383780"/>
    <w:rsid w:val="684B5F38"/>
    <w:rsid w:val="685E1359"/>
    <w:rsid w:val="685E3D5A"/>
    <w:rsid w:val="6870599E"/>
    <w:rsid w:val="68787C47"/>
    <w:rsid w:val="68923C06"/>
    <w:rsid w:val="689A5C2A"/>
    <w:rsid w:val="68A54B74"/>
    <w:rsid w:val="68A65864"/>
    <w:rsid w:val="68D45F2D"/>
    <w:rsid w:val="68D91796"/>
    <w:rsid w:val="68DB550E"/>
    <w:rsid w:val="68DB72BC"/>
    <w:rsid w:val="68E85E7D"/>
    <w:rsid w:val="68EF42FF"/>
    <w:rsid w:val="690F6F65"/>
    <w:rsid w:val="691B3B5C"/>
    <w:rsid w:val="691C37B3"/>
    <w:rsid w:val="692B00E5"/>
    <w:rsid w:val="693710DE"/>
    <w:rsid w:val="693E03DA"/>
    <w:rsid w:val="6946402E"/>
    <w:rsid w:val="694E3A9C"/>
    <w:rsid w:val="6953779A"/>
    <w:rsid w:val="69583F61"/>
    <w:rsid w:val="69584073"/>
    <w:rsid w:val="696C260A"/>
    <w:rsid w:val="69753C38"/>
    <w:rsid w:val="69893198"/>
    <w:rsid w:val="699212B2"/>
    <w:rsid w:val="69B564CC"/>
    <w:rsid w:val="69B56A04"/>
    <w:rsid w:val="69B67D29"/>
    <w:rsid w:val="69BE365E"/>
    <w:rsid w:val="69C05F4E"/>
    <w:rsid w:val="69C66211"/>
    <w:rsid w:val="69CC5A7A"/>
    <w:rsid w:val="69E228CC"/>
    <w:rsid w:val="69E421A0"/>
    <w:rsid w:val="69F33EF4"/>
    <w:rsid w:val="69F43C85"/>
    <w:rsid w:val="69FF4345"/>
    <w:rsid w:val="6A041A04"/>
    <w:rsid w:val="6A2B6021"/>
    <w:rsid w:val="6A2C2DF4"/>
    <w:rsid w:val="6A514364"/>
    <w:rsid w:val="6A686DCC"/>
    <w:rsid w:val="6A767DFE"/>
    <w:rsid w:val="6A826A7F"/>
    <w:rsid w:val="6A8B4D12"/>
    <w:rsid w:val="6A9A5AB8"/>
    <w:rsid w:val="6AAE2D00"/>
    <w:rsid w:val="6AB26742"/>
    <w:rsid w:val="6ABA73A5"/>
    <w:rsid w:val="6AC76659"/>
    <w:rsid w:val="6ADE7537"/>
    <w:rsid w:val="6AED1528"/>
    <w:rsid w:val="6AFD68A8"/>
    <w:rsid w:val="6B0C2013"/>
    <w:rsid w:val="6B1C0BCE"/>
    <w:rsid w:val="6B1E16E2"/>
    <w:rsid w:val="6B234374"/>
    <w:rsid w:val="6B2A50A1"/>
    <w:rsid w:val="6B2E10E8"/>
    <w:rsid w:val="6B30513B"/>
    <w:rsid w:val="6B4B0176"/>
    <w:rsid w:val="6B4E2D3E"/>
    <w:rsid w:val="6B514CA8"/>
    <w:rsid w:val="6B555B6D"/>
    <w:rsid w:val="6B5F4FBF"/>
    <w:rsid w:val="6B633598"/>
    <w:rsid w:val="6B637A3C"/>
    <w:rsid w:val="6B680CE9"/>
    <w:rsid w:val="6B695720"/>
    <w:rsid w:val="6B6F1F3D"/>
    <w:rsid w:val="6B72644A"/>
    <w:rsid w:val="6B7403D7"/>
    <w:rsid w:val="6B7719B4"/>
    <w:rsid w:val="6B8631E7"/>
    <w:rsid w:val="6B8817E4"/>
    <w:rsid w:val="6B9F4525"/>
    <w:rsid w:val="6BBF08DA"/>
    <w:rsid w:val="6BEB21DB"/>
    <w:rsid w:val="6BF6440D"/>
    <w:rsid w:val="6BF6605B"/>
    <w:rsid w:val="6BFF3C0B"/>
    <w:rsid w:val="6C2502EB"/>
    <w:rsid w:val="6C360CAD"/>
    <w:rsid w:val="6C420689"/>
    <w:rsid w:val="6C4E249B"/>
    <w:rsid w:val="6C69623A"/>
    <w:rsid w:val="6C783E95"/>
    <w:rsid w:val="6C7F3743"/>
    <w:rsid w:val="6C986389"/>
    <w:rsid w:val="6C9D0ADE"/>
    <w:rsid w:val="6CA05869"/>
    <w:rsid w:val="6CAD71C1"/>
    <w:rsid w:val="6CB24FAA"/>
    <w:rsid w:val="6CBF2379"/>
    <w:rsid w:val="6CC129BC"/>
    <w:rsid w:val="6CC32B0C"/>
    <w:rsid w:val="6CD06D9A"/>
    <w:rsid w:val="6CD77686"/>
    <w:rsid w:val="6CDD4ECA"/>
    <w:rsid w:val="6CDF1345"/>
    <w:rsid w:val="6CE0240E"/>
    <w:rsid w:val="6CF669E9"/>
    <w:rsid w:val="6CFA5A17"/>
    <w:rsid w:val="6D676498"/>
    <w:rsid w:val="6D69551A"/>
    <w:rsid w:val="6D6A6E60"/>
    <w:rsid w:val="6D73494B"/>
    <w:rsid w:val="6D740BEB"/>
    <w:rsid w:val="6D960444"/>
    <w:rsid w:val="6D9E1F8B"/>
    <w:rsid w:val="6DA665BB"/>
    <w:rsid w:val="6DC906C8"/>
    <w:rsid w:val="6DCC1DEA"/>
    <w:rsid w:val="6DDD1463"/>
    <w:rsid w:val="6DE47554"/>
    <w:rsid w:val="6DFB0400"/>
    <w:rsid w:val="6E083D81"/>
    <w:rsid w:val="6E304C9C"/>
    <w:rsid w:val="6E4A569E"/>
    <w:rsid w:val="6E510020"/>
    <w:rsid w:val="6E5D0773"/>
    <w:rsid w:val="6E6659E4"/>
    <w:rsid w:val="6E7372FD"/>
    <w:rsid w:val="6E7B0DE6"/>
    <w:rsid w:val="6E843F52"/>
    <w:rsid w:val="6E891568"/>
    <w:rsid w:val="6E922241"/>
    <w:rsid w:val="6E9D5013"/>
    <w:rsid w:val="6ED20989"/>
    <w:rsid w:val="6EDF562C"/>
    <w:rsid w:val="6EEB2223"/>
    <w:rsid w:val="6EEE5032"/>
    <w:rsid w:val="6F070B6D"/>
    <w:rsid w:val="6F297C7F"/>
    <w:rsid w:val="6F370F0B"/>
    <w:rsid w:val="6F465BC5"/>
    <w:rsid w:val="6F6023E5"/>
    <w:rsid w:val="6F686C54"/>
    <w:rsid w:val="6F74463B"/>
    <w:rsid w:val="6F847F0F"/>
    <w:rsid w:val="6F8B1310"/>
    <w:rsid w:val="6F8C57B4"/>
    <w:rsid w:val="6FBD3BBF"/>
    <w:rsid w:val="6FE72BEC"/>
    <w:rsid w:val="6FF00FE8"/>
    <w:rsid w:val="6FF0154F"/>
    <w:rsid w:val="70077E32"/>
    <w:rsid w:val="700E3951"/>
    <w:rsid w:val="701D01BA"/>
    <w:rsid w:val="701D04C3"/>
    <w:rsid w:val="70206DE6"/>
    <w:rsid w:val="70207AAF"/>
    <w:rsid w:val="70252872"/>
    <w:rsid w:val="70273FB4"/>
    <w:rsid w:val="702E733C"/>
    <w:rsid w:val="70334C61"/>
    <w:rsid w:val="703D260A"/>
    <w:rsid w:val="7058462B"/>
    <w:rsid w:val="70587A30"/>
    <w:rsid w:val="70631FE6"/>
    <w:rsid w:val="707B75D6"/>
    <w:rsid w:val="708B5165"/>
    <w:rsid w:val="70A23E80"/>
    <w:rsid w:val="70BC2D0D"/>
    <w:rsid w:val="70C037ED"/>
    <w:rsid w:val="70EC5DDE"/>
    <w:rsid w:val="71015D2D"/>
    <w:rsid w:val="710F044A"/>
    <w:rsid w:val="71233F6F"/>
    <w:rsid w:val="712B16AC"/>
    <w:rsid w:val="712E0CAD"/>
    <w:rsid w:val="71306613"/>
    <w:rsid w:val="71365150"/>
    <w:rsid w:val="71435A18"/>
    <w:rsid w:val="71453E6C"/>
    <w:rsid w:val="71491ACF"/>
    <w:rsid w:val="714D0A95"/>
    <w:rsid w:val="715F37AC"/>
    <w:rsid w:val="71617872"/>
    <w:rsid w:val="71773BE4"/>
    <w:rsid w:val="718F6E95"/>
    <w:rsid w:val="7196578B"/>
    <w:rsid w:val="71AA26E2"/>
    <w:rsid w:val="71B0555E"/>
    <w:rsid w:val="71B24245"/>
    <w:rsid w:val="71BE4851"/>
    <w:rsid w:val="71C66844"/>
    <w:rsid w:val="71C8095B"/>
    <w:rsid w:val="71C823A7"/>
    <w:rsid w:val="71CE7C3E"/>
    <w:rsid w:val="71E14CCE"/>
    <w:rsid w:val="71EA249C"/>
    <w:rsid w:val="71F414B1"/>
    <w:rsid w:val="7205184D"/>
    <w:rsid w:val="720974D8"/>
    <w:rsid w:val="72115B84"/>
    <w:rsid w:val="721455EC"/>
    <w:rsid w:val="722467F1"/>
    <w:rsid w:val="72342AF6"/>
    <w:rsid w:val="72364028"/>
    <w:rsid w:val="72366FED"/>
    <w:rsid w:val="72381948"/>
    <w:rsid w:val="72421063"/>
    <w:rsid w:val="725E7FCA"/>
    <w:rsid w:val="726C71D7"/>
    <w:rsid w:val="728560D1"/>
    <w:rsid w:val="72941165"/>
    <w:rsid w:val="729F029B"/>
    <w:rsid w:val="72AA6F05"/>
    <w:rsid w:val="72C025B8"/>
    <w:rsid w:val="72D954AE"/>
    <w:rsid w:val="72DB7C19"/>
    <w:rsid w:val="72E408A1"/>
    <w:rsid w:val="72E7446C"/>
    <w:rsid w:val="72E91A51"/>
    <w:rsid w:val="72EE408F"/>
    <w:rsid w:val="72F60518"/>
    <w:rsid w:val="73106242"/>
    <w:rsid w:val="731347CB"/>
    <w:rsid w:val="731E2BC7"/>
    <w:rsid w:val="73327EFF"/>
    <w:rsid w:val="733A0F3F"/>
    <w:rsid w:val="734F0FD2"/>
    <w:rsid w:val="735008A6"/>
    <w:rsid w:val="736305DA"/>
    <w:rsid w:val="73716C5C"/>
    <w:rsid w:val="73741484"/>
    <w:rsid w:val="7379604F"/>
    <w:rsid w:val="738C32BA"/>
    <w:rsid w:val="739509AF"/>
    <w:rsid w:val="739A5FC5"/>
    <w:rsid w:val="73A26F97"/>
    <w:rsid w:val="73AB1B34"/>
    <w:rsid w:val="73CF2113"/>
    <w:rsid w:val="73DB1CB9"/>
    <w:rsid w:val="740B6DD2"/>
    <w:rsid w:val="740E03EE"/>
    <w:rsid w:val="74196B11"/>
    <w:rsid w:val="743275FC"/>
    <w:rsid w:val="74416441"/>
    <w:rsid w:val="744A60E7"/>
    <w:rsid w:val="745D2BC2"/>
    <w:rsid w:val="7460525E"/>
    <w:rsid w:val="746D7B7F"/>
    <w:rsid w:val="74890FBF"/>
    <w:rsid w:val="749E3893"/>
    <w:rsid w:val="74A22900"/>
    <w:rsid w:val="74FC053B"/>
    <w:rsid w:val="75083C92"/>
    <w:rsid w:val="75363ACC"/>
    <w:rsid w:val="753B196C"/>
    <w:rsid w:val="754A6BE8"/>
    <w:rsid w:val="75581C94"/>
    <w:rsid w:val="755A1EB0"/>
    <w:rsid w:val="755A3C5E"/>
    <w:rsid w:val="755C3532"/>
    <w:rsid w:val="75621210"/>
    <w:rsid w:val="75662603"/>
    <w:rsid w:val="75692310"/>
    <w:rsid w:val="757271FA"/>
    <w:rsid w:val="75AB1A31"/>
    <w:rsid w:val="75AB6268"/>
    <w:rsid w:val="75B04B60"/>
    <w:rsid w:val="75B411CF"/>
    <w:rsid w:val="75DE1A40"/>
    <w:rsid w:val="75EE70C0"/>
    <w:rsid w:val="75F714AD"/>
    <w:rsid w:val="75FC4D15"/>
    <w:rsid w:val="761364A1"/>
    <w:rsid w:val="761E2EDE"/>
    <w:rsid w:val="76223B82"/>
    <w:rsid w:val="763B6455"/>
    <w:rsid w:val="763E3AFC"/>
    <w:rsid w:val="764B2968"/>
    <w:rsid w:val="76514B19"/>
    <w:rsid w:val="766528BB"/>
    <w:rsid w:val="767E397C"/>
    <w:rsid w:val="769D7F0C"/>
    <w:rsid w:val="76A16877"/>
    <w:rsid w:val="76CD21B1"/>
    <w:rsid w:val="76D51A64"/>
    <w:rsid w:val="76DA694D"/>
    <w:rsid w:val="77002604"/>
    <w:rsid w:val="770B3462"/>
    <w:rsid w:val="771262B3"/>
    <w:rsid w:val="77256B71"/>
    <w:rsid w:val="775743FA"/>
    <w:rsid w:val="77583372"/>
    <w:rsid w:val="775A7E43"/>
    <w:rsid w:val="776E3E0A"/>
    <w:rsid w:val="77724D2A"/>
    <w:rsid w:val="77905715"/>
    <w:rsid w:val="7795006B"/>
    <w:rsid w:val="77964814"/>
    <w:rsid w:val="779979E0"/>
    <w:rsid w:val="779A2A38"/>
    <w:rsid w:val="77AD4519"/>
    <w:rsid w:val="77B052D7"/>
    <w:rsid w:val="77DE57B1"/>
    <w:rsid w:val="77EC236D"/>
    <w:rsid w:val="77F0045C"/>
    <w:rsid w:val="77FB4141"/>
    <w:rsid w:val="78054355"/>
    <w:rsid w:val="78153E6C"/>
    <w:rsid w:val="781D49A3"/>
    <w:rsid w:val="782642CC"/>
    <w:rsid w:val="783372AA"/>
    <w:rsid w:val="78483CD7"/>
    <w:rsid w:val="78496F7D"/>
    <w:rsid w:val="784976AB"/>
    <w:rsid w:val="78597AA3"/>
    <w:rsid w:val="786731E2"/>
    <w:rsid w:val="78865FAA"/>
    <w:rsid w:val="788E22F0"/>
    <w:rsid w:val="789B0470"/>
    <w:rsid w:val="78A57E7F"/>
    <w:rsid w:val="78BF79C0"/>
    <w:rsid w:val="78CB7852"/>
    <w:rsid w:val="78D41974"/>
    <w:rsid w:val="78D705A5"/>
    <w:rsid w:val="790740FD"/>
    <w:rsid w:val="7908351A"/>
    <w:rsid w:val="791A5BDE"/>
    <w:rsid w:val="792244FC"/>
    <w:rsid w:val="79311612"/>
    <w:rsid w:val="79326F38"/>
    <w:rsid w:val="79507C6C"/>
    <w:rsid w:val="79905EA0"/>
    <w:rsid w:val="79951709"/>
    <w:rsid w:val="79A828CF"/>
    <w:rsid w:val="79AF14E9"/>
    <w:rsid w:val="79C67FF1"/>
    <w:rsid w:val="79CD2C51"/>
    <w:rsid w:val="7A134CDB"/>
    <w:rsid w:val="7A1940E8"/>
    <w:rsid w:val="7A222739"/>
    <w:rsid w:val="7A247D41"/>
    <w:rsid w:val="7A2813AC"/>
    <w:rsid w:val="7A601D17"/>
    <w:rsid w:val="7A6D153A"/>
    <w:rsid w:val="7A7D43AB"/>
    <w:rsid w:val="7A8F7F06"/>
    <w:rsid w:val="7AA4676D"/>
    <w:rsid w:val="7AA80FC8"/>
    <w:rsid w:val="7ACF47A6"/>
    <w:rsid w:val="7ADA2C05"/>
    <w:rsid w:val="7AEF0655"/>
    <w:rsid w:val="7AF31B1B"/>
    <w:rsid w:val="7AF81F4F"/>
    <w:rsid w:val="7AFA0465"/>
    <w:rsid w:val="7AFD1DE7"/>
    <w:rsid w:val="7B045ED3"/>
    <w:rsid w:val="7B0A1C83"/>
    <w:rsid w:val="7B391059"/>
    <w:rsid w:val="7B3D3E06"/>
    <w:rsid w:val="7B4C559F"/>
    <w:rsid w:val="7B51102C"/>
    <w:rsid w:val="7B672C31"/>
    <w:rsid w:val="7B6A5A85"/>
    <w:rsid w:val="7B7B4549"/>
    <w:rsid w:val="7B91512F"/>
    <w:rsid w:val="7B9D19CF"/>
    <w:rsid w:val="7BB06386"/>
    <w:rsid w:val="7BBE22D8"/>
    <w:rsid w:val="7BCA2C14"/>
    <w:rsid w:val="7BE75251"/>
    <w:rsid w:val="7BE97480"/>
    <w:rsid w:val="7BEA0DE4"/>
    <w:rsid w:val="7C016BE2"/>
    <w:rsid w:val="7C045CBD"/>
    <w:rsid w:val="7C0861C2"/>
    <w:rsid w:val="7C151230"/>
    <w:rsid w:val="7C220A58"/>
    <w:rsid w:val="7C260122"/>
    <w:rsid w:val="7C330D65"/>
    <w:rsid w:val="7C364721"/>
    <w:rsid w:val="7C377F10"/>
    <w:rsid w:val="7C5237DC"/>
    <w:rsid w:val="7C530CF6"/>
    <w:rsid w:val="7C5D4489"/>
    <w:rsid w:val="7C6B0520"/>
    <w:rsid w:val="7C7133B0"/>
    <w:rsid w:val="7C7166E1"/>
    <w:rsid w:val="7C7A5C40"/>
    <w:rsid w:val="7C8141C6"/>
    <w:rsid w:val="7CB50642"/>
    <w:rsid w:val="7CC12815"/>
    <w:rsid w:val="7CC74D54"/>
    <w:rsid w:val="7CCC629C"/>
    <w:rsid w:val="7CDB38E3"/>
    <w:rsid w:val="7CFC0E6E"/>
    <w:rsid w:val="7D131D2E"/>
    <w:rsid w:val="7D1D5170"/>
    <w:rsid w:val="7D5C26FD"/>
    <w:rsid w:val="7D6B077A"/>
    <w:rsid w:val="7D751E6F"/>
    <w:rsid w:val="7D7B201F"/>
    <w:rsid w:val="7D845D1C"/>
    <w:rsid w:val="7D9237C6"/>
    <w:rsid w:val="7D9F4D2D"/>
    <w:rsid w:val="7DAC5273"/>
    <w:rsid w:val="7DBA5E29"/>
    <w:rsid w:val="7DDA0B97"/>
    <w:rsid w:val="7DE1179D"/>
    <w:rsid w:val="7DFB3175"/>
    <w:rsid w:val="7E062BD5"/>
    <w:rsid w:val="7E1449C6"/>
    <w:rsid w:val="7E1D7AB8"/>
    <w:rsid w:val="7E2716F4"/>
    <w:rsid w:val="7E3855FD"/>
    <w:rsid w:val="7E5000A8"/>
    <w:rsid w:val="7E6E2528"/>
    <w:rsid w:val="7E7933A7"/>
    <w:rsid w:val="7E8A7362"/>
    <w:rsid w:val="7E8F2BCB"/>
    <w:rsid w:val="7EA06B86"/>
    <w:rsid w:val="7EA244C7"/>
    <w:rsid w:val="7EB27B21"/>
    <w:rsid w:val="7EB73ECF"/>
    <w:rsid w:val="7EC000E3"/>
    <w:rsid w:val="7EC860DC"/>
    <w:rsid w:val="7EDA07ED"/>
    <w:rsid w:val="7EE7698E"/>
    <w:rsid w:val="7EF37B95"/>
    <w:rsid w:val="7F107F15"/>
    <w:rsid w:val="7F2E7865"/>
    <w:rsid w:val="7F3C6183"/>
    <w:rsid w:val="7F42110C"/>
    <w:rsid w:val="7F794CE1"/>
    <w:rsid w:val="7F8F01AA"/>
    <w:rsid w:val="7F906806"/>
    <w:rsid w:val="7F930498"/>
    <w:rsid w:val="7F936BC0"/>
    <w:rsid w:val="7FA2692E"/>
    <w:rsid w:val="7FCA6F85"/>
    <w:rsid w:val="7FF57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iPriority="99" w:name="Body Text Indent 2"/>
    <w:lsdException w:uiPriority="99"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6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link w:val="37"/>
    <w:autoRedefine/>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4"/>
    <w:link w:val="62"/>
    <w:autoRedefine/>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63"/>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53"/>
    <w:autoRedefine/>
    <w:qFormat/>
    <w:uiPriority w:val="0"/>
    <w:pPr>
      <w:ind w:firstLine="420"/>
    </w:pPr>
    <w:rPr>
      <w:sz w:val="32"/>
      <w:szCs w:val="20"/>
    </w:rPr>
  </w:style>
  <w:style w:type="paragraph" w:styleId="7">
    <w:name w:val="caption"/>
    <w:basedOn w:val="1"/>
    <w:next w:val="1"/>
    <w:autoRedefine/>
    <w:qFormat/>
    <w:uiPriority w:val="0"/>
    <w:pPr>
      <w:spacing w:before="30" w:beforeLines="30" w:after="30" w:afterLines="30"/>
      <w:jc w:val="center"/>
    </w:pPr>
    <w:rPr>
      <w:rFonts w:ascii="Arial" w:hAnsi="Calibri" w:eastAsia="黑体"/>
    </w:rPr>
  </w:style>
  <w:style w:type="paragraph" w:styleId="8">
    <w:name w:val="annotation text"/>
    <w:basedOn w:val="1"/>
    <w:link w:val="59"/>
    <w:autoRedefine/>
    <w:semiHidden/>
    <w:unhideWhenUsed/>
    <w:qFormat/>
    <w:uiPriority w:val="0"/>
    <w:pPr>
      <w:jc w:val="left"/>
    </w:pPr>
  </w:style>
  <w:style w:type="paragraph" w:styleId="9">
    <w:name w:val="Body Text"/>
    <w:basedOn w:val="1"/>
    <w:next w:val="1"/>
    <w:link w:val="64"/>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link w:val="65"/>
    <w:autoRedefine/>
    <w:qFormat/>
    <w:uiPriority w:val="0"/>
    <w:pPr>
      <w:spacing w:after="120"/>
      <w:ind w:left="420" w:leftChars="200"/>
    </w:pPr>
    <w:rPr>
      <w:kern w:val="0"/>
      <w:sz w:val="24"/>
      <w:szCs w:val="20"/>
    </w:rPr>
  </w:style>
  <w:style w:type="paragraph" w:styleId="11">
    <w:name w:val="Block Text"/>
    <w:basedOn w:val="1"/>
    <w:autoRedefine/>
    <w:qFormat/>
    <w:uiPriority w:val="0"/>
    <w:pPr>
      <w:spacing w:after="120"/>
      <w:ind w:left="1440" w:leftChars="700" w:right="1440" w:rightChars="700"/>
    </w:pPr>
    <w:rPr>
      <w:szCs w:val="24"/>
    </w:rPr>
  </w:style>
  <w:style w:type="paragraph" w:styleId="12">
    <w:name w:val="Plain Text"/>
    <w:basedOn w:val="1"/>
    <w:next w:val="1"/>
    <w:link w:val="66"/>
    <w:autoRedefine/>
    <w:qFormat/>
    <w:uiPriority w:val="0"/>
    <w:pPr>
      <w:spacing w:line="420" w:lineRule="exact"/>
      <w:ind w:firstLine="200" w:firstLineChars="200"/>
    </w:pPr>
    <w:rPr>
      <w:rFonts w:ascii="宋体" w:hAnsi="Courier New" w:cs="Courier New"/>
    </w:rPr>
  </w:style>
  <w:style w:type="paragraph" w:styleId="13">
    <w:name w:val="Date"/>
    <w:basedOn w:val="1"/>
    <w:next w:val="1"/>
    <w:link w:val="72"/>
    <w:autoRedefine/>
    <w:qFormat/>
    <w:uiPriority w:val="0"/>
    <w:pPr>
      <w:ind w:left="100" w:leftChars="2500"/>
    </w:pPr>
    <w:rPr>
      <w:kern w:val="0"/>
      <w:sz w:val="24"/>
      <w:szCs w:val="20"/>
    </w:rPr>
  </w:style>
  <w:style w:type="paragraph" w:styleId="14">
    <w:name w:val="Body Text Indent 2"/>
    <w:basedOn w:val="1"/>
    <w:next w:val="1"/>
    <w:autoRedefine/>
    <w:semiHidden/>
    <w:unhideWhenUsed/>
    <w:qFormat/>
    <w:uiPriority w:val="99"/>
    <w:pPr>
      <w:spacing w:after="120" w:line="480" w:lineRule="auto"/>
      <w:ind w:left="420" w:leftChars="200"/>
    </w:pPr>
  </w:style>
  <w:style w:type="paragraph" w:styleId="15">
    <w:name w:val="Balloon Text"/>
    <w:basedOn w:val="1"/>
    <w:link w:val="68"/>
    <w:autoRedefine/>
    <w:qFormat/>
    <w:uiPriority w:val="0"/>
    <w:rPr>
      <w:kern w:val="0"/>
      <w:sz w:val="18"/>
      <w:szCs w:val="20"/>
    </w:rPr>
  </w:style>
  <w:style w:type="paragraph" w:styleId="16">
    <w:name w:val="footer"/>
    <w:basedOn w:val="1"/>
    <w:link w:val="49"/>
    <w:autoRedefine/>
    <w:unhideWhenUsed/>
    <w:qFormat/>
    <w:uiPriority w:val="99"/>
    <w:pPr>
      <w:tabs>
        <w:tab w:val="center" w:pos="4153"/>
        <w:tab w:val="right" w:pos="8306"/>
      </w:tabs>
      <w:snapToGrid w:val="0"/>
      <w:jc w:val="left"/>
    </w:pPr>
    <w:rPr>
      <w:sz w:val="18"/>
      <w:szCs w:val="18"/>
    </w:rPr>
  </w:style>
  <w:style w:type="paragraph" w:styleId="17">
    <w:name w:val="header"/>
    <w:basedOn w:val="1"/>
    <w:link w:val="4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Body Text 2"/>
    <w:basedOn w:val="1"/>
    <w:autoRedefine/>
    <w:unhideWhenUsed/>
    <w:qFormat/>
    <w:uiPriority w:val="99"/>
    <w:pPr>
      <w:spacing w:after="120" w:line="480" w:lineRule="auto"/>
    </w:pPr>
  </w:style>
  <w:style w:type="paragraph" w:styleId="20">
    <w:name w:val="Normal (Web)"/>
    <w:basedOn w:val="1"/>
    <w:link w:val="52"/>
    <w:autoRedefine/>
    <w:unhideWhenUsed/>
    <w:qFormat/>
    <w:uiPriority w:val="0"/>
    <w:pPr>
      <w:widowControl/>
      <w:spacing w:before="100" w:beforeAutospacing="1" w:after="100" w:afterAutospacing="1"/>
      <w:jc w:val="left"/>
    </w:pPr>
    <w:rPr>
      <w:rFonts w:ascii="宋体" w:hAnsi="宋体" w:cs="宋体"/>
      <w:kern w:val="0"/>
      <w:sz w:val="24"/>
      <w:szCs w:val="24"/>
    </w:rPr>
  </w:style>
  <w:style w:type="paragraph" w:styleId="21">
    <w:name w:val="annotation subject"/>
    <w:basedOn w:val="8"/>
    <w:next w:val="8"/>
    <w:link w:val="60"/>
    <w:autoRedefine/>
    <w:semiHidden/>
    <w:unhideWhenUsed/>
    <w:qFormat/>
    <w:uiPriority w:val="0"/>
    <w:rPr>
      <w:b/>
      <w:bCs/>
    </w:rPr>
  </w:style>
  <w:style w:type="paragraph" w:styleId="22">
    <w:name w:val="Body Text First Indent"/>
    <w:basedOn w:val="1"/>
    <w:next w:val="23"/>
    <w:link w:val="69"/>
    <w:autoRedefine/>
    <w:qFormat/>
    <w:uiPriority w:val="0"/>
    <w:pPr>
      <w:spacing w:after="120"/>
      <w:ind w:firstLine="420" w:firstLineChars="100"/>
    </w:pPr>
    <w:rPr>
      <w:szCs w:val="24"/>
    </w:rPr>
  </w:style>
  <w:style w:type="paragraph" w:customStyle="1" w:styleId="23">
    <w:name w:val="正文文字（首行缩进2字）"/>
    <w:basedOn w:val="1"/>
    <w:autoRedefine/>
    <w:qFormat/>
    <w:uiPriority w:val="0"/>
    <w:pPr>
      <w:spacing w:line="360" w:lineRule="auto"/>
      <w:ind w:firstLine="200" w:firstLineChars="200"/>
    </w:pPr>
    <w:rPr>
      <w:rFonts w:ascii="Arial" w:hAnsi="Arial" w:eastAsia="宋体"/>
      <w:position w:val="-30"/>
      <w:sz w:val="24"/>
    </w:rPr>
  </w:style>
  <w:style w:type="paragraph" w:styleId="24">
    <w:name w:val="Body Text First Indent 2"/>
    <w:basedOn w:val="10"/>
    <w:next w:val="25"/>
    <w:link w:val="70"/>
    <w:autoRedefine/>
    <w:qFormat/>
    <w:uiPriority w:val="0"/>
    <w:pPr>
      <w:ind w:firstLine="420" w:firstLineChars="200"/>
    </w:pPr>
    <w:rPr>
      <w:kern w:val="2"/>
      <w:sz w:val="21"/>
      <w:szCs w:val="24"/>
    </w:rPr>
  </w:style>
  <w:style w:type="paragraph" w:customStyle="1" w:styleId="25">
    <w:name w:val="Default"/>
    <w:basedOn w:val="26"/>
    <w:next w:val="27"/>
    <w:autoRedefine/>
    <w:qFormat/>
    <w:uiPriority w:val="0"/>
    <w:pPr>
      <w:autoSpaceDE w:val="0"/>
      <w:autoSpaceDN w:val="0"/>
      <w:jc w:val="left"/>
    </w:pPr>
    <w:rPr>
      <w:rFonts w:hAnsi="宋体" w:cs="宋体"/>
      <w:color w:val="000000"/>
      <w:kern w:val="0"/>
      <w:sz w:val="24"/>
      <w:szCs w:val="24"/>
    </w:rPr>
  </w:style>
  <w:style w:type="paragraph" w:customStyle="1" w:styleId="26">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7">
    <w:name w:val="表格文字"/>
    <w:basedOn w:val="4"/>
    <w:next w:val="1"/>
    <w:link w:val="54"/>
    <w:autoRedefine/>
    <w:qFormat/>
    <w:uiPriority w:val="0"/>
    <w:pPr>
      <w:snapToGrid w:val="0"/>
      <w:jc w:val="center"/>
    </w:pPr>
  </w:style>
  <w:style w:type="table" w:styleId="29">
    <w:name w:val="Table Grid"/>
    <w:basedOn w:val="2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22"/>
    <w:rPr>
      <w:b/>
    </w:rPr>
  </w:style>
  <w:style w:type="character" w:styleId="32">
    <w:name w:val="page number"/>
    <w:basedOn w:val="30"/>
    <w:autoRedefine/>
    <w:qFormat/>
    <w:uiPriority w:val="0"/>
  </w:style>
  <w:style w:type="character" w:styleId="33">
    <w:name w:val="Hyperlink"/>
    <w:basedOn w:val="30"/>
    <w:autoRedefine/>
    <w:qFormat/>
    <w:uiPriority w:val="0"/>
    <w:rPr>
      <w:color w:val="0563C1" w:themeColor="hyperlink"/>
      <w:u w:val="single"/>
      <w14:textFill>
        <w14:solidFill>
          <w14:schemeClr w14:val="hlink"/>
        </w14:solidFill>
      </w14:textFill>
    </w:rPr>
  </w:style>
  <w:style w:type="character" w:styleId="34">
    <w:name w:val="annotation reference"/>
    <w:basedOn w:val="30"/>
    <w:autoRedefine/>
    <w:semiHidden/>
    <w:unhideWhenUsed/>
    <w:qFormat/>
    <w:uiPriority w:val="0"/>
    <w:rPr>
      <w:sz w:val="21"/>
      <w:szCs w:val="21"/>
    </w:rPr>
  </w:style>
  <w:style w:type="character" w:customStyle="1" w:styleId="35">
    <w:name w:val="表格 Char"/>
    <w:link w:val="36"/>
    <w:autoRedefine/>
    <w:qFormat/>
    <w:uiPriority w:val="0"/>
    <w:rPr>
      <w:rFonts w:ascii="宋体" w:hAnsi="宋体" w:eastAsia="宋体" w:cs="宋体"/>
      <w:kern w:val="0"/>
      <w:sz w:val="20"/>
      <w:szCs w:val="20"/>
    </w:rPr>
  </w:style>
  <w:style w:type="paragraph" w:customStyle="1" w:styleId="36">
    <w:name w:val="表格"/>
    <w:basedOn w:val="1"/>
    <w:next w:val="1"/>
    <w:link w:val="35"/>
    <w:autoRedefine/>
    <w:qFormat/>
    <w:uiPriority w:val="0"/>
    <w:pPr>
      <w:adjustRightInd w:val="0"/>
      <w:snapToGrid w:val="0"/>
      <w:spacing w:beforeLines="10" w:afterLines="10" w:line="256" w:lineRule="auto"/>
      <w:jc w:val="center"/>
    </w:pPr>
    <w:rPr>
      <w:rFonts w:ascii="宋体" w:hAnsi="宋体" w:cs="宋体"/>
      <w:kern w:val="0"/>
      <w:sz w:val="20"/>
      <w:szCs w:val="20"/>
    </w:rPr>
  </w:style>
  <w:style w:type="character" w:customStyle="1" w:styleId="37">
    <w:name w:val="标题 2 字符"/>
    <w:basedOn w:val="30"/>
    <w:link w:val="3"/>
    <w:autoRedefine/>
    <w:semiHidden/>
    <w:qFormat/>
    <w:uiPriority w:val="0"/>
    <w:rPr>
      <w:rFonts w:asciiTheme="majorHAnsi" w:hAnsiTheme="majorHAnsi" w:eastAsiaTheme="majorEastAsia" w:cstheme="majorBidi"/>
      <w:b/>
      <w:bCs/>
      <w:sz w:val="32"/>
      <w:szCs w:val="32"/>
    </w:rPr>
  </w:style>
  <w:style w:type="paragraph" w:customStyle="1" w:styleId="38">
    <w:name w:val="正文 首行缩进:  2 字符"/>
    <w:basedOn w:val="1"/>
    <w:autoRedefine/>
    <w:qFormat/>
    <w:uiPriority w:val="99"/>
    <w:pPr>
      <w:ind w:firstLine="579" w:firstLineChars="200"/>
    </w:pPr>
    <w:rPr>
      <w:rFonts w:cs="宋体"/>
      <w:szCs w:val="20"/>
    </w:rPr>
  </w:style>
  <w:style w:type="paragraph" w:customStyle="1" w:styleId="39">
    <w:name w:val="纯文本1"/>
    <w:basedOn w:val="1"/>
    <w:autoRedefine/>
    <w:qFormat/>
    <w:uiPriority w:val="99"/>
    <w:pPr>
      <w:adjustRightInd w:val="0"/>
      <w:textAlignment w:val="baseline"/>
    </w:pPr>
    <w:rPr>
      <w:rFonts w:ascii="宋体" w:hAnsi="Courier New"/>
    </w:rPr>
  </w:style>
  <w:style w:type="paragraph" w:customStyle="1" w:styleId="40">
    <w:name w:val="朔电正文"/>
    <w:basedOn w:val="1"/>
    <w:qFormat/>
    <w:uiPriority w:val="0"/>
    <w:pPr>
      <w:adjustRightInd w:val="0"/>
      <w:snapToGrid w:val="0"/>
      <w:spacing w:beforeLines="25" w:line="440" w:lineRule="exact"/>
      <w:ind w:firstLine="200" w:firstLineChars="200"/>
    </w:pPr>
    <w:rPr>
      <w:color w:val="000000"/>
    </w:rPr>
  </w:style>
  <w:style w:type="paragraph" w:customStyle="1" w:styleId="41">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2">
    <w:name w:val="(@)我的正文"/>
    <w:basedOn w:val="1"/>
    <w:autoRedefine/>
    <w:qFormat/>
    <w:uiPriority w:val="0"/>
    <w:pPr>
      <w:snapToGrid w:val="0"/>
      <w:spacing w:line="520" w:lineRule="exact"/>
    </w:pPr>
    <w:rPr>
      <w:rFonts w:ascii="宋体"/>
      <w:color w:val="000000"/>
      <w:sz w:val="28"/>
      <w:szCs w:val="28"/>
    </w:rPr>
  </w:style>
  <w:style w:type="paragraph" w:customStyle="1" w:styleId="43">
    <w:name w:val="Char Char Char Char Char Char1 Char Char Char Char"/>
    <w:basedOn w:val="1"/>
    <w:next w:val="1"/>
    <w:autoRedefine/>
    <w:qFormat/>
    <w:uiPriority w:val="0"/>
    <w:pPr>
      <w:widowControl w:val="0"/>
      <w:autoSpaceDE/>
      <w:autoSpaceDN/>
      <w:spacing w:before="0" w:after="0" w:line="360" w:lineRule="auto"/>
      <w:ind w:left="0" w:firstLine="200"/>
      <w:jc w:val="both"/>
    </w:pPr>
    <w:rPr>
      <w:rFonts w:ascii="Times New Roman" w:eastAsia="宋体"/>
      <w:sz w:val="21"/>
    </w:rPr>
  </w:style>
  <w:style w:type="paragraph" w:customStyle="1" w:styleId="44">
    <w:name w:val="正文首行缩进 21"/>
    <w:basedOn w:val="45"/>
    <w:next w:val="20"/>
    <w:autoRedefine/>
    <w:qFormat/>
    <w:uiPriority w:val="0"/>
  </w:style>
  <w:style w:type="paragraph" w:customStyle="1" w:styleId="45">
    <w:name w:val="正文文本缩进1"/>
    <w:basedOn w:val="1"/>
    <w:autoRedefine/>
    <w:qFormat/>
    <w:uiPriority w:val="0"/>
    <w:pPr>
      <w:ind w:left="2990"/>
      <w:jc w:val="left"/>
    </w:pPr>
    <w:rPr>
      <w:sz w:val="28"/>
      <w:szCs w:val="28"/>
    </w:rPr>
  </w:style>
  <w:style w:type="paragraph" w:customStyle="1" w:styleId="46">
    <w:name w:val="表格标题"/>
    <w:basedOn w:val="4"/>
    <w:next w:val="1"/>
    <w:autoRedefine/>
    <w:qFormat/>
    <w:uiPriority w:val="0"/>
    <w:pPr>
      <w:spacing w:before="120" w:after="100" w:afterAutospacing="1" w:line="320" w:lineRule="atLeast"/>
      <w:jc w:val="center"/>
    </w:pPr>
  </w:style>
  <w:style w:type="paragraph" w:customStyle="1" w:styleId="47">
    <w:name w:val="样式2"/>
    <w:basedOn w:val="1"/>
    <w:autoRedefine/>
    <w:qFormat/>
    <w:uiPriority w:val="0"/>
    <w:pPr>
      <w:spacing w:line="400" w:lineRule="exact"/>
      <w:ind w:firstLine="200" w:firstLineChars="200"/>
    </w:pPr>
    <w:rPr>
      <w:sz w:val="24"/>
      <w:szCs w:val="24"/>
    </w:rPr>
  </w:style>
  <w:style w:type="character" w:customStyle="1" w:styleId="48">
    <w:name w:val="页眉 字符"/>
    <w:basedOn w:val="30"/>
    <w:link w:val="17"/>
    <w:autoRedefine/>
    <w:qFormat/>
    <w:uiPriority w:val="0"/>
    <w:rPr>
      <w:rFonts w:ascii="Times New Roman" w:hAnsi="Times New Roman" w:eastAsia="宋体" w:cs="Times New Roman"/>
      <w:sz w:val="18"/>
      <w:szCs w:val="18"/>
    </w:rPr>
  </w:style>
  <w:style w:type="character" w:customStyle="1" w:styleId="49">
    <w:name w:val="页脚 字符"/>
    <w:basedOn w:val="30"/>
    <w:link w:val="16"/>
    <w:autoRedefine/>
    <w:qFormat/>
    <w:uiPriority w:val="99"/>
    <w:rPr>
      <w:rFonts w:ascii="Times New Roman" w:hAnsi="Times New Roman" w:eastAsia="宋体" w:cs="Times New Roman"/>
      <w:sz w:val="18"/>
      <w:szCs w:val="18"/>
    </w:rPr>
  </w:style>
  <w:style w:type="character" w:customStyle="1" w:styleId="50">
    <w:name w:val="环评2018 Char"/>
    <w:link w:val="51"/>
    <w:autoRedefine/>
    <w:qFormat/>
    <w:uiPriority w:val="0"/>
    <w:rPr>
      <w:rFonts w:ascii="Times new romon" w:hAnsi="Times new romon" w:eastAsia="仿宋"/>
      <w:color w:val="0000FF"/>
      <w:sz w:val="28"/>
      <w:szCs w:val="28"/>
    </w:rPr>
  </w:style>
  <w:style w:type="paragraph" w:customStyle="1" w:styleId="51">
    <w:name w:val="环评2018"/>
    <w:basedOn w:val="1"/>
    <w:link w:val="50"/>
    <w:autoRedefine/>
    <w:qFormat/>
    <w:uiPriority w:val="0"/>
    <w:pPr>
      <w:autoSpaceDE w:val="0"/>
      <w:autoSpaceDN w:val="0"/>
      <w:adjustRightInd w:val="0"/>
      <w:spacing w:line="440" w:lineRule="exact"/>
      <w:ind w:firstLine="560" w:firstLineChars="200"/>
    </w:pPr>
    <w:rPr>
      <w:rFonts w:ascii="Times new romon" w:hAnsi="Times new romon" w:eastAsia="仿宋" w:cstheme="minorBidi"/>
      <w:color w:val="0000FF"/>
      <w:sz w:val="28"/>
      <w:szCs w:val="28"/>
    </w:rPr>
  </w:style>
  <w:style w:type="character" w:customStyle="1" w:styleId="52">
    <w:name w:val="普通(网站) 字符1"/>
    <w:link w:val="20"/>
    <w:autoRedefine/>
    <w:qFormat/>
    <w:uiPriority w:val="99"/>
    <w:rPr>
      <w:rFonts w:ascii="宋体" w:hAnsi="宋体" w:eastAsia="宋体" w:cs="宋体"/>
      <w:kern w:val="0"/>
      <w:sz w:val="24"/>
      <w:szCs w:val="24"/>
    </w:rPr>
  </w:style>
  <w:style w:type="character" w:customStyle="1" w:styleId="53">
    <w:name w:val="正文缩进 字符"/>
    <w:basedOn w:val="30"/>
    <w:link w:val="4"/>
    <w:autoRedefine/>
    <w:qFormat/>
    <w:uiPriority w:val="0"/>
    <w:rPr>
      <w:rFonts w:ascii="Times New Roman" w:hAnsi="Times New Roman" w:eastAsia="宋体" w:cs="Times New Roman"/>
      <w:sz w:val="32"/>
      <w:szCs w:val="20"/>
    </w:rPr>
  </w:style>
  <w:style w:type="character" w:customStyle="1" w:styleId="54">
    <w:name w:val="表格文字 Char Char"/>
    <w:link w:val="27"/>
    <w:autoRedefine/>
    <w:qFormat/>
    <w:uiPriority w:val="0"/>
    <w:rPr>
      <w:rFonts w:ascii="Times New Roman" w:hAnsi="Times New Roman" w:eastAsia="宋体" w:cs="Times New Roman"/>
      <w:szCs w:val="21"/>
    </w:rPr>
  </w:style>
  <w:style w:type="character" w:customStyle="1" w:styleId="55">
    <w:name w:val="普通(网站) 字符"/>
    <w:autoRedefine/>
    <w:qFormat/>
    <w:uiPriority w:val="0"/>
    <w:rPr>
      <w:rFonts w:ascii="宋体" w:hAnsi="宋体" w:eastAsia="宋体"/>
      <w:sz w:val="24"/>
    </w:rPr>
  </w:style>
  <w:style w:type="paragraph" w:customStyle="1" w:styleId="56">
    <w:name w:val="Table Paragraph"/>
    <w:basedOn w:val="1"/>
    <w:autoRedefine/>
    <w:qFormat/>
    <w:uiPriority w:val="0"/>
    <w:pPr>
      <w:autoSpaceDE w:val="0"/>
      <w:autoSpaceDN w:val="0"/>
      <w:adjustRightInd w:val="0"/>
      <w:jc w:val="left"/>
    </w:pPr>
    <w:rPr>
      <w:kern w:val="0"/>
      <w:sz w:val="24"/>
      <w:szCs w:val="24"/>
    </w:rPr>
  </w:style>
  <w:style w:type="paragraph" w:customStyle="1" w:styleId="57">
    <w:name w:val="密封件正文"/>
    <w:basedOn w:val="1"/>
    <w:link w:val="58"/>
    <w:autoRedefine/>
    <w:qFormat/>
    <w:uiPriority w:val="0"/>
    <w:pPr>
      <w:tabs>
        <w:tab w:val="left" w:pos="1455"/>
      </w:tabs>
      <w:spacing w:line="480" w:lineRule="exact"/>
      <w:ind w:firstLine="496" w:firstLineChars="200"/>
    </w:pPr>
    <w:rPr>
      <w:rFonts w:cs="宋体"/>
      <w:spacing w:val="4"/>
      <w:sz w:val="24"/>
      <w:szCs w:val="24"/>
    </w:rPr>
  </w:style>
  <w:style w:type="character" w:customStyle="1" w:styleId="58">
    <w:name w:val="密封件正文 字符"/>
    <w:link w:val="57"/>
    <w:autoRedefine/>
    <w:qFormat/>
    <w:uiPriority w:val="0"/>
    <w:rPr>
      <w:rFonts w:ascii="Times New Roman" w:hAnsi="Times New Roman" w:eastAsia="宋体" w:cs="宋体"/>
      <w:spacing w:val="4"/>
      <w:sz w:val="24"/>
      <w:szCs w:val="24"/>
    </w:rPr>
  </w:style>
  <w:style w:type="character" w:customStyle="1" w:styleId="59">
    <w:name w:val="批注文字 字符"/>
    <w:basedOn w:val="30"/>
    <w:link w:val="8"/>
    <w:autoRedefine/>
    <w:qFormat/>
    <w:uiPriority w:val="0"/>
    <w:rPr>
      <w:rFonts w:ascii="Times New Roman" w:hAnsi="Times New Roman" w:eastAsia="宋体" w:cs="Times New Roman"/>
      <w:szCs w:val="21"/>
    </w:rPr>
  </w:style>
  <w:style w:type="character" w:customStyle="1" w:styleId="60">
    <w:name w:val="批注主题 字符"/>
    <w:basedOn w:val="59"/>
    <w:link w:val="21"/>
    <w:autoRedefine/>
    <w:semiHidden/>
    <w:qFormat/>
    <w:uiPriority w:val="0"/>
    <w:rPr>
      <w:rFonts w:ascii="Times New Roman" w:hAnsi="Times New Roman" w:eastAsia="宋体" w:cs="Times New Roman"/>
      <w:b/>
      <w:bCs/>
      <w:szCs w:val="21"/>
    </w:rPr>
  </w:style>
  <w:style w:type="character" w:customStyle="1" w:styleId="61">
    <w:name w:val="标题 1 字符"/>
    <w:basedOn w:val="30"/>
    <w:link w:val="2"/>
    <w:autoRedefine/>
    <w:qFormat/>
    <w:uiPriority w:val="99"/>
    <w:rPr>
      <w:rFonts w:ascii="Times New Roman" w:hAnsi="Times New Roman" w:eastAsia="黑体" w:cs="Times New Roman"/>
      <w:b/>
      <w:bCs/>
      <w:color w:val="000000"/>
      <w:kern w:val="44"/>
      <w:sz w:val="30"/>
      <w:szCs w:val="30"/>
    </w:rPr>
  </w:style>
  <w:style w:type="character" w:customStyle="1" w:styleId="62">
    <w:name w:val="标题 3 字符"/>
    <w:basedOn w:val="30"/>
    <w:link w:val="5"/>
    <w:autoRedefine/>
    <w:semiHidden/>
    <w:qFormat/>
    <w:uiPriority w:val="0"/>
    <w:rPr>
      <w:rFonts w:ascii="Times New Roman" w:hAnsi="Times New Roman" w:eastAsia="宋体" w:cs="Times New Roman"/>
      <w:b/>
      <w:bCs/>
      <w:sz w:val="32"/>
      <w:szCs w:val="32"/>
    </w:rPr>
  </w:style>
  <w:style w:type="character" w:customStyle="1" w:styleId="63">
    <w:name w:val="标题 4 字符"/>
    <w:basedOn w:val="30"/>
    <w:link w:val="6"/>
    <w:autoRedefine/>
    <w:semiHidden/>
    <w:qFormat/>
    <w:uiPriority w:val="0"/>
    <w:rPr>
      <w:rFonts w:asciiTheme="majorHAnsi" w:hAnsiTheme="majorHAnsi" w:eastAsiaTheme="majorEastAsia" w:cstheme="majorBidi"/>
      <w:b/>
      <w:bCs/>
      <w:sz w:val="28"/>
      <w:szCs w:val="28"/>
    </w:rPr>
  </w:style>
  <w:style w:type="character" w:customStyle="1" w:styleId="64">
    <w:name w:val="正文文本 字符"/>
    <w:basedOn w:val="30"/>
    <w:link w:val="9"/>
    <w:autoRedefine/>
    <w:qFormat/>
    <w:uiPriority w:val="0"/>
    <w:rPr>
      <w:rFonts w:ascii="Times New Roman" w:hAnsi="Times New Roman" w:eastAsia="宋体" w:cs="Times New Roman"/>
      <w:kern w:val="0"/>
      <w:sz w:val="18"/>
      <w:szCs w:val="20"/>
    </w:rPr>
  </w:style>
  <w:style w:type="character" w:customStyle="1" w:styleId="65">
    <w:name w:val="正文文本缩进 字符"/>
    <w:basedOn w:val="30"/>
    <w:link w:val="10"/>
    <w:autoRedefine/>
    <w:qFormat/>
    <w:uiPriority w:val="0"/>
    <w:rPr>
      <w:rFonts w:ascii="Times New Roman" w:hAnsi="Times New Roman" w:eastAsia="宋体" w:cs="Times New Roman"/>
      <w:kern w:val="0"/>
      <w:sz w:val="24"/>
      <w:szCs w:val="20"/>
    </w:rPr>
  </w:style>
  <w:style w:type="character" w:customStyle="1" w:styleId="66">
    <w:name w:val="纯文本 字符"/>
    <w:basedOn w:val="30"/>
    <w:link w:val="12"/>
    <w:autoRedefine/>
    <w:qFormat/>
    <w:uiPriority w:val="0"/>
    <w:rPr>
      <w:rFonts w:ascii="宋体" w:hAnsi="Courier New" w:eastAsia="宋体" w:cs="Courier New"/>
      <w:szCs w:val="21"/>
    </w:rPr>
  </w:style>
  <w:style w:type="character" w:customStyle="1" w:styleId="67">
    <w:name w:val="日期 字符"/>
    <w:basedOn w:val="30"/>
    <w:autoRedefine/>
    <w:semiHidden/>
    <w:qFormat/>
    <w:uiPriority w:val="0"/>
    <w:rPr>
      <w:rFonts w:ascii="Times New Roman" w:hAnsi="Times New Roman" w:eastAsia="宋体" w:cs="Times New Roman"/>
      <w:szCs w:val="21"/>
    </w:rPr>
  </w:style>
  <w:style w:type="character" w:customStyle="1" w:styleId="68">
    <w:name w:val="批注框文本 字符"/>
    <w:basedOn w:val="30"/>
    <w:link w:val="15"/>
    <w:autoRedefine/>
    <w:qFormat/>
    <w:uiPriority w:val="0"/>
    <w:rPr>
      <w:rFonts w:ascii="Times New Roman" w:hAnsi="Times New Roman" w:eastAsia="宋体" w:cs="Times New Roman"/>
      <w:kern w:val="0"/>
      <w:sz w:val="18"/>
      <w:szCs w:val="20"/>
    </w:rPr>
  </w:style>
  <w:style w:type="character" w:customStyle="1" w:styleId="69">
    <w:name w:val="正文文本首行缩进 字符"/>
    <w:basedOn w:val="64"/>
    <w:link w:val="22"/>
    <w:autoRedefine/>
    <w:qFormat/>
    <w:uiPriority w:val="0"/>
    <w:rPr>
      <w:rFonts w:ascii="Times New Roman" w:hAnsi="Times New Roman" w:eastAsia="宋体" w:cs="Times New Roman"/>
      <w:kern w:val="0"/>
      <w:sz w:val="18"/>
      <w:szCs w:val="24"/>
    </w:rPr>
  </w:style>
  <w:style w:type="character" w:customStyle="1" w:styleId="70">
    <w:name w:val="正文文本首行缩进 2 字符"/>
    <w:basedOn w:val="65"/>
    <w:link w:val="24"/>
    <w:autoRedefine/>
    <w:qFormat/>
    <w:uiPriority w:val="0"/>
    <w:rPr>
      <w:rFonts w:ascii="Times New Roman" w:hAnsi="Times New Roman" w:eastAsia="宋体" w:cs="Times New Roman"/>
      <w:kern w:val="0"/>
      <w:sz w:val="24"/>
      <w:szCs w:val="24"/>
    </w:rPr>
  </w:style>
  <w:style w:type="character" w:customStyle="1" w:styleId="71">
    <w:name w:val="页脚 字符1"/>
    <w:autoRedefine/>
    <w:qFormat/>
    <w:uiPriority w:val="99"/>
    <w:rPr>
      <w:sz w:val="18"/>
    </w:rPr>
  </w:style>
  <w:style w:type="character" w:customStyle="1" w:styleId="72">
    <w:name w:val="日期 字符1"/>
    <w:link w:val="13"/>
    <w:autoRedefine/>
    <w:qFormat/>
    <w:uiPriority w:val="0"/>
    <w:rPr>
      <w:rFonts w:ascii="Times New Roman" w:hAnsi="Times New Roman" w:eastAsia="宋体" w:cs="Times New Roman"/>
      <w:kern w:val="0"/>
      <w:sz w:val="24"/>
      <w:szCs w:val="20"/>
    </w:rPr>
  </w:style>
  <w:style w:type="character" w:customStyle="1" w:styleId="73">
    <w:name w:val="正文文本 字符1"/>
    <w:autoRedefine/>
    <w:semiHidden/>
    <w:qFormat/>
    <w:uiPriority w:val="0"/>
    <w:rPr>
      <w:rFonts w:ascii="Times New Roman" w:hAnsi="Times New Roman" w:eastAsia="宋体"/>
      <w:sz w:val="24"/>
    </w:rPr>
  </w:style>
  <w:style w:type="character" w:customStyle="1" w:styleId="74">
    <w:name w:val="批注文字 字符1"/>
    <w:autoRedefine/>
    <w:semiHidden/>
    <w:qFormat/>
    <w:uiPriority w:val="0"/>
    <w:rPr>
      <w:rFonts w:ascii="Times New Roman" w:hAnsi="Times New Roman" w:eastAsia="宋体"/>
      <w:sz w:val="24"/>
    </w:rPr>
  </w:style>
  <w:style w:type="paragraph" w:customStyle="1" w:styleId="7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7">
    <w:name w:val="1 Char"/>
    <w:basedOn w:val="1"/>
    <w:autoRedefine/>
    <w:qFormat/>
    <w:uiPriority w:val="0"/>
    <w:pPr>
      <w:spacing w:line="360" w:lineRule="auto"/>
      <w:ind w:firstLine="1446" w:firstLineChars="200"/>
    </w:pPr>
    <w:rPr>
      <w:sz w:val="24"/>
      <w:szCs w:val="22"/>
    </w:rPr>
  </w:style>
  <w:style w:type="paragraph" w:customStyle="1" w:styleId="78">
    <w:name w:val="标准正文"/>
    <w:basedOn w:val="1"/>
    <w:autoRedefine/>
    <w:qFormat/>
    <w:uiPriority w:val="0"/>
    <w:pPr>
      <w:spacing w:line="480" w:lineRule="auto"/>
      <w:ind w:firstLine="560" w:firstLineChars="200"/>
    </w:pPr>
    <w:rPr>
      <w:sz w:val="28"/>
      <w:szCs w:val="20"/>
    </w:rPr>
  </w:style>
  <w:style w:type="paragraph" w:customStyle="1" w:styleId="79">
    <w:name w:val="表格内容样式"/>
    <w:next w:val="1"/>
    <w:autoRedefine/>
    <w:qFormat/>
    <w:uiPriority w:val="0"/>
    <w:pPr>
      <w:jc w:val="center"/>
    </w:pPr>
    <w:rPr>
      <w:rFonts w:ascii="Times New Roman" w:hAnsi="Times New Roman" w:eastAsia="宋体" w:cs="Times New Roman"/>
      <w:sz w:val="21"/>
      <w:szCs w:val="22"/>
      <w:lang w:val="en-US" w:eastAsia="zh-CN" w:bidi="ar-SA"/>
    </w:rPr>
  </w:style>
  <w:style w:type="paragraph" w:customStyle="1" w:styleId="80">
    <w:name w:val="表文字"/>
    <w:basedOn w:val="1"/>
    <w:autoRedefine/>
    <w:qFormat/>
    <w:uiPriority w:val="0"/>
    <w:pPr>
      <w:overflowPunct w:val="0"/>
      <w:autoSpaceDE w:val="0"/>
      <w:autoSpaceDN w:val="0"/>
      <w:adjustRightInd w:val="0"/>
      <w:jc w:val="center"/>
      <w:textAlignment w:val="baseline"/>
    </w:pPr>
    <w:rPr>
      <w:kern w:val="0"/>
      <w:szCs w:val="20"/>
    </w:rPr>
  </w:style>
  <w:style w:type="character" w:customStyle="1" w:styleId="81">
    <w:name w:val="正文内容 Char"/>
    <w:link w:val="82"/>
    <w:autoRedefine/>
    <w:qFormat/>
    <w:uiPriority w:val="0"/>
    <w:rPr>
      <w:sz w:val="24"/>
      <w:szCs w:val="24"/>
    </w:rPr>
  </w:style>
  <w:style w:type="paragraph" w:customStyle="1" w:styleId="82">
    <w:name w:val="正文内容"/>
    <w:link w:val="81"/>
    <w:autoRedefine/>
    <w:qFormat/>
    <w:uiPriority w:val="0"/>
    <w:pPr>
      <w:widowControl w:val="0"/>
      <w:snapToGrid w:val="0"/>
      <w:spacing w:before="60" w:after="60" w:line="480" w:lineRule="exact"/>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83">
    <w:name w:val="表格内容5号 Char"/>
    <w:basedOn w:val="30"/>
    <w:link w:val="84"/>
    <w:autoRedefine/>
    <w:qFormat/>
    <w:uiPriority w:val="0"/>
    <w:rPr>
      <w:szCs w:val="24"/>
    </w:rPr>
  </w:style>
  <w:style w:type="paragraph" w:customStyle="1" w:styleId="84">
    <w:name w:val="表格内容5号"/>
    <w:link w:val="83"/>
    <w:autoRedefine/>
    <w:qFormat/>
    <w:uiPriority w:val="0"/>
    <w:pPr>
      <w:snapToGrid w:val="0"/>
      <w:spacing w:line="240" w:lineRule="atLeast"/>
      <w:jc w:val="center"/>
    </w:pPr>
    <w:rPr>
      <w:rFonts w:asciiTheme="minorHAnsi" w:hAnsiTheme="minorHAnsi" w:eastAsiaTheme="minorEastAsia" w:cstheme="minorBidi"/>
      <w:kern w:val="2"/>
      <w:sz w:val="21"/>
      <w:szCs w:val="24"/>
      <w:lang w:val="en-US" w:eastAsia="zh-CN" w:bidi="ar-SA"/>
    </w:rPr>
  </w:style>
  <w:style w:type="paragraph" w:customStyle="1" w:styleId="85">
    <w:name w:val="zwb_无格式"/>
    <w:basedOn w:val="1"/>
    <w:autoRedefine/>
    <w:qFormat/>
    <w:uiPriority w:val="0"/>
    <w:pPr>
      <w:widowControl/>
    </w:pPr>
    <w:rPr>
      <w:szCs w:val="24"/>
    </w:rPr>
  </w:style>
  <w:style w:type="paragraph" w:customStyle="1" w:styleId="86">
    <w:name w:val="表格ST"/>
    <w:autoRedefine/>
    <w:qFormat/>
    <w:uiPriority w:val="0"/>
    <w:pPr>
      <w:spacing w:line="300" w:lineRule="exact"/>
      <w:jc w:val="center"/>
    </w:pPr>
    <w:rPr>
      <w:rFonts w:ascii="Times New Roman" w:hAnsi="Times New Roman" w:eastAsia="宋体" w:cs="Times New Roman"/>
      <w:bCs/>
      <w:kern w:val="2"/>
      <w:sz w:val="24"/>
      <w:szCs w:val="24"/>
      <w:lang w:val="en-US" w:eastAsia="zh-CN" w:bidi="ar-SA"/>
    </w:rPr>
  </w:style>
  <w:style w:type="paragraph" w:customStyle="1" w:styleId="87">
    <w:name w:val="表格表头"/>
    <w:basedOn w:val="1"/>
    <w:autoRedefine/>
    <w:qFormat/>
    <w:uiPriority w:val="0"/>
    <w:pPr>
      <w:spacing w:line="360" w:lineRule="auto"/>
      <w:jc w:val="center"/>
    </w:pPr>
    <w:rPr>
      <w:b/>
      <w:szCs w:val="22"/>
    </w:rPr>
  </w:style>
  <w:style w:type="character" w:customStyle="1" w:styleId="88">
    <w:name w:val="表格内容 Char"/>
    <w:link w:val="89"/>
    <w:autoRedefine/>
    <w:qFormat/>
    <w:uiPriority w:val="0"/>
    <w:rPr>
      <w:rFonts w:eastAsia="仿宋_GB2312"/>
      <w:sz w:val="24"/>
      <w:szCs w:val="24"/>
    </w:rPr>
  </w:style>
  <w:style w:type="paragraph" w:customStyle="1" w:styleId="89">
    <w:name w:val="表格内容"/>
    <w:link w:val="88"/>
    <w:autoRedefine/>
    <w:qFormat/>
    <w:uiPriority w:val="0"/>
    <w:pPr>
      <w:widowControl w:val="0"/>
      <w:snapToGrid w:val="0"/>
      <w:spacing w:line="240" w:lineRule="atLeast"/>
      <w:jc w:val="center"/>
    </w:pPr>
    <w:rPr>
      <w:rFonts w:eastAsia="仿宋_GB2312" w:asciiTheme="minorHAnsi" w:hAnsiTheme="minorHAnsi" w:cstheme="minorBidi"/>
      <w:kern w:val="2"/>
      <w:sz w:val="24"/>
      <w:szCs w:val="24"/>
      <w:lang w:val="en-US" w:eastAsia="zh-CN" w:bidi="ar-SA"/>
    </w:rPr>
  </w:style>
  <w:style w:type="character" w:customStyle="1" w:styleId="90">
    <w:name w:val="标题HT Char Char"/>
    <w:link w:val="91"/>
    <w:autoRedefine/>
    <w:qFormat/>
    <w:uiPriority w:val="0"/>
    <w:rPr>
      <w:rFonts w:ascii="Arial" w:hAnsi="Arial" w:eastAsia="黑体"/>
      <w:sz w:val="24"/>
      <w:szCs w:val="24"/>
    </w:rPr>
  </w:style>
  <w:style w:type="paragraph" w:customStyle="1" w:styleId="91">
    <w:name w:val="标题HT"/>
    <w:link w:val="90"/>
    <w:autoRedefine/>
    <w:qFormat/>
    <w:uiPriority w:val="0"/>
    <w:pPr>
      <w:snapToGrid w:val="0"/>
      <w:spacing w:line="480" w:lineRule="exact"/>
      <w:ind w:firstLine="482"/>
    </w:pPr>
    <w:rPr>
      <w:rFonts w:ascii="Arial" w:hAnsi="Arial" w:eastAsia="黑体" w:cstheme="minorBidi"/>
      <w:kern w:val="2"/>
      <w:sz w:val="24"/>
      <w:szCs w:val="24"/>
      <w:lang w:val="en-US" w:eastAsia="zh-CN" w:bidi="ar-SA"/>
    </w:rPr>
  </w:style>
  <w:style w:type="paragraph" w:customStyle="1" w:styleId="92">
    <w:name w:val="表格文字L16"/>
    <w:basedOn w:val="1"/>
    <w:autoRedefine/>
    <w:qFormat/>
    <w:uiPriority w:val="0"/>
    <w:pPr>
      <w:adjustRightInd w:val="0"/>
      <w:snapToGrid w:val="0"/>
      <w:spacing w:line="320" w:lineRule="exact"/>
      <w:ind w:firstLine="200" w:firstLineChars="200"/>
      <w:jc w:val="center"/>
    </w:pPr>
    <w:rPr>
      <w:color w:val="000000"/>
      <w:kern w:val="32"/>
      <w:sz w:val="24"/>
      <w:szCs w:val="20"/>
    </w:rPr>
  </w:style>
  <w:style w:type="character" w:customStyle="1" w:styleId="93">
    <w:name w:val="李表头常用格式 字符"/>
    <w:link w:val="94"/>
    <w:autoRedefine/>
    <w:qFormat/>
    <w:uiPriority w:val="0"/>
    <w:rPr>
      <w:rFonts w:ascii="黑体" w:hAnsi="宋体" w:eastAsia="黑体" w:cs="黑体"/>
      <w:color w:val="000000"/>
      <w:szCs w:val="21"/>
    </w:rPr>
  </w:style>
  <w:style w:type="paragraph" w:customStyle="1" w:styleId="94">
    <w:name w:val="李表头常用格式"/>
    <w:basedOn w:val="11"/>
    <w:link w:val="93"/>
    <w:autoRedefine/>
    <w:qFormat/>
    <w:uiPriority w:val="0"/>
    <w:pPr>
      <w:snapToGrid w:val="0"/>
      <w:spacing w:after="0" w:line="320" w:lineRule="exact"/>
      <w:ind w:left="0" w:leftChars="0" w:right="0" w:rightChars="-70" w:hanging="420" w:hangingChars="200"/>
      <w:jc w:val="center"/>
    </w:pPr>
    <w:rPr>
      <w:rFonts w:ascii="黑体" w:hAnsi="宋体" w:eastAsia="黑体" w:cs="黑体"/>
      <w:color w:val="000000"/>
      <w:szCs w:val="21"/>
    </w:rPr>
  </w:style>
  <w:style w:type="paragraph" w:customStyle="1" w:styleId="95">
    <w:name w:val="表中"/>
    <w:basedOn w:val="1"/>
    <w:autoRedefine/>
    <w:qFormat/>
    <w:uiPriority w:val="0"/>
    <w:pPr>
      <w:spacing w:line="360" w:lineRule="exact"/>
      <w:jc w:val="center"/>
    </w:pPr>
    <w:rPr>
      <w:rFonts w:ascii="Calibri" w:hAnsi="Calibri"/>
    </w:rPr>
  </w:style>
  <w:style w:type="character" w:customStyle="1" w:styleId="96">
    <w:name w:val="图表标题 Char"/>
    <w:link w:val="97"/>
    <w:autoRedefine/>
    <w:qFormat/>
    <w:uiPriority w:val="0"/>
    <w:rPr>
      <w:sz w:val="24"/>
      <w:szCs w:val="24"/>
    </w:rPr>
  </w:style>
  <w:style w:type="paragraph" w:customStyle="1" w:styleId="97">
    <w:name w:val="图表标题"/>
    <w:link w:val="96"/>
    <w:autoRedefine/>
    <w:qFormat/>
    <w:uiPriority w:val="0"/>
    <w:pPr>
      <w:snapToGrid w:val="0"/>
      <w:spacing w:line="360" w:lineRule="exact"/>
      <w:jc w:val="center"/>
    </w:pPr>
    <w:rPr>
      <w:rFonts w:asciiTheme="minorHAnsi" w:hAnsiTheme="minorHAnsi" w:eastAsiaTheme="minorEastAsia" w:cstheme="minorBidi"/>
      <w:kern w:val="2"/>
      <w:sz w:val="24"/>
      <w:szCs w:val="24"/>
      <w:lang w:val="en-US" w:eastAsia="zh-CN" w:bidi="ar-SA"/>
    </w:rPr>
  </w:style>
  <w:style w:type="character" w:customStyle="1" w:styleId="98">
    <w:name w:val="5号表格 Char"/>
    <w:link w:val="99"/>
    <w:autoRedefine/>
    <w:qFormat/>
    <w:uiPriority w:val="0"/>
    <w:rPr>
      <w:bCs/>
      <w:szCs w:val="21"/>
    </w:rPr>
  </w:style>
  <w:style w:type="paragraph" w:customStyle="1" w:styleId="99">
    <w:name w:val="5号表格"/>
    <w:link w:val="98"/>
    <w:autoRedefine/>
    <w:qFormat/>
    <w:uiPriority w:val="0"/>
    <w:pPr>
      <w:snapToGrid w:val="0"/>
      <w:jc w:val="center"/>
    </w:pPr>
    <w:rPr>
      <w:rFonts w:asciiTheme="minorHAnsi" w:hAnsiTheme="minorHAnsi" w:eastAsiaTheme="minorEastAsia" w:cstheme="minorBidi"/>
      <w:bCs/>
      <w:kern w:val="2"/>
      <w:sz w:val="21"/>
      <w:szCs w:val="21"/>
      <w:lang w:val="en-US" w:eastAsia="zh-CN" w:bidi="ar-SA"/>
    </w:rPr>
  </w:style>
  <w:style w:type="paragraph" w:customStyle="1" w:styleId="100">
    <w:name w:val="样式 标题 4 + 段前: 5 磅 段后: 3 磅 行距: 固定值 26 磅"/>
    <w:basedOn w:val="6"/>
    <w:autoRedefine/>
    <w:qFormat/>
    <w:uiPriority w:val="0"/>
    <w:pPr>
      <w:numPr>
        <w:ilvl w:val="0"/>
        <w:numId w:val="1"/>
      </w:numPr>
      <w:tabs>
        <w:tab w:val="left" w:pos="0"/>
      </w:tabs>
      <w:spacing w:before="0" w:after="0" w:line="500" w:lineRule="exact"/>
    </w:pPr>
    <w:rPr>
      <w:rFonts w:ascii="楷体_GB2312" w:hAnsi="宋体" w:eastAsia="楷体_GB2312" w:cs="Times New Roman"/>
      <w:bCs w:val="0"/>
      <w:color w:val="000000"/>
      <w:sz w:val="21"/>
      <w:szCs w:val="20"/>
    </w:rPr>
  </w:style>
  <w:style w:type="paragraph" w:styleId="101">
    <w:name w:val="List Paragraph"/>
    <w:basedOn w:val="1"/>
    <w:autoRedefine/>
    <w:qFormat/>
    <w:uiPriority w:val="34"/>
    <w:pPr>
      <w:ind w:firstLine="420" w:firstLineChars="200"/>
    </w:pPr>
    <w:rPr>
      <w:rFonts w:ascii="Calibri" w:hAnsi="Calibri"/>
      <w:szCs w:val="20"/>
    </w:rPr>
  </w:style>
  <w:style w:type="character" w:customStyle="1" w:styleId="102">
    <w:name w:val="未处理的提及1"/>
    <w:basedOn w:val="30"/>
    <w:autoRedefine/>
    <w:semiHidden/>
    <w:unhideWhenUsed/>
    <w:qFormat/>
    <w:uiPriority w:val="99"/>
    <w:rPr>
      <w:color w:val="605E5C"/>
      <w:shd w:val="clear" w:color="auto" w:fill="E1DFDD"/>
    </w:rPr>
  </w:style>
  <w:style w:type="character" w:customStyle="1" w:styleId="103">
    <w:name w:val="【表中文字】 Char"/>
    <w:link w:val="104"/>
    <w:autoRedefine/>
    <w:qFormat/>
    <w:uiPriority w:val="0"/>
    <w:rPr>
      <w:lang w:val="zh-CN"/>
    </w:rPr>
  </w:style>
  <w:style w:type="paragraph" w:customStyle="1" w:styleId="104">
    <w:name w:val="【表中文字】"/>
    <w:basedOn w:val="1"/>
    <w:link w:val="103"/>
    <w:autoRedefine/>
    <w:qFormat/>
    <w:uiPriority w:val="0"/>
    <w:pPr>
      <w:widowControl/>
      <w:jc w:val="center"/>
    </w:pPr>
    <w:rPr>
      <w:rFonts w:asciiTheme="minorHAnsi" w:hAnsiTheme="minorHAnsi" w:eastAsiaTheme="minorEastAsia" w:cstheme="minorBidi"/>
      <w:szCs w:val="22"/>
      <w:lang w:val="zh-CN"/>
    </w:rPr>
  </w:style>
  <w:style w:type="paragraph" w:customStyle="1" w:styleId="105">
    <w:name w:val="正文1"/>
    <w:basedOn w:val="1"/>
    <w:link w:val="106"/>
    <w:autoRedefine/>
    <w:qFormat/>
    <w:uiPriority w:val="0"/>
    <w:pPr>
      <w:adjustRightInd w:val="0"/>
      <w:spacing w:line="360" w:lineRule="auto"/>
      <w:ind w:firstLine="567"/>
      <w:jc w:val="center"/>
      <w:textAlignment w:val="baseline"/>
    </w:pPr>
    <w:rPr>
      <w:kern w:val="0"/>
      <w:sz w:val="24"/>
    </w:rPr>
  </w:style>
  <w:style w:type="character" w:customStyle="1" w:styleId="106">
    <w:name w:val="正文1 Char Char"/>
    <w:link w:val="105"/>
    <w:autoRedefine/>
    <w:qFormat/>
    <w:uiPriority w:val="0"/>
    <w:rPr>
      <w:rFonts w:ascii="Times New Roman" w:hAnsi="Times New Roman" w:eastAsia="宋体" w:cs="Times New Roman"/>
      <w:kern w:val="0"/>
      <w:sz w:val="24"/>
      <w:szCs w:val="21"/>
    </w:rPr>
  </w:style>
  <w:style w:type="paragraph" w:customStyle="1" w:styleId="107">
    <w:name w:val="正文01"/>
    <w:basedOn w:val="1"/>
    <w:autoRedefine/>
    <w:qFormat/>
    <w:uiPriority w:val="0"/>
    <w:pPr>
      <w:spacing w:before="60" w:line="460" w:lineRule="exact"/>
      <w:ind w:firstLine="200" w:firstLineChars="200"/>
    </w:pPr>
    <w:rPr>
      <w:rFonts w:ascii="Arial" w:hAnsi="Arial"/>
      <w:kern w:val="0"/>
      <w:sz w:val="24"/>
      <w:szCs w:val="24"/>
    </w:rPr>
  </w:style>
  <w:style w:type="character" w:customStyle="1" w:styleId="108">
    <w:name w:val="未处理的提及2"/>
    <w:basedOn w:val="30"/>
    <w:autoRedefine/>
    <w:semiHidden/>
    <w:unhideWhenUsed/>
    <w:qFormat/>
    <w:uiPriority w:val="99"/>
    <w:rPr>
      <w:color w:val="605E5C"/>
      <w:shd w:val="clear" w:color="auto" w:fill="E1DFDD"/>
    </w:rPr>
  </w:style>
  <w:style w:type="paragraph" w:customStyle="1" w:styleId="109">
    <w:name w:val="样式 5号表格 + (符号) 宋体 行距: 最小值 0 磅"/>
    <w:basedOn w:val="1"/>
    <w:autoRedefine/>
    <w:semiHidden/>
    <w:qFormat/>
    <w:uiPriority w:val="0"/>
    <w:pPr>
      <w:widowControl/>
      <w:snapToGrid w:val="0"/>
      <w:spacing w:line="0" w:lineRule="atLeast"/>
      <w:jc w:val="center"/>
    </w:pPr>
    <w:rPr>
      <w:rFonts w:hAnsi="宋体" w:cs="宋体"/>
      <w:szCs w:val="20"/>
    </w:rPr>
  </w:style>
  <w:style w:type="paragraph" w:customStyle="1" w:styleId="110">
    <w:name w:val="表格样式1"/>
    <w:basedOn w:val="1"/>
    <w:link w:val="111"/>
    <w:autoRedefine/>
    <w:qFormat/>
    <w:uiPriority w:val="0"/>
    <w:pPr>
      <w:adjustRightInd w:val="0"/>
      <w:snapToGrid w:val="0"/>
      <w:jc w:val="center"/>
    </w:pPr>
    <w:rPr>
      <w:rFonts w:hint="eastAsia" w:ascii="等线" w:hAnsi="等线" w:eastAsia="等线"/>
    </w:rPr>
  </w:style>
  <w:style w:type="character" w:customStyle="1" w:styleId="111">
    <w:name w:val="表格样式1 Char"/>
    <w:basedOn w:val="30"/>
    <w:link w:val="110"/>
    <w:autoRedefine/>
    <w:qFormat/>
    <w:uiPriority w:val="0"/>
  </w:style>
  <w:style w:type="table" w:customStyle="1" w:styleId="112">
    <w:name w:val="网格型1"/>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113">
    <w:name w:val="表格样式（新） 字符"/>
    <w:basedOn w:val="30"/>
    <w:link w:val="114"/>
    <w:autoRedefine/>
    <w:qFormat/>
    <w:uiPriority w:val="0"/>
    <w:rPr>
      <w:rFonts w:hint="default" w:ascii="Times New Roman" w:hAnsi="Times New Roman" w:eastAsia="宋体" w:cs="Times New Roman"/>
      <w:kern w:val="0"/>
      <w:sz w:val="24"/>
      <w:szCs w:val="20"/>
    </w:rPr>
  </w:style>
  <w:style w:type="paragraph" w:customStyle="1" w:styleId="114">
    <w:name w:val="表格样式（新）"/>
    <w:basedOn w:val="1"/>
    <w:link w:val="113"/>
    <w:autoRedefine/>
    <w:qFormat/>
    <w:uiPriority w:val="0"/>
    <w:pPr>
      <w:adjustRightInd w:val="0"/>
      <w:snapToGrid w:val="0"/>
      <w:jc w:val="center"/>
    </w:pPr>
    <w:rPr>
      <w:kern w:val="0"/>
      <w:sz w:val="24"/>
      <w:szCs w:val="20"/>
    </w:rPr>
  </w:style>
  <w:style w:type="paragraph" w:customStyle="1" w:styleId="115">
    <w:name w:val="0正文"/>
    <w:basedOn w:val="10"/>
    <w:autoRedefine/>
    <w:qFormat/>
    <w:uiPriority w:val="0"/>
    <w:pPr>
      <w:framePr w:hSpace="180" w:wrap="notBeside" w:vAnchor="margin" w:hAnchor="margin" w:y="327"/>
      <w:spacing w:after="0" w:line="300" w:lineRule="auto"/>
      <w:ind w:left="0" w:leftChars="0" w:firstLine="200" w:firstLineChars="200"/>
    </w:pPr>
    <w:rPr>
      <w:rFonts w:cs="宋体"/>
      <w:kern w:val="2"/>
      <w:szCs w:val="24"/>
    </w:rPr>
  </w:style>
  <w:style w:type="paragraph" w:customStyle="1" w:styleId="116">
    <w:name w:val="样式1"/>
    <w:basedOn w:val="18"/>
    <w:next w:val="11"/>
    <w:autoRedefine/>
    <w:qFormat/>
    <w:uiPriority w:val="0"/>
    <w:pPr>
      <w:tabs>
        <w:tab w:val="right" w:leader="dot" w:pos="8891"/>
      </w:tabs>
      <w:spacing w:line="360" w:lineRule="auto"/>
    </w:pPr>
    <w:rPr>
      <w:sz w:val="28"/>
    </w:rPr>
  </w:style>
  <w:style w:type="paragraph" w:customStyle="1" w:styleId="117">
    <w:name w:val="正文首行缩进1"/>
    <w:basedOn w:val="1"/>
    <w:autoRedefine/>
    <w:qFormat/>
    <w:uiPriority w:val="0"/>
    <w:pPr>
      <w:adjustRightInd w:val="0"/>
      <w:snapToGrid w:val="0"/>
      <w:spacing w:line="300" w:lineRule="exact"/>
      <w:jc w:val="center"/>
    </w:pPr>
    <w:rPr>
      <w:color w:val="000000"/>
    </w:rPr>
  </w:style>
  <w:style w:type="paragraph" w:customStyle="1" w:styleId="118">
    <w:name w:val="环评正文"/>
    <w:basedOn w:val="1"/>
    <w:autoRedefine/>
    <w:qFormat/>
    <w:uiPriority w:val="0"/>
    <w:pPr>
      <w:spacing w:line="480" w:lineRule="exact"/>
      <w:ind w:firstLine="520" w:firstLineChars="200"/>
    </w:pPr>
    <w:rPr>
      <w:kern w:val="0"/>
      <w:sz w:val="24"/>
      <w:szCs w:val="26"/>
    </w:rPr>
  </w:style>
  <w:style w:type="paragraph" w:customStyle="1" w:styleId="119">
    <w:name w:val="表内容"/>
    <w:basedOn w:val="12"/>
    <w:autoRedefine/>
    <w:qFormat/>
    <w:uiPriority w:val="0"/>
    <w:pPr>
      <w:jc w:val="center"/>
    </w:pPr>
    <w:rPr>
      <w:rFonts w:ascii="Times New Roman" w:hAnsi="Times New Roman" w:cs="Times New Roman"/>
    </w:rPr>
  </w:style>
  <w:style w:type="table" w:customStyle="1" w:styleId="120">
    <w:name w:val="网格型3"/>
    <w:basedOn w:val="2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1">
    <w:name w:val="WPSOffice手动目录 1"/>
    <w:autoRedefine/>
    <w:qFormat/>
    <w:uiPriority w:val="0"/>
    <w:pPr>
      <w:ind w:leftChars="0"/>
    </w:pPr>
    <w:rPr>
      <w:rFonts w:ascii="Times New Roman" w:hAnsi="Times New Roman" w:eastAsia="宋体" w:cs="Times New Roman"/>
      <w:sz w:val="20"/>
      <w:szCs w:val="20"/>
    </w:rPr>
  </w:style>
  <w:style w:type="paragraph" w:customStyle="1" w:styleId="122">
    <w:name w:val="表格标题1"/>
    <w:basedOn w:val="1"/>
    <w:autoRedefine/>
    <w:qFormat/>
    <w:uiPriority w:val="0"/>
    <w:pPr>
      <w:adjustRightInd w:val="0"/>
      <w:snapToGrid w:val="0"/>
      <w:spacing w:line="440" w:lineRule="exact"/>
      <w:jc w:val="center"/>
    </w:pPr>
    <w:rPr>
      <w:rFonts w:ascii="宋体" w:hAnsi="宋体"/>
      <w:b/>
      <w:szCs w:val="21"/>
    </w:rPr>
  </w:style>
  <w:style w:type="paragraph" w:customStyle="1" w:styleId="123">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
    <w:name w:val="_Style 86"/>
    <w:basedOn w:val="9"/>
    <w:next w:val="22"/>
    <w:autoRedefine/>
    <w:qFormat/>
    <w:uiPriority w:val="0"/>
    <w:pPr>
      <w:widowControl w:val="0"/>
      <w:snapToGrid/>
      <w:spacing w:before="0" w:after="120" w:line="240" w:lineRule="auto"/>
      <w:ind w:right="0" w:firstLine="420" w:firstLineChars="100"/>
    </w:pPr>
    <w:rPr>
      <w:rFonts w:ascii="Calibri" w:hAnsi="Calibri"/>
      <w:kern w:val="2"/>
      <w:sz w:val="21"/>
      <w:szCs w:val="24"/>
    </w:rPr>
  </w:style>
  <w:style w:type="paragraph" w:customStyle="1" w:styleId="125">
    <w:name w:val="【正文】"/>
    <w:basedOn w:val="1"/>
    <w:autoRedefine/>
    <w:qFormat/>
    <w:uiPriority w:val="0"/>
    <w:pPr>
      <w:spacing w:line="440" w:lineRule="exact"/>
      <w:ind w:firstLine="544" w:firstLineChars="200"/>
    </w:pPr>
    <w:rPr>
      <w:sz w:val="24"/>
      <w:szCs w:val="20"/>
    </w:rPr>
  </w:style>
  <w:style w:type="paragraph" w:customStyle="1" w:styleId="126">
    <w:name w:val="6表内文字 居中"/>
    <w:basedOn w:val="1"/>
    <w:autoRedefine/>
    <w:qFormat/>
    <w:uiPriority w:val="0"/>
    <w:pPr>
      <w:adjustRightInd w:val="0"/>
      <w:spacing w:line="400" w:lineRule="exact"/>
      <w:jc w:val="center"/>
      <w:textAlignment w:val="baseline"/>
    </w:pPr>
    <w:rPr>
      <w:rFonts w:ascii="宋体"/>
      <w:snapToGrid w:val="0"/>
      <w:kern w:val="0"/>
    </w:rPr>
  </w:style>
  <w:style w:type="paragraph" w:customStyle="1" w:styleId="127">
    <w:name w:val="报告正文"/>
    <w:basedOn w:val="1"/>
    <w:autoRedefine/>
    <w:qFormat/>
    <w:uiPriority w:val="0"/>
    <w:pPr>
      <w:autoSpaceDE w:val="0"/>
      <w:autoSpaceDN w:val="0"/>
      <w:adjustRightInd w:val="0"/>
      <w:spacing w:line="560" w:lineRule="atLeast"/>
      <w:ind w:firstLine="200" w:firstLineChars="200"/>
      <w:textAlignment w:val="baseline"/>
    </w:pPr>
    <w:rPr>
      <w:rFonts w:ascii="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file:///F:\&#29615;&#35780;&#25253;&#21578;\Administrator\AppData\Roaming\Tencent\Users\1049960459\TIM\WinTemp\RichOle\%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5b2OM$Q~9VA%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3U0OK~8X)9(6.png" TargetMode="External"/><Relationship Id="rId33" Type="http://schemas.openxmlformats.org/officeDocument/2006/relationships/image" Target="media/image18.png"/><Relationship Id="rId32" Type="http://schemas.openxmlformats.org/officeDocument/2006/relationships/image" Target="http://www.biaozhi.net/enews/UploadFiles/smallImg/783.gif" TargetMode="External"/><Relationship Id="rId31" Type="http://schemas.openxmlformats.org/officeDocument/2006/relationships/image" Target="media/image17.png"/><Relationship Id="rId30" Type="http://schemas.openxmlformats.org/officeDocument/2006/relationships/image" Target="http://www.biaozhi.net/enews/UploadFiles/smallImg/785.gif" TargetMode="External"/><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http://www.biaozhi.net/enews/UploadFiles/smallImg/781.gif" TargetMode="External"/><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oleObject" Target="embeddings/oleObject4.bin"/><Relationship Id="rId14" Type="http://schemas.openxmlformats.org/officeDocument/2006/relationships/oleObject" Target="embeddings/oleObject3.bin"/><Relationship Id="rId13" Type="http://schemas.openxmlformats.org/officeDocument/2006/relationships/oleObject" Target="embeddings/oleObject2.bin"/><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tx1"/>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lnDef>
      <a:spPr>
        <a:ln w="6350">
          <a:solidFill>
            <a:srgbClr val="FFFF00"/>
          </a:solidFill>
          <a:headEnd type="arrow"/>
          <a:tailEnd type="arrow"/>
        </a:ln>
      </a:spPr>
      <a:bodyPr/>
      <a:lstStyle/>
      <a:style>
        <a:lnRef idx="1">
          <a:schemeClr val="accent1"/>
        </a:lnRef>
        <a:fillRef idx="0">
          <a:schemeClr val="accent1"/>
        </a:fillRef>
        <a:effectRef idx="0">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0C20C5-4C28-48C3-AB9C-67C92811E37E}">
  <ds:schemaRefs/>
</ds:datastoreItem>
</file>

<file path=docProps/app.xml><?xml version="1.0" encoding="utf-8"?>
<Properties xmlns="http://schemas.openxmlformats.org/officeDocument/2006/extended-properties" xmlns:vt="http://schemas.openxmlformats.org/officeDocument/2006/docPropsVTypes">
  <Template>Normal</Template>
  <Pages>135</Pages>
  <Words>5190</Words>
  <Characters>5448</Characters>
  <Lines>819</Lines>
  <Paragraphs>230</Paragraphs>
  <TotalTime>2</TotalTime>
  <ScaleCrop>false</ScaleCrop>
  <LinksUpToDate>false</LinksUpToDate>
  <CharactersWithSpaces>5491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2021-12-26T11:34:00Z</dcterms:created>
  <dc:creator>Z GL</dc:creator>
  <cp:lastModifiedBy>Happiness Delight</cp:lastModifiedBy>
  <cp:lastPrinted>2026-01-06T04:05:00Z</cp:lastPrinted>
  <dcterms:modified xsi:type="dcterms:W3CDTF">2026-02-25T14:24:18Z</dcterms:modified>
  <cp:revision>622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88CFB9250C66444EB5E07DD255B5E715_13</vt:lpwstr>
  </property>
  <property fmtid="{D5CDD505-2E9C-101B-9397-08002B2CF9AE}" pid="4" name="KSOTemplateDocerSaveRecord">
    <vt:lpwstr>eyJoZGlkIjoiNTc3NjA1OWJiM2I2NWExNDk0NjYzMmNiMDZmMTc1ODAiLCJ1c2VySWQiOiI2NTI1NDM5NTMifQ==</vt:lpwstr>
  </property>
</Properties>
</file>