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1BE6C">
      <w:pPr>
        <w:rPr>
          <w:rFonts w:hint="eastAsia" w:ascii="宋体" w:hAnsi="宋体"/>
          <w:color w:val="auto"/>
          <w:sz w:val="36"/>
          <w:szCs w:val="36"/>
        </w:rPr>
      </w:pPr>
    </w:p>
    <w:p w14:paraId="6CB30D93">
      <w:pPr>
        <w:rPr>
          <w:rFonts w:hint="eastAsia" w:ascii="宋体" w:hAnsi="宋体"/>
          <w:color w:val="auto"/>
          <w:sz w:val="36"/>
          <w:szCs w:val="36"/>
        </w:rPr>
      </w:pPr>
      <w:r>
        <w:rPr>
          <w:rFonts w:hint="eastAsia" w:ascii="宋体" w:hAnsi="宋体"/>
          <w:color w:val="auto"/>
          <w:sz w:val="36"/>
          <w:szCs w:val="36"/>
        </w:rPr>
        <w:t xml:space="preserve"> </w:t>
      </w:r>
    </w:p>
    <w:p w14:paraId="2C1CA02A">
      <w:pPr>
        <w:spacing w:line="240" w:lineRule="auto"/>
        <w:rPr>
          <w:rFonts w:hint="eastAsia" w:ascii="宋体" w:hAnsi="宋体"/>
          <w:color w:val="auto"/>
          <w:sz w:val="36"/>
          <w:szCs w:val="36"/>
        </w:rPr>
      </w:pPr>
      <w:r>
        <w:rPr>
          <w:rFonts w:hint="eastAsia" w:ascii="宋体" w:hAnsi="宋体"/>
          <w:color w:val="auto"/>
          <w:sz w:val="36"/>
          <w:szCs w:val="36"/>
        </w:rPr>
        <w:t xml:space="preserve"> </w:t>
      </w:r>
    </w:p>
    <w:p w14:paraId="005F9FCD">
      <w:pPr>
        <w:adjustRightInd w:val="0"/>
        <w:snapToGrid w:val="0"/>
        <w:spacing w:line="240" w:lineRule="auto"/>
        <w:jc w:val="center"/>
        <w:outlineLvl w:val="0"/>
        <w:rPr>
          <w:rFonts w:hint="eastAsia" w:ascii="方正小标宋_GBK" w:eastAsia="方正小标宋_GBK"/>
          <w:bCs/>
          <w:color w:val="auto"/>
          <w:sz w:val="72"/>
          <w:szCs w:val="72"/>
        </w:rPr>
      </w:pPr>
      <w:bookmarkStart w:id="0" w:name="_Toc20121"/>
      <w:r>
        <w:rPr>
          <w:rFonts w:hint="eastAsia" w:ascii="方正小标宋_GBK" w:eastAsia="方正小标宋_GBK"/>
          <w:bCs/>
          <w:color w:val="auto"/>
          <w:sz w:val="72"/>
          <w:szCs w:val="72"/>
        </w:rPr>
        <w:t>建设项目环境影响报告表</w:t>
      </w:r>
      <w:bookmarkEnd w:id="0"/>
    </w:p>
    <w:p w14:paraId="1631C875">
      <w:pPr>
        <w:adjustRightInd w:val="0"/>
        <w:snapToGrid w:val="0"/>
        <w:spacing w:line="240" w:lineRule="auto"/>
        <w:jc w:val="center"/>
        <w:outlineLvl w:val="0"/>
        <w:rPr>
          <w:bCs/>
          <w:color w:val="auto"/>
          <w:sz w:val="48"/>
          <w:szCs w:val="48"/>
        </w:rPr>
      </w:pPr>
      <w:bookmarkStart w:id="1" w:name="_Toc32007"/>
      <w:r>
        <w:rPr>
          <w:rFonts w:hint="eastAsia" w:ascii="楷体_GB2312" w:eastAsia="楷体_GB2312"/>
          <w:bCs/>
          <w:color w:val="auto"/>
          <w:sz w:val="48"/>
          <w:szCs w:val="48"/>
        </w:rPr>
        <w:t>（污染影响类）</w:t>
      </w:r>
      <w:bookmarkEnd w:id="1"/>
    </w:p>
    <w:p w14:paraId="7C33C500">
      <w:pPr>
        <w:adjustRightInd w:val="0"/>
        <w:snapToGrid w:val="0"/>
        <w:spacing w:before="192" w:beforeLines="80" w:line="240" w:lineRule="auto"/>
        <w:jc w:val="center"/>
        <w:rPr>
          <w:bCs/>
          <w:color w:val="auto"/>
          <w:sz w:val="48"/>
          <w:szCs w:val="48"/>
        </w:rPr>
      </w:pPr>
      <w:r>
        <w:rPr>
          <w:color w:val="auto"/>
          <w:kern w:val="44"/>
          <w:sz w:val="44"/>
          <w:szCs w:val="44"/>
        </w:rPr>
        <w:t xml:space="preserve"> </w:t>
      </w:r>
    </w:p>
    <w:p w14:paraId="2CC56A22">
      <w:pPr>
        <w:jc w:val="center"/>
        <w:rPr>
          <w:color w:val="auto"/>
          <w:sz w:val="52"/>
          <w:szCs w:val="52"/>
        </w:rPr>
      </w:pPr>
      <w:r>
        <w:rPr>
          <w:color w:val="auto"/>
          <w:sz w:val="52"/>
          <w:szCs w:val="52"/>
        </w:rPr>
        <w:t xml:space="preserve"> </w:t>
      </w:r>
    </w:p>
    <w:p w14:paraId="03A58078">
      <w:pPr>
        <w:ind w:firstLine="1040"/>
        <w:rPr>
          <w:color w:val="auto"/>
          <w:sz w:val="44"/>
          <w:szCs w:val="44"/>
        </w:rPr>
      </w:pPr>
      <w:r>
        <w:rPr>
          <w:color w:val="auto"/>
          <w:sz w:val="44"/>
          <w:szCs w:val="44"/>
        </w:rPr>
        <w:t xml:space="preserve"> </w:t>
      </w:r>
    </w:p>
    <w:p w14:paraId="110392B2">
      <w:pPr>
        <w:rPr>
          <w:color w:val="auto"/>
          <w:sz w:val="44"/>
          <w:szCs w:val="44"/>
        </w:rPr>
      </w:pPr>
      <w:r>
        <w:rPr>
          <w:color w:val="auto"/>
          <w:sz w:val="44"/>
          <w:szCs w:val="44"/>
        </w:rPr>
        <w:t xml:space="preserve"> </w:t>
      </w:r>
    </w:p>
    <w:p w14:paraId="27B604B6">
      <w:pPr>
        <w:rPr>
          <w:color w:val="auto"/>
          <w:sz w:val="44"/>
          <w:szCs w:val="44"/>
        </w:rPr>
      </w:pPr>
    </w:p>
    <w:p w14:paraId="4A4307CC">
      <w:pPr>
        <w:rPr>
          <w:rFonts w:hint="default" w:ascii="Times New Roman" w:hAnsi="Times New Roman" w:cs="Times New Roman"/>
          <w:color w:val="auto"/>
          <w:sz w:val="44"/>
          <w:szCs w:val="44"/>
        </w:rPr>
      </w:pPr>
      <w:r>
        <w:rPr>
          <w:color w:val="auto"/>
          <w:sz w:val="44"/>
          <w:szCs w:val="44"/>
        </w:rPr>
        <w:t xml:space="preserve"> </w:t>
      </w:r>
    </w:p>
    <w:p w14:paraId="20B8535B">
      <w:pPr>
        <w:ind w:firstLine="1040"/>
        <w:rPr>
          <w:rFonts w:hint="default" w:ascii="Times New Roman" w:hAnsi="Times New Roman" w:cs="Times New Roman"/>
          <w:color w:val="auto"/>
          <w:sz w:val="44"/>
          <w:szCs w:val="44"/>
        </w:rPr>
      </w:pPr>
      <w:r>
        <w:rPr>
          <w:rFonts w:hint="default" w:ascii="Times New Roman" w:hAnsi="Times New Roman" w:cs="Times New Roman"/>
          <w:color w:val="auto"/>
          <w:sz w:val="44"/>
          <w:szCs w:val="44"/>
        </w:rPr>
        <w:t xml:space="preserve"> </w:t>
      </w:r>
    </w:p>
    <w:p w14:paraId="23496DE1">
      <w:pPr>
        <w:adjustRightInd w:val="0"/>
        <w:snapToGrid w:val="0"/>
        <w:spacing w:line="288" w:lineRule="auto"/>
        <w:ind w:firstLine="1040"/>
        <w:rPr>
          <w:rFonts w:hint="default" w:ascii="Times New Roman" w:hAnsi="Times New Roman" w:eastAsia="仿宋_GB2312" w:cs="Times New Roman"/>
          <w:color w:val="auto"/>
          <w:sz w:val="36"/>
          <w:szCs w:val="36"/>
        </w:rPr>
      </w:pPr>
    </w:p>
    <w:p w14:paraId="03200D56">
      <w:pPr>
        <w:adjustRightInd w:val="0"/>
        <w:snapToGrid w:val="0"/>
        <w:spacing w:line="700" w:lineRule="exact"/>
        <w:ind w:firstLine="720" w:firstLineChars="200"/>
        <w:jc w:val="both"/>
        <w:rPr>
          <w:rFonts w:hint="default" w:ascii="Times New Roman" w:hAnsi="Times New Roman" w:eastAsia="楷体_GB2312" w:cs="Times New Roman"/>
          <w:color w:val="auto"/>
          <w:sz w:val="36"/>
          <w:szCs w:val="36"/>
          <w:u w:val="single"/>
          <w:lang w:val="en-US" w:eastAsia="zh-CN"/>
        </w:rPr>
      </w:pPr>
      <w:r>
        <w:rPr>
          <w:rFonts w:hint="default" w:ascii="Times New Roman" w:hAnsi="Times New Roman" w:eastAsia="楷体_GB2312" w:cs="Times New Roman"/>
          <w:color w:val="auto"/>
          <w:sz w:val="36"/>
          <w:szCs w:val="36"/>
        </w:rPr>
        <w:t>项目名称：</w:t>
      </w:r>
      <w:r>
        <w:rPr>
          <w:rFonts w:hint="default" w:ascii="Times New Roman" w:hAnsi="Times New Roman" w:eastAsia="楷体_GB2312" w:cs="Times New Roman"/>
          <w:color w:val="auto"/>
          <w:sz w:val="36"/>
          <w:szCs w:val="36"/>
          <w:u w:val="single"/>
          <w:lang w:val="en-US" w:eastAsia="zh-CN"/>
        </w:rPr>
        <w:t xml:space="preserve">长治市屯留区麟绛小学校扩建初中部项目   </w:t>
      </w:r>
    </w:p>
    <w:p w14:paraId="086F8670">
      <w:pPr>
        <w:adjustRightInd w:val="0"/>
        <w:snapToGrid w:val="0"/>
        <w:spacing w:line="700" w:lineRule="exact"/>
        <w:ind w:firstLine="720" w:firstLineChars="200"/>
        <w:jc w:val="both"/>
        <w:rPr>
          <w:rFonts w:hint="default" w:ascii="Times New Roman" w:hAnsi="Times New Roman" w:eastAsia="楷体_GB2312" w:cs="Times New Roman"/>
          <w:color w:val="auto"/>
          <w:sz w:val="36"/>
          <w:szCs w:val="36"/>
          <w:u w:val="single"/>
          <w:lang w:val="en-US" w:eastAsia="zh-CN"/>
        </w:rPr>
      </w:pPr>
      <w:r>
        <w:rPr>
          <w:rFonts w:hint="default" w:ascii="Times New Roman" w:hAnsi="Times New Roman" w:eastAsia="楷体_GB2312" w:cs="Times New Roman"/>
          <w:color w:val="auto"/>
          <w:sz w:val="36"/>
          <w:szCs w:val="36"/>
        </w:rPr>
        <w:t>建设单位（盖章）：</w:t>
      </w:r>
      <w:r>
        <w:rPr>
          <w:rFonts w:hint="default" w:ascii="Times New Roman" w:hAnsi="Times New Roman" w:eastAsia="楷体_GB2312" w:cs="Times New Roman"/>
          <w:color w:val="auto"/>
          <w:sz w:val="36"/>
          <w:szCs w:val="36"/>
          <w:u w:val="single"/>
          <w:lang w:val="en-US" w:eastAsia="zh-CN"/>
        </w:rPr>
        <w:t xml:space="preserve">    长治市屯留区麟绛小学校    </w:t>
      </w:r>
    </w:p>
    <w:p w14:paraId="310BBF11">
      <w:pPr>
        <w:pStyle w:val="6"/>
        <w:spacing w:before="120" w:after="120"/>
        <w:rPr>
          <w:rFonts w:ascii="Times New Roman" w:hAnsi="Times New Roman" w:cs="Times New Roman"/>
          <w:color w:val="auto"/>
        </w:rPr>
      </w:pPr>
      <w:r>
        <w:rPr>
          <w:rFonts w:hint="default" w:ascii="Times New Roman" w:hAnsi="Times New Roman" w:eastAsia="楷体_GB2312" w:cs="Times New Roman"/>
          <w:color w:val="auto"/>
          <w:sz w:val="36"/>
          <w:szCs w:val="36"/>
        </w:rPr>
        <w:t>编制日期</w:t>
      </w:r>
      <w:r>
        <w:rPr>
          <w:rFonts w:hint="default" w:ascii="Times New Roman" w:hAnsi="Times New Roman" w:eastAsia="楷体_GB2312" w:cs="Times New Roman"/>
          <w:color w:val="auto"/>
          <w:sz w:val="36"/>
          <w:szCs w:val="36"/>
          <w:lang w:eastAsia="zh-CN"/>
        </w:rPr>
        <w:t>：</w:t>
      </w:r>
      <w:r>
        <w:rPr>
          <w:rFonts w:hint="default" w:ascii="Times New Roman" w:hAnsi="Times New Roman" w:eastAsia="楷体_GB2312" w:cs="Times New Roman"/>
          <w:color w:val="auto"/>
          <w:sz w:val="36"/>
          <w:szCs w:val="36"/>
          <w:u w:val="single"/>
        </w:rPr>
        <w:t xml:space="preserve">             </w:t>
      </w:r>
      <w:r>
        <w:rPr>
          <w:rFonts w:hint="default" w:ascii="Times New Roman" w:hAnsi="Times New Roman" w:eastAsia="楷体_GB2312" w:cs="Times New Roman"/>
          <w:color w:val="auto"/>
          <w:sz w:val="36"/>
          <w:szCs w:val="36"/>
          <w:u w:val="single"/>
          <w:lang w:val="en-US" w:eastAsia="zh-CN"/>
        </w:rPr>
        <w:t xml:space="preserve"> 2025年3月 </w:t>
      </w:r>
      <w:r>
        <w:rPr>
          <w:rFonts w:hint="eastAsia" w:ascii="楷体_GB2312" w:hAnsi="楷体_GB2312" w:eastAsia="楷体_GB2312" w:cs="楷体_GB2312"/>
          <w:color w:val="auto"/>
          <w:sz w:val="36"/>
          <w:szCs w:val="36"/>
          <w:u w:val="single"/>
          <w:lang w:val="en-US" w:eastAsia="zh-CN"/>
        </w:rPr>
        <w:t xml:space="preserve">         </w:t>
      </w:r>
    </w:p>
    <w:p w14:paraId="54F234A9">
      <w:pPr>
        <w:adjustRightInd w:val="0"/>
        <w:snapToGrid w:val="0"/>
        <w:spacing w:line="288" w:lineRule="auto"/>
        <w:ind w:firstLine="1040"/>
        <w:jc w:val="center"/>
        <w:rPr>
          <w:rFonts w:hint="eastAsia" w:ascii="宋体" w:hAnsi="宋体"/>
          <w:color w:val="auto"/>
          <w:sz w:val="36"/>
          <w:szCs w:val="36"/>
        </w:rPr>
      </w:pPr>
      <w:r>
        <w:rPr>
          <w:rFonts w:hint="eastAsia" w:ascii="宋体" w:hAnsi="宋体"/>
          <w:color w:val="auto"/>
          <w:sz w:val="36"/>
          <w:szCs w:val="36"/>
        </w:rPr>
        <w:t xml:space="preserve"> </w:t>
      </w:r>
    </w:p>
    <w:p w14:paraId="329B517D">
      <w:pPr>
        <w:adjustRightInd w:val="0"/>
        <w:snapToGrid w:val="0"/>
        <w:spacing w:line="288" w:lineRule="auto"/>
        <w:ind w:firstLine="1040"/>
        <w:jc w:val="center"/>
        <w:rPr>
          <w:rFonts w:hint="eastAsia" w:ascii="宋体" w:hAnsi="宋体"/>
          <w:color w:val="auto"/>
          <w:sz w:val="36"/>
          <w:szCs w:val="36"/>
        </w:rPr>
      </w:pPr>
      <w:r>
        <w:rPr>
          <w:rFonts w:hint="eastAsia" w:ascii="宋体" w:hAnsi="宋体"/>
          <w:color w:val="auto"/>
          <w:sz w:val="36"/>
          <w:szCs w:val="36"/>
        </w:rPr>
        <w:t xml:space="preserve"> </w:t>
      </w:r>
    </w:p>
    <w:p w14:paraId="6DDD79EA">
      <w:pPr>
        <w:adjustRightInd w:val="0"/>
        <w:snapToGrid w:val="0"/>
        <w:spacing w:line="288" w:lineRule="auto"/>
        <w:ind w:firstLine="1040"/>
        <w:jc w:val="center"/>
        <w:rPr>
          <w:rFonts w:hint="eastAsia" w:ascii="宋体" w:hAnsi="宋体"/>
          <w:color w:val="auto"/>
          <w:sz w:val="36"/>
          <w:szCs w:val="36"/>
        </w:rPr>
      </w:pPr>
    </w:p>
    <w:p w14:paraId="7FA4A198">
      <w:pPr>
        <w:adjustRightInd w:val="0"/>
        <w:snapToGrid w:val="0"/>
        <w:spacing w:line="288" w:lineRule="auto"/>
        <w:jc w:val="center"/>
        <w:rPr>
          <w:rFonts w:hint="eastAsia" w:ascii="楷体_GB2312" w:eastAsia="楷体_GB2312"/>
          <w:color w:val="auto"/>
          <w:sz w:val="36"/>
          <w:szCs w:val="36"/>
        </w:rPr>
        <w:sectPr>
          <w:headerReference r:id="rId5" w:type="default"/>
          <w:footerReference r:id="rId6" w:type="default"/>
          <w:pgSz w:w="11906" w:h="16838"/>
          <w:pgMar w:top="1701" w:right="1531" w:bottom="1701" w:left="1531" w:header="720" w:footer="720" w:gutter="0"/>
          <w:pgBorders>
            <w:top w:val="none" w:sz="0" w:space="0"/>
            <w:left w:val="none" w:sz="0" w:space="0"/>
            <w:bottom w:val="none" w:sz="0" w:space="0"/>
            <w:right w:val="none" w:sz="0" w:space="0"/>
          </w:pgBorders>
          <w:cols w:space="720" w:num="1"/>
          <w:docGrid w:linePitch="286" w:charSpace="0"/>
        </w:sectPr>
      </w:pPr>
      <w:r>
        <w:rPr>
          <w:rFonts w:hint="eastAsia" w:ascii="楷体_GB2312" w:eastAsia="楷体_GB2312"/>
          <w:color w:val="auto"/>
          <w:sz w:val="36"/>
          <w:szCs w:val="36"/>
        </w:rPr>
        <w:t>中华人民共和国生态环境部制</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26"/>
        <w:gridCol w:w="6826"/>
      </w:tblGrid>
      <w:tr w14:paraId="41027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6" w:type="dxa"/>
            <w:vAlign w:val="center"/>
          </w:tcPr>
          <w:p w14:paraId="21891B90">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olor w:val="auto"/>
                <w:szCs w:val="24"/>
                <w:lang w:eastAsia="zh-CN"/>
              </w:rPr>
            </w:pPr>
            <w:r>
              <w:rPr>
                <w:rFonts w:hint="default"/>
                <w:color w:val="auto"/>
                <w:sz w:val="24"/>
              </w:rPr>
              <mc:AlternateContent>
                <mc:Choice Requires="wps">
                  <w:drawing>
                    <wp:anchor distT="0" distB="0" distL="114300" distR="114300" simplePos="0" relativeHeight="251667456" behindDoc="0" locked="0" layoutInCell="1" allowOverlap="1">
                      <wp:simplePos x="0" y="0"/>
                      <wp:positionH relativeFrom="column">
                        <wp:posOffset>2128520</wp:posOffset>
                      </wp:positionH>
                      <wp:positionV relativeFrom="paragraph">
                        <wp:posOffset>1367790</wp:posOffset>
                      </wp:positionV>
                      <wp:extent cx="706755" cy="231140"/>
                      <wp:effectExtent l="0" t="0" r="17145" b="16510"/>
                      <wp:wrapNone/>
                      <wp:docPr id="117" name="文本框 117"/>
                      <wp:cNvGraphicFramePr/>
                      <a:graphic xmlns:a="http://schemas.openxmlformats.org/drawingml/2006/main">
                        <a:graphicData uri="http://schemas.microsoft.com/office/word/2010/wordprocessingShape">
                          <wps:wsp>
                            <wps:cNvSpPr txBox="1"/>
                            <wps:spPr>
                              <a:xfrm>
                                <a:off x="0" y="0"/>
                                <a:ext cx="706755" cy="231140"/>
                              </a:xfrm>
                              <a:prstGeom prst="rect">
                                <a:avLst/>
                              </a:prstGeom>
                              <a:solidFill>
                                <a:srgbClr val="FFFFFF">
                                  <a:alpha val="2500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018A01A6">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拟建场地</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7.6pt;margin-top:107.7pt;height:18.2pt;width:55.65pt;z-index:251667456;mso-width-relative:page;mso-height-relative:page;" fillcolor="#FFFFFF" filled="t" stroked="f" coordsize="21600,21600" o:gfxdata="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Z7lINoA&#10;AAALAQAADwAAAAAAAAABACAAAAAiAAAAZHJzL2Rvd25yZXYueG1sUEsBAhQAFAAAAAgAh07iQBgG&#10;Xa9WAgAAowQAAA4AAAAAAAAAAQAgAAAAKQEAAGRycy9lMm9Eb2MueG1sUEsFBgAAAAAGAAYAWQEA&#10;APEFAAAAAA==&#10;">
                      <v:fill on="t" opacity="16384f" focussize="0,0"/>
                      <v:stroke on="f" weight="0.5pt"/>
                      <v:imagedata o:title=""/>
                      <o:lock v:ext="edit" aspectratio="f"/>
                      <v:textbox inset="0mm,0mm,0mm,0mm">
                        <w:txbxContent>
                          <w:p w14:paraId="018A01A6">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拟建场地</w:t>
                            </w:r>
                          </w:p>
                        </w:txbxContent>
                      </v:textbox>
                    </v:shape>
                  </w:pict>
                </mc:Fallback>
              </mc:AlternateContent>
            </w:r>
            <w:r>
              <w:rPr>
                <w:rFonts w:hint="default"/>
                <w:color w:val="auto"/>
                <w:sz w:val="24"/>
              </w:rPr>
              <mc:AlternateContent>
                <mc:Choice Requires="wps">
                  <w:drawing>
                    <wp:anchor distT="0" distB="0" distL="114300" distR="114300" simplePos="0" relativeHeight="251661312" behindDoc="0" locked="0" layoutInCell="1" allowOverlap="1">
                      <wp:simplePos x="0" y="0"/>
                      <wp:positionH relativeFrom="column">
                        <wp:posOffset>1980565</wp:posOffset>
                      </wp:positionH>
                      <wp:positionV relativeFrom="paragraph">
                        <wp:posOffset>751205</wp:posOffset>
                      </wp:positionV>
                      <wp:extent cx="706755" cy="2311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06755" cy="231140"/>
                              </a:xfrm>
                              <a:prstGeom prst="rect">
                                <a:avLst/>
                              </a:prstGeom>
                              <a:solidFill>
                                <a:srgbClr val="FFFFFF">
                                  <a:alpha val="2500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5680A318">
                                  <w:pPr>
                                    <w:spacing w:line="240" w:lineRule="auto"/>
                                    <w:rPr>
                                      <w:rFonts w:hint="eastAsia" w:ascii="黑体" w:hAnsi="黑体" w:eastAsia="黑体" w:cs="黑体"/>
                                      <w:color w:val="0000FF"/>
                                      <w:lang w:val="en-US" w:eastAsia="zh-CN"/>
                                    </w:rPr>
                                  </w:pPr>
                                  <w:r>
                                    <w:rPr>
                                      <w:rFonts w:hint="eastAsia" w:ascii="黑体" w:hAnsi="黑体" w:eastAsia="黑体" w:cs="黑体"/>
                                      <w:color w:val="0000FF"/>
                                      <w:lang w:val="en-US" w:eastAsia="zh-CN"/>
                                    </w:rPr>
                                    <w:t>金威家园</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5pt;margin-top:59.15pt;height:18.2pt;width:55.65pt;z-index:251661312;mso-width-relative:page;mso-height-relative:page;" fillcolor="#FFFFFF" filled="t" stroked="f" coordsize="21600,21600" o:gfxdata="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2n962gAA&#10;AAsBAAAPAAAAAAAAAAEAIAAAACIAAABkcnMvZG93bnJldi54bWxQSwECFAAUAAAACACHTuJAEXvp&#10;KFUCAACfBAAADgAAAAAAAAABACAAAAApAQAAZHJzL2Uyb0RvYy54bWxQSwUGAAAAAAYABgBZAQAA&#10;8AUAAAAA&#10;">
                      <v:fill on="t" opacity="16384f" focussize="0,0"/>
                      <v:stroke on="f" weight="0.5pt"/>
                      <v:imagedata o:title=""/>
                      <o:lock v:ext="edit" aspectratio="f"/>
                      <v:textbox inset="0mm,0mm,0mm,0mm">
                        <w:txbxContent>
                          <w:p w14:paraId="5680A318">
                            <w:pPr>
                              <w:spacing w:line="240" w:lineRule="auto"/>
                              <w:rPr>
                                <w:rFonts w:hint="eastAsia" w:ascii="黑体" w:hAnsi="黑体" w:eastAsia="黑体" w:cs="黑体"/>
                                <w:color w:val="0000FF"/>
                                <w:lang w:val="en-US" w:eastAsia="zh-CN"/>
                              </w:rPr>
                            </w:pPr>
                            <w:r>
                              <w:rPr>
                                <w:rFonts w:hint="eastAsia" w:ascii="黑体" w:hAnsi="黑体" w:eastAsia="黑体" w:cs="黑体"/>
                                <w:color w:val="0000FF"/>
                                <w:lang w:val="en-US" w:eastAsia="zh-CN"/>
                              </w:rPr>
                              <w:t>金威家园</w:t>
                            </w:r>
                          </w:p>
                        </w:txbxContent>
                      </v:textbox>
                    </v:shape>
                  </w:pict>
                </mc:Fallback>
              </mc:AlternateContent>
            </w:r>
            <w:r>
              <w:rPr>
                <w:rFonts w:hint="default"/>
                <w:color w:val="auto"/>
                <w:sz w:val="24"/>
              </w:rPr>
              <mc:AlternateContent>
                <mc:Choice Requires="wps">
                  <w:drawing>
                    <wp:anchor distT="0" distB="0" distL="114300" distR="114300" simplePos="0" relativeHeight="251659264" behindDoc="0" locked="0" layoutInCell="1" allowOverlap="1">
                      <wp:simplePos x="0" y="0"/>
                      <wp:positionH relativeFrom="column">
                        <wp:posOffset>1326515</wp:posOffset>
                      </wp:positionH>
                      <wp:positionV relativeFrom="paragraph">
                        <wp:posOffset>1276985</wp:posOffset>
                      </wp:positionV>
                      <wp:extent cx="2433320" cy="433070"/>
                      <wp:effectExtent l="8255" t="6350" r="15875" b="17780"/>
                      <wp:wrapNone/>
                      <wp:docPr id="7" name="任意多边形 7"/>
                      <wp:cNvGraphicFramePr/>
                      <a:graphic xmlns:a="http://schemas.openxmlformats.org/drawingml/2006/main">
                        <a:graphicData uri="http://schemas.microsoft.com/office/word/2010/wordprocessingShape">
                          <wps:wsp>
                            <wps:cNvSpPr/>
                            <wps:spPr>
                              <a:xfrm>
                                <a:off x="2406650" y="2224405"/>
                                <a:ext cx="2433320" cy="433070"/>
                              </a:xfrm>
                              <a:custGeom>
                                <a:avLst/>
                                <a:gdLst>
                                  <a:gd name="connisteX0" fmla="*/ 95250 w 2433320"/>
                                  <a:gd name="connsiteY0" fmla="*/ 8890 h 433070"/>
                                  <a:gd name="connisteX1" fmla="*/ 2112645 w 2433320"/>
                                  <a:gd name="connsiteY1" fmla="*/ 0 h 433070"/>
                                  <a:gd name="connisteX2" fmla="*/ 2433320 w 2433320"/>
                                  <a:gd name="connsiteY2" fmla="*/ 433070 h 433070"/>
                                  <a:gd name="connisteX3" fmla="*/ 0 w 2433320"/>
                                  <a:gd name="connsiteY3" fmla="*/ 381000 h 433070"/>
                                  <a:gd name="connisteX4" fmla="*/ 95250 w 2433320"/>
                                  <a:gd name="connsiteY4" fmla="*/ 8890 h 43307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433320" h="433070">
                                    <a:moveTo>
                                      <a:pt x="95250" y="8890"/>
                                    </a:moveTo>
                                    <a:lnTo>
                                      <a:pt x="2112645" y="0"/>
                                    </a:lnTo>
                                    <a:lnTo>
                                      <a:pt x="2433320" y="433070"/>
                                    </a:lnTo>
                                    <a:lnTo>
                                      <a:pt x="0" y="381000"/>
                                    </a:lnTo>
                                    <a:lnTo>
                                      <a:pt x="95250" y="889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4.45pt;margin-top:100.55pt;height:34.1pt;width:191.6pt;z-index:251659264;mso-width-relative:page;mso-height-relative:page;" filled="f" stroked="t" coordsize="2433320,433070" o:gfxdata="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cedUiNoAAAALAQAADwAAAAAAAAABACAAAAAiAAAAZHJzL2Rv&#10;d25yZXYueG1sUEsBAhQAFAAAAAgAh07iQKl96R0cAwAAVQgAAA4AAAAAAAAAAQAgAAAAKQEAAGRy&#10;cy9lMm9Eb2MueG1sUEsFBgAAAAAGAAYAWQEAALcGAAAAAA==&#10;" path="m95250,8890l2112645,0,2433320,433070,0,381000,95250,8890xe">
                      <v:path o:connectlocs="95250,8890;2112645,0;2433320,433070;0,381000;95250,8890" o:connectangles="0,0,0,0,0"/>
                      <v:fill on="f" focussize="0,0"/>
                      <v:stroke weight="1pt" color="#FF0000 [2404]" miterlimit="8" joinstyle="miter"/>
                      <v:imagedata o:title=""/>
                      <o:lock v:ext="edit" aspectratio="f"/>
                    </v:shape>
                  </w:pict>
                </mc:Fallback>
              </mc:AlternateContent>
            </w:r>
            <w:r>
              <w:rPr>
                <w:rFonts w:hint="eastAsia" w:ascii="宋体" w:hAnsi="宋体" w:eastAsia="宋体"/>
                <w:color w:val="auto"/>
                <w:szCs w:val="24"/>
                <w:lang w:eastAsia="zh-CN"/>
              </w:rPr>
              <w:drawing>
                <wp:inline distT="0" distB="0" distL="114300" distR="114300">
                  <wp:extent cx="4165600" cy="2343150"/>
                  <wp:effectExtent l="0" t="0" r="6350" b="0"/>
                  <wp:docPr id="3" name="图片 3" descr="DJI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JI_0139"/>
                          <pic:cNvPicPr>
                            <a:picLocks noChangeAspect="1"/>
                          </pic:cNvPicPr>
                        </pic:nvPicPr>
                        <pic:blipFill>
                          <a:blip r:embed="rId12"/>
                          <a:stretch>
                            <a:fillRect/>
                          </a:stretch>
                        </pic:blipFill>
                        <pic:spPr>
                          <a:xfrm>
                            <a:off x="0" y="0"/>
                            <a:ext cx="4165600" cy="2343150"/>
                          </a:xfrm>
                          <a:prstGeom prst="rect">
                            <a:avLst/>
                          </a:prstGeom>
                        </pic:spPr>
                      </pic:pic>
                    </a:graphicData>
                  </a:graphic>
                </wp:inline>
              </w:drawing>
            </w:r>
          </w:p>
        </w:tc>
        <w:tc>
          <w:tcPr>
            <w:tcW w:w="6826" w:type="dxa"/>
            <w:vAlign w:val="center"/>
          </w:tcPr>
          <w:p w14:paraId="23F31F3F">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olor w:val="auto"/>
                <w:szCs w:val="24"/>
                <w:lang w:eastAsia="zh-CN"/>
              </w:rPr>
            </w:pPr>
            <w:r>
              <w:rPr>
                <w:rFonts w:hint="default"/>
                <w:color w:val="auto"/>
                <w:sz w:val="24"/>
              </w:rPr>
              <mc:AlternateContent>
                <mc:Choice Requires="wps">
                  <w:drawing>
                    <wp:anchor distT="0" distB="0" distL="114300" distR="114300" simplePos="0" relativeHeight="251668480" behindDoc="0" locked="0" layoutInCell="1" allowOverlap="1">
                      <wp:simplePos x="0" y="0"/>
                      <wp:positionH relativeFrom="column">
                        <wp:posOffset>1512570</wp:posOffset>
                      </wp:positionH>
                      <wp:positionV relativeFrom="paragraph">
                        <wp:posOffset>1438910</wp:posOffset>
                      </wp:positionV>
                      <wp:extent cx="828040" cy="231140"/>
                      <wp:effectExtent l="0" t="0" r="10160" b="16510"/>
                      <wp:wrapNone/>
                      <wp:docPr id="114" name="文本框 114"/>
                      <wp:cNvGraphicFramePr/>
                      <a:graphic xmlns:a="http://schemas.openxmlformats.org/drawingml/2006/main">
                        <a:graphicData uri="http://schemas.microsoft.com/office/word/2010/wordprocessingShape">
                          <wps:wsp>
                            <wps:cNvSpPr txBox="1"/>
                            <wps:spPr>
                              <a:xfrm>
                                <a:off x="0" y="0"/>
                                <a:ext cx="828040" cy="231140"/>
                              </a:xfrm>
                              <a:prstGeom prst="rect">
                                <a:avLst/>
                              </a:prstGeom>
                              <a:solidFill>
                                <a:srgbClr val="FFFFFF">
                                  <a:alpha val="2500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06A04660">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启智幼儿园</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pt;margin-top:113.3pt;height:18.2pt;width:65.2pt;z-index:251668480;mso-width-relative:page;mso-height-relative:page;" fillcolor="#FFFFFF" filled="t" stroked="f" coordsize="21600,21600" o:gfxdata="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lX91NkAAAAL&#10;AQAADwAAAAAAAAABACAAAAAiAAAAZHJzL2Rvd25yZXYueG1sUEsBAhQAFAAAAAgAh07iQF7xNGVU&#10;AgAAowQAAA4AAAAAAAAAAQAgAAAAKAEAAGRycy9lMm9Eb2MueG1sUEsFBgAAAAAGAAYAWQEAAO4F&#10;AAAAAA==&#10;">
                      <v:fill on="t" opacity="16384f" focussize="0,0"/>
                      <v:stroke on="f" weight="0.5pt"/>
                      <v:imagedata o:title=""/>
                      <o:lock v:ext="edit" aspectratio="f"/>
                      <v:textbox inset="0mm,0mm,0mm,0mm">
                        <w:txbxContent>
                          <w:p w14:paraId="06A04660">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启智幼儿园</w:t>
                            </w:r>
                          </w:p>
                        </w:txbxContent>
                      </v:textbox>
                    </v:shape>
                  </w:pict>
                </mc:Fallback>
              </mc:AlternateContent>
            </w:r>
            <w:r>
              <w:rPr>
                <w:rFonts w:hint="default"/>
                <w:color w:val="auto"/>
                <w:sz w:val="24"/>
              </w:rPr>
              <mc:AlternateContent>
                <mc:Choice Requires="wps">
                  <w:drawing>
                    <wp:anchor distT="0" distB="0" distL="114300" distR="114300" simplePos="0" relativeHeight="251667456" behindDoc="0" locked="0" layoutInCell="1" allowOverlap="1">
                      <wp:simplePos x="0" y="0"/>
                      <wp:positionH relativeFrom="column">
                        <wp:posOffset>530860</wp:posOffset>
                      </wp:positionH>
                      <wp:positionV relativeFrom="paragraph">
                        <wp:posOffset>995680</wp:posOffset>
                      </wp:positionV>
                      <wp:extent cx="706755" cy="231140"/>
                      <wp:effectExtent l="0" t="0" r="17145" b="16510"/>
                      <wp:wrapNone/>
                      <wp:docPr id="115" name="文本框 115"/>
                      <wp:cNvGraphicFramePr/>
                      <a:graphic xmlns:a="http://schemas.openxmlformats.org/drawingml/2006/main">
                        <a:graphicData uri="http://schemas.microsoft.com/office/word/2010/wordprocessingShape">
                          <wps:wsp>
                            <wps:cNvSpPr txBox="1"/>
                            <wps:spPr>
                              <a:xfrm>
                                <a:off x="0" y="0"/>
                                <a:ext cx="706755" cy="231140"/>
                              </a:xfrm>
                              <a:prstGeom prst="rect">
                                <a:avLst/>
                              </a:prstGeom>
                              <a:solidFill>
                                <a:srgbClr val="FFFFFF">
                                  <a:alpha val="2500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2A920216">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南侧空地</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8pt;margin-top:78.4pt;height:18.2pt;width:55.65pt;z-index:251667456;mso-width-relative:page;mso-height-relative:page;" fillcolor="#FFFFFF" filled="t" stroked="f" coordsize="21600,21600" o:gfxdata="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32AlNgAAAAK&#10;AQAADwAAAAAAAAABACAAAAAiAAAAZHJzL2Rvd25yZXYueG1sUEsBAhQAFAAAAAgAh07iQNeOc5pV&#10;AgAAowQAAA4AAAAAAAAAAQAgAAAAJwEAAGRycy9lMm9Eb2MueG1sUEsFBgAAAAAGAAYAWQEAAO4F&#10;AAAAAA==&#10;">
                      <v:fill on="t" opacity="16384f" focussize="0,0"/>
                      <v:stroke on="f" weight="0.5pt"/>
                      <v:imagedata o:title=""/>
                      <o:lock v:ext="edit" aspectratio="f"/>
                      <v:textbox inset="0mm,0mm,0mm,0mm">
                        <w:txbxContent>
                          <w:p w14:paraId="2A920216">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南侧空地</w:t>
                            </w:r>
                          </w:p>
                        </w:txbxContent>
                      </v:textbox>
                    </v:shape>
                  </w:pict>
                </mc:Fallback>
              </mc:AlternateContent>
            </w:r>
            <w:r>
              <w:rPr>
                <w:rFonts w:hint="default"/>
                <w:color w:val="auto"/>
                <w:sz w:val="24"/>
              </w:rPr>
              <mc:AlternateContent>
                <mc:Choice Requires="wps">
                  <w:drawing>
                    <wp:anchor distT="0" distB="0" distL="114300" distR="114300" simplePos="0" relativeHeight="251663360" behindDoc="0" locked="0" layoutInCell="1" allowOverlap="1">
                      <wp:simplePos x="0" y="0"/>
                      <wp:positionH relativeFrom="column">
                        <wp:posOffset>1617980</wp:posOffset>
                      </wp:positionH>
                      <wp:positionV relativeFrom="paragraph">
                        <wp:posOffset>710565</wp:posOffset>
                      </wp:positionV>
                      <wp:extent cx="219075" cy="714375"/>
                      <wp:effectExtent l="6350" t="1905" r="22225" b="7620"/>
                      <wp:wrapNone/>
                      <wp:docPr id="13" name="直接箭头连接符 13"/>
                      <wp:cNvGraphicFramePr/>
                      <a:graphic xmlns:a="http://schemas.openxmlformats.org/drawingml/2006/main">
                        <a:graphicData uri="http://schemas.microsoft.com/office/word/2010/wordprocessingShape">
                          <wps:wsp>
                            <wps:cNvCnPr/>
                            <wps:spPr>
                              <a:xfrm>
                                <a:off x="7032625" y="1682750"/>
                                <a:ext cx="219075" cy="7143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7.4pt;margin-top:55.95pt;height:56.25pt;width:17.25pt;z-index:251663360;mso-width-relative:page;mso-height-relative:page;" filled="f" stroked="t" coordsize="21600,21600" o:gfxdata="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KhmW2AAAAAsBAAAP&#10;AAAAAAAAAAEAIAAAACIAAABkcnMvZG93bnJldi54bWxQSwECFAAUAAAACACHTuJARdoPIhgCAADx&#10;AwAADgAAAAAAAAABACAAAAAnAQAAZHJzL2Uyb0RvYy54bWxQSwUGAAAAAAYABgBZAQAAsQUAAAAA&#10;">
                      <v:fill on="f" focussize="0,0"/>
                      <v:stroke weight="1pt" color="#FF0000 [3204]" miterlimit="8" joinstyle="miter" endarrow="open"/>
                      <v:imagedata o:title=""/>
                      <o:lock v:ext="edit" aspectratio="f"/>
                    </v:shape>
                  </w:pict>
                </mc:Fallback>
              </mc:AlternateContent>
            </w:r>
            <w:r>
              <w:rPr>
                <w:rFonts w:hint="default"/>
                <w:color w:val="auto"/>
                <w:sz w:val="24"/>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653415</wp:posOffset>
                      </wp:positionV>
                      <wp:extent cx="790575" cy="333375"/>
                      <wp:effectExtent l="0" t="5715" r="9525" b="22860"/>
                      <wp:wrapNone/>
                      <wp:docPr id="11" name="直接箭头连接符 11"/>
                      <wp:cNvGraphicFramePr/>
                      <a:graphic xmlns:a="http://schemas.openxmlformats.org/drawingml/2006/main">
                        <a:graphicData uri="http://schemas.microsoft.com/office/word/2010/wordprocessingShape">
                          <wps:wsp>
                            <wps:cNvCnPr/>
                            <wps:spPr>
                              <a:xfrm flipH="1">
                                <a:off x="6346825" y="1625600"/>
                                <a:ext cx="790575" cy="3333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73.4pt;margin-top:51.45pt;height:26.25pt;width:62.25pt;z-index:251662336;mso-width-relative:page;mso-height-relative:page;" filled="f" stroked="t" coordsize="21600,21600" o:gfxdata="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PKuu3YAAAA&#10;CwEAAA8AAAAAAAAAAQAgAAAAIgAAAGRycy9kb3ducmV2LnhtbFBLAQIUABQAAAAIAIdO4kDTPvKK&#10;HQIAAPsDAAAOAAAAAAAAAAEAIAAAACcBAABkcnMvZTJvRG9jLnhtbFBLBQYAAAAABgAGAFkBAAC2&#10;BQAAAAA=&#10;">
                      <v:fill on="f" focussize="0,0"/>
                      <v:stroke weight="1pt" color="#FF0000 [3204]" miterlimit="8" joinstyle="miter" endarrow="open"/>
                      <v:imagedata o:title=""/>
                      <o:lock v:ext="edit" aspectratio="f"/>
                    </v:shape>
                  </w:pict>
                </mc:Fallback>
              </mc:AlternateContent>
            </w:r>
            <w:r>
              <w:rPr>
                <w:rFonts w:hint="eastAsia" w:ascii="宋体" w:hAnsi="宋体" w:eastAsia="宋体"/>
                <w:color w:val="auto"/>
                <w:szCs w:val="24"/>
                <w:lang w:eastAsia="zh-CN"/>
              </w:rPr>
              <w:drawing>
                <wp:inline distT="0" distB="0" distL="114300" distR="114300">
                  <wp:extent cx="4165600" cy="2343150"/>
                  <wp:effectExtent l="0" t="0" r="6350" b="0"/>
                  <wp:docPr id="4" name="图片 4" descr="DJI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JI_0135"/>
                          <pic:cNvPicPr>
                            <a:picLocks noChangeAspect="1"/>
                          </pic:cNvPicPr>
                        </pic:nvPicPr>
                        <pic:blipFill>
                          <a:blip r:embed="rId13"/>
                          <a:stretch>
                            <a:fillRect/>
                          </a:stretch>
                        </pic:blipFill>
                        <pic:spPr>
                          <a:xfrm>
                            <a:off x="0" y="0"/>
                            <a:ext cx="4165600" cy="2343150"/>
                          </a:xfrm>
                          <a:prstGeom prst="rect">
                            <a:avLst/>
                          </a:prstGeom>
                        </pic:spPr>
                      </pic:pic>
                    </a:graphicData>
                  </a:graphic>
                </wp:inline>
              </w:drawing>
            </w:r>
          </w:p>
        </w:tc>
      </w:tr>
      <w:tr w14:paraId="5E441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6" w:type="dxa"/>
            <w:vAlign w:val="center"/>
          </w:tcPr>
          <w:p w14:paraId="1614679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olor w:val="auto"/>
                <w:szCs w:val="24"/>
                <w:lang w:val="en-US" w:eastAsia="zh-CN"/>
              </w:rPr>
            </w:pPr>
            <w:r>
              <w:rPr>
                <w:rFonts w:hint="eastAsia" w:ascii="华文楷体" w:hAnsi="华文楷体" w:eastAsia="华文楷体" w:cs="华文楷体"/>
                <w:color w:val="auto"/>
                <w:sz w:val="24"/>
                <w:szCs w:val="24"/>
                <w:lang w:val="en-US" w:eastAsia="zh-CN"/>
              </w:rPr>
              <w:t>场地现状</w:t>
            </w:r>
          </w:p>
        </w:tc>
        <w:tc>
          <w:tcPr>
            <w:tcW w:w="6826" w:type="dxa"/>
            <w:vAlign w:val="center"/>
          </w:tcPr>
          <w:p w14:paraId="27D62B3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olor w:val="auto"/>
                <w:szCs w:val="24"/>
                <w:lang w:val="en-US" w:eastAsia="zh-CN"/>
              </w:rPr>
            </w:pPr>
            <w:r>
              <w:rPr>
                <w:rFonts w:hint="eastAsia" w:ascii="华文楷体" w:hAnsi="华文楷体" w:eastAsia="华文楷体" w:cs="华文楷体"/>
                <w:color w:val="auto"/>
                <w:szCs w:val="24"/>
                <w:lang w:val="en-US" w:eastAsia="zh-CN"/>
              </w:rPr>
              <w:t>南侧空地及启智幼儿园</w:t>
            </w:r>
          </w:p>
        </w:tc>
      </w:tr>
      <w:tr w14:paraId="6AA2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6" w:type="dxa"/>
            <w:vAlign w:val="center"/>
          </w:tcPr>
          <w:p w14:paraId="7455C5C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olor w:val="auto"/>
                <w:szCs w:val="24"/>
                <w:lang w:eastAsia="zh-CN"/>
              </w:rPr>
            </w:pPr>
            <w:r>
              <w:rPr>
                <w:rFonts w:hint="default"/>
                <w:color w:val="auto"/>
                <w:sz w:val="24"/>
              </w:rPr>
              <mc:AlternateContent>
                <mc:Choice Requires="wps">
                  <w:drawing>
                    <wp:anchor distT="0" distB="0" distL="114300" distR="114300" simplePos="0" relativeHeight="251666432" behindDoc="0" locked="0" layoutInCell="1" allowOverlap="1">
                      <wp:simplePos x="0" y="0"/>
                      <wp:positionH relativeFrom="column">
                        <wp:posOffset>3068955</wp:posOffset>
                      </wp:positionH>
                      <wp:positionV relativeFrom="paragraph">
                        <wp:posOffset>1577975</wp:posOffset>
                      </wp:positionV>
                      <wp:extent cx="828040" cy="231140"/>
                      <wp:effectExtent l="0" t="0" r="10160" b="16510"/>
                      <wp:wrapNone/>
                      <wp:docPr id="119" name="文本框 119"/>
                      <wp:cNvGraphicFramePr/>
                      <a:graphic xmlns:a="http://schemas.openxmlformats.org/drawingml/2006/main">
                        <a:graphicData uri="http://schemas.microsoft.com/office/word/2010/wordprocessingShape">
                          <wps:wsp>
                            <wps:cNvSpPr txBox="1"/>
                            <wps:spPr>
                              <a:xfrm>
                                <a:off x="0" y="0"/>
                                <a:ext cx="828040" cy="231140"/>
                              </a:xfrm>
                              <a:prstGeom prst="rect">
                                <a:avLst/>
                              </a:prstGeom>
                              <a:solidFill>
                                <a:srgbClr val="FFFFFF">
                                  <a:alpha val="2500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54025EE3">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麟绛西大街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1.65pt;margin-top:124.25pt;height:18.2pt;width:65.2pt;z-index:251666432;mso-width-relative:page;mso-height-relative:page;" fillcolor="#FFFFFF" filled="t" stroked="f" coordsize="21600,21600" o:gfxdata="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JD72TbAAAA&#10;CwEAAA8AAAAAAAAAAQAgAAAAIgAAAGRycy9kb3ducmV2LnhtbFBLAQIUABQAAAAIAIdO4kC7BPws&#10;UwIAAKMEAAAOAAAAAAAAAAEAIAAAACoBAABkcnMvZTJvRG9jLnhtbFBLBQYAAAAABgAGAFkBAADv&#10;BQAAAAA=&#10;">
                      <v:fill on="t" opacity="16384f" focussize="0,0"/>
                      <v:stroke on="f" weight="0.5pt"/>
                      <v:imagedata o:title=""/>
                      <o:lock v:ext="edit" aspectratio="f"/>
                      <v:textbox inset="0mm,0mm,0mm,0mm">
                        <w:txbxContent>
                          <w:p w14:paraId="54025EE3">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麟绛西大街</w:t>
                            </w:r>
                          </w:p>
                        </w:txbxContent>
                      </v:textbox>
                    </v:shape>
                  </w:pict>
                </mc:Fallback>
              </mc:AlternateContent>
            </w:r>
            <w:r>
              <w:rPr>
                <w:rFonts w:hint="default"/>
                <w:color w:val="auto"/>
                <w:sz w:val="24"/>
              </w:rPr>
              <mc:AlternateContent>
                <mc:Choice Requires="wps">
                  <w:drawing>
                    <wp:anchor distT="0" distB="0" distL="114300" distR="114300" simplePos="0" relativeHeight="251667456" behindDoc="0" locked="0" layoutInCell="1" allowOverlap="1">
                      <wp:simplePos x="0" y="0"/>
                      <wp:positionH relativeFrom="column">
                        <wp:posOffset>1539875</wp:posOffset>
                      </wp:positionH>
                      <wp:positionV relativeFrom="paragraph">
                        <wp:posOffset>1529080</wp:posOffset>
                      </wp:positionV>
                      <wp:extent cx="828040" cy="231140"/>
                      <wp:effectExtent l="0" t="0" r="10160" b="16510"/>
                      <wp:wrapNone/>
                      <wp:docPr id="118" name="文本框 118"/>
                      <wp:cNvGraphicFramePr/>
                      <a:graphic xmlns:a="http://schemas.openxmlformats.org/drawingml/2006/main">
                        <a:graphicData uri="http://schemas.microsoft.com/office/word/2010/wordprocessingShape">
                          <wps:wsp>
                            <wps:cNvSpPr txBox="1"/>
                            <wps:spPr>
                              <a:xfrm>
                                <a:off x="0" y="0"/>
                                <a:ext cx="828040" cy="231140"/>
                              </a:xfrm>
                              <a:prstGeom prst="rect">
                                <a:avLst/>
                              </a:prstGeom>
                              <a:solidFill>
                                <a:srgbClr val="FFFFFF">
                                  <a:alpha val="2500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1AE74F84">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麟绛小学校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5pt;margin-top:120.4pt;height:18.2pt;width:65.2pt;z-index:251667456;mso-width-relative:page;mso-height-relative:page;" fillcolor="#FFFFFF" filled="t" stroked="f" coordsize="21600,21600" o:gfxdata="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ltYmNoAAAAL&#10;AQAADwAAAAAAAAABACAAAAAiAAAAZHJzL2Rvd25yZXYueG1sUEsBAhQAFAAAAAgAh07iQPzD09tT&#10;AgAAowQAAA4AAAAAAAAAAQAgAAAAKQEAAGRycy9lMm9Eb2MueG1sUEsFBgAAAAAGAAYAWQEAAO4F&#10;AAAAAA==&#10;">
                      <v:fill on="t" opacity="16384f" focussize="0,0"/>
                      <v:stroke on="f" weight="0.5pt"/>
                      <v:imagedata o:title=""/>
                      <o:lock v:ext="edit" aspectratio="f"/>
                      <v:textbox inset="0mm,0mm,0mm,0mm">
                        <w:txbxContent>
                          <w:p w14:paraId="1AE74F84">
                            <w:pPr>
                              <w:spacing w:line="240" w:lineRule="auto"/>
                              <w:rPr>
                                <w:rFonts w:hint="default" w:ascii="黑体" w:hAnsi="黑体" w:eastAsia="黑体" w:cs="黑体"/>
                                <w:color w:val="0000FF"/>
                                <w:lang w:val="en-US" w:eastAsia="zh-CN"/>
                              </w:rPr>
                            </w:pPr>
                            <w:r>
                              <w:rPr>
                                <w:rFonts w:hint="eastAsia" w:ascii="黑体" w:hAnsi="黑体" w:eastAsia="黑体" w:cs="黑体"/>
                                <w:color w:val="0000FF"/>
                                <w:lang w:val="en-US" w:eastAsia="zh-CN"/>
                              </w:rPr>
                              <w:t>麟绛小学校</w:t>
                            </w:r>
                          </w:p>
                        </w:txbxContent>
                      </v:textbox>
                    </v:shape>
                  </w:pict>
                </mc:Fallback>
              </mc:AlternateContent>
            </w:r>
            <w:r>
              <w:rPr>
                <w:rFonts w:hint="default"/>
                <w:color w:val="auto"/>
                <w:sz w:val="24"/>
              </w:rPr>
              <mc:AlternateContent>
                <mc:Choice Requires="wps">
                  <w:drawing>
                    <wp:anchor distT="0" distB="0" distL="114300" distR="114300" simplePos="0" relativeHeight="251665408" behindDoc="0" locked="0" layoutInCell="1" allowOverlap="1">
                      <wp:simplePos x="0" y="0"/>
                      <wp:positionH relativeFrom="column">
                        <wp:posOffset>3152140</wp:posOffset>
                      </wp:positionH>
                      <wp:positionV relativeFrom="paragraph">
                        <wp:posOffset>1228090</wp:posOffset>
                      </wp:positionV>
                      <wp:extent cx="266700" cy="361950"/>
                      <wp:effectExtent l="5080" t="3810" r="13970" b="15240"/>
                      <wp:wrapNone/>
                      <wp:docPr id="19" name="直接箭头连接符 19"/>
                      <wp:cNvGraphicFramePr/>
                      <a:graphic xmlns:a="http://schemas.openxmlformats.org/drawingml/2006/main">
                        <a:graphicData uri="http://schemas.microsoft.com/office/word/2010/wordprocessingShape">
                          <wps:wsp>
                            <wps:cNvCnPr/>
                            <wps:spPr>
                              <a:xfrm>
                                <a:off x="4232275" y="4765040"/>
                                <a:ext cx="266700" cy="3619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8.2pt;margin-top:96.7pt;height:28.5pt;width:21pt;z-index:251665408;mso-width-relative:page;mso-height-relative:page;" filled="f" stroked="t" coordsize="21600,21600" o:gfxdata="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GcOC2AAAAAsBAAAP&#10;AAAAAAAAAAEAIAAAACIAAABkcnMvZG93bnJldi54bWxQSwECFAAUAAAACACHTuJAc0KoBBgCAADx&#10;AwAADgAAAAAAAAABACAAAAAnAQAAZHJzL2Uyb0RvYy54bWxQSwUGAAAAAAYABgBZAQAAsQUAAAAA&#10;">
                      <v:fill on="f" focussize="0,0"/>
                      <v:stroke weight="1pt" color="#FF0000 [3204]" miterlimit="8" joinstyle="miter" endarrow="open"/>
                      <v:imagedata o:title=""/>
                      <o:lock v:ext="edit" aspectratio="f"/>
                    </v:shape>
                  </w:pict>
                </mc:Fallback>
              </mc:AlternateContent>
            </w:r>
            <w:r>
              <w:rPr>
                <w:rFonts w:hint="default"/>
                <w:color w:val="auto"/>
                <w:sz w:val="24"/>
              </w:rPr>
              <mc:AlternateContent>
                <mc:Choice Requires="wps">
                  <w:drawing>
                    <wp:anchor distT="0" distB="0" distL="114300" distR="114300" simplePos="0" relativeHeight="251664384" behindDoc="0" locked="0" layoutInCell="1" allowOverlap="1">
                      <wp:simplePos x="0" y="0"/>
                      <wp:positionH relativeFrom="column">
                        <wp:posOffset>2304415</wp:posOffset>
                      </wp:positionH>
                      <wp:positionV relativeFrom="paragraph">
                        <wp:posOffset>1237615</wp:posOffset>
                      </wp:positionV>
                      <wp:extent cx="847725" cy="323850"/>
                      <wp:effectExtent l="0" t="5715" r="9525" b="32385"/>
                      <wp:wrapNone/>
                      <wp:docPr id="17" name="直接箭头连接符 17"/>
                      <wp:cNvGraphicFramePr/>
                      <a:graphic xmlns:a="http://schemas.openxmlformats.org/drawingml/2006/main">
                        <a:graphicData uri="http://schemas.microsoft.com/office/word/2010/wordprocessingShape">
                          <wps:wsp>
                            <wps:cNvCnPr/>
                            <wps:spPr>
                              <a:xfrm flipH="1">
                                <a:off x="3384550" y="4774565"/>
                                <a:ext cx="847725" cy="3238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1.45pt;margin-top:97.45pt;height:25.5pt;width:66.75pt;z-index:251664384;mso-width-relative:page;mso-height-relative:page;" filled="f" stroked="t" coordsize="21600,21600" o:gfxdata="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xURu2AAA&#10;AAsBAAAPAAAAAAAAAAEAIAAAACIAAABkcnMvZG93bnJldi54bWxQSwECFAAUAAAACACHTuJAb7xq&#10;TB4CAAD7AwAADgAAAAAAAAABACAAAAAnAQAAZHJzL2Uyb0RvYy54bWxQSwUGAAAAAAYABgBZAQAA&#10;twUAAAAA&#10;">
                      <v:fill on="f" focussize="0,0"/>
                      <v:stroke weight="1pt" color="#FF0000 [3204]" miterlimit="8" joinstyle="miter" endarrow="open"/>
                      <v:imagedata o:title=""/>
                      <o:lock v:ext="edit" aspectratio="f"/>
                    </v:shape>
                  </w:pict>
                </mc:Fallback>
              </mc:AlternateContent>
            </w:r>
            <w:r>
              <w:rPr>
                <w:rFonts w:hint="eastAsia" w:ascii="宋体" w:hAnsi="宋体" w:eastAsia="宋体"/>
                <w:color w:val="auto"/>
                <w:szCs w:val="24"/>
                <w:lang w:eastAsia="zh-CN"/>
              </w:rPr>
              <w:drawing>
                <wp:inline distT="0" distB="0" distL="114300" distR="114300">
                  <wp:extent cx="4165600" cy="2343150"/>
                  <wp:effectExtent l="0" t="0" r="6350" b="0"/>
                  <wp:docPr id="5" name="图片 5" descr="DJI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JI_0130"/>
                          <pic:cNvPicPr>
                            <a:picLocks noChangeAspect="1"/>
                          </pic:cNvPicPr>
                        </pic:nvPicPr>
                        <pic:blipFill>
                          <a:blip r:embed="rId14"/>
                          <a:stretch>
                            <a:fillRect/>
                          </a:stretch>
                        </pic:blipFill>
                        <pic:spPr>
                          <a:xfrm>
                            <a:off x="0" y="0"/>
                            <a:ext cx="4165600" cy="2343150"/>
                          </a:xfrm>
                          <a:prstGeom prst="rect">
                            <a:avLst/>
                          </a:prstGeom>
                        </pic:spPr>
                      </pic:pic>
                    </a:graphicData>
                  </a:graphic>
                </wp:inline>
              </w:drawing>
            </w:r>
          </w:p>
        </w:tc>
        <w:tc>
          <w:tcPr>
            <w:tcW w:w="6826" w:type="dxa"/>
            <w:vAlign w:val="center"/>
          </w:tcPr>
          <w:p w14:paraId="1990FF6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olor w:val="auto"/>
                <w:szCs w:val="24"/>
                <w:lang w:eastAsia="zh-CN"/>
              </w:rPr>
            </w:pPr>
            <w:r>
              <w:rPr>
                <w:rFonts w:hint="eastAsia" w:ascii="宋体" w:hAnsi="宋体" w:eastAsia="宋体"/>
                <w:color w:val="auto"/>
                <w:szCs w:val="24"/>
                <w:lang w:eastAsia="zh-CN"/>
              </w:rPr>
              <w:drawing>
                <wp:inline distT="0" distB="0" distL="114300" distR="114300">
                  <wp:extent cx="4165600" cy="2343150"/>
                  <wp:effectExtent l="0" t="0" r="6350" b="0"/>
                  <wp:docPr id="6" name="图片 6" descr="DJI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125"/>
                          <pic:cNvPicPr>
                            <a:picLocks noChangeAspect="1"/>
                          </pic:cNvPicPr>
                        </pic:nvPicPr>
                        <pic:blipFill>
                          <a:blip r:embed="rId15"/>
                          <a:stretch>
                            <a:fillRect/>
                          </a:stretch>
                        </pic:blipFill>
                        <pic:spPr>
                          <a:xfrm>
                            <a:off x="0" y="0"/>
                            <a:ext cx="4165600" cy="2343150"/>
                          </a:xfrm>
                          <a:prstGeom prst="rect">
                            <a:avLst/>
                          </a:prstGeom>
                        </pic:spPr>
                      </pic:pic>
                    </a:graphicData>
                  </a:graphic>
                </wp:inline>
              </w:drawing>
            </w:r>
          </w:p>
        </w:tc>
      </w:tr>
      <w:tr w14:paraId="0256F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6" w:type="dxa"/>
            <w:vAlign w:val="center"/>
          </w:tcPr>
          <w:p w14:paraId="76BBB08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olor w:val="auto"/>
                <w:szCs w:val="24"/>
                <w:lang w:val="en-US" w:eastAsia="zh-CN"/>
              </w:rPr>
            </w:pPr>
            <w:r>
              <w:rPr>
                <w:rFonts w:hint="eastAsia" w:ascii="华文楷体" w:hAnsi="华文楷体" w:eastAsia="华文楷体" w:cs="华文楷体"/>
                <w:color w:val="auto"/>
                <w:szCs w:val="24"/>
                <w:lang w:val="en-US" w:eastAsia="zh-CN"/>
              </w:rPr>
              <w:t>麟绛小学部现状及麟绛西大街</w:t>
            </w:r>
          </w:p>
        </w:tc>
        <w:tc>
          <w:tcPr>
            <w:tcW w:w="6826" w:type="dxa"/>
            <w:vAlign w:val="center"/>
          </w:tcPr>
          <w:p w14:paraId="1970401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olor w:val="auto"/>
                <w:szCs w:val="24"/>
                <w:lang w:val="en-US" w:eastAsia="zh-CN"/>
              </w:rPr>
            </w:pPr>
            <w:r>
              <w:rPr>
                <w:rFonts w:hint="eastAsia" w:ascii="华文楷体" w:hAnsi="华文楷体" w:eastAsia="华文楷体" w:cs="华文楷体"/>
                <w:color w:val="auto"/>
                <w:szCs w:val="24"/>
                <w:lang w:val="en-US" w:eastAsia="zh-CN"/>
              </w:rPr>
              <w:t>场地北侧小区</w:t>
            </w:r>
          </w:p>
        </w:tc>
      </w:tr>
    </w:tbl>
    <w:p w14:paraId="7313CA74">
      <w:pPr>
        <w:adjustRightInd w:val="0"/>
        <w:snapToGrid w:val="0"/>
        <w:spacing w:line="288" w:lineRule="auto"/>
        <w:jc w:val="center"/>
        <w:rPr>
          <w:rFonts w:hint="eastAsia" w:ascii="宋体" w:hAnsi="宋体"/>
          <w:color w:val="auto"/>
          <w:sz w:val="36"/>
          <w:szCs w:val="36"/>
        </w:rPr>
        <w:sectPr>
          <w:footerReference r:id="rId7" w:type="default"/>
          <w:pgSz w:w="16838" w:h="11906" w:orient="landscape"/>
          <w:pgMar w:top="1531" w:right="1701" w:bottom="1531" w:left="1701" w:header="0" w:footer="0" w:gutter="0"/>
          <w:pgBorders>
            <w:top w:val="none" w:sz="0" w:space="0"/>
            <w:left w:val="none" w:sz="0" w:space="0"/>
            <w:bottom w:val="none" w:sz="0" w:space="0"/>
            <w:right w:val="none" w:sz="0" w:space="0"/>
          </w:pgBorders>
          <w:pgNumType w:start="1"/>
          <w:cols w:space="720" w:num="1"/>
          <w:docGrid w:linePitch="286" w:charSpace="0"/>
        </w:sectPr>
      </w:pPr>
    </w:p>
    <w:p w14:paraId="1339CE19">
      <w:pPr>
        <w:pStyle w:val="2"/>
        <w:numPr>
          <w:ilvl w:val="0"/>
          <w:numId w:val="0"/>
        </w:numPr>
        <w:jc w:val="center"/>
        <w:rPr>
          <w:rFonts w:hint="eastAsia" w:ascii="黑体" w:hAnsi="黑体" w:eastAsia="黑体" w:cs="黑体"/>
          <w:color w:val="auto"/>
        </w:rPr>
      </w:pPr>
      <w:bookmarkStart w:id="2" w:name="_Toc11839"/>
      <w:r>
        <w:rPr>
          <w:rFonts w:hint="eastAsia" w:ascii="黑体" w:hAnsi="黑体" w:eastAsia="黑体" w:cs="黑体"/>
          <w:color w:val="auto"/>
        </w:rPr>
        <w:t>一、建设项目基本情况</w:t>
      </w:r>
      <w:bookmarkEnd w:id="2"/>
    </w:p>
    <w:tbl>
      <w:tblPr>
        <w:tblStyle w:val="25"/>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84"/>
        <w:gridCol w:w="740"/>
        <w:gridCol w:w="2244"/>
        <w:gridCol w:w="2147"/>
        <w:gridCol w:w="3448"/>
        <w:gridCol w:w="11"/>
      </w:tblGrid>
      <w:tr w14:paraId="26055B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trPr>
        <w:tc>
          <w:tcPr>
            <w:tcW w:w="721" w:type="pct"/>
            <w:gridSpan w:val="2"/>
            <w:tcBorders>
              <w:tl2br w:val="nil"/>
              <w:tr2bl w:val="nil"/>
            </w:tcBorders>
            <w:vAlign w:val="center"/>
          </w:tcPr>
          <w:p w14:paraId="2BA43DEB">
            <w:pPr>
              <w:keepNext w:val="0"/>
              <w:keepLines w:val="0"/>
              <w:suppressLineNumbers w:val="0"/>
              <w:spacing w:before="0" w:beforeAutospacing="0" w:after="0" w:afterAutospacing="0" w:line="360" w:lineRule="exact"/>
              <w:ind w:left="0" w:right="0"/>
              <w:jc w:val="center"/>
              <w:rPr>
                <w:rFonts w:hint="default"/>
                <w:color w:val="auto"/>
              </w:rPr>
            </w:pPr>
            <w:r>
              <w:rPr>
                <w:rFonts w:hint="eastAsia"/>
                <w:color w:val="auto"/>
              </w:rPr>
              <w:t>建设项目名称</w:t>
            </w:r>
          </w:p>
        </w:tc>
        <w:tc>
          <w:tcPr>
            <w:tcW w:w="4272" w:type="pct"/>
            <w:gridSpan w:val="3"/>
            <w:tcBorders>
              <w:tl2br w:val="nil"/>
              <w:tr2bl w:val="nil"/>
            </w:tcBorders>
            <w:vAlign w:val="center"/>
          </w:tcPr>
          <w:p w14:paraId="56E839FC">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长治市屯留区麟绛小学校扩建初中部项目</w:t>
            </w:r>
          </w:p>
        </w:tc>
      </w:tr>
      <w:tr w14:paraId="61350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trPr>
        <w:tc>
          <w:tcPr>
            <w:tcW w:w="721" w:type="pct"/>
            <w:gridSpan w:val="2"/>
            <w:tcBorders>
              <w:tl2br w:val="nil"/>
              <w:tr2bl w:val="nil"/>
            </w:tcBorders>
            <w:vAlign w:val="center"/>
          </w:tcPr>
          <w:p w14:paraId="369AE19A">
            <w:pPr>
              <w:keepNext w:val="0"/>
              <w:keepLines w:val="0"/>
              <w:suppressLineNumbers w:val="0"/>
              <w:spacing w:before="0" w:beforeAutospacing="0" w:after="0" w:afterAutospacing="0" w:line="360" w:lineRule="exact"/>
              <w:ind w:left="0" w:right="0"/>
              <w:rPr>
                <w:rFonts w:hint="default"/>
                <w:color w:val="auto"/>
              </w:rPr>
            </w:pPr>
            <w:r>
              <w:rPr>
                <w:rFonts w:hint="eastAsia"/>
                <w:color w:val="auto"/>
              </w:rPr>
              <w:t>项目代码</w:t>
            </w:r>
          </w:p>
        </w:tc>
        <w:tc>
          <w:tcPr>
            <w:tcW w:w="4272" w:type="pct"/>
            <w:gridSpan w:val="3"/>
            <w:tcBorders>
              <w:tl2br w:val="nil"/>
              <w:tr2bl w:val="nil"/>
            </w:tcBorders>
            <w:vAlign w:val="center"/>
          </w:tcPr>
          <w:p w14:paraId="6ECD9E0B">
            <w:pPr>
              <w:keepNext w:val="0"/>
              <w:keepLines w:val="0"/>
              <w:suppressLineNumbers w:val="0"/>
              <w:spacing w:before="0" w:beforeAutospacing="0" w:after="0" w:afterAutospacing="0" w:line="360" w:lineRule="exact"/>
              <w:ind w:left="0" w:right="0"/>
              <w:jc w:val="center"/>
              <w:rPr>
                <w:rFonts w:hint="default"/>
                <w:color w:val="auto"/>
              </w:rPr>
            </w:pPr>
            <w:r>
              <w:rPr>
                <w:rFonts w:hint="eastAsia"/>
                <w:color w:val="auto"/>
                <w:lang w:val="en-US" w:eastAsia="zh-CN"/>
              </w:rPr>
              <w:t>2501-140405-89-01-868382</w:t>
            </w:r>
          </w:p>
        </w:tc>
      </w:tr>
      <w:tr w14:paraId="43516B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trPr>
        <w:tc>
          <w:tcPr>
            <w:tcW w:w="721" w:type="pct"/>
            <w:gridSpan w:val="2"/>
            <w:tcBorders>
              <w:tl2br w:val="nil"/>
              <w:tr2bl w:val="nil"/>
            </w:tcBorders>
            <w:vAlign w:val="center"/>
          </w:tcPr>
          <w:p w14:paraId="4A9AB847">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建设单位联系人</w:t>
            </w:r>
          </w:p>
        </w:tc>
        <w:tc>
          <w:tcPr>
            <w:tcW w:w="1223" w:type="pct"/>
            <w:tcBorders>
              <w:tl2br w:val="nil"/>
              <w:tr2bl w:val="nil"/>
            </w:tcBorders>
            <w:vAlign w:val="center"/>
          </w:tcPr>
          <w:p w14:paraId="2C9C570F">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孟晓东</w:t>
            </w:r>
          </w:p>
        </w:tc>
        <w:tc>
          <w:tcPr>
            <w:tcW w:w="1170" w:type="pct"/>
            <w:tcBorders>
              <w:tl2br w:val="nil"/>
              <w:tr2bl w:val="nil"/>
            </w:tcBorders>
            <w:vAlign w:val="center"/>
          </w:tcPr>
          <w:p w14:paraId="04C49712">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联系方式</w:t>
            </w:r>
          </w:p>
        </w:tc>
        <w:tc>
          <w:tcPr>
            <w:tcW w:w="1879" w:type="pct"/>
            <w:tcBorders>
              <w:tl2br w:val="nil"/>
              <w:tr2bl w:val="nil"/>
            </w:tcBorders>
            <w:vAlign w:val="center"/>
          </w:tcPr>
          <w:p w14:paraId="04E43EFF">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13734232578</w:t>
            </w:r>
          </w:p>
        </w:tc>
      </w:tr>
      <w:tr w14:paraId="445F48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8" w:hRule="atLeast"/>
        </w:trPr>
        <w:tc>
          <w:tcPr>
            <w:tcW w:w="721" w:type="pct"/>
            <w:gridSpan w:val="2"/>
            <w:tcBorders>
              <w:tl2br w:val="nil"/>
              <w:tr2bl w:val="nil"/>
            </w:tcBorders>
            <w:vAlign w:val="center"/>
          </w:tcPr>
          <w:p w14:paraId="259A61F8">
            <w:pPr>
              <w:keepNext w:val="0"/>
              <w:keepLines w:val="0"/>
              <w:suppressLineNumbers w:val="0"/>
              <w:spacing w:before="0" w:beforeAutospacing="0" w:after="0" w:afterAutospacing="0" w:line="360" w:lineRule="exact"/>
              <w:ind w:left="0" w:right="0"/>
              <w:jc w:val="both"/>
              <w:rPr>
                <w:rFonts w:hint="default"/>
                <w:color w:val="auto"/>
              </w:rPr>
            </w:pPr>
            <w:r>
              <w:rPr>
                <w:rFonts w:hint="eastAsia"/>
                <w:color w:val="auto"/>
              </w:rPr>
              <w:t>建设地点</w:t>
            </w:r>
          </w:p>
        </w:tc>
        <w:tc>
          <w:tcPr>
            <w:tcW w:w="4272" w:type="pct"/>
            <w:gridSpan w:val="3"/>
            <w:tcBorders>
              <w:tl2br w:val="nil"/>
              <w:tr2bl w:val="nil"/>
            </w:tcBorders>
            <w:vAlign w:val="center"/>
          </w:tcPr>
          <w:p w14:paraId="2EAD2B34">
            <w:pPr>
              <w:keepNext w:val="0"/>
              <w:keepLines w:val="0"/>
              <w:suppressLineNumbers w:val="0"/>
              <w:spacing w:before="0" w:beforeAutospacing="0" w:after="0" w:afterAutospacing="0" w:line="360" w:lineRule="exact"/>
              <w:ind w:left="0" w:right="0"/>
              <w:jc w:val="center"/>
              <w:rPr>
                <w:rFonts w:hint="default" w:eastAsia="宋体"/>
                <w:color w:val="auto"/>
                <w:szCs w:val="24"/>
                <w:lang w:val="en-US" w:eastAsia="zh-CN"/>
              </w:rPr>
            </w:pPr>
            <w:r>
              <w:rPr>
                <w:rFonts w:hint="eastAsia"/>
                <w:color w:val="auto"/>
                <w:szCs w:val="24"/>
                <w:lang w:val="en-US" w:eastAsia="zh-CN"/>
              </w:rPr>
              <w:t>长治市屯留区麟绛西大街206号麟绛西大街路南</w:t>
            </w:r>
          </w:p>
        </w:tc>
      </w:tr>
      <w:tr w14:paraId="6C1281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40" w:hRule="atLeast"/>
        </w:trPr>
        <w:tc>
          <w:tcPr>
            <w:tcW w:w="721" w:type="pct"/>
            <w:gridSpan w:val="2"/>
            <w:tcBorders>
              <w:tl2br w:val="nil"/>
              <w:tr2bl w:val="nil"/>
            </w:tcBorders>
            <w:vAlign w:val="center"/>
          </w:tcPr>
          <w:p w14:paraId="165A073D">
            <w:pPr>
              <w:keepNext w:val="0"/>
              <w:keepLines w:val="0"/>
              <w:suppressLineNumbers w:val="0"/>
              <w:spacing w:before="0" w:beforeAutospacing="0" w:after="0" w:afterAutospacing="0" w:line="360" w:lineRule="exact"/>
              <w:ind w:left="0" w:right="0"/>
              <w:rPr>
                <w:rFonts w:hint="default"/>
                <w:color w:val="auto"/>
              </w:rPr>
            </w:pPr>
            <w:r>
              <w:rPr>
                <w:rFonts w:hint="default"/>
                <w:color w:val="auto"/>
              </w:rPr>
              <w:t>地理坐标</w:t>
            </w:r>
          </w:p>
        </w:tc>
        <w:tc>
          <w:tcPr>
            <w:tcW w:w="4272" w:type="pct"/>
            <w:gridSpan w:val="3"/>
            <w:tcBorders>
              <w:tl2br w:val="nil"/>
              <w:tr2bl w:val="nil"/>
            </w:tcBorders>
            <w:vAlign w:val="center"/>
          </w:tcPr>
          <w:p w14:paraId="16D45D78">
            <w:pPr>
              <w:keepNext w:val="0"/>
              <w:keepLines w:val="0"/>
              <w:suppressLineNumbers w:val="0"/>
              <w:spacing w:before="0" w:beforeAutospacing="0" w:after="0" w:afterAutospacing="0" w:line="360" w:lineRule="exact"/>
              <w:ind w:left="0" w:right="0"/>
              <w:jc w:val="center"/>
              <w:rPr>
                <w:rFonts w:hint="default"/>
                <w:color w:val="auto"/>
                <w:sz w:val="21"/>
              </w:rPr>
            </w:pPr>
            <w:r>
              <w:rPr>
                <w:rFonts w:hint="eastAsia"/>
                <w:color w:val="auto"/>
                <w:sz w:val="24"/>
                <w:szCs w:val="24"/>
                <w:lang w:eastAsia="zh-CN"/>
              </w:rPr>
              <w:t>（</w:t>
            </w:r>
            <w:r>
              <w:rPr>
                <w:rFonts w:hint="eastAsia"/>
                <w:color w:val="auto"/>
                <w:sz w:val="24"/>
                <w:szCs w:val="24"/>
                <w:lang w:val="en-US" w:eastAsia="zh-CN"/>
              </w:rPr>
              <w:t>112度51分57.421秒，36度19分4.397秒</w:t>
            </w:r>
            <w:r>
              <w:rPr>
                <w:rFonts w:hint="eastAsia"/>
                <w:color w:val="auto"/>
                <w:sz w:val="24"/>
                <w:szCs w:val="24"/>
                <w:lang w:eastAsia="zh-CN"/>
              </w:rPr>
              <w:t>）</w:t>
            </w:r>
          </w:p>
        </w:tc>
      </w:tr>
      <w:tr w14:paraId="737764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508" w:hRule="atLeast"/>
        </w:trPr>
        <w:tc>
          <w:tcPr>
            <w:tcW w:w="721" w:type="pct"/>
            <w:gridSpan w:val="2"/>
            <w:tcBorders>
              <w:tl2br w:val="nil"/>
              <w:tr2bl w:val="nil"/>
            </w:tcBorders>
            <w:vAlign w:val="center"/>
          </w:tcPr>
          <w:p w14:paraId="1D0ACB67">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国民经济行业类别</w:t>
            </w:r>
          </w:p>
        </w:tc>
        <w:tc>
          <w:tcPr>
            <w:tcW w:w="1223" w:type="pct"/>
            <w:tcBorders>
              <w:tl2br w:val="nil"/>
              <w:tr2bl w:val="nil"/>
            </w:tcBorders>
            <w:vAlign w:val="center"/>
          </w:tcPr>
          <w:p w14:paraId="5BEE5E4F">
            <w:pPr>
              <w:keepNext w:val="0"/>
              <w:keepLines w:val="0"/>
              <w:suppressLineNumbers w:val="0"/>
              <w:spacing w:before="0" w:beforeAutospacing="0" w:after="0" w:afterAutospacing="0" w:line="360" w:lineRule="exact"/>
              <w:ind w:left="0" w:right="0"/>
              <w:jc w:val="center"/>
              <w:rPr>
                <w:rFonts w:hint="default"/>
                <w:color w:val="auto"/>
              </w:rPr>
            </w:pPr>
            <w:r>
              <w:rPr>
                <w:rFonts w:hint="default" w:ascii="Times New Roman" w:hAnsi="Times New Roman" w:eastAsia="Times New Roman" w:cs="Times New Roman"/>
                <w:color w:val="auto"/>
              </w:rPr>
              <w:t>P8331</w:t>
            </w:r>
            <w:r>
              <w:rPr>
                <w:rFonts w:hint="default"/>
                <w:color w:val="auto"/>
              </w:rPr>
              <w:t>普通初</w:t>
            </w:r>
            <w:r>
              <w:rPr>
                <w:rFonts w:hint="default"/>
                <w:color w:val="auto"/>
                <w:spacing w:val="-7"/>
              </w:rPr>
              <w:t>中教育</w:t>
            </w:r>
          </w:p>
        </w:tc>
        <w:tc>
          <w:tcPr>
            <w:tcW w:w="1170" w:type="pct"/>
            <w:tcBorders>
              <w:tl2br w:val="nil"/>
              <w:tr2bl w:val="nil"/>
            </w:tcBorders>
            <w:vAlign w:val="center"/>
          </w:tcPr>
          <w:p w14:paraId="62A4F15C">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建设项目</w:t>
            </w:r>
          </w:p>
          <w:p w14:paraId="6CCC4F81">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行业类别</w:t>
            </w:r>
          </w:p>
        </w:tc>
        <w:tc>
          <w:tcPr>
            <w:tcW w:w="1879" w:type="pct"/>
            <w:tcBorders>
              <w:tl2br w:val="nil"/>
              <w:tr2bl w:val="nil"/>
            </w:tcBorders>
            <w:vAlign w:val="center"/>
          </w:tcPr>
          <w:p w14:paraId="7512F614">
            <w:pPr>
              <w:keepNext w:val="0"/>
              <w:keepLines w:val="0"/>
              <w:suppressLineNumbers w:val="0"/>
              <w:spacing w:before="0" w:beforeAutospacing="0" w:after="0" w:afterAutospacing="0" w:line="360" w:lineRule="exact"/>
              <w:ind w:left="0" w:right="0"/>
              <w:rPr>
                <w:rFonts w:hint="default" w:eastAsia="宋体"/>
                <w:color w:val="auto"/>
                <w:szCs w:val="24"/>
                <w:lang w:val="en-US" w:eastAsia="zh-CN"/>
              </w:rPr>
            </w:pPr>
            <w:r>
              <w:rPr>
                <w:rFonts w:hint="default" w:eastAsia="宋体"/>
                <w:color w:val="auto"/>
                <w:szCs w:val="24"/>
                <w:lang w:val="en-US" w:eastAsia="zh-CN"/>
              </w:rPr>
              <w:t>五十、社会事业与服务业-110 学校、福利院、养老院（建筑面积5000平方米及以上）-有化学、生物实验室的学校</w:t>
            </w:r>
          </w:p>
        </w:tc>
      </w:tr>
      <w:tr w14:paraId="7D54E1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46690968">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zCs w:val="24"/>
              </w:rPr>
              <w:t>建设性质</w:t>
            </w:r>
          </w:p>
        </w:tc>
        <w:tc>
          <w:tcPr>
            <w:tcW w:w="1223" w:type="pct"/>
            <w:tcBorders>
              <w:tl2br w:val="nil"/>
              <w:tr2bl w:val="nil"/>
            </w:tcBorders>
            <w:vAlign w:val="center"/>
          </w:tcPr>
          <w:p w14:paraId="469AC51B">
            <w:pPr>
              <w:keepNext w:val="0"/>
              <w:keepLines w:val="0"/>
              <w:suppressLineNumbers w:val="0"/>
              <w:spacing w:before="0" w:beforeAutospacing="0" w:after="0" w:afterAutospacing="0" w:line="360" w:lineRule="exact"/>
              <w:ind w:left="0" w:right="0"/>
              <w:jc w:val="left"/>
              <w:rPr>
                <w:rFonts w:hint="default"/>
                <w:color w:val="auto"/>
                <w:szCs w:val="24"/>
              </w:rPr>
            </w:pPr>
            <w:r>
              <w:rPr>
                <w:rFonts w:hint="default"/>
                <w:color w:val="auto"/>
                <w:szCs w:val="24"/>
              </w:rPr>
              <w:sym w:font="Wingdings 2" w:char="00A3"/>
            </w:r>
            <w:r>
              <w:rPr>
                <w:rFonts w:hint="default"/>
                <w:color w:val="auto"/>
                <w:szCs w:val="24"/>
              </w:rPr>
              <w:t>新建（迁建）</w:t>
            </w:r>
          </w:p>
          <w:p w14:paraId="3A886CFC">
            <w:pPr>
              <w:keepNext w:val="0"/>
              <w:keepLines w:val="0"/>
              <w:suppressLineNumbers w:val="0"/>
              <w:spacing w:before="0" w:beforeAutospacing="0" w:after="0" w:afterAutospacing="0" w:line="360" w:lineRule="exact"/>
              <w:ind w:left="0" w:right="0"/>
              <w:jc w:val="left"/>
              <w:rPr>
                <w:rFonts w:hint="default"/>
                <w:color w:val="auto"/>
                <w:szCs w:val="24"/>
              </w:rPr>
            </w:pPr>
            <w:r>
              <w:rPr>
                <w:rFonts w:hint="eastAsia" w:ascii="宋体" w:hAnsi="宋体"/>
                <w:color w:val="auto"/>
                <w:szCs w:val="24"/>
              </w:rPr>
              <w:t>□</w:t>
            </w:r>
            <w:r>
              <w:rPr>
                <w:rFonts w:hint="default"/>
                <w:color w:val="auto"/>
                <w:szCs w:val="24"/>
              </w:rPr>
              <w:t>改建</w:t>
            </w:r>
          </w:p>
          <w:p w14:paraId="1EC9C0A9">
            <w:pPr>
              <w:keepNext w:val="0"/>
              <w:keepLines w:val="0"/>
              <w:suppressLineNumbers w:val="0"/>
              <w:spacing w:before="0" w:beforeAutospacing="0" w:after="0" w:afterAutospacing="0" w:line="360" w:lineRule="exact"/>
              <w:ind w:left="0" w:right="0"/>
              <w:jc w:val="left"/>
              <w:rPr>
                <w:rFonts w:hint="default"/>
                <w:color w:val="auto"/>
                <w:szCs w:val="24"/>
              </w:rPr>
            </w:pPr>
            <w:r>
              <w:rPr>
                <w:rFonts w:hint="eastAsia" w:ascii="宋体" w:hAnsi="宋体"/>
                <w:color w:val="auto"/>
                <w:szCs w:val="24"/>
                <w:lang w:eastAsia="zh-CN"/>
              </w:rPr>
              <w:t>☑</w:t>
            </w:r>
            <w:r>
              <w:rPr>
                <w:rFonts w:hint="default"/>
                <w:color w:val="auto"/>
                <w:szCs w:val="24"/>
              </w:rPr>
              <w:t>扩建</w:t>
            </w:r>
          </w:p>
          <w:p w14:paraId="3CF0E751">
            <w:pPr>
              <w:keepNext w:val="0"/>
              <w:keepLines w:val="0"/>
              <w:suppressLineNumbers w:val="0"/>
              <w:spacing w:before="0" w:beforeAutospacing="0" w:after="0" w:afterAutospacing="0" w:line="360" w:lineRule="exact"/>
              <w:ind w:left="0" w:right="0"/>
              <w:rPr>
                <w:rFonts w:hint="default"/>
                <w:color w:val="auto"/>
                <w:sz w:val="21"/>
              </w:rPr>
            </w:pPr>
            <w:r>
              <w:rPr>
                <w:rFonts w:hint="eastAsia" w:ascii="宋体" w:hAnsi="宋体"/>
                <w:color w:val="auto"/>
                <w:szCs w:val="24"/>
              </w:rPr>
              <w:t>□</w:t>
            </w:r>
            <w:r>
              <w:rPr>
                <w:rFonts w:hint="default"/>
                <w:color w:val="auto"/>
                <w:szCs w:val="24"/>
              </w:rPr>
              <w:t>技术改造</w:t>
            </w:r>
          </w:p>
        </w:tc>
        <w:tc>
          <w:tcPr>
            <w:tcW w:w="1170" w:type="pct"/>
            <w:tcBorders>
              <w:tl2br w:val="nil"/>
              <w:tr2bl w:val="nil"/>
            </w:tcBorders>
            <w:vAlign w:val="center"/>
          </w:tcPr>
          <w:p w14:paraId="00E6D2B1">
            <w:pPr>
              <w:keepNext w:val="0"/>
              <w:keepLines w:val="0"/>
              <w:suppressLineNumbers w:val="0"/>
              <w:spacing w:before="0" w:beforeAutospacing="0" w:after="0" w:afterAutospacing="0" w:line="360" w:lineRule="exact"/>
              <w:ind w:left="0" w:right="0"/>
              <w:jc w:val="center"/>
              <w:rPr>
                <w:rFonts w:hint="default"/>
                <w:color w:val="auto"/>
                <w:szCs w:val="24"/>
              </w:rPr>
            </w:pPr>
            <w:r>
              <w:rPr>
                <w:rFonts w:hint="default"/>
                <w:color w:val="auto"/>
                <w:szCs w:val="24"/>
              </w:rPr>
              <w:t>建设项目</w:t>
            </w:r>
          </w:p>
          <w:p w14:paraId="322D6F9F">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zCs w:val="24"/>
              </w:rPr>
              <w:t>申报情形</w:t>
            </w:r>
          </w:p>
        </w:tc>
        <w:tc>
          <w:tcPr>
            <w:tcW w:w="1879" w:type="pct"/>
            <w:tcBorders>
              <w:tl2br w:val="nil"/>
              <w:tr2bl w:val="nil"/>
            </w:tcBorders>
            <w:vAlign w:val="center"/>
          </w:tcPr>
          <w:p w14:paraId="141FFDC2">
            <w:pPr>
              <w:keepNext w:val="0"/>
              <w:keepLines w:val="0"/>
              <w:suppressLineNumbers w:val="0"/>
              <w:spacing w:before="0" w:beforeAutospacing="0" w:after="0" w:afterAutospacing="0" w:line="360" w:lineRule="exact"/>
              <w:ind w:left="0" w:right="0"/>
              <w:jc w:val="left"/>
              <w:rPr>
                <w:rFonts w:hint="eastAsia" w:ascii="宋体" w:hAnsi="宋体"/>
                <w:color w:val="auto"/>
                <w:szCs w:val="24"/>
              </w:rPr>
            </w:pPr>
            <w:r>
              <w:rPr>
                <w:rFonts w:hint="eastAsia" w:ascii="宋体" w:hAnsi="宋体"/>
                <w:color w:val="auto"/>
                <w:szCs w:val="24"/>
              </w:rPr>
              <w:sym w:font="Wingdings 2" w:char="F052"/>
            </w:r>
            <w:r>
              <w:rPr>
                <w:rFonts w:hint="eastAsia" w:ascii="宋体" w:hAnsi="宋体"/>
                <w:color w:val="auto"/>
                <w:szCs w:val="24"/>
              </w:rPr>
              <w:t>首次申报项目</w:t>
            </w:r>
          </w:p>
          <w:p w14:paraId="2A56B609">
            <w:pPr>
              <w:keepNext w:val="0"/>
              <w:keepLines w:val="0"/>
              <w:suppressLineNumbers w:val="0"/>
              <w:spacing w:before="0" w:beforeAutospacing="0" w:after="0" w:afterAutospacing="0" w:line="360" w:lineRule="exact"/>
              <w:ind w:left="0" w:right="0"/>
              <w:jc w:val="left"/>
              <w:rPr>
                <w:rFonts w:hint="eastAsia" w:ascii="宋体" w:hAnsi="宋体"/>
                <w:color w:val="auto"/>
                <w:szCs w:val="24"/>
              </w:rPr>
            </w:pPr>
            <w:r>
              <w:rPr>
                <w:rFonts w:hint="eastAsia" w:ascii="宋体" w:hAnsi="宋体"/>
                <w:color w:val="auto"/>
                <w:szCs w:val="24"/>
              </w:rPr>
              <w:t>□不予批准后再次申报项目</w:t>
            </w:r>
          </w:p>
          <w:p w14:paraId="5B923C17">
            <w:pPr>
              <w:keepNext w:val="0"/>
              <w:keepLines w:val="0"/>
              <w:suppressLineNumbers w:val="0"/>
              <w:spacing w:before="0" w:beforeAutospacing="0" w:after="0" w:afterAutospacing="0" w:line="360" w:lineRule="exact"/>
              <w:ind w:left="0" w:right="0"/>
              <w:jc w:val="left"/>
              <w:rPr>
                <w:rFonts w:hint="eastAsia" w:ascii="宋体" w:hAnsi="宋体"/>
                <w:color w:val="auto"/>
                <w:szCs w:val="24"/>
              </w:rPr>
            </w:pPr>
            <w:r>
              <w:rPr>
                <w:rFonts w:hint="eastAsia" w:ascii="宋体" w:hAnsi="宋体"/>
                <w:color w:val="auto"/>
                <w:szCs w:val="24"/>
              </w:rPr>
              <w:t xml:space="preserve">□超五年重新审核项目 </w:t>
            </w:r>
          </w:p>
          <w:p w14:paraId="1418251F">
            <w:pPr>
              <w:keepNext w:val="0"/>
              <w:keepLines w:val="0"/>
              <w:suppressLineNumbers w:val="0"/>
              <w:spacing w:before="0" w:beforeAutospacing="0" w:after="0" w:afterAutospacing="0" w:line="360" w:lineRule="exact"/>
              <w:ind w:left="0" w:right="0"/>
              <w:rPr>
                <w:rFonts w:hint="default"/>
                <w:color w:val="auto"/>
                <w:sz w:val="21"/>
              </w:rPr>
            </w:pPr>
            <w:r>
              <w:rPr>
                <w:rFonts w:hint="eastAsia" w:ascii="宋体" w:hAnsi="宋体"/>
                <w:color w:val="auto"/>
                <w:szCs w:val="24"/>
              </w:rPr>
              <w:t>□重大变动重新报批项目</w:t>
            </w:r>
          </w:p>
        </w:tc>
      </w:tr>
      <w:tr w14:paraId="6E64AE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3C5B6056">
            <w:pPr>
              <w:keepNext w:val="0"/>
              <w:keepLines w:val="0"/>
              <w:suppressLineNumbers w:val="0"/>
              <w:spacing w:before="0" w:beforeAutospacing="0" w:after="0" w:afterAutospacing="0" w:line="360" w:lineRule="exact"/>
              <w:ind w:left="0" w:right="0"/>
              <w:jc w:val="center"/>
              <w:rPr>
                <w:rFonts w:hint="default"/>
                <w:color w:val="auto"/>
                <w:szCs w:val="24"/>
              </w:rPr>
            </w:pPr>
            <w:r>
              <w:rPr>
                <w:rFonts w:hint="default"/>
                <w:color w:val="auto"/>
                <w:szCs w:val="24"/>
              </w:rPr>
              <w:t>项目审批（核准/备案）部门（选填）</w:t>
            </w:r>
          </w:p>
        </w:tc>
        <w:tc>
          <w:tcPr>
            <w:tcW w:w="1223" w:type="pct"/>
            <w:tcBorders>
              <w:tl2br w:val="nil"/>
              <w:tr2bl w:val="nil"/>
            </w:tcBorders>
            <w:vAlign w:val="center"/>
          </w:tcPr>
          <w:p w14:paraId="188B9AB0">
            <w:pPr>
              <w:keepNext w:val="0"/>
              <w:keepLines w:val="0"/>
              <w:suppressLineNumbers w:val="0"/>
              <w:spacing w:before="0" w:beforeAutospacing="0" w:after="0" w:afterAutospacing="0" w:line="360" w:lineRule="exact"/>
              <w:ind w:left="0" w:right="0"/>
              <w:jc w:val="center"/>
              <w:rPr>
                <w:rFonts w:hint="default" w:eastAsia="宋体"/>
                <w:color w:val="auto"/>
                <w:sz w:val="21"/>
                <w:lang w:val="en-US" w:eastAsia="zh-CN"/>
              </w:rPr>
            </w:pPr>
            <w:r>
              <w:rPr>
                <w:rFonts w:hint="eastAsia"/>
                <w:color w:val="auto"/>
                <w:sz w:val="24"/>
                <w:szCs w:val="24"/>
                <w:lang w:val="en-US" w:eastAsia="zh-CN"/>
              </w:rPr>
              <w:t>长治市屯留区发展改革和科学技术局</w:t>
            </w:r>
          </w:p>
        </w:tc>
        <w:tc>
          <w:tcPr>
            <w:tcW w:w="1170" w:type="pct"/>
            <w:tcBorders>
              <w:tl2br w:val="nil"/>
              <w:tr2bl w:val="nil"/>
            </w:tcBorders>
            <w:vAlign w:val="center"/>
          </w:tcPr>
          <w:p w14:paraId="3EBA0471">
            <w:pPr>
              <w:keepNext w:val="0"/>
              <w:keepLines w:val="0"/>
              <w:suppressLineNumbers w:val="0"/>
              <w:spacing w:before="0" w:beforeAutospacing="0" w:after="0" w:afterAutospacing="0" w:line="360" w:lineRule="exact"/>
              <w:ind w:left="0" w:right="0"/>
              <w:rPr>
                <w:rFonts w:hint="default"/>
                <w:color w:val="auto"/>
                <w:szCs w:val="24"/>
              </w:rPr>
            </w:pPr>
            <w:r>
              <w:rPr>
                <w:rFonts w:hint="default"/>
                <w:color w:val="auto"/>
                <w:szCs w:val="24"/>
              </w:rPr>
              <w:t>项目审批（核准/备案）文号（选填）</w:t>
            </w:r>
          </w:p>
        </w:tc>
        <w:tc>
          <w:tcPr>
            <w:tcW w:w="1879" w:type="pct"/>
            <w:tcBorders>
              <w:tl2br w:val="nil"/>
              <w:tr2bl w:val="nil"/>
            </w:tcBorders>
            <w:vAlign w:val="center"/>
          </w:tcPr>
          <w:p w14:paraId="014926DD">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sz w:val="24"/>
                <w:szCs w:val="24"/>
                <w:lang w:val="en-US" w:eastAsia="zh-CN"/>
              </w:rPr>
              <w:t>屯发改审发[2025]5号</w:t>
            </w:r>
          </w:p>
        </w:tc>
      </w:tr>
      <w:tr w14:paraId="54213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6038E6CB">
            <w:pPr>
              <w:keepNext w:val="0"/>
              <w:keepLines w:val="0"/>
              <w:suppressLineNumbers w:val="0"/>
              <w:spacing w:before="0" w:beforeAutospacing="0" w:after="0" w:afterAutospacing="0" w:line="360" w:lineRule="exact"/>
              <w:ind w:left="0" w:right="0"/>
              <w:jc w:val="center"/>
              <w:rPr>
                <w:rFonts w:hint="default"/>
                <w:color w:val="auto"/>
                <w:szCs w:val="24"/>
              </w:rPr>
            </w:pPr>
            <w:r>
              <w:rPr>
                <w:rFonts w:hint="default"/>
                <w:color w:val="auto"/>
                <w:szCs w:val="24"/>
              </w:rPr>
              <w:t>总投资</w:t>
            </w:r>
          </w:p>
          <w:p w14:paraId="2788140A">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zCs w:val="24"/>
              </w:rPr>
              <w:t>（万元）</w:t>
            </w:r>
          </w:p>
        </w:tc>
        <w:tc>
          <w:tcPr>
            <w:tcW w:w="1223" w:type="pct"/>
            <w:tcBorders>
              <w:tl2br w:val="nil"/>
              <w:tr2bl w:val="nil"/>
            </w:tcBorders>
            <w:vAlign w:val="center"/>
          </w:tcPr>
          <w:p w14:paraId="2A757C0E">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7290.35</w:t>
            </w:r>
          </w:p>
        </w:tc>
        <w:tc>
          <w:tcPr>
            <w:tcW w:w="1170" w:type="pct"/>
            <w:tcBorders>
              <w:tl2br w:val="nil"/>
              <w:tr2bl w:val="nil"/>
            </w:tcBorders>
            <w:vAlign w:val="center"/>
          </w:tcPr>
          <w:p w14:paraId="7824F64E">
            <w:pPr>
              <w:keepNext w:val="0"/>
              <w:keepLines w:val="0"/>
              <w:suppressLineNumbers w:val="0"/>
              <w:spacing w:before="0" w:beforeAutospacing="0" w:after="0" w:afterAutospacing="0" w:line="360" w:lineRule="exact"/>
              <w:ind w:left="0" w:right="0"/>
              <w:jc w:val="center"/>
              <w:rPr>
                <w:rFonts w:hint="default"/>
                <w:color w:val="auto"/>
                <w:szCs w:val="24"/>
              </w:rPr>
            </w:pPr>
            <w:r>
              <w:rPr>
                <w:rFonts w:hint="default"/>
                <w:color w:val="auto"/>
                <w:szCs w:val="24"/>
              </w:rPr>
              <w:t>环保投资</w:t>
            </w:r>
          </w:p>
          <w:p w14:paraId="3D0A0AA4">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zCs w:val="24"/>
              </w:rPr>
              <w:t>（万元）</w:t>
            </w:r>
          </w:p>
        </w:tc>
        <w:tc>
          <w:tcPr>
            <w:tcW w:w="1879" w:type="pct"/>
            <w:tcBorders>
              <w:tl2br w:val="nil"/>
              <w:tr2bl w:val="nil"/>
            </w:tcBorders>
            <w:vAlign w:val="center"/>
          </w:tcPr>
          <w:p w14:paraId="45471C9B">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20</w:t>
            </w:r>
          </w:p>
        </w:tc>
      </w:tr>
      <w:tr w14:paraId="112594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193F73A5">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szCs w:val="24"/>
              </w:rPr>
              <w:t>环保投资占比（%）</w:t>
            </w:r>
          </w:p>
        </w:tc>
        <w:tc>
          <w:tcPr>
            <w:tcW w:w="1223" w:type="pct"/>
            <w:tcBorders>
              <w:tl2br w:val="nil"/>
              <w:tr2bl w:val="nil"/>
            </w:tcBorders>
            <w:vAlign w:val="center"/>
          </w:tcPr>
          <w:p w14:paraId="32444461">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0.27</w:t>
            </w:r>
          </w:p>
        </w:tc>
        <w:tc>
          <w:tcPr>
            <w:tcW w:w="1170" w:type="pct"/>
            <w:tcBorders>
              <w:tl2br w:val="nil"/>
              <w:tr2bl w:val="nil"/>
            </w:tcBorders>
            <w:vAlign w:val="center"/>
          </w:tcPr>
          <w:p w14:paraId="00000300">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zCs w:val="24"/>
              </w:rPr>
              <w:t>施工工期</w:t>
            </w:r>
          </w:p>
        </w:tc>
        <w:tc>
          <w:tcPr>
            <w:tcW w:w="1879" w:type="pct"/>
            <w:tcBorders>
              <w:tl2br w:val="nil"/>
              <w:tr2bl w:val="nil"/>
            </w:tcBorders>
            <w:vAlign w:val="center"/>
          </w:tcPr>
          <w:p w14:paraId="1B7FCE99">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18个月</w:t>
            </w:r>
          </w:p>
        </w:tc>
      </w:tr>
      <w:tr w14:paraId="698986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69CD666F">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zCs w:val="24"/>
              </w:rPr>
              <w:t>是否开工建设</w:t>
            </w:r>
          </w:p>
        </w:tc>
        <w:tc>
          <w:tcPr>
            <w:tcW w:w="1223" w:type="pct"/>
            <w:tcBorders>
              <w:tl2br w:val="nil"/>
              <w:tr2bl w:val="nil"/>
            </w:tcBorders>
            <w:vAlign w:val="center"/>
          </w:tcPr>
          <w:p w14:paraId="07DFA358">
            <w:pPr>
              <w:keepNext w:val="0"/>
              <w:keepLines w:val="0"/>
              <w:suppressLineNumbers w:val="0"/>
              <w:spacing w:before="0" w:beforeAutospacing="0" w:after="0" w:afterAutospacing="0" w:line="360" w:lineRule="exact"/>
              <w:ind w:left="0" w:right="0"/>
              <w:rPr>
                <w:rFonts w:hint="default"/>
                <w:color w:val="auto"/>
                <w:szCs w:val="24"/>
              </w:rPr>
            </w:pPr>
            <w:r>
              <w:rPr>
                <w:rFonts w:hint="default"/>
                <w:color w:val="auto"/>
                <w:szCs w:val="24"/>
              </w:rPr>
              <w:sym w:font="Wingdings 2" w:char="F052"/>
            </w:r>
            <w:r>
              <w:rPr>
                <w:rFonts w:hint="default"/>
                <w:color w:val="auto"/>
                <w:szCs w:val="24"/>
              </w:rPr>
              <w:t>否</w:t>
            </w:r>
          </w:p>
          <w:p w14:paraId="298A137A">
            <w:pPr>
              <w:keepNext w:val="0"/>
              <w:keepLines w:val="0"/>
              <w:suppressLineNumbers w:val="0"/>
              <w:spacing w:before="0" w:beforeAutospacing="0" w:after="0" w:afterAutospacing="0" w:line="360" w:lineRule="exact"/>
              <w:ind w:left="0" w:right="0"/>
              <w:rPr>
                <w:rFonts w:hint="default"/>
                <w:color w:val="auto"/>
                <w:sz w:val="21"/>
              </w:rPr>
            </w:pPr>
            <w:r>
              <w:rPr>
                <w:rFonts w:hint="eastAsia" w:ascii="宋体" w:hAnsi="宋体"/>
                <w:color w:val="auto"/>
                <w:szCs w:val="24"/>
              </w:rPr>
              <w:t>□</w:t>
            </w:r>
            <w:r>
              <w:rPr>
                <w:rFonts w:hint="default"/>
                <w:color w:val="auto"/>
                <w:szCs w:val="24"/>
              </w:rPr>
              <w:t>是：</w:t>
            </w:r>
            <w:r>
              <w:rPr>
                <w:rFonts w:hint="default"/>
                <w:color w:val="auto"/>
                <w:szCs w:val="24"/>
                <w:u w:val="single"/>
              </w:rPr>
              <w:t xml:space="preserve">             </w:t>
            </w:r>
          </w:p>
        </w:tc>
        <w:tc>
          <w:tcPr>
            <w:tcW w:w="1170" w:type="pct"/>
            <w:tcBorders>
              <w:tl2br w:val="nil"/>
              <w:tr2bl w:val="nil"/>
            </w:tcBorders>
            <w:vAlign w:val="center"/>
          </w:tcPr>
          <w:p w14:paraId="311A051D">
            <w:pPr>
              <w:keepNext w:val="0"/>
              <w:keepLines w:val="0"/>
              <w:suppressLineNumbers w:val="0"/>
              <w:spacing w:before="0" w:beforeAutospacing="0" w:after="0" w:afterAutospacing="0" w:line="360" w:lineRule="exact"/>
              <w:ind w:left="0" w:right="0"/>
              <w:jc w:val="center"/>
              <w:rPr>
                <w:rFonts w:hint="default"/>
                <w:color w:val="auto"/>
                <w:spacing w:val="-6"/>
                <w:szCs w:val="24"/>
              </w:rPr>
            </w:pPr>
            <w:r>
              <w:rPr>
                <w:rFonts w:hint="default"/>
                <w:color w:val="auto"/>
                <w:spacing w:val="-6"/>
                <w:szCs w:val="24"/>
              </w:rPr>
              <w:t>用地（用海）</w:t>
            </w:r>
          </w:p>
          <w:p w14:paraId="4E43028D">
            <w:pPr>
              <w:keepNext w:val="0"/>
              <w:keepLines w:val="0"/>
              <w:suppressLineNumbers w:val="0"/>
              <w:spacing w:before="0" w:beforeAutospacing="0" w:after="0" w:afterAutospacing="0" w:line="360" w:lineRule="exact"/>
              <w:ind w:left="0" w:right="0"/>
              <w:jc w:val="center"/>
              <w:rPr>
                <w:rFonts w:hint="default"/>
                <w:color w:val="auto"/>
                <w:sz w:val="21"/>
              </w:rPr>
            </w:pPr>
            <w:r>
              <w:rPr>
                <w:rFonts w:hint="default"/>
                <w:color w:val="auto"/>
                <w:spacing w:val="-6"/>
                <w:szCs w:val="24"/>
              </w:rPr>
              <w:t>面积（m</w:t>
            </w:r>
            <w:r>
              <w:rPr>
                <w:rFonts w:hint="default"/>
                <w:color w:val="auto"/>
                <w:spacing w:val="-6"/>
                <w:szCs w:val="24"/>
                <w:vertAlign w:val="superscript"/>
              </w:rPr>
              <w:t>2</w:t>
            </w:r>
            <w:r>
              <w:rPr>
                <w:rFonts w:hint="default"/>
                <w:color w:val="auto"/>
                <w:spacing w:val="-6"/>
                <w:szCs w:val="24"/>
              </w:rPr>
              <w:t>）</w:t>
            </w:r>
          </w:p>
        </w:tc>
        <w:tc>
          <w:tcPr>
            <w:tcW w:w="1879" w:type="pct"/>
            <w:tcBorders>
              <w:tl2br w:val="nil"/>
              <w:tr2bl w:val="nil"/>
            </w:tcBorders>
            <w:vAlign w:val="center"/>
          </w:tcPr>
          <w:p w14:paraId="7BC5ACF7">
            <w:pPr>
              <w:keepNext w:val="0"/>
              <w:keepLines w:val="0"/>
              <w:suppressLineNumbers w:val="0"/>
              <w:spacing w:before="0" w:beforeAutospacing="0" w:after="0" w:afterAutospacing="0" w:line="360" w:lineRule="exact"/>
              <w:ind w:left="0" w:right="0"/>
              <w:jc w:val="center"/>
              <w:rPr>
                <w:rFonts w:hint="default" w:eastAsia="宋体"/>
                <w:color w:val="auto"/>
                <w:lang w:val="en-US" w:eastAsia="zh-CN"/>
              </w:rPr>
            </w:pPr>
            <w:r>
              <w:rPr>
                <w:rFonts w:hint="eastAsia"/>
                <w:color w:val="auto"/>
                <w:lang w:val="en-US" w:eastAsia="zh-CN"/>
              </w:rPr>
              <w:t>11421.64（折合17.13亩）</w:t>
            </w:r>
          </w:p>
        </w:tc>
      </w:tr>
      <w:tr w14:paraId="734888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5BF7DA65">
            <w:pPr>
              <w:keepNext w:val="0"/>
              <w:keepLines w:val="0"/>
              <w:suppressLineNumbers w:val="0"/>
              <w:spacing w:before="0" w:beforeAutospacing="0" w:after="0" w:afterAutospacing="0" w:line="360" w:lineRule="exact"/>
              <w:ind w:left="0" w:right="0"/>
              <w:jc w:val="center"/>
              <w:rPr>
                <w:rFonts w:hint="default"/>
                <w:color w:val="auto"/>
                <w:sz w:val="21"/>
              </w:rPr>
            </w:pPr>
            <w:r>
              <w:rPr>
                <w:rFonts w:hint="eastAsia" w:ascii="宋体" w:hAnsi="宋体"/>
                <w:color w:val="auto"/>
                <w:kern w:val="0"/>
                <w:szCs w:val="24"/>
              </w:rPr>
              <w:t>专项评价设置情况</w:t>
            </w:r>
          </w:p>
        </w:tc>
        <w:tc>
          <w:tcPr>
            <w:tcW w:w="4272" w:type="pct"/>
            <w:gridSpan w:val="3"/>
            <w:tcBorders>
              <w:tl2br w:val="nil"/>
              <w:tr2bl w:val="nil"/>
            </w:tcBorders>
            <w:vAlign w:val="center"/>
          </w:tcPr>
          <w:p w14:paraId="4E822EC1">
            <w:pPr>
              <w:keepNext w:val="0"/>
              <w:keepLines w:val="0"/>
              <w:suppressLineNumbers w:val="0"/>
              <w:spacing w:before="0" w:beforeAutospacing="0" w:after="0" w:afterAutospacing="0" w:line="440" w:lineRule="exact"/>
              <w:ind w:left="0" w:right="0"/>
              <w:jc w:val="center"/>
              <w:rPr>
                <w:rFonts w:hint="default"/>
                <w:color w:val="auto"/>
              </w:rPr>
            </w:pPr>
            <w:r>
              <w:rPr>
                <w:rFonts w:hint="eastAsia"/>
                <w:color w:val="auto"/>
              </w:rPr>
              <w:t>无</w:t>
            </w:r>
          </w:p>
        </w:tc>
      </w:tr>
      <w:tr w14:paraId="16FDF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4" w:hRule="atLeast"/>
        </w:trPr>
        <w:tc>
          <w:tcPr>
            <w:tcW w:w="721" w:type="pct"/>
            <w:gridSpan w:val="2"/>
            <w:tcBorders>
              <w:tl2br w:val="nil"/>
              <w:tr2bl w:val="nil"/>
            </w:tcBorders>
            <w:vAlign w:val="center"/>
          </w:tcPr>
          <w:p w14:paraId="40B0BB54">
            <w:pPr>
              <w:keepNext w:val="0"/>
              <w:keepLines w:val="0"/>
              <w:suppressLineNumbers w:val="0"/>
              <w:spacing w:before="0" w:beforeAutospacing="0" w:after="0" w:afterAutospacing="0" w:line="360" w:lineRule="exact"/>
              <w:ind w:left="0" w:right="0"/>
              <w:jc w:val="center"/>
              <w:rPr>
                <w:rFonts w:hint="default"/>
                <w:color w:val="auto"/>
                <w:sz w:val="21"/>
              </w:rPr>
            </w:pPr>
            <w:r>
              <w:rPr>
                <w:rFonts w:hint="eastAsia" w:ascii="宋体" w:hAnsi="宋体"/>
                <w:color w:val="auto"/>
                <w:szCs w:val="24"/>
              </w:rPr>
              <w:t>规划情况</w:t>
            </w:r>
          </w:p>
        </w:tc>
        <w:tc>
          <w:tcPr>
            <w:tcW w:w="4272" w:type="pct"/>
            <w:gridSpan w:val="3"/>
            <w:tcBorders>
              <w:tl2br w:val="nil"/>
              <w:tr2bl w:val="nil"/>
            </w:tcBorders>
            <w:vAlign w:val="center"/>
          </w:tcPr>
          <w:p w14:paraId="64291455">
            <w:pPr>
              <w:keepNext w:val="0"/>
              <w:keepLines w:val="0"/>
              <w:suppressLineNumbers w:val="0"/>
              <w:spacing w:before="0" w:beforeAutospacing="0" w:after="0" w:afterAutospacing="0" w:line="360" w:lineRule="auto"/>
              <w:ind w:left="0" w:right="0"/>
              <w:jc w:val="center"/>
              <w:rPr>
                <w:rFonts w:hint="eastAsia" w:eastAsia="宋体"/>
                <w:color w:val="auto"/>
                <w:lang w:val="en-US" w:eastAsia="zh-CN"/>
              </w:rPr>
            </w:pPr>
            <w:r>
              <w:rPr>
                <w:rFonts w:hint="eastAsia"/>
                <w:color w:val="auto"/>
                <w:lang w:val="en-US" w:eastAsia="zh-CN"/>
              </w:rPr>
              <w:t>无</w:t>
            </w:r>
          </w:p>
        </w:tc>
      </w:tr>
      <w:tr w14:paraId="67D55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567" w:hRule="atLeast"/>
        </w:trPr>
        <w:tc>
          <w:tcPr>
            <w:tcW w:w="721" w:type="pct"/>
            <w:gridSpan w:val="2"/>
            <w:tcBorders>
              <w:tl2br w:val="nil"/>
              <w:tr2bl w:val="nil"/>
            </w:tcBorders>
            <w:vAlign w:val="center"/>
          </w:tcPr>
          <w:p w14:paraId="6511B1E2">
            <w:pPr>
              <w:keepNext w:val="0"/>
              <w:keepLines w:val="0"/>
              <w:suppressLineNumbers w:val="0"/>
              <w:spacing w:before="0" w:beforeAutospacing="0" w:after="0" w:afterAutospacing="0" w:line="360" w:lineRule="exact"/>
              <w:ind w:left="0" w:right="0"/>
              <w:jc w:val="center"/>
              <w:rPr>
                <w:rFonts w:hint="eastAsia" w:ascii="宋体" w:hAnsi="宋体"/>
                <w:color w:val="auto"/>
                <w:szCs w:val="24"/>
              </w:rPr>
            </w:pPr>
            <w:r>
              <w:rPr>
                <w:rFonts w:hint="eastAsia" w:ascii="宋体" w:hAnsi="宋体"/>
                <w:color w:val="auto"/>
                <w:szCs w:val="24"/>
              </w:rPr>
              <w:t>规划环境影响评价情况</w:t>
            </w:r>
          </w:p>
        </w:tc>
        <w:tc>
          <w:tcPr>
            <w:tcW w:w="4272" w:type="pct"/>
            <w:gridSpan w:val="3"/>
            <w:tcBorders>
              <w:tl2br w:val="nil"/>
              <w:tr2bl w:val="nil"/>
            </w:tcBorders>
            <w:vAlign w:val="center"/>
          </w:tcPr>
          <w:p w14:paraId="1B560A98">
            <w:pPr>
              <w:keepNext w:val="0"/>
              <w:keepLines w:val="0"/>
              <w:suppressLineNumbers w:val="0"/>
              <w:spacing w:before="0" w:beforeAutospacing="0" w:after="0" w:afterAutospacing="0" w:line="360" w:lineRule="auto"/>
              <w:ind w:left="0" w:right="0"/>
              <w:jc w:val="center"/>
              <w:rPr>
                <w:rFonts w:hint="eastAsia" w:eastAsia="宋体"/>
                <w:color w:val="auto"/>
                <w:lang w:val="en-US" w:eastAsia="zh-CN"/>
              </w:rPr>
            </w:pPr>
            <w:r>
              <w:rPr>
                <w:rFonts w:hint="eastAsia"/>
                <w:color w:val="auto"/>
                <w:lang w:val="en-US" w:eastAsia="zh-CN"/>
              </w:rPr>
              <w:t>无</w:t>
            </w:r>
          </w:p>
        </w:tc>
      </w:tr>
      <w:tr w14:paraId="0BDAFA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trPr>
        <w:tc>
          <w:tcPr>
            <w:tcW w:w="721" w:type="pct"/>
            <w:gridSpan w:val="2"/>
            <w:tcBorders>
              <w:tl2br w:val="nil"/>
              <w:tr2bl w:val="nil"/>
            </w:tcBorders>
            <w:vAlign w:val="center"/>
          </w:tcPr>
          <w:p w14:paraId="7E4A8ACA">
            <w:pPr>
              <w:keepNext w:val="0"/>
              <w:keepLines w:val="0"/>
              <w:suppressLineNumbers w:val="0"/>
              <w:spacing w:before="0" w:beforeAutospacing="0" w:after="0" w:afterAutospacing="0" w:line="360" w:lineRule="exact"/>
              <w:ind w:left="0" w:right="0"/>
              <w:rPr>
                <w:rFonts w:hint="default"/>
                <w:color w:val="auto"/>
                <w:sz w:val="21"/>
              </w:rPr>
            </w:pPr>
            <w:r>
              <w:rPr>
                <w:rFonts w:hint="eastAsia" w:ascii="宋体" w:hAnsi="宋体"/>
                <w:color w:val="auto"/>
                <w:kern w:val="0"/>
                <w:szCs w:val="24"/>
              </w:rPr>
              <w:t>规划及规划环境影响评价符合性分析</w:t>
            </w:r>
          </w:p>
        </w:tc>
        <w:tc>
          <w:tcPr>
            <w:tcW w:w="4272" w:type="pct"/>
            <w:gridSpan w:val="3"/>
            <w:tcBorders>
              <w:tl2br w:val="nil"/>
              <w:tr2bl w:val="nil"/>
            </w:tcBorders>
            <w:vAlign w:val="center"/>
          </w:tcPr>
          <w:p w14:paraId="32DF7690">
            <w:pPr>
              <w:keepNext w:val="0"/>
              <w:keepLines w:val="0"/>
              <w:suppressLineNumbers w:val="0"/>
              <w:spacing w:before="0" w:beforeAutospacing="0" w:after="0" w:afterAutospacing="0" w:line="360" w:lineRule="auto"/>
              <w:ind w:left="0" w:right="0" w:firstLine="480" w:firstLineChars="200"/>
              <w:rPr>
                <w:rFonts w:hint="default"/>
                <w:color w:val="auto"/>
              </w:rPr>
            </w:pPr>
          </w:p>
          <w:p w14:paraId="66EA7949">
            <w:pPr>
              <w:keepNext w:val="0"/>
              <w:keepLines w:val="0"/>
              <w:suppressLineNumbers w:val="0"/>
              <w:spacing w:before="0" w:beforeAutospacing="0" w:after="0" w:afterAutospacing="0" w:line="360" w:lineRule="auto"/>
              <w:ind w:left="0" w:right="0"/>
              <w:jc w:val="center"/>
              <w:rPr>
                <w:rFonts w:hint="eastAsia" w:eastAsia="宋体"/>
                <w:color w:val="auto"/>
                <w:lang w:val="en-US" w:eastAsia="zh-CN"/>
              </w:rPr>
            </w:pPr>
            <w:r>
              <w:rPr>
                <w:rFonts w:hint="eastAsia"/>
                <w:color w:val="auto"/>
                <w:lang w:val="en-US" w:eastAsia="zh-CN"/>
              </w:rPr>
              <w:t>无</w:t>
            </w:r>
          </w:p>
          <w:p w14:paraId="65E2B5A8">
            <w:pPr>
              <w:keepNext w:val="0"/>
              <w:keepLines w:val="0"/>
              <w:suppressLineNumbers w:val="0"/>
              <w:spacing w:before="0" w:beforeAutospacing="0" w:after="0" w:afterAutospacing="0" w:line="440" w:lineRule="exact"/>
              <w:ind w:left="0" w:right="0"/>
              <w:rPr>
                <w:rFonts w:hint="default"/>
                <w:color w:val="auto"/>
              </w:rPr>
            </w:pPr>
          </w:p>
        </w:tc>
      </w:tr>
      <w:tr w14:paraId="2E7F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6A4EFBA7">
            <w:pPr>
              <w:keepNext w:val="0"/>
              <w:keepLines w:val="0"/>
              <w:suppressLineNumbers w:val="0"/>
              <w:spacing w:before="0" w:beforeAutospacing="0" w:after="0" w:afterAutospacing="0" w:line="360" w:lineRule="exact"/>
              <w:ind w:left="0" w:right="0"/>
              <w:jc w:val="center"/>
              <w:rPr>
                <w:rFonts w:hint="default" w:ascii="宋体" w:hAnsi="宋体" w:eastAsia="宋体"/>
                <w:color w:val="auto"/>
                <w:kern w:val="0"/>
                <w:szCs w:val="24"/>
                <w:vertAlign w:val="baseline"/>
                <w:lang w:val="en-US" w:eastAsia="zh-CN"/>
              </w:rPr>
            </w:pPr>
            <w:r>
              <w:rPr>
                <w:rFonts w:hint="eastAsia" w:ascii="宋体" w:hAnsi="宋体"/>
                <w:color w:val="auto"/>
                <w:kern w:val="0"/>
                <w:szCs w:val="24"/>
                <w:vertAlign w:val="baseline"/>
                <w:lang w:val="en-US" w:eastAsia="zh-CN"/>
              </w:rPr>
              <w:t>其他符合性分析</w:t>
            </w:r>
          </w:p>
        </w:tc>
        <w:tc>
          <w:tcPr>
            <w:tcW w:w="4681" w:type="pct"/>
            <w:gridSpan w:val="5"/>
          </w:tcPr>
          <w:p w14:paraId="77F10EEB">
            <w:pPr>
              <w:keepNext w:val="0"/>
              <w:keepLines w:val="0"/>
              <w:suppressLineNumbers w:val="0"/>
              <w:spacing w:before="0" w:beforeAutospacing="0" w:after="0" w:afterAutospacing="0" w:line="360" w:lineRule="auto"/>
              <w:ind w:left="0" w:right="0" w:firstLine="482" w:firstLineChars="200"/>
              <w:rPr>
                <w:rFonts w:hint="default"/>
                <w:b/>
                <w:bCs/>
                <w:color w:val="auto"/>
              </w:rPr>
            </w:pPr>
            <w:r>
              <w:rPr>
                <w:rFonts w:hint="eastAsia"/>
                <w:b/>
                <w:bCs/>
                <w:color w:val="auto"/>
                <w:lang w:val="en-US" w:eastAsia="zh-CN"/>
              </w:rPr>
              <w:t>1.1</w:t>
            </w:r>
            <w:r>
              <w:rPr>
                <w:rFonts w:hint="default"/>
                <w:b/>
                <w:bCs/>
                <w:color w:val="auto"/>
              </w:rPr>
              <w:t>产业政策符合性分析</w:t>
            </w:r>
          </w:p>
          <w:p w14:paraId="40CEBBBB">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default"/>
                <w:color w:val="auto"/>
              </w:rPr>
              <w:t>根据《国民经济行业分类》 ，</w:t>
            </w:r>
            <w:r>
              <w:rPr>
                <w:rFonts w:hint="eastAsia" w:ascii="Times New Roman" w:hAnsi="Times New Roman" w:cs="Times New Roman"/>
                <w:color w:val="auto"/>
                <w:sz w:val="24"/>
                <w:szCs w:val="24"/>
                <w:lang w:val="en-US" w:eastAsia="zh-CN"/>
              </w:rPr>
              <w:t>本项目为</w:t>
            </w:r>
            <w:r>
              <w:rPr>
                <w:rFonts w:hint="eastAsia" w:cs="Times New Roman"/>
                <w:color w:val="auto"/>
                <w:sz w:val="24"/>
                <w:szCs w:val="24"/>
                <w:lang w:val="en-US" w:eastAsia="zh-CN"/>
              </w:rPr>
              <w:t>教育行业</w:t>
            </w:r>
            <w:r>
              <w:rPr>
                <w:rFonts w:hint="eastAsia" w:ascii="Times New Roman" w:hAnsi="Times New Roman" w:cs="Times New Roman"/>
                <w:color w:val="auto"/>
                <w:sz w:val="24"/>
                <w:szCs w:val="24"/>
                <w:lang w:val="en-US" w:eastAsia="zh-CN"/>
              </w:rPr>
              <w:t>，不属于《产业结构调整指导目录》（2024年本）鼓励、淘汰、限制类，视为允许类项目</w:t>
            </w:r>
            <w:r>
              <w:rPr>
                <w:rFonts w:hint="default"/>
                <w:color w:val="auto"/>
              </w:rPr>
              <w:t>。</w:t>
            </w:r>
          </w:p>
          <w:p w14:paraId="6C6BE8A8">
            <w:pPr>
              <w:keepNext w:val="0"/>
              <w:keepLines w:val="0"/>
              <w:suppressLineNumbers w:val="0"/>
              <w:spacing w:before="0" w:beforeAutospacing="0" w:after="0" w:afterAutospacing="0" w:line="360" w:lineRule="auto"/>
              <w:ind w:left="0" w:right="0" w:firstLine="482" w:firstLineChars="200"/>
              <w:rPr>
                <w:rFonts w:hint="default" w:eastAsia="宋体"/>
                <w:b/>
                <w:bCs/>
                <w:color w:val="auto"/>
                <w:lang w:val="en-US" w:eastAsia="zh-CN"/>
              </w:rPr>
            </w:pPr>
            <w:r>
              <w:rPr>
                <w:rFonts w:hint="eastAsia"/>
                <w:b/>
                <w:bCs/>
                <w:color w:val="auto"/>
                <w:lang w:val="en-US" w:eastAsia="zh-CN"/>
              </w:rPr>
              <w:t>1.2与“三线一单”符合性分析</w:t>
            </w:r>
          </w:p>
          <w:p w14:paraId="5BB434EA">
            <w:pPr>
              <w:keepNext w:val="0"/>
              <w:keepLines w:val="0"/>
              <w:suppressLineNumbers w:val="0"/>
              <w:spacing w:before="0" w:beforeAutospacing="0" w:after="0" w:afterAutospacing="0" w:line="360" w:lineRule="auto"/>
              <w:ind w:left="0" w:right="0" w:firstLine="480" w:firstLineChars="20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生态保护红线</w:t>
            </w:r>
          </w:p>
          <w:p w14:paraId="22928756">
            <w:pPr>
              <w:keepNext w:val="0"/>
              <w:keepLines w:val="0"/>
              <w:suppressLineNumbers w:val="0"/>
              <w:spacing w:before="0" w:beforeAutospacing="0" w:after="0" w:afterAutospacing="0" w:line="360" w:lineRule="auto"/>
              <w:ind w:left="0" w:right="0" w:firstLine="480" w:firstLineChars="200"/>
              <w:rPr>
                <w:rFonts w:hint="eastAsia"/>
                <w:color w:val="auto"/>
                <w:lang w:val="en-US" w:eastAsia="zh-CN"/>
              </w:rPr>
            </w:pPr>
            <w:r>
              <w:rPr>
                <w:rFonts w:hint="default"/>
                <w:color w:val="auto"/>
                <w:lang w:val="en-US" w:eastAsia="zh-CN"/>
              </w:rPr>
              <w:t>本项目位于长治市屯留区麟绛西大街206号</w:t>
            </w:r>
            <w:r>
              <w:rPr>
                <w:rFonts w:hint="eastAsia"/>
                <w:color w:val="auto"/>
                <w:lang w:val="en-US" w:eastAsia="zh-CN"/>
              </w:rPr>
              <w:t>，拟建校区北为麟绛西大街，西侧为金威家园，东侧与麟绛小学一墙之隔，</w:t>
            </w:r>
            <w:r>
              <w:rPr>
                <w:rFonts w:hint="eastAsia"/>
                <w:color w:val="auto"/>
                <w:highlight w:val="none"/>
                <w:lang w:val="en-US" w:eastAsia="zh-CN"/>
              </w:rPr>
              <w:t>南侧为空地</w:t>
            </w:r>
            <w:r>
              <w:rPr>
                <w:rFonts w:hint="eastAsia"/>
                <w:color w:val="auto"/>
                <w:lang w:val="en-US" w:eastAsia="zh-CN"/>
              </w:rPr>
              <w:t>。</w:t>
            </w:r>
            <w:r>
              <w:rPr>
                <w:rFonts w:hint="default"/>
                <w:color w:val="auto"/>
                <w:lang w:val="en-US" w:eastAsia="zh-CN"/>
              </w:rPr>
              <w:t>评价范围内无“自然保护区”、“森林公园”、“风景名胜区”、“世界文化自然遗产” 、“地质公园” 、“水源保护区”等敏感因素，项目建成后不会影响珍稀、濒危等动植物物种及生态系统</w:t>
            </w:r>
            <w:r>
              <w:rPr>
                <w:rFonts w:hint="eastAsia"/>
                <w:color w:val="auto"/>
                <w:lang w:val="en-US" w:eastAsia="zh-CN"/>
              </w:rPr>
              <w:t>，</w:t>
            </w:r>
            <w:r>
              <w:rPr>
                <w:rFonts w:hint="default"/>
                <w:color w:val="auto"/>
                <w:highlight w:val="none"/>
                <w:lang w:val="en-US" w:eastAsia="zh-CN"/>
              </w:rPr>
              <w:t>基本</w:t>
            </w:r>
            <w:r>
              <w:rPr>
                <w:rFonts w:hint="default"/>
                <w:color w:val="auto"/>
                <w:lang w:val="en-US" w:eastAsia="zh-CN"/>
              </w:rPr>
              <w:t>不会对周围生态环境造成</w:t>
            </w:r>
            <w:r>
              <w:rPr>
                <w:rFonts w:hint="default"/>
                <w:color w:val="auto"/>
                <w:highlight w:val="none"/>
                <w:lang w:val="en-US" w:eastAsia="zh-CN"/>
              </w:rPr>
              <w:t>明显</w:t>
            </w:r>
            <w:r>
              <w:rPr>
                <w:rFonts w:hint="default"/>
                <w:color w:val="auto"/>
                <w:lang w:val="en-US" w:eastAsia="zh-CN"/>
              </w:rPr>
              <w:t>扰动</w:t>
            </w:r>
            <w:r>
              <w:rPr>
                <w:rFonts w:hint="eastAsia"/>
                <w:color w:val="auto"/>
                <w:lang w:val="en-US" w:eastAsia="zh-CN"/>
              </w:rPr>
              <w:t>。</w:t>
            </w:r>
          </w:p>
          <w:p w14:paraId="431B1D22">
            <w:pPr>
              <w:keepNext w:val="0"/>
              <w:keepLines w:val="0"/>
              <w:suppressLineNumbers w:val="0"/>
              <w:spacing w:before="0" w:beforeAutospacing="0" w:after="0" w:afterAutospacing="0" w:line="360" w:lineRule="auto"/>
              <w:ind w:left="0" w:right="0" w:firstLine="480" w:firstLineChars="200"/>
              <w:rPr>
                <w:rFonts w:hint="default"/>
                <w:color w:val="auto"/>
                <w:lang w:val="en-US" w:eastAsia="zh-CN"/>
              </w:rPr>
            </w:pPr>
            <w:r>
              <w:rPr>
                <w:rFonts w:hint="default"/>
                <w:color w:val="auto"/>
                <w:lang w:val="en-US" w:eastAsia="zh-CN"/>
              </w:rPr>
              <w:t>根据《</w:t>
            </w:r>
            <w:r>
              <w:rPr>
                <w:rFonts w:hint="eastAsia"/>
                <w:color w:val="auto"/>
                <w:lang w:val="en-US" w:eastAsia="zh-CN"/>
              </w:rPr>
              <w:t>屯留区</w:t>
            </w:r>
            <w:r>
              <w:rPr>
                <w:rFonts w:hint="default"/>
                <w:color w:val="auto"/>
                <w:lang w:val="en-US" w:eastAsia="zh-CN"/>
              </w:rPr>
              <w:t>国土空间总体规划（2021-2035）》，项目选址位于屯留区城镇开发边界内，不涉及基本农田保护红线和生态保护红线。</w:t>
            </w:r>
          </w:p>
          <w:p w14:paraId="192AFF8D">
            <w:pPr>
              <w:keepNext w:val="0"/>
              <w:keepLines w:val="0"/>
              <w:suppressLineNumbers w:val="0"/>
              <w:spacing w:before="0" w:beforeAutospacing="0" w:after="0" w:afterAutospacing="0" w:line="360" w:lineRule="auto"/>
              <w:ind w:left="0" w:right="0" w:firstLine="480" w:firstLineChars="200"/>
              <w:rPr>
                <w:rFonts w:hint="eastAsia" w:eastAsia="宋体"/>
                <w:color w:val="auto"/>
                <w:lang w:val="en-US" w:eastAsia="zh-CN"/>
              </w:rPr>
            </w:pPr>
            <w:r>
              <w:rPr>
                <w:rFonts w:hint="eastAsia" w:ascii="Times New Roman" w:hAnsi="Times New Roman" w:eastAsia="宋体" w:cs="Times New Roman"/>
                <w:color w:val="auto"/>
                <w:kern w:val="0"/>
                <w:sz w:val="24"/>
                <w:szCs w:val="24"/>
                <w:lang w:val="en-US" w:eastAsia="zh-CN"/>
              </w:rPr>
              <w:t>经“山西省三线一单数据管理及应用平台”综合查询，本项目涉及的环境管控单元为“屯留区绛河城区段控制单元水环境城镇生活污染重点管控单元”和“屯留区大气环境受体敏感重点管控单元”</w:t>
            </w:r>
            <w:r>
              <w:rPr>
                <w:rFonts w:hint="eastAsia" w:eastAsia="宋体"/>
                <w:color w:val="auto"/>
                <w:lang w:val="en-US" w:eastAsia="zh-CN"/>
              </w:rPr>
              <w:t>。</w:t>
            </w:r>
          </w:p>
          <w:p w14:paraId="651F4AA1">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default"/>
                <w:color w:val="auto"/>
              </w:rPr>
              <w:t>①与“山西省“三线一单”生态环境分区管控”的相符性分析</w:t>
            </w:r>
          </w:p>
          <w:p w14:paraId="51FB7715">
            <w:pPr>
              <w:keepNext w:val="0"/>
              <w:keepLines w:val="0"/>
              <w:suppressLineNumbers w:val="0"/>
              <w:spacing w:before="0" w:beforeAutospacing="0" w:after="0" w:afterAutospacing="0" w:line="360" w:lineRule="exact"/>
              <w:ind w:left="0" w:right="0"/>
              <w:jc w:val="center"/>
              <w:rPr>
                <w:rFonts w:hint="eastAsia"/>
                <w:b/>
                <w:bCs/>
                <w:color w:val="auto"/>
                <w:sz w:val="21"/>
                <w:szCs w:val="18"/>
                <w:lang w:val="en-US" w:eastAsia="zh-CN"/>
              </w:rPr>
            </w:pPr>
            <w:r>
              <w:rPr>
                <w:rFonts w:hint="eastAsia"/>
                <w:b/>
                <w:bCs/>
                <w:color w:val="auto"/>
                <w:sz w:val="21"/>
                <w:szCs w:val="18"/>
                <w:lang w:val="en-US" w:eastAsia="zh-CN"/>
              </w:rPr>
              <w:t>表1-1 与屯留区绛河城区段控制单元水环境城镇生活污染重点管控单元符合性</w:t>
            </w:r>
          </w:p>
          <w:tbl>
            <w:tblPr>
              <w:tblStyle w:val="25"/>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542"/>
              <w:gridCol w:w="3221"/>
              <w:gridCol w:w="828"/>
            </w:tblGrid>
            <w:tr w14:paraId="6A05F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95" w:type="dxa"/>
                  <w:gridSpan w:val="2"/>
                  <w:tcBorders>
                    <w:tl2br w:val="nil"/>
                    <w:tr2bl w:val="nil"/>
                  </w:tcBorders>
                  <w:vAlign w:val="center"/>
                </w:tcPr>
                <w:p w14:paraId="39F35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管控要求</w:t>
                  </w:r>
                </w:p>
              </w:tc>
              <w:tc>
                <w:tcPr>
                  <w:tcW w:w="3221" w:type="dxa"/>
                  <w:tcBorders>
                    <w:tl2br w:val="nil"/>
                    <w:tr2bl w:val="nil"/>
                  </w:tcBorders>
                  <w:vAlign w:val="center"/>
                </w:tcPr>
                <w:p w14:paraId="7CBC0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项目情况</w:t>
                  </w:r>
                </w:p>
              </w:tc>
              <w:tc>
                <w:tcPr>
                  <w:tcW w:w="828" w:type="dxa"/>
                  <w:tcBorders>
                    <w:tl2br w:val="nil"/>
                    <w:tr2bl w:val="nil"/>
                  </w:tcBorders>
                  <w:vAlign w:val="center"/>
                </w:tcPr>
                <w:p w14:paraId="58A49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符合性</w:t>
                  </w:r>
                </w:p>
              </w:tc>
            </w:tr>
            <w:tr w14:paraId="2C80E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6571C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空间布局约束</w:t>
                  </w:r>
                </w:p>
              </w:tc>
              <w:tc>
                <w:tcPr>
                  <w:tcW w:w="3542" w:type="dxa"/>
                  <w:tcBorders>
                    <w:tl2br w:val="nil"/>
                    <w:tr2bl w:val="nil"/>
                  </w:tcBorders>
                  <w:vAlign w:val="center"/>
                </w:tcPr>
                <w:p w14:paraId="5CC6A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执行山西省、重点区域（汾渭平原）、空间布局的准入要求</w:t>
                  </w:r>
                </w:p>
              </w:tc>
              <w:tc>
                <w:tcPr>
                  <w:tcW w:w="3221" w:type="dxa"/>
                  <w:tcBorders>
                    <w:tl2br w:val="nil"/>
                    <w:tr2bl w:val="nil"/>
                  </w:tcBorders>
                  <w:vAlign w:val="center"/>
                </w:tcPr>
                <w:p w14:paraId="398FA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执行山西省、重点区域（汾渭平原）、空间布局的准入要求；</w:t>
                  </w:r>
                  <w:r>
                    <w:rPr>
                      <w:rFonts w:hint="eastAsia"/>
                      <w:b w:val="0"/>
                      <w:bCs w:val="0"/>
                      <w:color w:val="auto"/>
                      <w:sz w:val="21"/>
                      <w:szCs w:val="18"/>
                      <w:highlight w:val="none"/>
                      <w:vertAlign w:val="baseline"/>
                      <w:lang w:val="en-US" w:eastAsia="zh-CN"/>
                    </w:rPr>
                    <w:t>见表1-3，1-4</w:t>
                  </w:r>
                </w:p>
              </w:tc>
              <w:tc>
                <w:tcPr>
                  <w:tcW w:w="828" w:type="dxa"/>
                  <w:tcBorders>
                    <w:tl2br w:val="nil"/>
                    <w:tr2bl w:val="nil"/>
                  </w:tcBorders>
                  <w:vAlign w:val="center"/>
                </w:tcPr>
                <w:p w14:paraId="07E86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1CA6D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restart"/>
                  <w:tcBorders>
                    <w:tl2br w:val="nil"/>
                    <w:tr2bl w:val="nil"/>
                  </w:tcBorders>
                  <w:vAlign w:val="center"/>
                </w:tcPr>
                <w:p w14:paraId="52C44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污染物排放管控</w:t>
                  </w:r>
                </w:p>
              </w:tc>
              <w:tc>
                <w:tcPr>
                  <w:tcW w:w="3542" w:type="dxa"/>
                  <w:tcBorders>
                    <w:tl2br w:val="nil"/>
                    <w:tr2bl w:val="nil"/>
                  </w:tcBorders>
                  <w:vAlign w:val="center"/>
                </w:tcPr>
                <w:p w14:paraId="02F2E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执行山西省、重点区域（汾渭平原）的污染物排放控制要求</w:t>
                  </w:r>
                </w:p>
              </w:tc>
              <w:tc>
                <w:tcPr>
                  <w:tcW w:w="3221" w:type="dxa"/>
                  <w:vMerge w:val="restart"/>
                  <w:tcBorders>
                    <w:tl2br w:val="nil"/>
                    <w:tr2bl w:val="nil"/>
                  </w:tcBorders>
                  <w:vAlign w:val="center"/>
                </w:tcPr>
                <w:p w14:paraId="43277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本项目为学校建设项目，不属于排放污染物的工业项目，不涉及污染排放管控要求中的需要设置入河排污口的企业及其他相关内容</w:t>
                  </w:r>
                </w:p>
              </w:tc>
              <w:tc>
                <w:tcPr>
                  <w:tcW w:w="828" w:type="dxa"/>
                  <w:tcBorders>
                    <w:tl2br w:val="nil"/>
                    <w:tr2bl w:val="nil"/>
                  </w:tcBorders>
                  <w:vAlign w:val="center"/>
                </w:tcPr>
                <w:p w14:paraId="30024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2902F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7E9BC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3542" w:type="dxa"/>
                  <w:tcBorders>
                    <w:tl2br w:val="nil"/>
                    <w:tr2bl w:val="nil"/>
                  </w:tcBorders>
                  <w:vAlign w:val="center"/>
                </w:tcPr>
                <w:p w14:paraId="1EA4C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严禁在河道内开展清洗机械车辆、油桶等可能污染水体的作业，禁止在湖库内使用加油船，严控石油类物质漏洒，严禁在河道内放牧、倾倒畜禽粪污、生活垃圾、工业固废等</w:t>
                  </w:r>
                </w:p>
              </w:tc>
              <w:tc>
                <w:tcPr>
                  <w:tcW w:w="3221" w:type="dxa"/>
                  <w:vMerge w:val="continue"/>
                  <w:tcBorders>
                    <w:tl2br w:val="nil"/>
                    <w:tr2bl w:val="nil"/>
                  </w:tcBorders>
                  <w:vAlign w:val="center"/>
                </w:tcPr>
                <w:p w14:paraId="7B5DD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828" w:type="dxa"/>
                  <w:tcBorders>
                    <w:tl2br w:val="nil"/>
                    <w:tr2bl w:val="nil"/>
                  </w:tcBorders>
                  <w:vAlign w:val="center"/>
                </w:tcPr>
                <w:p w14:paraId="4B8A5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32273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2858A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3542" w:type="dxa"/>
                  <w:tcBorders>
                    <w:tl2br w:val="nil"/>
                    <w:tr2bl w:val="nil"/>
                  </w:tcBorders>
                  <w:vAlign w:val="center"/>
                </w:tcPr>
                <w:p w14:paraId="64DD8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对违反法律法规规定，在饮用水水源保护区、泉域重点保护区、自然保护地、生态保护红线、永久基本农田及</w:t>
                  </w:r>
                </w:p>
                <w:p w14:paraId="07E27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其他需要特殊保护区域内设置的入河排污口，由县区政府依法采取责令</w:t>
                  </w:r>
                </w:p>
                <w:p w14:paraId="17F75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拆除、责令关闭等措施坚决取缔</w:t>
                  </w:r>
                </w:p>
              </w:tc>
              <w:tc>
                <w:tcPr>
                  <w:tcW w:w="3221" w:type="dxa"/>
                  <w:vMerge w:val="continue"/>
                  <w:tcBorders>
                    <w:tl2br w:val="nil"/>
                    <w:tr2bl w:val="nil"/>
                  </w:tcBorders>
                  <w:vAlign w:val="center"/>
                </w:tcPr>
                <w:p w14:paraId="0215F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828" w:type="dxa"/>
                  <w:tcBorders>
                    <w:tl2br w:val="nil"/>
                    <w:tr2bl w:val="nil"/>
                  </w:tcBorders>
                  <w:vAlign w:val="center"/>
                </w:tcPr>
                <w:p w14:paraId="775BA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28746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2291A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3542" w:type="dxa"/>
                  <w:tcBorders>
                    <w:tl2br w:val="nil"/>
                    <w:tr2bl w:val="nil"/>
                  </w:tcBorders>
                  <w:vAlign w:val="center"/>
                </w:tcPr>
                <w:p w14:paraId="7E708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对工矿企业雨洪排口、城镇污水处</w:t>
                  </w:r>
                </w:p>
                <w:p w14:paraId="38549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理厂进水管网溢流口实行精准管理，加装在线视频监控系统，实施实时</w:t>
                  </w:r>
                </w:p>
                <w:p w14:paraId="7C366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监控</w:t>
                  </w:r>
                </w:p>
              </w:tc>
              <w:tc>
                <w:tcPr>
                  <w:tcW w:w="3221" w:type="dxa"/>
                  <w:vMerge w:val="continue"/>
                  <w:tcBorders>
                    <w:tl2br w:val="nil"/>
                    <w:tr2bl w:val="nil"/>
                  </w:tcBorders>
                  <w:vAlign w:val="center"/>
                </w:tcPr>
                <w:p w14:paraId="37AAA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828" w:type="dxa"/>
                  <w:tcBorders>
                    <w:tl2br w:val="nil"/>
                    <w:tr2bl w:val="nil"/>
                  </w:tcBorders>
                  <w:vAlign w:val="center"/>
                </w:tcPr>
                <w:p w14:paraId="22AA6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295A7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0837C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环境风险防控</w:t>
                  </w:r>
                </w:p>
              </w:tc>
              <w:tc>
                <w:tcPr>
                  <w:tcW w:w="3542" w:type="dxa"/>
                  <w:tcBorders>
                    <w:tl2br w:val="nil"/>
                    <w:tr2bl w:val="nil"/>
                  </w:tcBorders>
                  <w:vAlign w:val="center"/>
                </w:tcPr>
                <w:p w14:paraId="6A6AD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制定环境风险应急预案，成立应急组织机构，定期开展应急风险防范能力</w:t>
                  </w:r>
                </w:p>
              </w:tc>
              <w:tc>
                <w:tcPr>
                  <w:tcW w:w="3221" w:type="dxa"/>
                  <w:tcBorders>
                    <w:tl2br w:val="nil"/>
                    <w:tr2bl w:val="nil"/>
                  </w:tcBorders>
                  <w:vAlign w:val="center"/>
                </w:tcPr>
                <w:p w14:paraId="2B914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本项目不涉及工业企业相关生产活动，不在《山西省企业事业单位突发环境事件应急预案备案行业名</w:t>
                  </w:r>
                  <w:r>
                    <w:rPr>
                      <w:rFonts w:hint="eastAsia"/>
                      <w:b w:val="0"/>
                      <w:bCs w:val="0"/>
                      <w:color w:val="auto"/>
                      <w:sz w:val="21"/>
                      <w:szCs w:val="18"/>
                      <w:highlight w:val="none"/>
                      <w:vertAlign w:val="baseline"/>
                      <w:lang w:val="en-US" w:eastAsia="zh-CN"/>
                    </w:rPr>
                    <w:t>录》中，报告提出，应针对危险化学试剂品可能产生的环境风险，提出相应的防控措施</w:t>
                  </w:r>
                </w:p>
              </w:tc>
              <w:tc>
                <w:tcPr>
                  <w:tcW w:w="828" w:type="dxa"/>
                  <w:tcBorders>
                    <w:tl2br w:val="nil"/>
                    <w:tr2bl w:val="nil"/>
                  </w:tcBorders>
                  <w:vAlign w:val="center"/>
                </w:tcPr>
                <w:p w14:paraId="1592F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3BB6E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2EF81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资源开发效率</w:t>
                  </w:r>
                </w:p>
              </w:tc>
              <w:tc>
                <w:tcPr>
                  <w:tcW w:w="3542" w:type="dxa"/>
                  <w:tcBorders>
                    <w:tl2br w:val="nil"/>
                    <w:tr2bl w:val="nil"/>
                  </w:tcBorders>
                  <w:vAlign w:val="center"/>
                </w:tcPr>
                <w:p w14:paraId="2AEBB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开展河道水环境综合治理，持续加强污水资源化利用，提高工业企业等再生水回用率，到2023年，城市再生水利用率平均达到40%以上</w:t>
                  </w:r>
                </w:p>
              </w:tc>
              <w:tc>
                <w:tcPr>
                  <w:tcW w:w="3221" w:type="dxa"/>
                  <w:tcBorders>
                    <w:tl2br w:val="nil"/>
                    <w:tr2bl w:val="nil"/>
                  </w:tcBorders>
                  <w:vAlign w:val="center"/>
                </w:tcPr>
                <w:p w14:paraId="23C43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本项目不涉及工业项目相关的用水生产活动</w:t>
                  </w:r>
                </w:p>
              </w:tc>
              <w:tc>
                <w:tcPr>
                  <w:tcW w:w="828" w:type="dxa"/>
                  <w:tcBorders>
                    <w:tl2br w:val="nil"/>
                    <w:tr2bl w:val="nil"/>
                  </w:tcBorders>
                  <w:vAlign w:val="center"/>
                </w:tcPr>
                <w:p w14:paraId="23B20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bl>
          <w:p w14:paraId="28E591E1">
            <w:pPr>
              <w:keepNext w:val="0"/>
              <w:keepLines w:val="0"/>
              <w:suppressLineNumbers w:val="0"/>
              <w:spacing w:before="0" w:beforeAutospacing="0" w:after="0" w:afterAutospacing="0" w:line="360" w:lineRule="exact"/>
              <w:ind w:left="0" w:right="0"/>
              <w:jc w:val="center"/>
              <w:rPr>
                <w:rFonts w:hint="default"/>
                <w:b/>
                <w:bCs/>
                <w:color w:val="auto"/>
                <w:sz w:val="21"/>
                <w:szCs w:val="18"/>
                <w:lang w:val="en-US" w:eastAsia="zh-CN"/>
              </w:rPr>
            </w:pPr>
            <w:r>
              <w:rPr>
                <w:rFonts w:hint="eastAsia"/>
                <w:b/>
                <w:bCs/>
                <w:color w:val="auto"/>
                <w:sz w:val="21"/>
                <w:szCs w:val="18"/>
                <w:lang w:val="en-US" w:eastAsia="zh-CN"/>
              </w:rPr>
              <w:t>表1-2 与屯留区大气环境受体敏感重点管控单元符合性</w:t>
            </w:r>
          </w:p>
          <w:tbl>
            <w:tblPr>
              <w:tblStyle w:val="25"/>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625"/>
              <w:gridCol w:w="3038"/>
              <w:gridCol w:w="928"/>
            </w:tblGrid>
            <w:tr w14:paraId="32AE2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78" w:type="dxa"/>
                  <w:gridSpan w:val="2"/>
                  <w:tcBorders>
                    <w:tl2br w:val="nil"/>
                    <w:tr2bl w:val="nil"/>
                  </w:tcBorders>
                  <w:vAlign w:val="center"/>
                </w:tcPr>
                <w:p w14:paraId="17525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管控要求</w:t>
                  </w:r>
                </w:p>
              </w:tc>
              <w:tc>
                <w:tcPr>
                  <w:tcW w:w="3038" w:type="dxa"/>
                  <w:tcBorders>
                    <w:tl2br w:val="nil"/>
                    <w:tr2bl w:val="nil"/>
                  </w:tcBorders>
                  <w:vAlign w:val="center"/>
                </w:tcPr>
                <w:p w14:paraId="24A11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项目情况</w:t>
                  </w:r>
                </w:p>
              </w:tc>
              <w:tc>
                <w:tcPr>
                  <w:tcW w:w="928" w:type="dxa"/>
                  <w:tcBorders>
                    <w:tl2br w:val="nil"/>
                    <w:tr2bl w:val="nil"/>
                  </w:tcBorders>
                  <w:vAlign w:val="center"/>
                </w:tcPr>
                <w:p w14:paraId="139C5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符合性</w:t>
                  </w:r>
                </w:p>
              </w:tc>
            </w:tr>
            <w:tr w14:paraId="09836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0B0BA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空间布局约束</w:t>
                  </w:r>
                </w:p>
              </w:tc>
              <w:tc>
                <w:tcPr>
                  <w:tcW w:w="3625" w:type="dxa"/>
                  <w:tcBorders>
                    <w:tl2br w:val="nil"/>
                    <w:tr2bl w:val="nil"/>
                  </w:tcBorders>
                  <w:vAlign w:val="center"/>
                </w:tcPr>
                <w:p w14:paraId="3394B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执行山西省、重点区域（汾渭平原）、空间布局的准入要求</w:t>
                  </w:r>
                </w:p>
              </w:tc>
              <w:tc>
                <w:tcPr>
                  <w:tcW w:w="3038" w:type="dxa"/>
                  <w:tcBorders>
                    <w:tl2br w:val="nil"/>
                    <w:tr2bl w:val="nil"/>
                  </w:tcBorders>
                  <w:vAlign w:val="center"/>
                </w:tcPr>
                <w:p w14:paraId="5EA64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default" w:ascii="宋体" w:hAnsi="宋体" w:eastAsia="宋体" w:cs="宋体"/>
                      <w:color w:val="auto"/>
                      <w:sz w:val="21"/>
                      <w:szCs w:val="21"/>
                    </w:rPr>
                    <w:t>执行山西省、长治市空间布局准入要求</w:t>
                  </w:r>
                  <w:r>
                    <w:rPr>
                      <w:rFonts w:hint="eastAsia"/>
                      <w:b w:val="0"/>
                      <w:bCs w:val="0"/>
                      <w:color w:val="auto"/>
                      <w:sz w:val="21"/>
                      <w:szCs w:val="18"/>
                      <w:vertAlign w:val="baseline"/>
                      <w:lang w:val="en-US" w:eastAsia="zh-CN"/>
                    </w:rPr>
                    <w:t>；</w:t>
                  </w:r>
                  <w:r>
                    <w:rPr>
                      <w:rFonts w:hint="eastAsia"/>
                      <w:b w:val="0"/>
                      <w:bCs w:val="0"/>
                      <w:color w:val="auto"/>
                      <w:sz w:val="21"/>
                      <w:szCs w:val="18"/>
                      <w:highlight w:val="none"/>
                      <w:vertAlign w:val="baseline"/>
                      <w:lang w:val="en-US" w:eastAsia="zh-CN"/>
                    </w:rPr>
                    <w:t>见表1-3，1-4</w:t>
                  </w:r>
                </w:p>
              </w:tc>
              <w:tc>
                <w:tcPr>
                  <w:tcW w:w="928" w:type="dxa"/>
                  <w:tcBorders>
                    <w:tl2br w:val="nil"/>
                    <w:tr2bl w:val="nil"/>
                  </w:tcBorders>
                  <w:vAlign w:val="center"/>
                </w:tcPr>
                <w:p w14:paraId="319D3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05A5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restart"/>
                  <w:tcBorders>
                    <w:tl2br w:val="nil"/>
                    <w:tr2bl w:val="nil"/>
                  </w:tcBorders>
                  <w:vAlign w:val="center"/>
                </w:tcPr>
                <w:p w14:paraId="7C23D9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污染物排放管控</w:t>
                  </w:r>
                </w:p>
              </w:tc>
              <w:tc>
                <w:tcPr>
                  <w:tcW w:w="3625" w:type="dxa"/>
                  <w:tcBorders>
                    <w:tl2br w:val="nil"/>
                    <w:tr2bl w:val="nil"/>
                  </w:tcBorders>
                  <w:vAlign w:val="center"/>
                </w:tcPr>
                <w:p w14:paraId="50674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执行山西省、长治市的污染物排放控制要求</w:t>
                  </w:r>
                </w:p>
              </w:tc>
              <w:tc>
                <w:tcPr>
                  <w:tcW w:w="3038" w:type="dxa"/>
                  <w:vMerge w:val="restart"/>
                  <w:tcBorders>
                    <w:tl2br w:val="nil"/>
                    <w:tr2bl w:val="nil"/>
                  </w:tcBorders>
                  <w:vAlign w:val="center"/>
                </w:tcPr>
                <w:p w14:paraId="45AC6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本项目为学校建设项目，不属于排放污染物的重点涉气工业项目，不涉及污染排放管控要求中的工业炉窑及其他相关内容</w:t>
                  </w:r>
                </w:p>
              </w:tc>
              <w:tc>
                <w:tcPr>
                  <w:tcW w:w="928" w:type="dxa"/>
                  <w:tcBorders>
                    <w:tl2br w:val="nil"/>
                    <w:tr2bl w:val="nil"/>
                  </w:tcBorders>
                  <w:vAlign w:val="center"/>
                </w:tcPr>
                <w:p w14:paraId="3B934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09B59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13280D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3625" w:type="dxa"/>
                  <w:tcBorders>
                    <w:tl2br w:val="nil"/>
                    <w:tr2bl w:val="nil"/>
                  </w:tcBorders>
                  <w:vAlign w:val="center"/>
                </w:tcPr>
                <w:p w14:paraId="32B49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加强工业炉窑深度治理，严格控制物料储存、输送及生产工艺过程无组织排放，加强煤炭等粉粒物料堆场扬尘控制</w:t>
                  </w:r>
                </w:p>
              </w:tc>
              <w:tc>
                <w:tcPr>
                  <w:tcW w:w="3038" w:type="dxa"/>
                  <w:vMerge w:val="continue"/>
                  <w:tcBorders>
                    <w:tl2br w:val="nil"/>
                    <w:tr2bl w:val="nil"/>
                  </w:tcBorders>
                  <w:vAlign w:val="center"/>
                </w:tcPr>
                <w:p w14:paraId="1ACE4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928" w:type="dxa"/>
                  <w:tcBorders>
                    <w:tl2br w:val="nil"/>
                    <w:tr2bl w:val="nil"/>
                  </w:tcBorders>
                  <w:vAlign w:val="center"/>
                </w:tcPr>
                <w:p w14:paraId="1E9B7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14422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02F7C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3625" w:type="dxa"/>
                  <w:tcBorders>
                    <w:tl2br w:val="nil"/>
                    <w:tr2bl w:val="nil"/>
                  </w:tcBorders>
                  <w:vAlign w:val="center"/>
                </w:tcPr>
                <w:p w14:paraId="4884B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重点涉气排放企业取消烟气旁路，因安全生产无法取消的，安装在线监管系统</w:t>
                  </w:r>
                </w:p>
              </w:tc>
              <w:tc>
                <w:tcPr>
                  <w:tcW w:w="3038" w:type="dxa"/>
                  <w:vMerge w:val="continue"/>
                  <w:tcBorders>
                    <w:tl2br w:val="nil"/>
                    <w:tr2bl w:val="nil"/>
                  </w:tcBorders>
                  <w:vAlign w:val="center"/>
                </w:tcPr>
                <w:p w14:paraId="47378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928" w:type="dxa"/>
                  <w:tcBorders>
                    <w:tl2br w:val="nil"/>
                    <w:tr2bl w:val="nil"/>
                  </w:tcBorders>
                  <w:vAlign w:val="center"/>
                </w:tcPr>
                <w:p w14:paraId="1E68A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0C735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restart"/>
                  <w:tcBorders>
                    <w:tl2br w:val="nil"/>
                    <w:tr2bl w:val="nil"/>
                  </w:tcBorders>
                  <w:vAlign w:val="center"/>
                </w:tcPr>
                <w:p w14:paraId="3794F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环境风险防控</w:t>
                  </w:r>
                </w:p>
              </w:tc>
              <w:tc>
                <w:tcPr>
                  <w:tcW w:w="3625" w:type="dxa"/>
                  <w:tcBorders>
                    <w:tl2br w:val="nil"/>
                    <w:tr2bl w:val="nil"/>
                  </w:tcBorders>
                  <w:vAlign w:val="center"/>
                </w:tcPr>
                <w:p w14:paraId="75CCE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制定环境风险应急预案，成立应急组织机构，定期开展应急风险防范能力</w:t>
                  </w:r>
                </w:p>
              </w:tc>
              <w:tc>
                <w:tcPr>
                  <w:tcW w:w="3038" w:type="dxa"/>
                  <w:tcBorders>
                    <w:tl2br w:val="nil"/>
                    <w:tr2bl w:val="nil"/>
                  </w:tcBorders>
                  <w:vAlign w:val="center"/>
                </w:tcPr>
                <w:p w14:paraId="55C26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本项目不涉及工业企业相关生产活动，不</w:t>
                  </w:r>
                  <w:r>
                    <w:rPr>
                      <w:rFonts w:hint="eastAsia"/>
                      <w:b w:val="0"/>
                      <w:bCs w:val="0"/>
                      <w:color w:val="auto"/>
                      <w:sz w:val="21"/>
                      <w:szCs w:val="18"/>
                      <w:highlight w:val="none"/>
                      <w:vertAlign w:val="baseline"/>
                      <w:lang w:val="en-US" w:eastAsia="zh-CN"/>
                    </w:rPr>
                    <w:t>在《山西省企业事业单位突发环境事件应急预案备案行业名录》中，报告提出，应针对危险化学试剂品可能产生的环境风险，提出相应的防控措施</w:t>
                  </w:r>
                </w:p>
              </w:tc>
              <w:tc>
                <w:tcPr>
                  <w:tcW w:w="928" w:type="dxa"/>
                  <w:tcBorders>
                    <w:tl2br w:val="nil"/>
                    <w:tr2bl w:val="nil"/>
                  </w:tcBorders>
                  <w:vAlign w:val="center"/>
                </w:tcPr>
                <w:p w14:paraId="753C8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21C7B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2AA0B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p>
              </w:tc>
              <w:tc>
                <w:tcPr>
                  <w:tcW w:w="3625" w:type="dxa"/>
                  <w:tcBorders>
                    <w:tl2br w:val="nil"/>
                    <w:tr2bl w:val="nil"/>
                  </w:tcBorders>
                  <w:vAlign w:val="center"/>
                </w:tcPr>
                <w:p w14:paraId="49F45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严禁在漳泽湖生态保护与修复区域、城市（县城）规划区布局钢铁（不含短流程炼钢）、铸造（不含高端铸件）、水泥、有色等高污染项目，以及危险化学品贮存、处理处置等高风险项目，支持城市(县城)建成区及周边重污染企业搬迁改造，大力推进企业建设节能环保水平高的先进产能项目</w:t>
                  </w:r>
                </w:p>
              </w:tc>
              <w:tc>
                <w:tcPr>
                  <w:tcW w:w="3038" w:type="dxa"/>
                  <w:tcBorders>
                    <w:tl2br w:val="nil"/>
                    <w:tr2bl w:val="nil"/>
                  </w:tcBorders>
                  <w:vAlign w:val="center"/>
                </w:tcPr>
                <w:p w14:paraId="54051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本项目为学校建设项目，不属于要求中的钢铁、铸造、水泥、有色等高污染项目</w:t>
                  </w:r>
                </w:p>
              </w:tc>
              <w:tc>
                <w:tcPr>
                  <w:tcW w:w="928" w:type="dxa"/>
                  <w:tcBorders>
                    <w:tl2br w:val="nil"/>
                    <w:tr2bl w:val="nil"/>
                  </w:tcBorders>
                  <w:vAlign w:val="center"/>
                </w:tcPr>
                <w:p w14:paraId="51132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r w14:paraId="22A2C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725AF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资源开发效率</w:t>
                  </w:r>
                </w:p>
              </w:tc>
              <w:tc>
                <w:tcPr>
                  <w:tcW w:w="3625" w:type="dxa"/>
                  <w:tcBorders>
                    <w:tl2br w:val="nil"/>
                    <w:tr2bl w:val="nil"/>
                  </w:tcBorders>
                  <w:vAlign w:val="center"/>
                </w:tcPr>
                <w:p w14:paraId="6C5C9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健全用水总量、用水强度控制指标体系，强化节水约束性指标考核，加快落实重点领域用水指标。提升城市再生水利用水平，完善再生水利用设施，拓宽再生水利用渠道</w:t>
                  </w:r>
                </w:p>
              </w:tc>
              <w:tc>
                <w:tcPr>
                  <w:tcW w:w="3038" w:type="dxa"/>
                  <w:tcBorders>
                    <w:tl2br w:val="nil"/>
                    <w:tr2bl w:val="nil"/>
                  </w:tcBorders>
                  <w:vAlign w:val="center"/>
                </w:tcPr>
                <w:p w14:paraId="596CD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本项目不涉及工业项目相关的用水生产活动</w:t>
                  </w:r>
                </w:p>
              </w:tc>
              <w:tc>
                <w:tcPr>
                  <w:tcW w:w="928" w:type="dxa"/>
                  <w:tcBorders>
                    <w:tl2br w:val="nil"/>
                    <w:tr2bl w:val="nil"/>
                  </w:tcBorders>
                  <w:vAlign w:val="center"/>
                </w:tcPr>
                <w:p w14:paraId="66E0F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符合</w:t>
                  </w:r>
                </w:p>
              </w:tc>
            </w:tr>
          </w:tbl>
          <w:p w14:paraId="2FA00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GB3 \* MERGEFORMAT </w:instrText>
            </w:r>
            <w:r>
              <w:rPr>
                <w:rFonts w:hint="eastAsia" w:ascii="Times New Roman" w:hAnsi="Times New Roman" w:eastAsia="宋体" w:cs="Times New Roman"/>
                <w:color w:val="auto"/>
                <w:sz w:val="24"/>
                <w:szCs w:val="24"/>
                <w:lang w:val="en-US" w:eastAsia="zh-CN"/>
              </w:rPr>
              <w:fldChar w:fldCharType="separate"/>
            </w:r>
            <w:r>
              <w:rPr>
                <w:rFonts w:hint="default"/>
                <w:color w:val="auto"/>
              </w:rPr>
              <w:t>②</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与山西省人民政府关于实施“三线一单”生态环境分区管控的意见（晋政发〔2020〕26号）的相符性分析</w:t>
            </w:r>
          </w:p>
          <w:p w14:paraId="3230F0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72" w:rightChars="-3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表1-3  与晋政发〔2020〕26号符合性分析</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9"/>
              <w:gridCol w:w="2892"/>
              <w:gridCol w:w="831"/>
            </w:tblGrid>
            <w:tr w14:paraId="1DCE9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68" w:type="pct"/>
                  <w:tcBorders>
                    <w:tl2br w:val="nil"/>
                    <w:tr2bl w:val="nil"/>
                  </w:tcBorders>
                  <w:noWrap w:val="0"/>
                  <w:vAlign w:val="center"/>
                </w:tcPr>
                <w:p w14:paraId="7AACF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outlineLvl w:val="9"/>
                    <w:rPr>
                      <w:rFonts w:hint="default"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文件内容</w:t>
                  </w:r>
                </w:p>
              </w:tc>
              <w:tc>
                <w:tcPr>
                  <w:tcW w:w="1733" w:type="pct"/>
                  <w:tcBorders>
                    <w:tl2br w:val="nil"/>
                    <w:tr2bl w:val="nil"/>
                  </w:tcBorders>
                  <w:noWrap w:val="0"/>
                  <w:vAlign w:val="center"/>
                </w:tcPr>
                <w:p w14:paraId="57FFF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outlineLvl w:val="9"/>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项目情况</w:t>
                  </w:r>
                </w:p>
              </w:tc>
              <w:tc>
                <w:tcPr>
                  <w:tcW w:w="498" w:type="pct"/>
                  <w:tcBorders>
                    <w:tl2br w:val="nil"/>
                    <w:tr2bl w:val="nil"/>
                  </w:tcBorders>
                  <w:noWrap w:val="0"/>
                  <w:vAlign w:val="center"/>
                </w:tcPr>
                <w:p w14:paraId="1E285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firstLine="0" w:firstLineChars="0"/>
                    <w:jc w:val="center"/>
                    <w:textAlignment w:val="auto"/>
                    <w:outlineLvl w:val="9"/>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符合性</w:t>
                  </w:r>
                </w:p>
              </w:tc>
            </w:tr>
            <w:tr w14:paraId="3235C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3" w:hRule="atLeast"/>
                <w:jc w:val="center"/>
              </w:trPr>
              <w:tc>
                <w:tcPr>
                  <w:tcW w:w="2768" w:type="pct"/>
                  <w:tcBorders>
                    <w:tl2br w:val="nil"/>
                    <w:tr2bl w:val="nil"/>
                  </w:tcBorders>
                  <w:noWrap w:val="0"/>
                  <w:vAlign w:val="center"/>
                </w:tcPr>
                <w:p w14:paraId="78F30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点管控单元：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城，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区和汾渭平原区城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一网-河(湖)”一体化运营模式，大力推进工业废水近零排放和资源化利用，实施城镇生活再生水资源化分质利用。</w:t>
                  </w:r>
                </w:p>
              </w:tc>
              <w:tc>
                <w:tcPr>
                  <w:tcW w:w="1733" w:type="pct"/>
                  <w:tcBorders>
                    <w:tl2br w:val="nil"/>
                    <w:tr2bl w:val="nil"/>
                  </w:tcBorders>
                  <w:noWrap w:val="0"/>
                  <w:vAlign w:val="center"/>
                </w:tcPr>
                <w:p w14:paraId="5D43B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项目为学校建设项目，非管控中严禁新增产能的行业、非“两高”及焦化等重污染行业。项目运营过程中实验废水与生活污水通过市政污水管网送入屯留县城区污水处理厂</w:t>
                  </w:r>
                </w:p>
                <w:p w14:paraId="72311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outlineLvl w:val="9"/>
                    <w:rPr>
                      <w:rFonts w:hint="default" w:ascii="Times New Roman" w:hAnsi="Times New Roman" w:eastAsia="宋体" w:cs="Times New Roman"/>
                      <w:color w:val="auto"/>
                      <w:sz w:val="21"/>
                      <w:szCs w:val="21"/>
                      <w:lang w:val="en-US" w:eastAsia="zh-CN"/>
                    </w:rPr>
                  </w:pPr>
                </w:p>
              </w:tc>
              <w:tc>
                <w:tcPr>
                  <w:tcW w:w="498" w:type="pct"/>
                  <w:tcBorders>
                    <w:tl2br w:val="nil"/>
                    <w:tr2bl w:val="nil"/>
                  </w:tcBorders>
                  <w:noWrap w:val="0"/>
                  <w:vAlign w:val="center"/>
                </w:tcPr>
                <w:p w14:paraId="137EE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符合</w:t>
                  </w:r>
                </w:p>
              </w:tc>
            </w:tr>
          </w:tbl>
          <w:p w14:paraId="1C7F30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3 \* GB3 \* MERGEFORMAT </w:instrText>
            </w:r>
            <w:r>
              <w:rPr>
                <w:rFonts w:hint="eastAsia" w:ascii="Times New Roman" w:hAnsi="Times New Roman" w:eastAsia="宋体" w:cs="Times New Roman"/>
                <w:color w:val="auto"/>
                <w:sz w:val="24"/>
                <w:szCs w:val="24"/>
                <w:lang w:val="en-US" w:eastAsia="zh-CN"/>
              </w:rPr>
              <w:fldChar w:fldCharType="separate"/>
            </w:r>
            <w:r>
              <w:rPr>
                <w:rFonts w:hint="default"/>
                <w:color w:val="auto"/>
              </w:rPr>
              <w:t>③</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与长治市人民政府关于印发长治市“三线一单”生态环境分区管控的实施方案的通知（长政发〔2020〕21）的符合性分析</w:t>
            </w:r>
          </w:p>
          <w:p w14:paraId="6B6150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72" w:rightChars="-30"/>
              <w:jc w:val="center"/>
              <w:textAlignment w:val="auto"/>
              <w:outlineLvl w:val="9"/>
              <w:rPr>
                <w:rFonts w:hint="eastAsia" w:cs="Times New Roman"/>
                <w:b/>
                <w:bCs/>
                <w:color w:val="auto"/>
                <w:sz w:val="21"/>
                <w:szCs w:val="21"/>
                <w:lang w:val="en-US" w:eastAsia="zh-CN"/>
              </w:rPr>
            </w:pPr>
          </w:p>
          <w:p w14:paraId="6C71DE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72" w:rightChars="-3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表1-4  与长治市生态环境总体准入清单符合性分析</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4013"/>
              <w:gridCol w:w="3114"/>
              <w:gridCol w:w="592"/>
            </w:tblGrid>
            <w:tr w14:paraId="68BF1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3" w:type="pct"/>
                  <w:tcBorders>
                    <w:tl2br w:val="nil"/>
                    <w:tr2bl w:val="nil"/>
                  </w:tcBorders>
                  <w:noWrap w:val="0"/>
                  <w:vAlign w:val="center"/>
                </w:tcPr>
                <w:p w14:paraId="74217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管控类别</w:t>
                  </w:r>
                </w:p>
              </w:tc>
              <w:tc>
                <w:tcPr>
                  <w:tcW w:w="2405" w:type="pct"/>
                  <w:tcBorders>
                    <w:tl2br w:val="nil"/>
                    <w:tr2bl w:val="nil"/>
                  </w:tcBorders>
                  <w:noWrap w:val="0"/>
                  <w:vAlign w:val="center"/>
                </w:tcPr>
                <w:p w14:paraId="7C818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要求</w:t>
                  </w:r>
                </w:p>
              </w:tc>
              <w:tc>
                <w:tcPr>
                  <w:tcW w:w="1866" w:type="pct"/>
                  <w:tcBorders>
                    <w:tl2br w:val="nil"/>
                    <w:tr2bl w:val="nil"/>
                  </w:tcBorders>
                  <w:noWrap w:val="0"/>
                  <w:vAlign w:val="center"/>
                </w:tcPr>
                <w:p w14:paraId="41330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354" w:type="pct"/>
                  <w:tcBorders>
                    <w:tl2br w:val="nil"/>
                    <w:tr2bl w:val="nil"/>
                  </w:tcBorders>
                  <w:noWrap w:val="0"/>
                  <w:vAlign w:val="center"/>
                </w:tcPr>
                <w:p w14:paraId="3E820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14:paraId="28961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373" w:type="pct"/>
                  <w:vMerge w:val="restart"/>
                  <w:tcBorders>
                    <w:tl2br w:val="nil"/>
                    <w:tr2bl w:val="nil"/>
                  </w:tcBorders>
                  <w:noWrap w:val="0"/>
                  <w:vAlign w:val="center"/>
                </w:tcPr>
                <w:p w14:paraId="53595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2405" w:type="pct"/>
                  <w:tcBorders>
                    <w:tl2br w:val="nil"/>
                    <w:tr2bl w:val="nil"/>
                  </w:tcBorders>
                  <w:noWrap w:val="0"/>
                  <w:vAlign w:val="center"/>
                </w:tcPr>
                <w:p w14:paraId="57E5E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866" w:type="pct"/>
                  <w:vMerge w:val="restart"/>
                  <w:tcBorders>
                    <w:tl2br w:val="nil"/>
                    <w:tr2bl w:val="nil"/>
                  </w:tcBorders>
                  <w:noWrap w:val="0"/>
                  <w:vAlign w:val="center"/>
                </w:tcPr>
                <w:p w14:paraId="26025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本项目为学校建设项目，不属于“两高”项目。</w:t>
                  </w:r>
                </w:p>
              </w:tc>
              <w:tc>
                <w:tcPr>
                  <w:tcW w:w="354" w:type="pct"/>
                  <w:vMerge w:val="restart"/>
                  <w:tcBorders>
                    <w:tl2br w:val="nil"/>
                    <w:tr2bl w:val="nil"/>
                  </w:tcBorders>
                  <w:noWrap w:val="0"/>
                  <w:vAlign w:val="center"/>
                </w:tcPr>
                <w:p w14:paraId="42BAF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87C5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373" w:type="pct"/>
                  <w:vMerge w:val="continue"/>
                  <w:tcBorders>
                    <w:tl2br w:val="nil"/>
                    <w:tr2bl w:val="nil"/>
                  </w:tcBorders>
                  <w:noWrap w:val="0"/>
                  <w:vAlign w:val="center"/>
                </w:tcPr>
                <w:p w14:paraId="0152D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rPr>
                  </w:pPr>
                </w:p>
              </w:tc>
              <w:tc>
                <w:tcPr>
                  <w:tcW w:w="2405" w:type="pct"/>
                  <w:tcBorders>
                    <w:tl2br w:val="nil"/>
                    <w:tr2bl w:val="nil"/>
                  </w:tcBorders>
                  <w:noWrap w:val="0"/>
                  <w:vAlign w:val="center"/>
                </w:tcPr>
                <w:p w14:paraId="6AE6C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tc>
              <w:tc>
                <w:tcPr>
                  <w:tcW w:w="1866" w:type="pct"/>
                  <w:vMerge w:val="continue"/>
                  <w:tcBorders>
                    <w:tl2br w:val="nil"/>
                    <w:tr2bl w:val="nil"/>
                  </w:tcBorders>
                  <w:noWrap w:val="0"/>
                  <w:vAlign w:val="center"/>
                </w:tcPr>
                <w:p w14:paraId="089A2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354" w:type="pct"/>
                  <w:vMerge w:val="continue"/>
                  <w:tcBorders>
                    <w:tl2br w:val="nil"/>
                    <w:tr2bl w:val="nil"/>
                  </w:tcBorders>
                  <w:noWrap w:val="0"/>
                  <w:vAlign w:val="center"/>
                </w:tcPr>
                <w:p w14:paraId="21806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r>
            <w:tr w14:paraId="7B2C1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373" w:type="pct"/>
                  <w:vMerge w:val="continue"/>
                  <w:tcBorders>
                    <w:tl2br w:val="nil"/>
                    <w:tr2bl w:val="nil"/>
                  </w:tcBorders>
                  <w:noWrap w:val="0"/>
                  <w:vAlign w:val="center"/>
                </w:tcPr>
                <w:p w14:paraId="31DDF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2405" w:type="pct"/>
                  <w:tcBorders>
                    <w:tl2br w:val="nil"/>
                    <w:tr2bl w:val="nil"/>
                  </w:tcBorders>
                  <w:noWrap w:val="0"/>
                  <w:vAlign w:val="center"/>
                </w:tcPr>
                <w:p w14:paraId="3FAA3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3.新建、扩建“两高”项目应采用先进适用的工艺技术和装备，单位产品物耗、能耗、水耗等达到清洁生产先进水平,依法制定并严格落实防治土壤与地下水污染的措施。</w:t>
                  </w:r>
                </w:p>
              </w:tc>
              <w:tc>
                <w:tcPr>
                  <w:tcW w:w="1866" w:type="pct"/>
                  <w:vMerge w:val="continue"/>
                  <w:tcBorders>
                    <w:tl2br w:val="nil"/>
                    <w:tr2bl w:val="nil"/>
                  </w:tcBorders>
                  <w:noWrap w:val="0"/>
                  <w:vAlign w:val="center"/>
                </w:tcPr>
                <w:p w14:paraId="14590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354" w:type="pct"/>
                  <w:vMerge w:val="continue"/>
                  <w:tcBorders>
                    <w:tl2br w:val="nil"/>
                    <w:tr2bl w:val="nil"/>
                  </w:tcBorders>
                  <w:noWrap w:val="0"/>
                  <w:vAlign w:val="center"/>
                </w:tcPr>
                <w:p w14:paraId="6D339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r>
            <w:tr w14:paraId="73E26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373" w:type="pct"/>
                  <w:vMerge w:val="continue"/>
                  <w:tcBorders>
                    <w:tl2br w:val="nil"/>
                    <w:tr2bl w:val="nil"/>
                  </w:tcBorders>
                  <w:noWrap w:val="0"/>
                  <w:vAlign w:val="center"/>
                </w:tcPr>
                <w:p w14:paraId="0EFDA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2405" w:type="pct"/>
                  <w:tcBorders>
                    <w:tl2br w:val="nil"/>
                    <w:tr2bl w:val="nil"/>
                  </w:tcBorders>
                  <w:noWrap w:val="0"/>
                  <w:vAlign w:val="center"/>
                </w:tcPr>
                <w:p w14:paraId="4D517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4.对纳入生态保护红线的区域，原则上按照禁止开发区域进行管理，严格禁止开发性、生产性建设活动，在符合现行法律法规前提下，除国家重大战略项目外，仅允许对生态功能不造成破坏的有限人为活动。</w:t>
                  </w:r>
                </w:p>
              </w:tc>
              <w:tc>
                <w:tcPr>
                  <w:tcW w:w="1866" w:type="pct"/>
                  <w:tcBorders>
                    <w:tl2br w:val="nil"/>
                    <w:tr2bl w:val="nil"/>
                  </w:tcBorders>
                  <w:noWrap w:val="0"/>
                  <w:vAlign w:val="center"/>
                </w:tcPr>
                <w:p w14:paraId="73AAC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本项目选址位于城市建成区，不属于生态保护红线范围内。</w:t>
                  </w:r>
                </w:p>
              </w:tc>
              <w:tc>
                <w:tcPr>
                  <w:tcW w:w="354" w:type="pct"/>
                  <w:tcBorders>
                    <w:tl2br w:val="nil"/>
                    <w:tr2bl w:val="nil"/>
                  </w:tcBorders>
                  <w:noWrap w:val="0"/>
                  <w:vAlign w:val="center"/>
                </w:tcPr>
                <w:p w14:paraId="0B50C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62AB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73" w:type="pct"/>
                  <w:vMerge w:val="continue"/>
                  <w:tcBorders>
                    <w:tl2br w:val="nil"/>
                    <w:tr2bl w:val="nil"/>
                  </w:tcBorders>
                  <w:noWrap w:val="0"/>
                  <w:vAlign w:val="center"/>
                </w:tcPr>
                <w:p w14:paraId="5008B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2405" w:type="pct"/>
                  <w:tcBorders>
                    <w:tl2br w:val="nil"/>
                    <w:tr2bl w:val="nil"/>
                  </w:tcBorders>
                  <w:noWrap w:val="0"/>
                  <w:vAlign w:val="center"/>
                </w:tcPr>
                <w:p w14:paraId="360B0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5.在禁养区内禁止新建规模化畜禽养殖项目</w:t>
                  </w:r>
                </w:p>
              </w:tc>
              <w:tc>
                <w:tcPr>
                  <w:tcW w:w="1866" w:type="pct"/>
                  <w:tcBorders>
                    <w:tl2br w:val="nil"/>
                    <w:tr2bl w:val="nil"/>
                  </w:tcBorders>
                  <w:noWrap w:val="0"/>
                  <w:vAlign w:val="center"/>
                </w:tcPr>
                <w:p w14:paraId="14040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本项目为学校建设项目，非养殖类项目。</w:t>
                  </w:r>
                </w:p>
              </w:tc>
              <w:tc>
                <w:tcPr>
                  <w:tcW w:w="354" w:type="pct"/>
                  <w:tcBorders>
                    <w:tl2br w:val="nil"/>
                    <w:tr2bl w:val="nil"/>
                  </w:tcBorders>
                  <w:noWrap w:val="0"/>
                  <w:vAlign w:val="center"/>
                </w:tcPr>
                <w:p w14:paraId="6F236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6471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73" w:type="pct"/>
                  <w:vMerge w:val="continue"/>
                  <w:tcBorders>
                    <w:tl2br w:val="nil"/>
                    <w:tr2bl w:val="nil"/>
                  </w:tcBorders>
                  <w:noWrap w:val="0"/>
                  <w:vAlign w:val="center"/>
                </w:tcPr>
                <w:p w14:paraId="41B20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2405" w:type="pct"/>
                  <w:tcBorders>
                    <w:tl2br w:val="nil"/>
                    <w:tr2bl w:val="nil"/>
                  </w:tcBorders>
                  <w:noWrap w:val="0"/>
                  <w:vAlign w:val="center"/>
                </w:tcPr>
                <w:p w14:paraId="06ED64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tc>
              <w:tc>
                <w:tcPr>
                  <w:tcW w:w="1866" w:type="pct"/>
                  <w:tcBorders>
                    <w:tl2br w:val="nil"/>
                    <w:tr2bl w:val="nil"/>
                  </w:tcBorders>
                  <w:noWrap w:val="0"/>
                  <w:vAlign w:val="center"/>
                </w:tcPr>
                <w:p w14:paraId="45914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本项目不属于此类行业。</w:t>
                  </w:r>
                </w:p>
              </w:tc>
              <w:tc>
                <w:tcPr>
                  <w:tcW w:w="354" w:type="pct"/>
                  <w:tcBorders>
                    <w:tl2br w:val="nil"/>
                    <w:tr2bl w:val="nil"/>
                  </w:tcBorders>
                  <w:noWrap w:val="0"/>
                  <w:vAlign w:val="center"/>
                </w:tcPr>
                <w:p w14:paraId="7E0FD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E258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373" w:type="pct"/>
                  <w:vMerge w:val="continue"/>
                  <w:tcBorders>
                    <w:tl2br w:val="nil"/>
                    <w:tr2bl w:val="nil"/>
                  </w:tcBorders>
                  <w:noWrap w:val="0"/>
                  <w:vAlign w:val="center"/>
                </w:tcPr>
                <w:p w14:paraId="1B194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2405" w:type="pct"/>
                  <w:tcBorders>
                    <w:tl2br w:val="nil"/>
                    <w:tr2bl w:val="nil"/>
                  </w:tcBorders>
                  <w:noWrap w:val="0"/>
                  <w:vAlign w:val="center"/>
                </w:tcPr>
                <w:p w14:paraId="73B2A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7.禁止在居民区和学校、医院、疗养院、养老院、幼儿园等单位周边新建、改建、扩建可能造成土壤污染的建设项目。</w:t>
                  </w:r>
                </w:p>
              </w:tc>
              <w:tc>
                <w:tcPr>
                  <w:tcW w:w="1866" w:type="pct"/>
                  <w:tcBorders>
                    <w:tl2br w:val="nil"/>
                    <w:tr2bl w:val="nil"/>
                  </w:tcBorders>
                  <w:noWrap w:val="0"/>
                  <w:vAlign w:val="center"/>
                </w:tcPr>
                <w:p w14:paraId="4EDB7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本项目为学校建设项目，不属于可能造成土壤污染的建设项目。</w:t>
                  </w:r>
                </w:p>
              </w:tc>
              <w:tc>
                <w:tcPr>
                  <w:tcW w:w="354" w:type="pct"/>
                  <w:tcBorders>
                    <w:tl2br w:val="nil"/>
                    <w:tr2bl w:val="nil"/>
                  </w:tcBorders>
                  <w:noWrap w:val="0"/>
                  <w:vAlign w:val="center"/>
                </w:tcPr>
                <w:p w14:paraId="33A41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C28E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373" w:type="pct"/>
                  <w:vMerge w:val="continue"/>
                  <w:tcBorders>
                    <w:tl2br w:val="nil"/>
                    <w:tr2bl w:val="nil"/>
                  </w:tcBorders>
                  <w:noWrap w:val="0"/>
                  <w:vAlign w:val="center"/>
                </w:tcPr>
                <w:p w14:paraId="15706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p>
              </w:tc>
              <w:tc>
                <w:tcPr>
                  <w:tcW w:w="2405" w:type="pct"/>
                  <w:tcBorders>
                    <w:tl2br w:val="nil"/>
                    <w:tr2bl w:val="nil"/>
                  </w:tcBorders>
                  <w:noWrap w:val="0"/>
                  <w:vAlign w:val="center"/>
                </w:tcPr>
                <w:p w14:paraId="77B47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8.禁止新增钢铁、焦化、铸造、水泥、平板玻璃等产能；确有必要新建的，应当严格执行产能置换，符合区域、行业规划环评规定。</w:t>
                  </w:r>
                </w:p>
              </w:tc>
              <w:tc>
                <w:tcPr>
                  <w:tcW w:w="1866" w:type="pct"/>
                  <w:tcBorders>
                    <w:tl2br w:val="nil"/>
                    <w:tr2bl w:val="nil"/>
                  </w:tcBorders>
                  <w:noWrap w:val="0"/>
                  <w:vAlign w:val="center"/>
                </w:tcPr>
                <w:p w14:paraId="4F3B0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本项目不属于禁止新增产能的钢铁、焦化、铸造、水泥、平板玻璃等行业。</w:t>
                  </w:r>
                </w:p>
              </w:tc>
              <w:tc>
                <w:tcPr>
                  <w:tcW w:w="354" w:type="pct"/>
                  <w:tcBorders>
                    <w:tl2br w:val="nil"/>
                    <w:tr2bl w:val="nil"/>
                  </w:tcBorders>
                  <w:noWrap w:val="0"/>
                  <w:vAlign w:val="center"/>
                </w:tcPr>
                <w:p w14:paraId="27BB3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6A393E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08" w:leftChars="170" w:right="-72" w:rightChars="-30"/>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环境质量底线</w:t>
            </w:r>
          </w:p>
          <w:p w14:paraId="666332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GB3 \* MERGEFORMAT </w:instrText>
            </w:r>
            <w:r>
              <w:rPr>
                <w:rFonts w:hint="eastAsia" w:ascii="Times New Roman" w:hAnsi="Times New Roman" w:eastAsia="宋体" w:cs="Times New Roman"/>
                <w:color w:val="auto"/>
                <w:sz w:val="24"/>
                <w:szCs w:val="24"/>
                <w:lang w:val="en-US" w:eastAsia="zh-CN"/>
              </w:rPr>
              <w:fldChar w:fldCharType="separate"/>
            </w:r>
            <w:r>
              <w:rPr>
                <w:rFonts w:hint="default"/>
                <w:color w:val="auto"/>
              </w:rPr>
              <w:t>①</w:t>
            </w:r>
            <w:r>
              <w:rPr>
                <w:rFonts w:hint="eastAsia" w:ascii="Times New Roman" w:hAnsi="Times New Roman" w:eastAsia="宋体" w:cs="Times New Roman"/>
                <w:color w:val="auto"/>
                <w:sz w:val="24"/>
                <w:szCs w:val="24"/>
                <w:lang w:val="en-US" w:eastAsia="zh-CN"/>
              </w:rPr>
              <w:fldChar w:fldCharType="end"/>
            </w:r>
            <w:r>
              <w:rPr>
                <w:rFonts w:hint="eastAsia" w:cs="Times New Roman"/>
                <w:color w:val="auto"/>
                <w:sz w:val="24"/>
                <w:szCs w:val="24"/>
                <w:lang w:val="en-US" w:eastAsia="zh-CN"/>
              </w:rPr>
              <w:t>本项目位于长治市屯留区，本次评价引用2023年山西省全省环境空气质量公告中长治市屯留区环境空气质量例行数据进行分析，其中PM</w:t>
            </w:r>
            <w:r>
              <w:rPr>
                <w:rFonts w:hint="eastAsia" w:cs="Times New Roman"/>
                <w:color w:val="auto"/>
                <w:sz w:val="24"/>
                <w:szCs w:val="24"/>
                <w:vertAlign w:val="subscript"/>
                <w:lang w:val="en-US" w:eastAsia="zh-CN"/>
              </w:rPr>
              <w:t>10</w:t>
            </w:r>
            <w:r>
              <w:rPr>
                <w:rFonts w:hint="eastAsia" w:cs="Times New Roman"/>
                <w:color w:val="auto"/>
                <w:sz w:val="24"/>
                <w:szCs w:val="24"/>
                <w:lang w:val="en-US" w:eastAsia="zh-CN"/>
              </w:rPr>
              <w:t>、PM</w:t>
            </w:r>
            <w:r>
              <w:rPr>
                <w:rFonts w:hint="eastAsia" w:cs="Times New Roman"/>
                <w:color w:val="auto"/>
                <w:sz w:val="24"/>
                <w:szCs w:val="24"/>
                <w:vertAlign w:val="subscript"/>
                <w:lang w:val="en-US" w:eastAsia="zh-CN"/>
              </w:rPr>
              <w:t>2.5</w:t>
            </w:r>
            <w:r>
              <w:rPr>
                <w:rFonts w:hint="eastAsia" w:cs="Times New Roman"/>
                <w:color w:val="auto"/>
                <w:sz w:val="24"/>
                <w:szCs w:val="24"/>
                <w:lang w:val="en-US" w:eastAsia="zh-CN"/>
              </w:rPr>
              <w:t>、SO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、NO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、CO（24h平均第 95 百分位数质量浓度）均能够满足《环境空气质量标准》 (GB3095-2012)及修改单二级标准要求；监测因子O</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（日最大8小时滑动平均值的第 90 百分位数）的监测值超过《环境空气质量标准》(GB3095-2012)及修改单二级标准要求。因此，屯留区属于城市环境空气质量不达标区。</w:t>
            </w:r>
          </w:p>
          <w:p w14:paraId="63C8BA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本项目为学校建设项目，营运以后不会排放大量的氮氧化物及VOCs，不会导致O</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进一步恶化。</w:t>
            </w:r>
          </w:p>
          <w:p w14:paraId="35D615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cs="Times New Roman"/>
                <w:color w:val="auto"/>
                <w:sz w:val="24"/>
                <w:szCs w:val="24"/>
                <w:lang w:val="en-US" w:eastAsia="zh-CN"/>
              </w:rPr>
            </w:pPr>
            <w:r>
              <w:rPr>
                <w:rFonts w:hint="default" w:cs="Times New Roman"/>
                <w:color w:val="auto"/>
                <w:sz w:val="24"/>
                <w:szCs w:val="24"/>
                <w:lang w:val="en-US" w:eastAsia="zh-CN"/>
              </w:rPr>
              <w:fldChar w:fldCharType="begin"/>
            </w:r>
            <w:r>
              <w:rPr>
                <w:rFonts w:hint="default" w:cs="Times New Roman"/>
                <w:color w:val="auto"/>
                <w:sz w:val="24"/>
                <w:szCs w:val="24"/>
                <w:lang w:val="en-US" w:eastAsia="zh-CN"/>
              </w:rPr>
              <w:instrText xml:space="preserve"> = 2 \* GB3 \* MERGEFORMAT </w:instrText>
            </w:r>
            <w:r>
              <w:rPr>
                <w:rFonts w:hint="default" w:cs="Times New Roman"/>
                <w:color w:val="auto"/>
                <w:sz w:val="24"/>
                <w:szCs w:val="24"/>
                <w:lang w:val="en-US" w:eastAsia="zh-CN"/>
              </w:rPr>
              <w:fldChar w:fldCharType="separate"/>
            </w:r>
            <w:r>
              <w:rPr>
                <w:rFonts w:hint="default"/>
                <w:color w:val="auto"/>
              </w:rPr>
              <w:t>②</w:t>
            </w:r>
            <w:r>
              <w:rPr>
                <w:rFonts w:hint="default" w:cs="Times New Roman"/>
                <w:color w:val="auto"/>
                <w:sz w:val="24"/>
                <w:szCs w:val="24"/>
                <w:lang w:val="en-US" w:eastAsia="zh-CN"/>
              </w:rPr>
              <w:fldChar w:fldCharType="end"/>
            </w:r>
            <w:r>
              <w:rPr>
                <w:rFonts w:hint="default" w:cs="Times New Roman"/>
                <w:color w:val="auto"/>
                <w:sz w:val="24"/>
                <w:szCs w:val="24"/>
                <w:lang w:val="en-US" w:eastAsia="zh-CN"/>
              </w:rPr>
              <w:t>距本项目最近的河流为项目北侧1.8km处绛河</w:t>
            </w:r>
            <w:r>
              <w:rPr>
                <w:rFonts w:hint="eastAsia" w:cs="Times New Roman"/>
                <w:color w:val="auto"/>
                <w:sz w:val="24"/>
                <w:szCs w:val="24"/>
                <w:lang w:val="en-US" w:eastAsia="zh-CN"/>
              </w:rPr>
              <w:t>，本次评价引用山西省生态环境厅2024年1~12月地表水环境质量报告，评价区附近司徒桥断面水质类别仅1月为Ⅱ类，其余时间段分别为Ⅲ类、Ⅳ类、Ⅴ类，水质状况一般。</w:t>
            </w:r>
          </w:p>
          <w:p w14:paraId="284855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cs="Times New Roman"/>
                <w:color w:val="auto"/>
                <w:sz w:val="24"/>
                <w:szCs w:val="24"/>
                <w:lang w:val="en-US" w:eastAsia="zh-CN"/>
              </w:rPr>
            </w:pPr>
            <w:r>
              <w:rPr>
                <w:rFonts w:hint="default" w:cs="Times New Roman"/>
                <w:color w:val="auto"/>
                <w:sz w:val="24"/>
                <w:szCs w:val="24"/>
                <w:lang w:val="en-US" w:eastAsia="zh-CN"/>
              </w:rPr>
              <w:t>本项目建成后营运期废水经校区管网排入校区北侧</w:t>
            </w:r>
            <w:r>
              <w:rPr>
                <w:rFonts w:hint="eastAsia" w:cs="Times New Roman"/>
                <w:color w:val="auto"/>
                <w:sz w:val="24"/>
                <w:szCs w:val="24"/>
                <w:lang w:val="en-US" w:eastAsia="zh-CN"/>
              </w:rPr>
              <w:t>麟绛西大街</w:t>
            </w:r>
            <w:r>
              <w:rPr>
                <w:rFonts w:hint="default" w:cs="Times New Roman"/>
                <w:color w:val="auto"/>
                <w:sz w:val="24"/>
                <w:szCs w:val="24"/>
                <w:lang w:val="en-US" w:eastAsia="zh-CN"/>
              </w:rPr>
              <w:t>市政道路的污水管网</w:t>
            </w:r>
            <w:r>
              <w:rPr>
                <w:rFonts w:hint="eastAsia" w:cs="Times New Roman"/>
                <w:color w:val="auto"/>
                <w:sz w:val="24"/>
                <w:szCs w:val="24"/>
                <w:lang w:val="en-US" w:eastAsia="zh-CN"/>
              </w:rPr>
              <w:t>，最终进入屯留县城区污水处理厂</w:t>
            </w:r>
            <w:r>
              <w:rPr>
                <w:rFonts w:hint="default" w:cs="Times New Roman"/>
                <w:color w:val="auto"/>
                <w:sz w:val="24"/>
                <w:szCs w:val="24"/>
                <w:lang w:val="en-US" w:eastAsia="zh-CN"/>
              </w:rPr>
              <w:t>；雨水经雨水口收集后最终排入</w:t>
            </w:r>
            <w:r>
              <w:rPr>
                <w:rFonts w:hint="eastAsia" w:cs="Times New Roman"/>
                <w:color w:val="auto"/>
                <w:sz w:val="24"/>
                <w:szCs w:val="24"/>
                <w:lang w:val="en-US" w:eastAsia="zh-CN"/>
              </w:rPr>
              <w:t>麟绛西大街</w:t>
            </w:r>
            <w:r>
              <w:rPr>
                <w:rFonts w:hint="default" w:cs="Times New Roman"/>
                <w:color w:val="auto"/>
                <w:sz w:val="24"/>
                <w:szCs w:val="24"/>
                <w:lang w:val="en-US" w:eastAsia="zh-CN"/>
              </w:rPr>
              <w:t>市政雨水管道，均不外排地表水体。采取措施后对地表水体的影响较小</w:t>
            </w:r>
            <w:r>
              <w:rPr>
                <w:rFonts w:hint="eastAsia" w:cs="Times New Roman"/>
                <w:color w:val="auto"/>
                <w:sz w:val="24"/>
                <w:szCs w:val="24"/>
                <w:lang w:val="en-US" w:eastAsia="zh-CN"/>
              </w:rPr>
              <w:t>。</w:t>
            </w:r>
          </w:p>
          <w:p w14:paraId="040175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cs="Times New Roman"/>
                <w:color w:val="auto"/>
                <w:sz w:val="24"/>
                <w:szCs w:val="24"/>
                <w:highlight w:val="none"/>
                <w:lang w:val="en-US" w:eastAsia="zh-CN"/>
              </w:rPr>
            </w:pPr>
            <w:r>
              <w:rPr>
                <w:rFonts w:hint="default" w:cs="Times New Roman"/>
                <w:color w:val="auto"/>
                <w:sz w:val="24"/>
                <w:szCs w:val="24"/>
                <w:lang w:val="en-US" w:eastAsia="zh-CN"/>
              </w:rPr>
              <w:fldChar w:fldCharType="begin"/>
            </w:r>
            <w:r>
              <w:rPr>
                <w:rFonts w:hint="default" w:cs="Times New Roman"/>
                <w:color w:val="auto"/>
                <w:sz w:val="24"/>
                <w:szCs w:val="24"/>
                <w:lang w:val="en-US" w:eastAsia="zh-CN"/>
              </w:rPr>
              <w:instrText xml:space="preserve"> = 3 \* GB3 \* MERGEFORMAT </w:instrText>
            </w:r>
            <w:r>
              <w:rPr>
                <w:rFonts w:hint="default" w:cs="Times New Roman"/>
                <w:color w:val="auto"/>
                <w:sz w:val="24"/>
                <w:szCs w:val="24"/>
                <w:lang w:val="en-US" w:eastAsia="zh-CN"/>
              </w:rPr>
              <w:fldChar w:fldCharType="separate"/>
            </w:r>
            <w:r>
              <w:rPr>
                <w:rFonts w:hint="default"/>
                <w:color w:val="auto"/>
              </w:rPr>
              <w:t>③</w:t>
            </w:r>
            <w:r>
              <w:rPr>
                <w:rFonts w:hint="default" w:cs="Times New Roman"/>
                <w:color w:val="auto"/>
                <w:sz w:val="24"/>
                <w:szCs w:val="24"/>
                <w:lang w:val="en-US" w:eastAsia="zh-CN"/>
              </w:rPr>
              <w:fldChar w:fldCharType="end"/>
            </w:r>
            <w:r>
              <w:rPr>
                <w:rFonts w:hint="eastAsia" w:cs="Times New Roman"/>
                <w:color w:val="auto"/>
                <w:sz w:val="24"/>
                <w:szCs w:val="24"/>
                <w:highlight w:val="none"/>
                <w:lang w:val="en-US" w:eastAsia="zh-CN"/>
              </w:rPr>
              <w:t>山西绿澈环保科技股份有限公司于2025年2月20日对校区四周及敏感点进行了声环境质量现状监测，由监测结果可知，项目北边界（距屯留区主干路麟绛西大街边界10m）及书香华庭小区（距麟绛西大街边界10m，建筑物高于三层，面向交通干线侧）可满足《声环境质量标准》（GB3096-2008）中4a类标准；西边界、南边界、东边界（麟绛小学校）及金威家园噪声现状均可满足《声环境质量标准》（GB3096-2008）中1类标准。</w:t>
            </w:r>
          </w:p>
          <w:p w14:paraId="34A062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营运以后，采取优化布局、高噪声设备合理布置、隔音和减振等措施；学生活动时控制广播时间、使用多个低音喇叭代替高音喇叭。经预测，在采取环评提出的措施后，项目东、南、西边界可满足《工业企业厂界环境噪声排放标准》（GB12348-2008）1 类标准要求，北边界可满足《工业企业厂界环境噪声排放标准》（GB12348-2008）4类标准要求；敏感点金威家园噪声预测值满足《声环境质量标准》（GB3096-2008）1 类标准，敏感点书香华庭小区临路建筑物处满足《声环境质量标准》（GB3096-2008）4a类标准。</w:t>
            </w:r>
          </w:p>
          <w:p w14:paraId="2DAAD5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综上所述，本项目实施后，区域环境质量可以保持现有水平，</w:t>
            </w:r>
            <w:r>
              <w:rPr>
                <w:rFonts w:hint="eastAsia" w:cs="Times New Roman"/>
                <w:color w:val="auto"/>
                <w:sz w:val="24"/>
                <w:szCs w:val="24"/>
                <w:lang w:val="en-US" w:eastAsia="zh-CN"/>
              </w:rPr>
              <w:t>不会突破</w:t>
            </w:r>
            <w:r>
              <w:rPr>
                <w:rFonts w:hint="eastAsia" w:ascii="Times New Roman" w:hAnsi="Times New Roman" w:eastAsia="宋体" w:cs="Times New Roman"/>
                <w:color w:val="auto"/>
                <w:sz w:val="24"/>
                <w:szCs w:val="24"/>
                <w:lang w:val="en-US" w:eastAsia="zh-CN"/>
              </w:rPr>
              <w:t>环境质量底线要求</w:t>
            </w:r>
            <w:r>
              <w:rPr>
                <w:rFonts w:hint="eastAsia" w:cs="Times New Roman"/>
                <w:color w:val="auto"/>
                <w:sz w:val="24"/>
                <w:szCs w:val="24"/>
                <w:lang w:val="en-US" w:eastAsia="zh-CN"/>
              </w:rPr>
              <w:t>。</w:t>
            </w:r>
          </w:p>
          <w:p w14:paraId="2F0EAA22">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72" w:leftChars="-30" w:right="-72" w:rightChars="-3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资源利用上线</w:t>
            </w:r>
          </w:p>
          <w:p w14:paraId="4504C2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学校建设项目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营运过程中消耗一定量的水、电资源，不属于高水耗、高能耗的产业。项目的水、电等资源利用不会突破区域的资源利用上线</w:t>
            </w:r>
            <w:r>
              <w:rPr>
                <w:rFonts w:hint="eastAsia" w:cs="Times New Roman"/>
                <w:color w:val="auto"/>
                <w:sz w:val="24"/>
                <w:szCs w:val="24"/>
                <w:lang w:val="en-US" w:eastAsia="zh-CN"/>
              </w:rPr>
              <w:t>。</w:t>
            </w:r>
          </w:p>
          <w:p w14:paraId="644E9F79">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72" w:leftChars="-30" w:right="-72" w:rightChars="-3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环境准入负面清单</w:t>
            </w:r>
          </w:p>
          <w:p w14:paraId="7B9743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本项目为</w:t>
            </w:r>
            <w:r>
              <w:rPr>
                <w:rFonts w:hint="eastAsia" w:cs="Times New Roman"/>
                <w:color w:val="auto"/>
                <w:sz w:val="24"/>
                <w:szCs w:val="24"/>
                <w:lang w:val="en-US" w:eastAsia="zh-CN"/>
              </w:rPr>
              <w:t>教育行业</w:t>
            </w:r>
            <w:r>
              <w:rPr>
                <w:rFonts w:hint="eastAsia" w:ascii="Times New Roman" w:hAnsi="Times New Roman" w:cs="Times New Roman"/>
                <w:color w:val="auto"/>
                <w:sz w:val="24"/>
                <w:szCs w:val="24"/>
                <w:highlight w:val="none"/>
                <w:lang w:val="en-US" w:eastAsia="zh-CN"/>
              </w:rPr>
              <w:t>，不属于《产业结构调整指导目录》（2024年本）鼓励、淘汰、限制类，视为允许类项目；</w:t>
            </w:r>
            <w:r>
              <w:rPr>
                <w:rFonts w:hint="eastAsia" w:cs="Times New Roman"/>
                <w:color w:val="auto"/>
                <w:sz w:val="24"/>
                <w:szCs w:val="24"/>
                <w:lang w:val="en-US" w:eastAsia="zh-CN"/>
              </w:rPr>
              <w:t>2025年1月24日，长治市屯留全区发展改革和科学技术局以屯发改审发[2025]5号“关于长治市屯留区麟绛小学校扩建初中部 项目可行性研究报告的批复”同意项目的建设，项目代码为：</w:t>
            </w:r>
            <w:r>
              <w:rPr>
                <w:rFonts w:hint="default" w:eastAsia="宋体"/>
                <w:color w:val="auto"/>
                <w:sz w:val="24"/>
                <w:szCs w:val="24"/>
                <w:lang w:val="en-US" w:eastAsia="zh-CN"/>
              </w:rPr>
              <w:t>2501-140405-89-01-868382</w:t>
            </w:r>
            <w:r>
              <w:rPr>
                <w:rFonts w:hint="eastAsia" w:ascii="Times New Roman" w:hAnsi="Times New Roman" w:cs="Times New Roman"/>
                <w:color w:val="auto"/>
                <w:sz w:val="24"/>
                <w:szCs w:val="24"/>
                <w:lang w:val="en-US" w:eastAsia="zh-CN"/>
              </w:rPr>
              <w:t>（见附件2）</w:t>
            </w:r>
            <w:r>
              <w:rPr>
                <w:rFonts w:hint="eastAsia" w:eastAsia="宋体"/>
                <w:color w:val="auto"/>
                <w:sz w:val="24"/>
                <w:szCs w:val="24"/>
                <w:lang w:val="en-US" w:eastAsia="zh-CN"/>
              </w:rPr>
              <w:t>。</w:t>
            </w:r>
          </w:p>
          <w:p w14:paraId="3A0B69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因此</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本项目的建设符合国家及地方产业政策要求。</w:t>
            </w:r>
          </w:p>
          <w:p w14:paraId="3B1BAB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综上所述，本项目的建设符合“三线一单”的原则。</w:t>
            </w:r>
          </w:p>
          <w:p w14:paraId="50C81B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1.3与《屯留区国土空间总体规划（2021-2035）》的符合性分析</w:t>
            </w:r>
          </w:p>
          <w:p w14:paraId="7595BD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2024年3月22日，山西省人民政府以晋政函〔2024〕35号文批复了包括屯留区在内的长治市潞州区等12县（市、区）国土空间总体规划</w:t>
            </w:r>
            <w:r>
              <w:rPr>
                <w:rFonts w:hint="eastAsia" w:cs="Times New Roman"/>
                <w:color w:val="auto"/>
                <w:sz w:val="24"/>
                <w:szCs w:val="24"/>
                <w:highlight w:val="none"/>
                <w:lang w:val="en-US" w:eastAsia="zh-CN"/>
              </w:rPr>
              <w:t>。</w:t>
            </w:r>
          </w:p>
          <w:p w14:paraId="6FFDA9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为中学教育项目，地址位于长治市屯留区麟绛西大街206号麟绛西大街路南。对照《屯留区国土空间规划分区图》，本项目位于长治市屯留区城镇开发边界内，不涉及生态保护区、基本农田保护区等，位于长治市城市发展主中心，符合城市发展规划格局，项目选址符合屯留区国土空间规划。</w:t>
            </w:r>
          </w:p>
          <w:p w14:paraId="1C4F7E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2"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1.4选址可行性分析</w:t>
            </w:r>
          </w:p>
          <w:p w14:paraId="3E103D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本项目位于长治市屯留区麟绛镇麟绛西大街206号</w:t>
            </w:r>
            <w:r>
              <w:rPr>
                <w:rFonts w:hint="eastAsia" w:cs="Times New Roman"/>
                <w:color w:val="auto"/>
                <w:sz w:val="24"/>
                <w:szCs w:val="24"/>
                <w:lang w:val="en-US" w:eastAsia="zh-CN"/>
              </w:rPr>
              <w:t>，隶属西街村土地</w:t>
            </w:r>
            <w:r>
              <w:rPr>
                <w:rFonts w:hint="eastAsia" w:ascii="Times New Roman" w:hAnsi="Times New Roman" w:eastAsia="宋体" w:cs="Times New Roman"/>
                <w:color w:val="auto"/>
                <w:sz w:val="24"/>
                <w:szCs w:val="24"/>
                <w:lang w:val="en-US" w:eastAsia="zh-CN"/>
              </w:rPr>
              <w:t>。根据“长治市屯留区自然资源局关于长治市屯留区麟绛小学校扩建初中部项目开展前期工作意见函”</w:t>
            </w:r>
            <w:r>
              <w:rPr>
                <w:rFonts w:hint="eastAsia" w:cs="Times New Roman"/>
                <w:color w:val="auto"/>
                <w:sz w:val="24"/>
                <w:szCs w:val="24"/>
                <w:lang w:val="en-US" w:eastAsia="zh-CN"/>
              </w:rPr>
              <w:t>，屯自然资函[2024]142号</w:t>
            </w:r>
            <w:r>
              <w:rPr>
                <w:rFonts w:hint="eastAsia" w:ascii="Times New Roman" w:hAnsi="Times New Roman" w:eastAsia="宋体" w:cs="Times New Roman"/>
                <w:color w:val="auto"/>
                <w:sz w:val="24"/>
                <w:szCs w:val="24"/>
                <w:lang w:val="en-US" w:eastAsia="zh-CN"/>
              </w:rPr>
              <w:t>，本项目建设土地权属国有建设用地。</w:t>
            </w:r>
          </w:p>
          <w:p w14:paraId="74921F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根据长治市屯留区自然资源局2025年2月14日出具的建设用地规划许可证（地字第1404052024YG0003518），该地块用地面积11421.64m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，土地用途为中小学用地（附件4）。</w:t>
            </w:r>
          </w:p>
          <w:p w14:paraId="1199CA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cs="Times New Roman"/>
                <w:color w:val="auto"/>
                <w:sz w:val="24"/>
                <w:szCs w:val="24"/>
                <w:lang w:val="en-US" w:eastAsia="zh-CN"/>
              </w:rPr>
            </w:pPr>
            <w:r>
              <w:rPr>
                <w:rFonts w:hint="eastAsia" w:cs="Times New Roman"/>
                <w:color w:val="auto"/>
                <w:sz w:val="24"/>
                <w:szCs w:val="24"/>
                <w:lang w:val="en-US" w:eastAsia="zh-CN"/>
              </w:rPr>
              <w:t>本项目500m范围内无地下水集中式饮用水源和热水、矿泉水、温泉等特殊地下水资源，距离最近的地下水敏感目标为屯留县城饮用水水源地，与屯留县城饮用水水源地二级保护区边界最近距离675m。</w:t>
            </w:r>
          </w:p>
          <w:p w14:paraId="6591D5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cs="Times New Roman"/>
                <w:color w:val="auto"/>
                <w:sz w:val="24"/>
                <w:szCs w:val="24"/>
                <w:lang w:val="en-US" w:eastAsia="zh-CN"/>
              </w:rPr>
            </w:pPr>
            <w:r>
              <w:rPr>
                <w:rFonts w:hint="eastAsia" w:cs="Times New Roman"/>
                <w:color w:val="auto"/>
                <w:sz w:val="24"/>
                <w:szCs w:val="24"/>
                <w:lang w:val="en-US" w:eastAsia="zh-CN"/>
              </w:rPr>
              <w:t>本项目位于辛安泉域范围内，不在泉源重点保护区范围内。项目为中学校建设类项目，用水由市政供</w:t>
            </w:r>
            <w:r>
              <w:rPr>
                <w:rFonts w:hint="eastAsia" w:cs="Times New Roman"/>
                <w:color w:val="auto"/>
                <w:sz w:val="24"/>
                <w:szCs w:val="24"/>
                <w:highlight w:val="none"/>
                <w:lang w:val="en-US" w:eastAsia="zh-CN"/>
              </w:rPr>
              <w:t>给，废水由市</w:t>
            </w:r>
            <w:r>
              <w:rPr>
                <w:rFonts w:hint="eastAsia" w:cs="Times New Roman"/>
                <w:color w:val="auto"/>
                <w:sz w:val="24"/>
                <w:szCs w:val="24"/>
                <w:lang w:val="en-US" w:eastAsia="zh-CN"/>
              </w:rPr>
              <w:t>政管网进入污水处理厂，不涉及地下水开采及利用渗坑、渗井、溶洞、废弃钻孔等方式排污行为。</w:t>
            </w:r>
          </w:p>
          <w:p w14:paraId="59B46D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综上所述，本项目选址可行。</w:t>
            </w:r>
          </w:p>
          <w:p w14:paraId="72475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4D5B45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501197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0076B2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09A596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0B34F9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7E84FB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27C570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72" w:rightChars="-30" w:firstLine="480" w:firstLineChars="200"/>
              <w:jc w:val="left"/>
              <w:textAlignment w:val="auto"/>
              <w:outlineLvl w:val="9"/>
              <w:rPr>
                <w:rFonts w:hint="eastAsia" w:ascii="Times New Roman" w:hAnsi="Times New Roman" w:eastAsia="宋体" w:cs="Times New Roman"/>
                <w:color w:val="auto"/>
                <w:sz w:val="24"/>
                <w:szCs w:val="24"/>
                <w:lang w:val="en-US" w:eastAsia="zh-CN"/>
              </w:rPr>
            </w:pPr>
          </w:p>
          <w:p w14:paraId="5B4B10F9">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5D9DFFBE">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40C3B723">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7018DE68">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6265CBB3">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7FA82B08">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6B8F690D">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77BA217E">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1636B5D6">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18E7CEFB">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46CB3326">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71E4F4FC">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33B0705C">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17567752">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09423A68">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p w14:paraId="64060994">
            <w:pPr>
              <w:keepNext w:val="0"/>
              <w:keepLines w:val="0"/>
              <w:suppressLineNumbers w:val="0"/>
              <w:spacing w:before="0" w:beforeAutospacing="0" w:after="0" w:afterAutospacing="0" w:line="360" w:lineRule="exact"/>
              <w:ind w:left="0" w:right="0"/>
              <w:rPr>
                <w:rFonts w:hint="eastAsia"/>
                <w:b/>
                <w:bCs/>
                <w:color w:val="auto"/>
                <w:sz w:val="21"/>
                <w:szCs w:val="18"/>
                <w:lang w:val="en-US" w:eastAsia="zh-CN"/>
              </w:rPr>
            </w:pPr>
          </w:p>
        </w:tc>
      </w:tr>
    </w:tbl>
    <w:p w14:paraId="597F6261">
      <w:pPr>
        <w:spacing w:line="360" w:lineRule="exact"/>
        <w:rPr>
          <w:rFonts w:hint="eastAsia" w:ascii="宋体" w:hAnsi="宋体"/>
          <w:color w:val="auto"/>
          <w:kern w:val="0"/>
          <w:szCs w:val="24"/>
        </w:rPr>
        <w:sectPr>
          <w:footerReference r:id="rId8" w:type="default"/>
          <w:pgSz w:w="11906" w:h="16838"/>
          <w:pgMar w:top="1418" w:right="1474" w:bottom="1418" w:left="1474" w:header="851" w:footer="992" w:gutter="0"/>
          <w:pgBorders>
            <w:top w:val="none" w:sz="0" w:space="0"/>
            <w:left w:val="none" w:sz="0" w:space="0"/>
            <w:bottom w:val="none" w:sz="0" w:space="0"/>
            <w:right w:val="none" w:sz="0" w:space="0"/>
          </w:pgBorders>
          <w:pgNumType w:start="1"/>
          <w:cols w:space="425" w:num="1"/>
          <w:docGrid w:type="lines" w:linePitch="326" w:charSpace="0"/>
        </w:sectPr>
      </w:pPr>
    </w:p>
    <w:p w14:paraId="60C96E85">
      <w:pPr>
        <w:pStyle w:val="2"/>
        <w:numPr>
          <w:ilvl w:val="0"/>
          <w:numId w:val="0"/>
        </w:numPr>
        <w:jc w:val="center"/>
        <w:rPr>
          <w:rFonts w:hint="eastAsia" w:ascii="黑体" w:hAnsi="黑体" w:eastAsia="黑体" w:cs="黑体"/>
          <w:color w:val="auto"/>
        </w:rPr>
      </w:pPr>
      <w:bookmarkStart w:id="3" w:name="_Toc7091"/>
      <w:r>
        <w:rPr>
          <w:rFonts w:hint="eastAsia" w:ascii="黑体" w:hAnsi="黑体" w:eastAsia="黑体" w:cs="黑体"/>
          <w:color w:val="auto"/>
        </w:rPr>
        <w:t>二、建设项目工程分析</w:t>
      </w:r>
      <w:bookmarkEnd w:id="3"/>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718"/>
      </w:tblGrid>
      <w:tr w14:paraId="369C1F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80" w:hRule="atLeast"/>
          <w:jc w:val="center"/>
        </w:trPr>
        <w:tc>
          <w:tcPr>
            <w:tcW w:w="243" w:type="pct"/>
            <w:tcBorders>
              <w:tl2br w:val="nil"/>
              <w:tr2bl w:val="nil"/>
            </w:tcBorders>
            <w:vAlign w:val="center"/>
          </w:tcPr>
          <w:p w14:paraId="2AA1D190">
            <w:pPr>
              <w:keepNext w:val="0"/>
              <w:keepLines w:val="0"/>
              <w:suppressLineNumbers w:val="0"/>
              <w:spacing w:before="0" w:beforeAutospacing="0" w:after="0" w:afterAutospacing="0"/>
              <w:ind w:left="0" w:right="0"/>
              <w:jc w:val="center"/>
              <w:rPr>
                <w:rFonts w:hint="default"/>
                <w:color w:val="auto"/>
              </w:rPr>
            </w:pPr>
            <w:r>
              <w:rPr>
                <w:rFonts w:hint="eastAsia"/>
                <w:color w:val="auto"/>
              </w:rPr>
              <w:t>建设项目内容</w:t>
            </w:r>
          </w:p>
        </w:tc>
        <w:tc>
          <w:tcPr>
            <w:tcW w:w="4756" w:type="pct"/>
            <w:tcBorders>
              <w:tl2br w:val="nil"/>
              <w:tr2bl w:val="nil"/>
            </w:tcBorders>
          </w:tcPr>
          <w:p w14:paraId="058730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2.1项目背景</w:t>
            </w:r>
          </w:p>
          <w:p w14:paraId="5F0B07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default"/>
                <w:color w:val="auto"/>
                <w:lang w:val="en-US" w:eastAsia="zh-CN"/>
              </w:rPr>
              <w:t>长治市屯留区麟绛小学校为8轨制小学，现有教学班48个，在校生2160人。初中适龄学生人数不断增长，现有学生小学毕业后，本小学周边暂无已建中学，故现阶段考虑增加西侧用地为本学校提供初中部场地，使学校扩容为九年一贯制学校，为周边已建及待建小区内部孩子就近入学，创造便利条件</w:t>
            </w:r>
            <w:r>
              <w:rPr>
                <w:rFonts w:hint="eastAsia"/>
                <w:color w:val="auto"/>
                <w:lang w:val="en-US" w:eastAsia="zh-CN"/>
              </w:rPr>
              <w:t>。</w:t>
            </w:r>
          </w:p>
          <w:p w14:paraId="21C17F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default"/>
                <w:color w:val="auto"/>
                <w:lang w:val="en-US" w:eastAsia="zh-CN"/>
              </w:rPr>
              <w:t>另体育基础设施是学校体育事业发展和学生体育活动的重要载体</w:t>
            </w:r>
            <w:r>
              <w:rPr>
                <w:rFonts w:hint="eastAsia"/>
                <w:color w:val="auto"/>
                <w:lang w:val="en-US" w:eastAsia="zh-CN"/>
              </w:rPr>
              <w:t>，体育基础设施建设是发展体育事业的物质基础。但是学校的体育基础设施建设与周边县市兄弟学校相比仍有较大差距，自建校起至今始终是缺乏小学部风雨操场，因此建设一座现代化的风雨操场迫在眉睫。</w:t>
            </w:r>
          </w:p>
          <w:p w14:paraId="5F051E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2025年1月12日，长治市屯留区</w:t>
            </w:r>
            <w:r>
              <w:rPr>
                <w:rFonts w:hint="eastAsia"/>
                <w:color w:val="auto"/>
                <w:highlight w:val="none"/>
                <w:lang w:val="en-US" w:eastAsia="zh-CN"/>
              </w:rPr>
              <w:t>教育局关于城南学校、麟</w:t>
            </w:r>
            <w:r>
              <w:rPr>
                <w:rFonts w:hint="eastAsia"/>
                <w:color w:val="auto"/>
                <w:lang w:val="en-US" w:eastAsia="zh-CN"/>
              </w:rPr>
              <w:t>绛小学初中部规划设计方案的情况说明中提出，区委、区政府两次会议一致通过规划设计方案，即屯留区麟绛小学校新建八轨制初中部。</w:t>
            </w:r>
          </w:p>
          <w:p w14:paraId="03BF9A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s="Times New Roman"/>
                <w:color w:val="auto"/>
                <w:sz w:val="24"/>
                <w:szCs w:val="24"/>
                <w:lang w:val="en-US" w:eastAsia="zh-CN"/>
              </w:rPr>
              <w:t>2025年1月，长治市屯留区麟绛小学校委托上海北瑄工程咨询有限公司编制该项目可研报告。2025年1月24日，取得长治市屯留区发展政革和科学技术局以屯发改审发〔2025〕5号出具“关于长治市屯留区麟绛小学校扩建初中部可行性研究报告的批复”，项目代码2501-140405-89-01-868382。</w:t>
            </w:r>
          </w:p>
          <w:p w14:paraId="126FCD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2.2项目概况</w:t>
            </w:r>
          </w:p>
          <w:p w14:paraId="07BE40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color w:val="auto"/>
                <w:sz w:val="24"/>
                <w:szCs w:val="24"/>
              </w:rPr>
              <w:t>（1）项目名称：长治市屯留区麟绛小学校扩建初中部项目</w:t>
            </w:r>
          </w:p>
          <w:p w14:paraId="259041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eastAsia" w:eastAsia="宋体"/>
                <w:color w:val="auto"/>
                <w:sz w:val="24"/>
                <w:szCs w:val="24"/>
                <w:lang w:val="en-US" w:eastAsia="zh-CN"/>
              </w:rPr>
            </w:pPr>
            <w:r>
              <w:rPr>
                <w:rFonts w:hint="eastAsia"/>
                <w:color w:val="auto"/>
                <w:sz w:val="24"/>
                <w:szCs w:val="24"/>
              </w:rPr>
              <w:t>（2）建设性质：</w:t>
            </w:r>
            <w:r>
              <w:rPr>
                <w:rFonts w:hint="eastAsia"/>
                <w:color w:val="auto"/>
                <w:sz w:val="24"/>
                <w:szCs w:val="24"/>
                <w:lang w:val="en-US" w:eastAsia="zh-CN"/>
              </w:rPr>
              <w:t>扩建</w:t>
            </w:r>
          </w:p>
          <w:p w14:paraId="5B54A8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eastAsia" w:eastAsia="宋体"/>
                <w:color w:val="auto"/>
                <w:sz w:val="24"/>
                <w:szCs w:val="24"/>
                <w:lang w:val="en-US" w:eastAsia="zh-CN"/>
              </w:rPr>
            </w:pPr>
            <w:r>
              <w:rPr>
                <w:rFonts w:hint="eastAsia"/>
                <w:color w:val="auto"/>
                <w:sz w:val="24"/>
                <w:szCs w:val="24"/>
              </w:rPr>
              <w:t>（3）建设单位：长治市屯留区麟绛小学校</w:t>
            </w:r>
          </w:p>
          <w:p w14:paraId="3AA3A63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color w:val="auto"/>
                <w:sz w:val="24"/>
                <w:szCs w:val="24"/>
              </w:rPr>
              <w:t>（4）建设地点：</w:t>
            </w:r>
            <w:r>
              <w:rPr>
                <w:rFonts w:hint="default"/>
                <w:color w:val="auto"/>
                <w:lang w:val="en-US" w:eastAsia="zh-CN"/>
              </w:rPr>
              <w:t>本项目位于长治市屯留区麟绛西大街206号</w:t>
            </w:r>
            <w:r>
              <w:rPr>
                <w:rFonts w:hint="eastAsia"/>
                <w:color w:val="auto"/>
                <w:lang w:val="en-US" w:eastAsia="zh-CN"/>
              </w:rPr>
              <w:t>，校区北为麟绛西大街，西侧为金威家园，东侧与麟绛小学一墙之隔</w:t>
            </w:r>
            <w:r>
              <w:rPr>
                <w:rFonts w:hint="eastAsia"/>
                <w:color w:val="auto"/>
                <w:highlight w:val="none"/>
                <w:lang w:val="en-US" w:eastAsia="zh-CN"/>
              </w:rPr>
              <w:t>，南侧为空地。</w:t>
            </w:r>
          </w:p>
          <w:p w14:paraId="14F47D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2.3工程内容</w:t>
            </w:r>
          </w:p>
          <w:p w14:paraId="374D35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本项目总用地11421.64m</w:t>
            </w:r>
            <w:r>
              <w:rPr>
                <w:rFonts w:hint="eastAsia"/>
                <w:color w:val="auto"/>
                <w:sz w:val="24"/>
                <w:szCs w:val="24"/>
                <w:vertAlign w:val="superscript"/>
                <w:lang w:val="en-US" w:eastAsia="zh-CN"/>
              </w:rPr>
              <w:t>2</w:t>
            </w:r>
            <w:r>
              <w:rPr>
                <w:rFonts w:hint="eastAsia"/>
                <w:color w:val="auto"/>
                <w:sz w:val="24"/>
                <w:szCs w:val="24"/>
                <w:lang w:val="en-US" w:eastAsia="zh-CN"/>
              </w:rPr>
              <w:t>（折合17.13亩），总建筑面积15668m</w:t>
            </w:r>
            <w:r>
              <w:rPr>
                <w:rFonts w:hint="eastAsia"/>
                <w:color w:val="auto"/>
                <w:sz w:val="24"/>
                <w:szCs w:val="24"/>
                <w:vertAlign w:val="superscript"/>
                <w:lang w:val="en-US" w:eastAsia="zh-CN"/>
              </w:rPr>
              <w:t>2</w:t>
            </w:r>
            <w:r>
              <w:rPr>
                <w:rFonts w:hint="eastAsia"/>
                <w:color w:val="auto"/>
                <w:sz w:val="24"/>
                <w:szCs w:val="24"/>
                <w:lang w:val="en-US" w:eastAsia="zh-CN"/>
              </w:rPr>
              <w:t>，其中地上建筑面积15328m</w:t>
            </w:r>
            <w:r>
              <w:rPr>
                <w:rFonts w:hint="eastAsia"/>
                <w:color w:val="auto"/>
                <w:sz w:val="24"/>
                <w:szCs w:val="24"/>
                <w:vertAlign w:val="superscript"/>
                <w:lang w:val="en-US" w:eastAsia="zh-CN"/>
              </w:rPr>
              <w:t>2</w:t>
            </w:r>
            <w:r>
              <w:rPr>
                <w:rFonts w:hint="eastAsia"/>
                <w:color w:val="auto"/>
                <w:sz w:val="24"/>
                <w:szCs w:val="24"/>
                <w:lang w:val="en-US" w:eastAsia="zh-CN"/>
              </w:rPr>
              <w:t>。新建初中部（教学楼、实验楼、阅览室），建筑面积13428m</w:t>
            </w:r>
            <w:r>
              <w:rPr>
                <w:rFonts w:hint="eastAsia"/>
                <w:color w:val="auto"/>
                <w:sz w:val="24"/>
                <w:szCs w:val="24"/>
                <w:vertAlign w:val="superscript"/>
                <w:lang w:val="en-US" w:eastAsia="zh-CN"/>
              </w:rPr>
              <w:t>2</w:t>
            </w:r>
            <w:r>
              <w:rPr>
                <w:rFonts w:hint="eastAsia"/>
                <w:color w:val="auto"/>
                <w:sz w:val="24"/>
                <w:szCs w:val="24"/>
                <w:lang w:val="en-US" w:eastAsia="zh-CN"/>
              </w:rPr>
              <w:t>，风雨操场1座，建筑面积1900m</w:t>
            </w:r>
            <w:r>
              <w:rPr>
                <w:rFonts w:hint="eastAsia"/>
                <w:color w:val="auto"/>
                <w:sz w:val="24"/>
                <w:szCs w:val="24"/>
                <w:vertAlign w:val="superscript"/>
                <w:lang w:val="en-US" w:eastAsia="zh-CN"/>
              </w:rPr>
              <w:t>2</w:t>
            </w:r>
            <w:r>
              <w:rPr>
                <w:rFonts w:hint="eastAsia"/>
                <w:color w:val="auto"/>
                <w:sz w:val="24"/>
                <w:szCs w:val="24"/>
                <w:vertAlign w:val="baseline"/>
                <w:lang w:val="en-US" w:eastAsia="zh-CN"/>
              </w:rPr>
              <w:t>，</w:t>
            </w:r>
            <w:r>
              <w:rPr>
                <w:rFonts w:hint="eastAsia"/>
                <w:color w:val="auto"/>
                <w:sz w:val="24"/>
                <w:szCs w:val="24"/>
                <w:lang w:val="en-US" w:eastAsia="zh-CN"/>
              </w:rPr>
              <w:t>地下建筑（消防水池及泵房）340m</w:t>
            </w:r>
            <w:r>
              <w:rPr>
                <w:rFonts w:hint="eastAsia"/>
                <w:color w:val="auto"/>
                <w:sz w:val="24"/>
                <w:szCs w:val="24"/>
                <w:vertAlign w:val="superscript"/>
                <w:lang w:val="en-US" w:eastAsia="zh-CN"/>
              </w:rPr>
              <w:t>2</w:t>
            </w:r>
            <w:r>
              <w:rPr>
                <w:rFonts w:hint="eastAsia"/>
                <w:color w:val="auto"/>
                <w:sz w:val="24"/>
                <w:szCs w:val="24"/>
                <w:lang w:val="en-US" w:eastAsia="zh-CN"/>
              </w:rPr>
              <w:t>。</w:t>
            </w:r>
          </w:p>
          <w:p w14:paraId="4F6F8D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lang w:val="en-US" w:eastAsia="zh-CN"/>
              </w:rPr>
            </w:pPr>
            <w:r>
              <w:rPr>
                <w:rFonts w:hint="eastAsia" w:ascii="Times New Roman" w:hAnsi="Times New Roman" w:eastAsia="宋体" w:cs="Times New Roman"/>
                <w:color w:val="auto"/>
                <w:sz w:val="24"/>
                <w:szCs w:val="24"/>
                <w:lang w:val="en-US" w:eastAsia="zh-CN"/>
              </w:rPr>
              <w:t>办学规模为8轨制初中班，总班数24班，在校生规模为1200人，教职工89人。</w:t>
            </w:r>
          </w:p>
          <w:p w14:paraId="22D1B2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sz w:val="24"/>
                <w:szCs w:val="24"/>
                <w:lang w:val="en-US" w:eastAsia="zh-CN"/>
              </w:rPr>
              <w:t>主要建设内容为对场地内建筑物的土建、装饰工程、给排水、电气、暖通、海绵工程、消防等安装工程及室外配套工程。</w:t>
            </w:r>
          </w:p>
          <w:p w14:paraId="0CAB63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color w:val="auto"/>
                <w:lang w:val="en-US" w:eastAsia="zh-CN"/>
              </w:rPr>
            </w:pPr>
            <w:r>
              <w:rPr>
                <w:rFonts w:hint="eastAsia"/>
                <w:color w:val="auto"/>
                <w:lang w:val="en-US" w:eastAsia="zh-CN"/>
              </w:rPr>
              <w:t>本项目具体建设内容见表2-1。</w:t>
            </w:r>
          </w:p>
          <w:p w14:paraId="6454AD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表2-1 项目工程组成一览表</w:t>
            </w:r>
          </w:p>
          <w:tbl>
            <w:tblPr>
              <w:tblStyle w:val="24"/>
              <w:tblW w:w="49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41"/>
              <w:gridCol w:w="123"/>
              <w:gridCol w:w="303"/>
              <w:gridCol w:w="995"/>
              <w:gridCol w:w="5181"/>
              <w:gridCol w:w="3"/>
              <w:gridCol w:w="627"/>
              <w:gridCol w:w="3"/>
            </w:tblGrid>
            <w:tr w14:paraId="30E28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54" w:type="pct"/>
                  <w:tcBorders>
                    <w:tl2br w:val="nil"/>
                    <w:tr2bl w:val="nil"/>
                  </w:tcBorders>
                  <w:vAlign w:val="center"/>
                </w:tcPr>
                <w:p w14:paraId="5A2B7965">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eastAsia"/>
                      <w:color w:val="auto"/>
                      <w:sz w:val="21"/>
                      <w:szCs w:val="21"/>
                    </w:rPr>
                    <w:t>工程类别</w:t>
                  </w:r>
                </w:p>
              </w:tc>
              <w:tc>
                <w:tcPr>
                  <w:tcW w:w="1102" w:type="pct"/>
                  <w:gridSpan w:val="4"/>
                  <w:tcBorders>
                    <w:tl2br w:val="nil"/>
                    <w:tr2bl w:val="nil"/>
                  </w:tcBorders>
                  <w:vAlign w:val="center"/>
                </w:tcPr>
                <w:p w14:paraId="0270902C">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eastAsia"/>
                      <w:color w:val="auto"/>
                      <w:sz w:val="21"/>
                      <w:szCs w:val="21"/>
                    </w:rPr>
                    <w:t>工程内容</w:t>
                  </w:r>
                </w:p>
              </w:tc>
              <w:tc>
                <w:tcPr>
                  <w:tcW w:w="3070" w:type="pct"/>
                  <w:gridSpan w:val="2"/>
                  <w:tcBorders>
                    <w:tl2br w:val="nil"/>
                    <w:tr2bl w:val="nil"/>
                  </w:tcBorders>
                  <w:vAlign w:val="center"/>
                </w:tcPr>
                <w:p w14:paraId="32AFF422">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主要建设内容</w:t>
                  </w:r>
                </w:p>
              </w:tc>
              <w:tc>
                <w:tcPr>
                  <w:tcW w:w="373" w:type="pct"/>
                  <w:gridSpan w:val="2"/>
                  <w:tcBorders>
                    <w:tl2br w:val="nil"/>
                    <w:tr2bl w:val="nil"/>
                  </w:tcBorders>
                  <w:vAlign w:val="center"/>
                </w:tcPr>
                <w:p w14:paraId="425085D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eastAsia="zh-CN"/>
                    </w:rPr>
                  </w:pPr>
                  <w:r>
                    <w:rPr>
                      <w:rFonts w:hint="eastAsia"/>
                      <w:color w:val="auto"/>
                      <w:sz w:val="21"/>
                      <w:szCs w:val="21"/>
                      <w:lang w:val="en-US" w:eastAsia="zh-CN"/>
                    </w:rPr>
                    <w:t>备注</w:t>
                  </w:r>
                </w:p>
              </w:tc>
            </w:tr>
            <w:tr w14:paraId="78099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54" w:type="pct"/>
                  <w:vMerge w:val="restart"/>
                  <w:tcBorders>
                    <w:tl2br w:val="nil"/>
                    <w:tr2bl w:val="nil"/>
                  </w:tcBorders>
                  <w:vAlign w:val="center"/>
                </w:tcPr>
                <w:p w14:paraId="346E0D75">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eastAsia"/>
                      <w:color w:val="auto"/>
                      <w:sz w:val="21"/>
                      <w:szCs w:val="21"/>
                    </w:rPr>
                    <w:t>主体工程</w:t>
                  </w:r>
                </w:p>
              </w:tc>
              <w:tc>
                <w:tcPr>
                  <w:tcW w:w="334" w:type="pct"/>
                  <w:gridSpan w:val="2"/>
                  <w:vMerge w:val="restart"/>
                  <w:tcBorders>
                    <w:tl2br w:val="nil"/>
                    <w:tr2bl w:val="nil"/>
                  </w:tcBorders>
                  <w:vAlign w:val="center"/>
                </w:tcPr>
                <w:p w14:paraId="45A436A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初中部</w:t>
                  </w:r>
                </w:p>
              </w:tc>
              <w:tc>
                <w:tcPr>
                  <w:tcW w:w="3838" w:type="pct"/>
                  <w:gridSpan w:val="4"/>
                  <w:tcBorders>
                    <w:tl2br w:val="nil"/>
                    <w:tr2bl w:val="nil"/>
                  </w:tcBorders>
                  <w:vAlign w:val="center"/>
                </w:tcPr>
                <w:p w14:paraId="1A562666">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vertAlign w:val="baseline"/>
                      <w:lang w:val="en-US" w:eastAsia="zh-CN"/>
                    </w:rPr>
                  </w:pPr>
                  <w:r>
                    <w:rPr>
                      <w:rFonts w:hint="eastAsia" w:eastAsia="宋体"/>
                      <w:color w:val="auto"/>
                      <w:sz w:val="21"/>
                      <w:szCs w:val="21"/>
                      <w:lang w:val="en-US" w:eastAsia="zh-CN"/>
                    </w:rPr>
                    <w:t>位于项目占地</w:t>
                  </w:r>
                  <w:r>
                    <w:rPr>
                      <w:rFonts w:hint="eastAsia"/>
                      <w:color w:val="auto"/>
                      <w:sz w:val="21"/>
                      <w:szCs w:val="21"/>
                      <w:lang w:val="en-US" w:eastAsia="zh-CN"/>
                    </w:rPr>
                    <w:t>北</w:t>
                  </w:r>
                  <w:r>
                    <w:rPr>
                      <w:rFonts w:hint="eastAsia" w:eastAsia="宋体"/>
                      <w:color w:val="auto"/>
                      <w:sz w:val="21"/>
                      <w:szCs w:val="21"/>
                      <w:lang w:val="en-US" w:eastAsia="zh-CN"/>
                    </w:rPr>
                    <w:t>侧，建筑面积13428m</w:t>
                  </w:r>
                  <w:r>
                    <w:rPr>
                      <w:rFonts w:hint="eastAsia" w:eastAsia="宋体"/>
                      <w:color w:val="auto"/>
                      <w:sz w:val="21"/>
                      <w:szCs w:val="21"/>
                      <w:vertAlign w:val="superscript"/>
                      <w:lang w:val="en-US" w:eastAsia="zh-CN"/>
                    </w:rPr>
                    <w:t>2</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整栋大楼呈“U”字型分布，北侧布置实验楼，南侧布置教学楼，中间通过2层的阶梯教室连通</w:t>
                  </w:r>
                </w:p>
              </w:tc>
              <w:tc>
                <w:tcPr>
                  <w:tcW w:w="373" w:type="pct"/>
                  <w:gridSpan w:val="2"/>
                  <w:vMerge w:val="restart"/>
                  <w:tcBorders>
                    <w:tl2br w:val="nil"/>
                    <w:tr2bl w:val="nil"/>
                  </w:tcBorders>
                  <w:vAlign w:val="center"/>
                </w:tcPr>
                <w:p w14:paraId="468BB59C">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新建</w:t>
                  </w:r>
                </w:p>
              </w:tc>
            </w:tr>
            <w:tr w14:paraId="2B8F4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54" w:type="pct"/>
                  <w:vMerge w:val="continue"/>
                  <w:tcBorders>
                    <w:tl2br w:val="nil"/>
                    <w:tr2bl w:val="nil"/>
                  </w:tcBorders>
                  <w:vAlign w:val="center"/>
                </w:tcPr>
                <w:p w14:paraId="1D42493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p>
              </w:tc>
              <w:tc>
                <w:tcPr>
                  <w:tcW w:w="334" w:type="pct"/>
                  <w:gridSpan w:val="2"/>
                  <w:vMerge w:val="continue"/>
                  <w:tcBorders>
                    <w:tl2br w:val="nil"/>
                    <w:tr2bl w:val="nil"/>
                  </w:tcBorders>
                  <w:vAlign w:val="center"/>
                </w:tcPr>
                <w:p w14:paraId="659FD07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p>
              </w:tc>
              <w:tc>
                <w:tcPr>
                  <w:tcW w:w="768" w:type="pct"/>
                  <w:gridSpan w:val="2"/>
                  <w:tcBorders>
                    <w:tl2br w:val="nil"/>
                    <w:tr2bl w:val="nil"/>
                  </w:tcBorders>
                  <w:vAlign w:val="center"/>
                </w:tcPr>
                <w:p w14:paraId="34B589A6">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教学楼</w:t>
                  </w:r>
                </w:p>
              </w:tc>
              <w:tc>
                <w:tcPr>
                  <w:tcW w:w="3070" w:type="pct"/>
                  <w:gridSpan w:val="2"/>
                  <w:tcBorders>
                    <w:tl2br w:val="nil"/>
                    <w:tr2bl w:val="nil"/>
                  </w:tcBorders>
                  <w:vAlign w:val="center"/>
                </w:tcPr>
                <w:p w14:paraId="5557486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lang w:val="en-US" w:eastAsia="zh-CN"/>
                    </w:rPr>
                  </w:pPr>
                  <w:r>
                    <w:rPr>
                      <w:rFonts w:hint="eastAsia" w:eastAsia="宋体"/>
                      <w:color w:val="auto"/>
                      <w:sz w:val="21"/>
                      <w:szCs w:val="21"/>
                      <w:lang w:val="en-US" w:eastAsia="zh-CN"/>
                    </w:rPr>
                    <w:t>地上5层，</w:t>
                  </w:r>
                  <w:r>
                    <w:rPr>
                      <w:rFonts w:hint="eastAsia"/>
                      <w:color w:val="auto"/>
                      <w:sz w:val="21"/>
                      <w:szCs w:val="21"/>
                      <w:lang w:val="en-US" w:eastAsia="zh-CN"/>
                    </w:rPr>
                    <w:t>层高3.9m，</w:t>
                  </w:r>
                  <w:r>
                    <w:rPr>
                      <w:rFonts w:hint="eastAsia" w:eastAsia="宋体"/>
                      <w:color w:val="auto"/>
                      <w:sz w:val="21"/>
                      <w:szCs w:val="21"/>
                      <w:lang w:val="en-US" w:eastAsia="zh-CN"/>
                    </w:rPr>
                    <w:t>框架结构，设有普通教室、行政办公室、卫生间、楼梯间、电机间等，教学用房</w:t>
                  </w:r>
                  <w:r>
                    <w:rPr>
                      <w:rFonts w:hint="eastAsia"/>
                      <w:color w:val="auto"/>
                      <w:sz w:val="21"/>
                      <w:szCs w:val="21"/>
                      <w:lang w:val="en-US" w:eastAsia="zh-CN"/>
                    </w:rPr>
                    <w:t>共计</w:t>
                  </w:r>
                  <w:r>
                    <w:rPr>
                      <w:rFonts w:hint="eastAsia" w:eastAsia="宋体"/>
                      <w:color w:val="auto"/>
                      <w:sz w:val="21"/>
                      <w:szCs w:val="21"/>
                      <w:lang w:val="en-US" w:eastAsia="zh-CN"/>
                    </w:rPr>
                    <w:t>24间</w:t>
                  </w:r>
                </w:p>
              </w:tc>
              <w:tc>
                <w:tcPr>
                  <w:tcW w:w="373" w:type="pct"/>
                  <w:gridSpan w:val="2"/>
                  <w:vMerge w:val="continue"/>
                  <w:tcBorders>
                    <w:tl2br w:val="nil"/>
                    <w:tr2bl w:val="nil"/>
                  </w:tcBorders>
                  <w:vAlign w:val="center"/>
                </w:tcPr>
                <w:p w14:paraId="5E10C2E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p>
              </w:tc>
            </w:tr>
            <w:tr w14:paraId="45443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tcBorders>
                    <w:tl2br w:val="nil"/>
                    <w:tr2bl w:val="nil"/>
                  </w:tcBorders>
                  <w:vAlign w:val="center"/>
                </w:tcPr>
                <w:p w14:paraId="19EC0FCF">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p>
              </w:tc>
              <w:tc>
                <w:tcPr>
                  <w:tcW w:w="334" w:type="pct"/>
                  <w:gridSpan w:val="2"/>
                  <w:vMerge w:val="continue"/>
                  <w:tcBorders>
                    <w:tl2br w:val="nil"/>
                    <w:tr2bl w:val="nil"/>
                  </w:tcBorders>
                  <w:vAlign w:val="center"/>
                </w:tcPr>
                <w:p w14:paraId="6C13C44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val="en-US" w:eastAsia="zh-CN"/>
                    </w:rPr>
                  </w:pPr>
                </w:p>
              </w:tc>
              <w:tc>
                <w:tcPr>
                  <w:tcW w:w="768" w:type="pct"/>
                  <w:gridSpan w:val="2"/>
                  <w:tcBorders>
                    <w:tl2br w:val="nil"/>
                    <w:tr2bl w:val="nil"/>
                  </w:tcBorders>
                  <w:vAlign w:val="center"/>
                </w:tcPr>
                <w:p w14:paraId="3EDEE973">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实验楼</w:t>
                  </w:r>
                </w:p>
              </w:tc>
              <w:tc>
                <w:tcPr>
                  <w:tcW w:w="3070" w:type="pct"/>
                  <w:gridSpan w:val="2"/>
                  <w:tcBorders>
                    <w:tl2br w:val="nil"/>
                    <w:tr2bl w:val="nil"/>
                  </w:tcBorders>
                  <w:vAlign w:val="center"/>
                </w:tcPr>
                <w:p w14:paraId="4AD0681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lang w:val="en-US" w:eastAsia="zh-CN"/>
                    </w:rPr>
                  </w:pPr>
                  <w:r>
                    <w:rPr>
                      <w:rFonts w:hint="eastAsia" w:eastAsia="宋体"/>
                      <w:color w:val="auto"/>
                      <w:sz w:val="21"/>
                      <w:szCs w:val="21"/>
                      <w:lang w:val="en-US" w:eastAsia="zh-CN"/>
                    </w:rPr>
                    <w:t>地上5层</w:t>
                  </w:r>
                  <w:r>
                    <w:rPr>
                      <w:rFonts w:hint="eastAsia"/>
                      <w:color w:val="auto"/>
                      <w:sz w:val="21"/>
                      <w:szCs w:val="21"/>
                      <w:lang w:val="en-US" w:eastAsia="zh-CN"/>
                    </w:rPr>
                    <w:t>，层高3.9m</w:t>
                  </w:r>
                  <w:r>
                    <w:rPr>
                      <w:rFonts w:hint="eastAsia" w:eastAsia="宋体"/>
                      <w:color w:val="auto"/>
                      <w:sz w:val="21"/>
                      <w:szCs w:val="21"/>
                      <w:lang w:val="en-US" w:eastAsia="zh-CN"/>
                    </w:rPr>
                    <w:t>，框架结构，设有化学实验室</w:t>
                  </w:r>
                  <w:r>
                    <w:rPr>
                      <w:rFonts w:hint="eastAsia"/>
                      <w:color w:val="auto"/>
                      <w:sz w:val="21"/>
                      <w:szCs w:val="21"/>
                      <w:lang w:val="en-US" w:eastAsia="zh-CN"/>
                    </w:rPr>
                    <w:t>4</w:t>
                  </w:r>
                  <w:r>
                    <w:rPr>
                      <w:rFonts w:hint="eastAsia" w:eastAsia="宋体"/>
                      <w:color w:val="auto"/>
                      <w:sz w:val="21"/>
                      <w:szCs w:val="21"/>
                      <w:lang w:val="en-US" w:eastAsia="zh-CN"/>
                    </w:rPr>
                    <w:t>间、物理实验室3间、生物实验室</w:t>
                  </w:r>
                  <w:r>
                    <w:rPr>
                      <w:rFonts w:hint="eastAsia"/>
                      <w:color w:val="auto"/>
                      <w:sz w:val="21"/>
                      <w:szCs w:val="21"/>
                      <w:lang w:val="en-US" w:eastAsia="zh-CN"/>
                    </w:rPr>
                    <w:t>1</w:t>
                  </w:r>
                  <w:r>
                    <w:rPr>
                      <w:rFonts w:hint="eastAsia" w:eastAsia="宋体"/>
                      <w:color w:val="auto"/>
                      <w:sz w:val="21"/>
                      <w:szCs w:val="21"/>
                      <w:lang w:val="en-US" w:eastAsia="zh-CN"/>
                    </w:rPr>
                    <w:t>间、音乐1间、美术1间、计算机1间、多功能教室（合班教室）3间</w:t>
                  </w:r>
                </w:p>
              </w:tc>
              <w:tc>
                <w:tcPr>
                  <w:tcW w:w="373" w:type="pct"/>
                  <w:gridSpan w:val="2"/>
                  <w:vMerge w:val="continue"/>
                  <w:tcBorders>
                    <w:tl2br w:val="nil"/>
                    <w:tr2bl w:val="nil"/>
                  </w:tcBorders>
                  <w:vAlign w:val="center"/>
                </w:tcPr>
                <w:p w14:paraId="63094B82">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p>
              </w:tc>
            </w:tr>
            <w:tr w14:paraId="3CDEF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54" w:type="pct"/>
                  <w:vMerge w:val="continue"/>
                  <w:tcBorders>
                    <w:tl2br w:val="nil"/>
                    <w:tr2bl w:val="nil"/>
                  </w:tcBorders>
                  <w:vAlign w:val="center"/>
                </w:tcPr>
                <w:p w14:paraId="6AA3E1E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p>
              </w:tc>
              <w:tc>
                <w:tcPr>
                  <w:tcW w:w="334" w:type="pct"/>
                  <w:gridSpan w:val="2"/>
                  <w:vMerge w:val="continue"/>
                  <w:tcBorders>
                    <w:tl2br w:val="nil"/>
                    <w:tr2bl w:val="nil"/>
                  </w:tcBorders>
                  <w:vAlign w:val="center"/>
                </w:tcPr>
                <w:p w14:paraId="1A26070F">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val="en-US" w:eastAsia="zh-CN"/>
                    </w:rPr>
                  </w:pPr>
                </w:p>
              </w:tc>
              <w:tc>
                <w:tcPr>
                  <w:tcW w:w="768" w:type="pct"/>
                  <w:gridSpan w:val="2"/>
                  <w:tcBorders>
                    <w:tl2br w:val="nil"/>
                    <w:tr2bl w:val="nil"/>
                  </w:tcBorders>
                  <w:vAlign w:val="center"/>
                </w:tcPr>
                <w:p w14:paraId="085C4EC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阅览室、阶梯教室</w:t>
                  </w:r>
                </w:p>
              </w:tc>
              <w:tc>
                <w:tcPr>
                  <w:tcW w:w="3070" w:type="pct"/>
                  <w:gridSpan w:val="2"/>
                  <w:tcBorders>
                    <w:tl2br w:val="nil"/>
                    <w:tr2bl w:val="nil"/>
                  </w:tcBorders>
                  <w:vAlign w:val="center"/>
                </w:tcPr>
                <w:p w14:paraId="3764A82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lang w:val="en-US" w:eastAsia="zh-CN"/>
                    </w:rPr>
                  </w:pPr>
                  <w:r>
                    <w:rPr>
                      <w:rFonts w:hint="eastAsia" w:eastAsia="宋体"/>
                      <w:color w:val="auto"/>
                      <w:sz w:val="21"/>
                      <w:szCs w:val="21"/>
                      <w:lang w:val="en-US" w:eastAsia="zh-CN"/>
                    </w:rPr>
                    <w:t>地上2层，</w:t>
                  </w:r>
                  <w:r>
                    <w:rPr>
                      <w:rFonts w:hint="eastAsia"/>
                      <w:color w:val="auto"/>
                      <w:sz w:val="21"/>
                      <w:szCs w:val="21"/>
                      <w:lang w:val="en-US" w:eastAsia="zh-CN"/>
                    </w:rPr>
                    <w:t>层高3.9m，</w:t>
                  </w:r>
                  <w:r>
                    <w:rPr>
                      <w:rFonts w:hint="eastAsia" w:eastAsia="宋体"/>
                      <w:color w:val="auto"/>
                      <w:sz w:val="21"/>
                      <w:szCs w:val="21"/>
                      <w:lang w:val="en-US" w:eastAsia="zh-CN"/>
                    </w:rPr>
                    <w:t>一层为阅览室，二层为阶梯教室</w:t>
                  </w:r>
                </w:p>
              </w:tc>
              <w:tc>
                <w:tcPr>
                  <w:tcW w:w="373" w:type="pct"/>
                  <w:gridSpan w:val="2"/>
                  <w:vMerge w:val="continue"/>
                  <w:tcBorders>
                    <w:tl2br w:val="nil"/>
                    <w:tr2bl w:val="nil"/>
                  </w:tcBorders>
                  <w:vAlign w:val="center"/>
                </w:tcPr>
                <w:p w14:paraId="20660AC6">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p>
              </w:tc>
            </w:tr>
            <w:tr w14:paraId="4FF99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54" w:type="pct"/>
                  <w:vMerge w:val="continue"/>
                  <w:tcBorders>
                    <w:tl2br w:val="nil"/>
                    <w:tr2bl w:val="nil"/>
                  </w:tcBorders>
                  <w:vAlign w:val="center"/>
                </w:tcPr>
                <w:p w14:paraId="5A3B03AB">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p>
              </w:tc>
              <w:tc>
                <w:tcPr>
                  <w:tcW w:w="1102" w:type="pct"/>
                  <w:gridSpan w:val="4"/>
                  <w:tcBorders>
                    <w:tl2br w:val="nil"/>
                    <w:tr2bl w:val="nil"/>
                  </w:tcBorders>
                  <w:vAlign w:val="center"/>
                </w:tcPr>
                <w:p w14:paraId="05C03EF2">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风雨操场</w:t>
                  </w:r>
                </w:p>
              </w:tc>
              <w:tc>
                <w:tcPr>
                  <w:tcW w:w="3070" w:type="pct"/>
                  <w:gridSpan w:val="2"/>
                  <w:tcBorders>
                    <w:tl2br w:val="nil"/>
                    <w:tr2bl w:val="nil"/>
                  </w:tcBorders>
                  <w:vAlign w:val="center"/>
                </w:tcPr>
                <w:p w14:paraId="4AA6499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r>
                    <w:rPr>
                      <w:rFonts w:hint="default"/>
                      <w:color w:val="auto"/>
                      <w:sz w:val="21"/>
                      <w:szCs w:val="21"/>
                      <w:lang w:val="en-US" w:eastAsia="zh-CN"/>
                    </w:rPr>
                    <w:t>位于场地</w:t>
                  </w:r>
                  <w:r>
                    <w:rPr>
                      <w:rFonts w:hint="eastAsia"/>
                      <w:color w:val="auto"/>
                      <w:sz w:val="21"/>
                      <w:szCs w:val="21"/>
                      <w:lang w:val="en-US" w:eastAsia="zh-CN"/>
                    </w:rPr>
                    <w:t>南</w:t>
                  </w:r>
                  <w:r>
                    <w:rPr>
                      <w:rFonts w:hint="default"/>
                      <w:color w:val="auto"/>
                      <w:sz w:val="21"/>
                      <w:szCs w:val="21"/>
                      <w:lang w:val="en-US" w:eastAsia="zh-CN"/>
                    </w:rPr>
                    <w:t>侧，地上</w:t>
                  </w:r>
                  <w:r>
                    <w:rPr>
                      <w:rFonts w:hint="eastAsia"/>
                      <w:color w:val="auto"/>
                      <w:sz w:val="21"/>
                      <w:szCs w:val="21"/>
                      <w:lang w:val="en-US" w:eastAsia="zh-CN"/>
                    </w:rPr>
                    <w:t>二</w:t>
                  </w:r>
                  <w:r>
                    <w:rPr>
                      <w:rFonts w:hint="default"/>
                      <w:color w:val="auto"/>
                      <w:sz w:val="21"/>
                      <w:szCs w:val="21"/>
                      <w:lang w:val="en-US" w:eastAsia="zh-CN"/>
                    </w:rPr>
                    <w:t>层，建筑面积为</w:t>
                  </w:r>
                  <w:r>
                    <w:rPr>
                      <w:rFonts w:hint="eastAsia"/>
                      <w:color w:val="auto"/>
                      <w:sz w:val="21"/>
                      <w:szCs w:val="21"/>
                      <w:lang w:val="en-US" w:eastAsia="zh-CN"/>
                    </w:rPr>
                    <w:t>1900m</w:t>
                  </w:r>
                  <w:r>
                    <w:rPr>
                      <w:rFonts w:hint="eastAsia"/>
                      <w:color w:val="auto"/>
                      <w:sz w:val="21"/>
                      <w:szCs w:val="21"/>
                      <w:vertAlign w:val="superscript"/>
                      <w:lang w:val="en-US" w:eastAsia="zh-CN"/>
                    </w:rPr>
                    <w:t>2</w:t>
                  </w:r>
                  <w:r>
                    <w:rPr>
                      <w:rFonts w:hint="default"/>
                      <w:color w:val="auto"/>
                      <w:sz w:val="21"/>
                      <w:szCs w:val="21"/>
                      <w:lang w:val="en-US" w:eastAsia="zh-CN"/>
                    </w:rPr>
                    <w:t>，设室内活动场（篮球场）、乒乓球场地、更衣室、器材存放室</w:t>
                  </w:r>
                </w:p>
              </w:tc>
              <w:tc>
                <w:tcPr>
                  <w:tcW w:w="373" w:type="pct"/>
                  <w:gridSpan w:val="2"/>
                  <w:vMerge w:val="continue"/>
                  <w:tcBorders>
                    <w:tl2br w:val="nil"/>
                    <w:tr2bl w:val="nil"/>
                  </w:tcBorders>
                  <w:vAlign w:val="center"/>
                </w:tcPr>
                <w:p w14:paraId="1657269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p>
              </w:tc>
            </w:tr>
            <w:tr w14:paraId="74AF9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54" w:type="pct"/>
                  <w:vMerge w:val="continue"/>
                  <w:tcBorders>
                    <w:tl2br w:val="nil"/>
                    <w:tr2bl w:val="nil"/>
                  </w:tcBorders>
                  <w:vAlign w:val="center"/>
                </w:tcPr>
                <w:p w14:paraId="431220CE">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p>
              </w:tc>
              <w:tc>
                <w:tcPr>
                  <w:tcW w:w="1102" w:type="pct"/>
                  <w:gridSpan w:val="4"/>
                  <w:tcBorders>
                    <w:tl2br w:val="nil"/>
                    <w:tr2bl w:val="nil"/>
                  </w:tcBorders>
                  <w:vAlign w:val="center"/>
                </w:tcPr>
                <w:p w14:paraId="6F356A5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室外活动场</w:t>
                  </w:r>
                </w:p>
              </w:tc>
              <w:tc>
                <w:tcPr>
                  <w:tcW w:w="3070" w:type="pct"/>
                  <w:gridSpan w:val="2"/>
                  <w:tcBorders>
                    <w:tl2br w:val="nil"/>
                    <w:tr2bl w:val="nil"/>
                  </w:tcBorders>
                  <w:vAlign w:val="center"/>
                </w:tcPr>
                <w:p w14:paraId="70ED7285">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r>
                    <w:rPr>
                      <w:rFonts w:hint="eastAsia"/>
                      <w:color w:val="auto"/>
                      <w:sz w:val="21"/>
                      <w:szCs w:val="21"/>
                      <w:lang w:val="en-US" w:eastAsia="zh-CN"/>
                    </w:rPr>
                    <w:t>共设置2座篮球场，占地面积860m</w:t>
                  </w:r>
                  <w:r>
                    <w:rPr>
                      <w:rFonts w:hint="eastAsia"/>
                      <w:color w:val="auto"/>
                      <w:sz w:val="21"/>
                      <w:szCs w:val="21"/>
                      <w:vertAlign w:val="superscript"/>
                      <w:lang w:val="en-US" w:eastAsia="zh-CN"/>
                    </w:rPr>
                    <w:t>2</w:t>
                  </w:r>
                </w:p>
              </w:tc>
              <w:tc>
                <w:tcPr>
                  <w:tcW w:w="373" w:type="pct"/>
                  <w:gridSpan w:val="2"/>
                  <w:vMerge w:val="continue"/>
                  <w:tcBorders>
                    <w:tl2br w:val="nil"/>
                    <w:tr2bl w:val="nil"/>
                  </w:tcBorders>
                  <w:vAlign w:val="center"/>
                </w:tcPr>
                <w:p w14:paraId="5521FC45">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p>
              </w:tc>
            </w:tr>
            <w:tr w14:paraId="159D1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54" w:type="pct"/>
                  <w:vMerge w:val="continue"/>
                  <w:tcBorders>
                    <w:tl2br w:val="nil"/>
                    <w:tr2bl w:val="nil"/>
                  </w:tcBorders>
                  <w:vAlign w:val="center"/>
                </w:tcPr>
                <w:p w14:paraId="368EF54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p>
              </w:tc>
              <w:tc>
                <w:tcPr>
                  <w:tcW w:w="1102" w:type="pct"/>
                  <w:gridSpan w:val="4"/>
                  <w:tcBorders>
                    <w:tl2br w:val="nil"/>
                    <w:tr2bl w:val="nil"/>
                  </w:tcBorders>
                  <w:vAlign w:val="center"/>
                </w:tcPr>
                <w:p w14:paraId="2163340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地下消防水池及水泵房</w:t>
                  </w:r>
                </w:p>
              </w:tc>
              <w:tc>
                <w:tcPr>
                  <w:tcW w:w="3070" w:type="pct"/>
                  <w:gridSpan w:val="2"/>
                  <w:tcBorders>
                    <w:tl2br w:val="nil"/>
                    <w:tr2bl w:val="nil"/>
                  </w:tcBorders>
                  <w:vAlign w:val="center"/>
                </w:tcPr>
                <w:p w14:paraId="68FB3D5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r>
                    <w:rPr>
                      <w:rFonts w:hint="eastAsia"/>
                      <w:color w:val="auto"/>
                      <w:sz w:val="21"/>
                      <w:szCs w:val="21"/>
                      <w:lang w:val="en-US" w:eastAsia="zh-CN"/>
                    </w:rPr>
                    <w:t>位于风雨操场看台下方，建筑面积340m</w:t>
                  </w:r>
                  <w:r>
                    <w:rPr>
                      <w:rFonts w:hint="eastAsia"/>
                      <w:color w:val="auto"/>
                      <w:sz w:val="21"/>
                      <w:szCs w:val="21"/>
                      <w:vertAlign w:val="superscript"/>
                      <w:lang w:val="en-US" w:eastAsia="zh-CN"/>
                    </w:rPr>
                    <w:t>2</w:t>
                  </w:r>
                </w:p>
              </w:tc>
              <w:tc>
                <w:tcPr>
                  <w:tcW w:w="373" w:type="pct"/>
                  <w:gridSpan w:val="2"/>
                  <w:vMerge w:val="continue"/>
                  <w:tcBorders>
                    <w:tl2br w:val="nil"/>
                    <w:tr2bl w:val="nil"/>
                  </w:tcBorders>
                  <w:vAlign w:val="center"/>
                </w:tcPr>
                <w:p w14:paraId="6465A2C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p>
              </w:tc>
            </w:tr>
            <w:tr w14:paraId="32592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54" w:type="pct"/>
                  <w:tcBorders>
                    <w:tl2br w:val="nil"/>
                    <w:tr2bl w:val="nil"/>
                  </w:tcBorders>
                  <w:vAlign w:val="center"/>
                </w:tcPr>
                <w:p w14:paraId="0E7A73E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依托工程</w:t>
                  </w:r>
                </w:p>
              </w:tc>
              <w:tc>
                <w:tcPr>
                  <w:tcW w:w="1102" w:type="pct"/>
                  <w:gridSpan w:val="4"/>
                  <w:tcBorders>
                    <w:tl2br w:val="nil"/>
                    <w:tr2bl w:val="nil"/>
                  </w:tcBorders>
                  <w:vAlign w:val="center"/>
                </w:tcPr>
                <w:p w14:paraId="3BDACB4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田径操场</w:t>
                  </w:r>
                </w:p>
              </w:tc>
              <w:tc>
                <w:tcPr>
                  <w:tcW w:w="3070" w:type="pct"/>
                  <w:gridSpan w:val="2"/>
                  <w:tcBorders>
                    <w:tl2br w:val="nil"/>
                    <w:tr2bl w:val="nil"/>
                  </w:tcBorders>
                  <w:vAlign w:val="center"/>
                </w:tcPr>
                <w:p w14:paraId="3064B28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与小学部共用</w:t>
                  </w:r>
                </w:p>
              </w:tc>
              <w:tc>
                <w:tcPr>
                  <w:tcW w:w="373" w:type="pct"/>
                  <w:gridSpan w:val="2"/>
                  <w:tcBorders>
                    <w:tl2br w:val="nil"/>
                    <w:tr2bl w:val="nil"/>
                  </w:tcBorders>
                  <w:vAlign w:val="center"/>
                </w:tcPr>
                <w:p w14:paraId="23E49E1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依托</w:t>
                  </w:r>
                </w:p>
              </w:tc>
            </w:tr>
            <w:tr w14:paraId="52ACF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4" w:type="pct"/>
                  <w:tcBorders>
                    <w:tl2br w:val="nil"/>
                    <w:tr2bl w:val="nil"/>
                  </w:tcBorders>
                  <w:vAlign w:val="center"/>
                </w:tcPr>
                <w:p w14:paraId="0EB31C2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辅助工程</w:t>
                  </w:r>
                </w:p>
              </w:tc>
              <w:tc>
                <w:tcPr>
                  <w:tcW w:w="1102" w:type="pct"/>
                  <w:gridSpan w:val="4"/>
                  <w:tcBorders>
                    <w:tl2br w:val="nil"/>
                    <w:tr2bl w:val="nil"/>
                  </w:tcBorders>
                  <w:vAlign w:val="center"/>
                </w:tcPr>
                <w:p w14:paraId="5C98D44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门房</w:t>
                  </w:r>
                </w:p>
              </w:tc>
              <w:tc>
                <w:tcPr>
                  <w:tcW w:w="3070" w:type="pct"/>
                  <w:gridSpan w:val="2"/>
                  <w:tcBorders>
                    <w:tl2br w:val="nil"/>
                    <w:tr2bl w:val="nil"/>
                  </w:tcBorders>
                  <w:vAlign w:val="center"/>
                </w:tcPr>
                <w:p w14:paraId="2E0C3C6E">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lang w:val="en-US" w:eastAsia="zh-CN"/>
                    </w:rPr>
                  </w:pPr>
                  <w:r>
                    <w:rPr>
                      <w:rFonts w:hint="eastAsia"/>
                      <w:color w:val="auto"/>
                      <w:sz w:val="21"/>
                      <w:szCs w:val="21"/>
                      <w:lang w:val="en-US" w:eastAsia="zh-CN"/>
                    </w:rPr>
                    <w:t>2栋，位于小学部，建筑面积各为30m</w:t>
                  </w:r>
                  <w:r>
                    <w:rPr>
                      <w:rFonts w:hint="eastAsia"/>
                      <w:color w:val="auto"/>
                      <w:sz w:val="21"/>
                      <w:szCs w:val="21"/>
                      <w:vertAlign w:val="superscript"/>
                      <w:lang w:val="en-US" w:eastAsia="zh-CN"/>
                    </w:rPr>
                    <w:t>2</w:t>
                  </w:r>
                  <w:r>
                    <w:rPr>
                      <w:rFonts w:hint="eastAsia"/>
                      <w:color w:val="auto"/>
                      <w:sz w:val="21"/>
                      <w:szCs w:val="21"/>
                      <w:lang w:val="en-US" w:eastAsia="zh-CN"/>
                    </w:rPr>
                    <w:t>，地上一层</w:t>
                  </w:r>
                </w:p>
              </w:tc>
              <w:tc>
                <w:tcPr>
                  <w:tcW w:w="373" w:type="pct"/>
                  <w:gridSpan w:val="2"/>
                  <w:tcBorders>
                    <w:tl2br w:val="nil"/>
                    <w:tr2bl w:val="nil"/>
                  </w:tcBorders>
                  <w:vAlign w:val="center"/>
                </w:tcPr>
                <w:p w14:paraId="60794CA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依托</w:t>
                  </w:r>
                </w:p>
              </w:tc>
            </w:tr>
            <w:tr w14:paraId="79365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54" w:type="pct"/>
                  <w:vMerge w:val="restart"/>
                  <w:tcBorders>
                    <w:tl2br w:val="nil"/>
                    <w:tr2bl w:val="nil"/>
                  </w:tcBorders>
                  <w:vAlign w:val="center"/>
                </w:tcPr>
                <w:p w14:paraId="4686C5B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eastAsia"/>
                      <w:color w:val="auto"/>
                      <w:sz w:val="21"/>
                      <w:szCs w:val="21"/>
                    </w:rPr>
                    <w:t>公用工程</w:t>
                  </w:r>
                </w:p>
              </w:tc>
              <w:tc>
                <w:tcPr>
                  <w:tcW w:w="1102" w:type="pct"/>
                  <w:gridSpan w:val="4"/>
                  <w:tcBorders>
                    <w:tl2br w:val="nil"/>
                    <w:tr2bl w:val="nil"/>
                  </w:tcBorders>
                  <w:vAlign w:val="center"/>
                </w:tcPr>
                <w:p w14:paraId="3BD1083F">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eastAsia"/>
                      <w:color w:val="auto"/>
                      <w:sz w:val="21"/>
                      <w:szCs w:val="21"/>
                    </w:rPr>
                    <w:t>供电</w:t>
                  </w:r>
                </w:p>
              </w:tc>
              <w:tc>
                <w:tcPr>
                  <w:tcW w:w="3070" w:type="pct"/>
                  <w:gridSpan w:val="2"/>
                  <w:tcBorders>
                    <w:tl2br w:val="nil"/>
                    <w:tr2bl w:val="nil"/>
                  </w:tcBorders>
                  <w:vAlign w:val="center"/>
                </w:tcPr>
                <w:p w14:paraId="65A35ED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r>
                    <w:rPr>
                      <w:rFonts w:hint="default"/>
                      <w:color w:val="auto"/>
                      <w:sz w:val="21"/>
                      <w:szCs w:val="21"/>
                    </w:rPr>
                    <w:t>本项目供电由</w:t>
                  </w:r>
                  <w:r>
                    <w:rPr>
                      <w:rFonts w:hint="eastAsia"/>
                      <w:color w:val="auto"/>
                      <w:sz w:val="21"/>
                      <w:szCs w:val="21"/>
                      <w:lang w:val="en-US" w:eastAsia="zh-CN"/>
                    </w:rPr>
                    <w:t>一</w:t>
                  </w:r>
                  <w:r>
                    <w:rPr>
                      <w:rFonts w:hint="default"/>
                      <w:color w:val="auto"/>
                      <w:sz w:val="21"/>
                      <w:szCs w:val="21"/>
                    </w:rPr>
                    <w:t>路10kV市政供电系统供给</w:t>
                  </w:r>
                  <w:r>
                    <w:rPr>
                      <w:rFonts w:hint="eastAsia"/>
                      <w:color w:val="auto"/>
                      <w:sz w:val="21"/>
                      <w:szCs w:val="21"/>
                      <w:lang w:eastAsia="zh-CN"/>
                    </w:rPr>
                    <w:t>；</w:t>
                  </w:r>
                  <w:r>
                    <w:rPr>
                      <w:rFonts w:hint="default"/>
                      <w:color w:val="auto"/>
                      <w:sz w:val="21"/>
                      <w:szCs w:val="21"/>
                    </w:rPr>
                    <w:t>10kV市政供电系统电源接自</w:t>
                  </w:r>
                  <w:r>
                    <w:rPr>
                      <w:rFonts w:hint="eastAsia"/>
                      <w:color w:val="auto"/>
                      <w:sz w:val="21"/>
                      <w:szCs w:val="21"/>
                      <w:lang w:val="en-US" w:eastAsia="zh-CN"/>
                    </w:rPr>
                    <w:t>麟绛西大街</w:t>
                  </w:r>
                  <w:r>
                    <w:rPr>
                      <w:rFonts w:hint="eastAsia"/>
                      <w:color w:val="auto"/>
                      <w:sz w:val="21"/>
                      <w:szCs w:val="21"/>
                      <w:lang w:eastAsia="zh-CN"/>
                    </w:rPr>
                    <w:t>，</w:t>
                  </w:r>
                  <w:r>
                    <w:rPr>
                      <w:rFonts w:hint="default"/>
                      <w:color w:val="auto"/>
                      <w:sz w:val="21"/>
                      <w:szCs w:val="21"/>
                    </w:rPr>
                    <w:t>配电室位于</w:t>
                  </w:r>
                  <w:r>
                    <w:rPr>
                      <w:rFonts w:hint="eastAsia"/>
                      <w:color w:val="auto"/>
                      <w:sz w:val="21"/>
                      <w:szCs w:val="21"/>
                      <w:lang w:val="en-US" w:eastAsia="zh-CN"/>
                    </w:rPr>
                    <w:t>教学楼设备间</w:t>
                  </w:r>
                  <w:r>
                    <w:rPr>
                      <w:rFonts w:hint="default"/>
                      <w:color w:val="auto"/>
                      <w:sz w:val="21"/>
                      <w:szCs w:val="21"/>
                    </w:rPr>
                    <w:t>，可满足本项目用电需求</w:t>
                  </w:r>
                </w:p>
              </w:tc>
              <w:tc>
                <w:tcPr>
                  <w:tcW w:w="373" w:type="pct"/>
                  <w:gridSpan w:val="2"/>
                  <w:vMerge w:val="restart"/>
                  <w:tcBorders>
                    <w:tl2br w:val="nil"/>
                    <w:tr2bl w:val="nil"/>
                  </w:tcBorders>
                  <w:vAlign w:val="center"/>
                </w:tcPr>
                <w:p w14:paraId="1240E1C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新建</w:t>
                  </w:r>
                </w:p>
              </w:tc>
            </w:tr>
            <w:tr w14:paraId="439F7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4" w:type="pct"/>
                  <w:vMerge w:val="continue"/>
                  <w:tcBorders>
                    <w:tl2br w:val="nil"/>
                    <w:tr2bl w:val="nil"/>
                  </w:tcBorders>
                  <w:vAlign w:val="center"/>
                </w:tcPr>
                <w:p w14:paraId="6CDF7F2F">
                  <w:pPr>
                    <w:keepNext w:val="0"/>
                    <w:keepLines w:val="0"/>
                    <w:pageBreakBefore w:val="0"/>
                    <w:widowControl w:val="0"/>
                    <w:suppressLineNumbers w:val="0"/>
                    <w:kinsoku/>
                    <w:wordWrap/>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1102" w:type="pct"/>
                  <w:gridSpan w:val="4"/>
                  <w:tcBorders>
                    <w:tl2br w:val="nil"/>
                    <w:tr2bl w:val="nil"/>
                  </w:tcBorders>
                  <w:vAlign w:val="center"/>
                </w:tcPr>
                <w:p w14:paraId="5C415AA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eastAsia"/>
                      <w:color w:val="auto"/>
                      <w:sz w:val="21"/>
                      <w:szCs w:val="21"/>
                    </w:rPr>
                    <w:t>给水</w:t>
                  </w:r>
                </w:p>
              </w:tc>
              <w:tc>
                <w:tcPr>
                  <w:tcW w:w="3070" w:type="pct"/>
                  <w:gridSpan w:val="2"/>
                  <w:tcBorders>
                    <w:tl2br w:val="nil"/>
                    <w:tr2bl w:val="nil"/>
                  </w:tcBorders>
                  <w:vAlign w:val="center"/>
                </w:tcPr>
                <w:p w14:paraId="3100D4A0">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r>
                    <w:rPr>
                      <w:rFonts w:hint="eastAsia"/>
                      <w:color w:val="auto"/>
                      <w:sz w:val="21"/>
                      <w:szCs w:val="21"/>
                      <w:lang w:val="en-US" w:eastAsia="zh-CN"/>
                    </w:rPr>
                    <w:t>由市政供水干管引入</w:t>
                  </w:r>
                </w:p>
              </w:tc>
              <w:tc>
                <w:tcPr>
                  <w:tcW w:w="373" w:type="pct"/>
                  <w:gridSpan w:val="2"/>
                  <w:vMerge w:val="continue"/>
                  <w:tcBorders>
                    <w:tl2br w:val="nil"/>
                    <w:tr2bl w:val="nil"/>
                  </w:tcBorders>
                  <w:vAlign w:val="center"/>
                </w:tcPr>
                <w:p w14:paraId="7CCD910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p>
              </w:tc>
            </w:tr>
            <w:tr w14:paraId="5CDCD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4" w:type="pct"/>
                  <w:vMerge w:val="continue"/>
                  <w:tcBorders>
                    <w:tl2br w:val="nil"/>
                    <w:tr2bl w:val="nil"/>
                  </w:tcBorders>
                  <w:vAlign w:val="center"/>
                </w:tcPr>
                <w:p w14:paraId="71AD79D4">
                  <w:pPr>
                    <w:keepNext w:val="0"/>
                    <w:keepLines w:val="0"/>
                    <w:pageBreakBefore w:val="0"/>
                    <w:widowControl w:val="0"/>
                    <w:suppressLineNumbers w:val="0"/>
                    <w:kinsoku/>
                    <w:wordWrap/>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1102" w:type="pct"/>
                  <w:gridSpan w:val="4"/>
                  <w:tcBorders>
                    <w:tl2br w:val="nil"/>
                    <w:tr2bl w:val="nil"/>
                  </w:tcBorders>
                  <w:vAlign w:val="center"/>
                </w:tcPr>
                <w:p w14:paraId="6F16667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r>
                    <w:rPr>
                      <w:rFonts w:hint="eastAsia"/>
                      <w:color w:val="auto"/>
                      <w:sz w:val="21"/>
                      <w:szCs w:val="21"/>
                    </w:rPr>
                    <w:t>供暖</w:t>
                  </w:r>
                </w:p>
              </w:tc>
              <w:tc>
                <w:tcPr>
                  <w:tcW w:w="3070" w:type="pct"/>
                  <w:gridSpan w:val="2"/>
                  <w:tcBorders>
                    <w:tl2br w:val="nil"/>
                    <w:tr2bl w:val="nil"/>
                  </w:tcBorders>
                  <w:vAlign w:val="center"/>
                </w:tcPr>
                <w:p w14:paraId="2B562683">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rPr>
                  </w:pPr>
                  <w:r>
                    <w:rPr>
                      <w:rFonts w:hint="eastAsia"/>
                      <w:color w:val="auto"/>
                      <w:sz w:val="21"/>
                      <w:szCs w:val="21"/>
                      <w:lang w:val="en-US" w:eastAsia="zh-CN"/>
                    </w:rPr>
                    <w:t>由市政集中供热提供</w:t>
                  </w:r>
                </w:p>
              </w:tc>
              <w:tc>
                <w:tcPr>
                  <w:tcW w:w="373" w:type="pct"/>
                  <w:gridSpan w:val="2"/>
                  <w:vMerge w:val="continue"/>
                  <w:tcBorders>
                    <w:tl2br w:val="nil"/>
                    <w:tr2bl w:val="nil"/>
                  </w:tcBorders>
                  <w:vAlign w:val="center"/>
                </w:tcPr>
                <w:p w14:paraId="7DA0C42B">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p>
              </w:tc>
            </w:tr>
            <w:tr w14:paraId="2B192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4" w:type="pct"/>
                  <w:vMerge w:val="continue"/>
                  <w:tcBorders>
                    <w:tl2br w:val="nil"/>
                    <w:tr2bl w:val="nil"/>
                  </w:tcBorders>
                  <w:vAlign w:val="center"/>
                </w:tcPr>
                <w:p w14:paraId="76A54330">
                  <w:pPr>
                    <w:keepNext w:val="0"/>
                    <w:keepLines w:val="0"/>
                    <w:pageBreakBefore w:val="0"/>
                    <w:widowControl w:val="0"/>
                    <w:suppressLineNumbers w:val="0"/>
                    <w:kinsoku/>
                    <w:wordWrap/>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1102" w:type="pct"/>
                  <w:gridSpan w:val="4"/>
                  <w:tcBorders>
                    <w:tl2br w:val="nil"/>
                    <w:tr2bl w:val="nil"/>
                  </w:tcBorders>
                  <w:vAlign w:val="center"/>
                </w:tcPr>
                <w:p w14:paraId="531F43F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r>
                    <w:rPr>
                      <w:rFonts w:hint="eastAsia"/>
                      <w:color w:val="auto"/>
                      <w:sz w:val="21"/>
                      <w:szCs w:val="21"/>
                      <w:lang w:eastAsia="zh-CN"/>
                    </w:rPr>
                    <w:t>排水</w:t>
                  </w:r>
                </w:p>
              </w:tc>
              <w:tc>
                <w:tcPr>
                  <w:tcW w:w="3070" w:type="pct"/>
                  <w:gridSpan w:val="2"/>
                  <w:tcBorders>
                    <w:tl2br w:val="nil"/>
                    <w:tr2bl w:val="nil"/>
                  </w:tcBorders>
                  <w:vAlign w:val="center"/>
                </w:tcPr>
                <w:p w14:paraId="4A54EBA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eastAsia"/>
                      <w:color w:val="auto"/>
                      <w:sz w:val="21"/>
                      <w:szCs w:val="21"/>
                      <w:lang w:val="en-US" w:eastAsia="zh-CN"/>
                    </w:rPr>
                  </w:pPr>
                  <w:r>
                    <w:rPr>
                      <w:rFonts w:hint="eastAsia"/>
                      <w:color w:val="auto"/>
                      <w:sz w:val="21"/>
                      <w:szCs w:val="21"/>
                      <w:lang w:val="en-US" w:eastAsia="zh-CN"/>
                    </w:rPr>
                    <w:t>项目排水采用雨、污分流制；</w:t>
                  </w:r>
                </w:p>
                <w:p w14:paraId="783D76B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r>
                    <w:rPr>
                      <w:rFonts w:hint="default"/>
                      <w:color w:val="auto"/>
                      <w:sz w:val="21"/>
                      <w:szCs w:val="21"/>
                      <w:lang w:val="en-US" w:eastAsia="zh-CN"/>
                    </w:rPr>
                    <w:t>雨水经雨水口收集后，流入雨水管道，最终排入道路的市政雨水</w:t>
                  </w:r>
                  <w:r>
                    <w:rPr>
                      <w:rFonts w:hint="eastAsia"/>
                      <w:color w:val="auto"/>
                      <w:sz w:val="21"/>
                      <w:szCs w:val="21"/>
                      <w:lang w:val="en-US" w:eastAsia="zh-CN"/>
                    </w:rPr>
                    <w:t>管网；</w:t>
                  </w:r>
                </w:p>
                <w:p w14:paraId="563F09C2">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eastAsia"/>
                      <w:color w:val="auto"/>
                      <w:sz w:val="21"/>
                      <w:szCs w:val="21"/>
                      <w:lang w:val="en-US" w:eastAsia="zh-CN"/>
                    </w:rPr>
                  </w:pPr>
                  <w:r>
                    <w:rPr>
                      <w:rFonts w:hint="default"/>
                      <w:color w:val="auto"/>
                      <w:sz w:val="21"/>
                      <w:szCs w:val="21"/>
                      <w:lang w:val="en-US" w:eastAsia="zh-CN"/>
                    </w:rPr>
                    <w:t>生活污水</w:t>
                  </w:r>
                  <w:r>
                    <w:rPr>
                      <w:rFonts w:hint="eastAsia"/>
                      <w:color w:val="auto"/>
                      <w:sz w:val="21"/>
                      <w:szCs w:val="21"/>
                      <w:lang w:val="en-US" w:eastAsia="zh-CN"/>
                    </w:rPr>
                    <w:t>和</w:t>
                  </w:r>
                  <w:r>
                    <w:rPr>
                      <w:rFonts w:hint="default"/>
                      <w:color w:val="auto"/>
                      <w:sz w:val="21"/>
                      <w:szCs w:val="21"/>
                      <w:lang w:val="en-US" w:eastAsia="zh-CN"/>
                    </w:rPr>
                    <w:t>实验室废水排入校区管网，所有污水经市政污水管网最终进入长治市</w:t>
                  </w:r>
                  <w:r>
                    <w:rPr>
                      <w:rFonts w:hint="default"/>
                      <w:color w:val="auto"/>
                      <w:sz w:val="21"/>
                      <w:szCs w:val="21"/>
                      <w:highlight w:val="none"/>
                      <w:lang w:val="en-US" w:eastAsia="zh-CN"/>
                    </w:rPr>
                    <w:t>屯留县城区污水处理厂</w:t>
                  </w:r>
                </w:p>
              </w:tc>
              <w:tc>
                <w:tcPr>
                  <w:tcW w:w="373" w:type="pct"/>
                  <w:gridSpan w:val="2"/>
                  <w:vMerge w:val="continue"/>
                  <w:tcBorders>
                    <w:tl2br w:val="nil"/>
                    <w:tr2bl w:val="nil"/>
                  </w:tcBorders>
                  <w:vAlign w:val="center"/>
                </w:tcPr>
                <w:p w14:paraId="4DC0EDC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p>
              </w:tc>
            </w:tr>
            <w:tr w14:paraId="5257C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4" w:type="pct"/>
                  <w:vMerge w:val="continue"/>
                  <w:tcBorders>
                    <w:tl2br w:val="nil"/>
                    <w:tr2bl w:val="nil"/>
                  </w:tcBorders>
                  <w:vAlign w:val="center"/>
                </w:tcPr>
                <w:p w14:paraId="25935DEE">
                  <w:pPr>
                    <w:keepNext w:val="0"/>
                    <w:keepLines w:val="0"/>
                    <w:pageBreakBefore w:val="0"/>
                    <w:widowControl w:val="0"/>
                    <w:suppressLineNumbers w:val="0"/>
                    <w:kinsoku/>
                    <w:wordWrap/>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1102" w:type="pct"/>
                  <w:gridSpan w:val="4"/>
                  <w:tcBorders>
                    <w:tl2br w:val="nil"/>
                    <w:tr2bl w:val="nil"/>
                  </w:tcBorders>
                  <w:vAlign w:val="center"/>
                </w:tcPr>
                <w:p w14:paraId="47FC03DB">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消防系统</w:t>
                  </w:r>
                </w:p>
              </w:tc>
              <w:tc>
                <w:tcPr>
                  <w:tcW w:w="3070" w:type="pct"/>
                  <w:gridSpan w:val="2"/>
                  <w:tcBorders>
                    <w:tl2br w:val="nil"/>
                    <w:tr2bl w:val="nil"/>
                  </w:tcBorders>
                  <w:vAlign w:val="center"/>
                </w:tcPr>
                <w:p w14:paraId="1CF09DE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r>
                    <w:rPr>
                      <w:rFonts w:hint="default"/>
                      <w:color w:val="auto"/>
                      <w:sz w:val="21"/>
                      <w:szCs w:val="21"/>
                      <w:lang w:val="en-US" w:eastAsia="zh-CN"/>
                    </w:rPr>
                    <w:t>安装消火栓、灭火器、自动喷水灭火设施、防排烟、自动感应报警设施。校区设置有效容积为</w:t>
                  </w:r>
                  <w:r>
                    <w:rPr>
                      <w:rFonts w:hint="eastAsia"/>
                      <w:color w:val="auto"/>
                      <w:sz w:val="21"/>
                      <w:szCs w:val="21"/>
                      <w:lang w:val="en-US" w:eastAsia="zh-CN"/>
                    </w:rPr>
                    <w:t>396</w:t>
                  </w:r>
                  <w:r>
                    <w:rPr>
                      <w:rFonts w:hint="default"/>
                      <w:color w:val="auto"/>
                      <w:sz w:val="21"/>
                      <w:szCs w:val="21"/>
                      <w:lang w:val="en-US" w:eastAsia="zh-CN"/>
                    </w:rPr>
                    <w:t>m</w:t>
                  </w:r>
                  <w:r>
                    <w:rPr>
                      <w:rFonts w:hint="default"/>
                      <w:color w:val="auto"/>
                      <w:sz w:val="21"/>
                      <w:szCs w:val="21"/>
                      <w:vertAlign w:val="superscript"/>
                      <w:lang w:val="en-US" w:eastAsia="zh-CN"/>
                    </w:rPr>
                    <w:t>3</w:t>
                  </w:r>
                  <w:r>
                    <w:rPr>
                      <w:rFonts w:hint="default"/>
                      <w:color w:val="auto"/>
                      <w:sz w:val="21"/>
                      <w:szCs w:val="21"/>
                      <w:lang w:val="en-US" w:eastAsia="zh-CN"/>
                    </w:rPr>
                    <w:t>的消防水池及水泵房，供室内外消火栓系统用水</w:t>
                  </w:r>
                </w:p>
              </w:tc>
              <w:tc>
                <w:tcPr>
                  <w:tcW w:w="373" w:type="pct"/>
                  <w:gridSpan w:val="2"/>
                  <w:vMerge w:val="continue"/>
                  <w:tcBorders>
                    <w:tl2br w:val="nil"/>
                    <w:tr2bl w:val="nil"/>
                  </w:tcBorders>
                  <w:vAlign w:val="center"/>
                </w:tcPr>
                <w:p w14:paraId="00AFAC9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p>
              </w:tc>
            </w:tr>
            <w:tr w14:paraId="44776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71" w:hRule="atLeast"/>
                <w:jc w:val="center"/>
              </w:trPr>
              <w:tc>
                <w:tcPr>
                  <w:tcW w:w="454" w:type="pct"/>
                  <w:vMerge w:val="restart"/>
                  <w:tcBorders>
                    <w:tl2br w:val="nil"/>
                    <w:tr2bl w:val="nil"/>
                  </w:tcBorders>
                  <w:vAlign w:val="center"/>
                </w:tcPr>
                <w:p w14:paraId="32EE23AC">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eastAsia"/>
                      <w:color w:val="auto"/>
                      <w:sz w:val="21"/>
                      <w:szCs w:val="21"/>
                    </w:rPr>
                  </w:pPr>
                  <w:r>
                    <w:rPr>
                      <w:rFonts w:hint="eastAsia"/>
                      <w:color w:val="auto"/>
                      <w:sz w:val="21"/>
                      <w:szCs w:val="21"/>
                    </w:rPr>
                    <w:t>环保工程</w:t>
                  </w:r>
                </w:p>
              </w:tc>
              <w:tc>
                <w:tcPr>
                  <w:tcW w:w="261" w:type="pct"/>
                  <w:tcBorders>
                    <w:tl2br w:val="nil"/>
                    <w:tr2bl w:val="nil"/>
                  </w:tcBorders>
                  <w:vAlign w:val="center"/>
                </w:tcPr>
                <w:p w14:paraId="04B69505">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废气</w:t>
                  </w:r>
                </w:p>
              </w:tc>
              <w:tc>
                <w:tcPr>
                  <w:tcW w:w="840" w:type="pct"/>
                  <w:gridSpan w:val="3"/>
                  <w:tcBorders>
                    <w:tl2br w:val="nil"/>
                    <w:tr2bl w:val="nil"/>
                  </w:tcBorders>
                  <w:vAlign w:val="center"/>
                </w:tcPr>
                <w:p w14:paraId="240A24E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实验室废气</w:t>
                  </w:r>
                </w:p>
              </w:tc>
              <w:tc>
                <w:tcPr>
                  <w:tcW w:w="3068" w:type="pct"/>
                  <w:tcBorders>
                    <w:tl2br w:val="nil"/>
                    <w:tr2bl w:val="nil"/>
                  </w:tcBorders>
                  <w:vAlign w:val="center"/>
                </w:tcPr>
                <w:p w14:paraId="3F793A8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实验室设置全面排风系统，每张实验台设计吸风罩收集可能产生的实验废气，吸风罩收集的废气</w:t>
                  </w:r>
                  <w:r>
                    <w:rPr>
                      <w:rFonts w:hint="eastAsia"/>
                      <w:color w:val="auto"/>
                      <w:sz w:val="21"/>
                      <w:szCs w:val="21"/>
                      <w:highlight w:val="none"/>
                      <w:lang w:val="en-US" w:eastAsia="zh-CN"/>
                    </w:rPr>
                    <w:t>统一</w:t>
                  </w:r>
                  <w:r>
                    <w:rPr>
                      <w:rFonts w:hint="default" w:eastAsia="宋体"/>
                      <w:color w:val="auto"/>
                      <w:sz w:val="21"/>
                      <w:szCs w:val="21"/>
                      <w:highlight w:val="none"/>
                      <w:lang w:val="en-US" w:eastAsia="zh-CN"/>
                    </w:rPr>
                    <w:t>引至实验室外排放；</w:t>
                  </w:r>
                </w:p>
                <w:p w14:paraId="1D3BDB7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lang w:val="en-US" w:eastAsia="zh-CN"/>
                    </w:rPr>
                  </w:pPr>
                  <w:r>
                    <w:rPr>
                      <w:rFonts w:hint="default" w:eastAsia="宋体"/>
                      <w:color w:val="auto"/>
                      <w:sz w:val="21"/>
                      <w:szCs w:val="21"/>
                      <w:highlight w:val="none"/>
                      <w:lang w:val="en-US" w:eastAsia="zh-CN"/>
                    </w:rPr>
                    <w:t>实验准备室设通风橱，通风橱顶自带通风抽排口，集气部分三面围闭，操作过程中通风橱呈负压状态，废气收集后引至实验室外排放。</w:t>
                  </w:r>
                </w:p>
              </w:tc>
              <w:tc>
                <w:tcPr>
                  <w:tcW w:w="373" w:type="pct"/>
                  <w:gridSpan w:val="2"/>
                  <w:tcBorders>
                    <w:tl2br w:val="nil"/>
                    <w:tr2bl w:val="nil"/>
                  </w:tcBorders>
                  <w:vAlign w:val="center"/>
                </w:tcPr>
                <w:p w14:paraId="0323C28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rPr>
                  </w:pPr>
                  <w:r>
                    <w:rPr>
                      <w:rFonts w:hint="eastAsia"/>
                      <w:color w:val="auto"/>
                      <w:sz w:val="21"/>
                      <w:szCs w:val="21"/>
                    </w:rPr>
                    <w:t>新建</w:t>
                  </w:r>
                </w:p>
              </w:tc>
            </w:tr>
            <w:tr w14:paraId="22742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93" w:hRule="atLeast"/>
                <w:jc w:val="center"/>
              </w:trPr>
              <w:tc>
                <w:tcPr>
                  <w:tcW w:w="454" w:type="pct"/>
                  <w:vMerge w:val="continue"/>
                  <w:tcBorders>
                    <w:tl2br w:val="nil"/>
                    <w:tr2bl w:val="nil"/>
                  </w:tcBorders>
                  <w:vAlign w:val="center"/>
                </w:tcPr>
                <w:p w14:paraId="0119E160">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261" w:type="pct"/>
                  <w:vMerge w:val="restart"/>
                  <w:tcBorders>
                    <w:tl2br w:val="nil"/>
                    <w:tr2bl w:val="nil"/>
                  </w:tcBorders>
                  <w:vAlign w:val="center"/>
                </w:tcPr>
                <w:p w14:paraId="2B48A866">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废水</w:t>
                  </w:r>
                </w:p>
              </w:tc>
              <w:tc>
                <w:tcPr>
                  <w:tcW w:w="840" w:type="pct"/>
                  <w:gridSpan w:val="3"/>
                  <w:tcBorders>
                    <w:tl2br w:val="nil"/>
                    <w:tr2bl w:val="nil"/>
                  </w:tcBorders>
                  <w:vAlign w:val="center"/>
                </w:tcPr>
                <w:p w14:paraId="2F625D5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实验室废水</w:t>
                  </w:r>
                </w:p>
              </w:tc>
              <w:tc>
                <w:tcPr>
                  <w:tcW w:w="3068" w:type="pct"/>
                  <w:tcBorders>
                    <w:tl2br w:val="nil"/>
                    <w:tr2bl w:val="nil"/>
                  </w:tcBorders>
                  <w:vAlign w:val="center"/>
                </w:tcPr>
                <w:p w14:paraId="3C79A27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r>
                    <w:rPr>
                      <w:rFonts w:hint="eastAsia"/>
                      <w:color w:val="auto"/>
                      <w:sz w:val="21"/>
                      <w:szCs w:val="21"/>
                      <w:lang w:val="en-US" w:eastAsia="zh-CN"/>
                    </w:rPr>
                    <w:t>在进行化学实验前后，需要对实验器皿进行清洗，产生的实验室废水排入市政污水管网，后排入污水处理厂</w:t>
                  </w:r>
                </w:p>
              </w:tc>
              <w:tc>
                <w:tcPr>
                  <w:tcW w:w="373" w:type="pct"/>
                  <w:gridSpan w:val="2"/>
                  <w:tcBorders>
                    <w:tl2br w:val="nil"/>
                    <w:tr2bl w:val="nil"/>
                  </w:tcBorders>
                  <w:vAlign w:val="center"/>
                </w:tcPr>
                <w:p w14:paraId="33597DA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rPr>
                    <w:t>新建</w:t>
                  </w:r>
                </w:p>
              </w:tc>
            </w:tr>
            <w:tr w14:paraId="2FD61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693" w:hRule="atLeast"/>
                <w:jc w:val="center"/>
              </w:trPr>
              <w:tc>
                <w:tcPr>
                  <w:tcW w:w="454" w:type="pct"/>
                  <w:vMerge w:val="continue"/>
                  <w:tcBorders>
                    <w:tl2br w:val="nil"/>
                    <w:tr2bl w:val="nil"/>
                  </w:tcBorders>
                  <w:vAlign w:val="center"/>
                </w:tcPr>
                <w:p w14:paraId="09E1B2B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261" w:type="pct"/>
                  <w:vMerge w:val="continue"/>
                  <w:tcBorders>
                    <w:tl2br w:val="nil"/>
                    <w:tr2bl w:val="nil"/>
                  </w:tcBorders>
                  <w:vAlign w:val="center"/>
                </w:tcPr>
                <w:p w14:paraId="36133293">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p>
              </w:tc>
              <w:tc>
                <w:tcPr>
                  <w:tcW w:w="840" w:type="pct"/>
                  <w:gridSpan w:val="3"/>
                  <w:tcBorders>
                    <w:tl2br w:val="nil"/>
                    <w:tr2bl w:val="nil"/>
                  </w:tcBorders>
                  <w:vAlign w:val="center"/>
                </w:tcPr>
                <w:p w14:paraId="76C7A6D3">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生活污水</w:t>
                  </w:r>
                </w:p>
              </w:tc>
              <w:tc>
                <w:tcPr>
                  <w:tcW w:w="3068" w:type="pct"/>
                  <w:tcBorders>
                    <w:tl2br w:val="nil"/>
                    <w:tr2bl w:val="nil"/>
                  </w:tcBorders>
                  <w:vAlign w:val="center"/>
                </w:tcPr>
                <w:p w14:paraId="7F9D4C0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r>
                    <w:rPr>
                      <w:rFonts w:hint="default"/>
                      <w:color w:val="auto"/>
                      <w:sz w:val="21"/>
                      <w:szCs w:val="21"/>
                      <w:lang w:val="en-US" w:eastAsia="zh-CN"/>
                    </w:rPr>
                    <w:t>生活污水</w:t>
                  </w:r>
                  <w:r>
                    <w:rPr>
                      <w:rFonts w:hint="eastAsia"/>
                      <w:color w:val="auto"/>
                      <w:sz w:val="21"/>
                      <w:szCs w:val="21"/>
                      <w:lang w:val="en-US" w:eastAsia="zh-CN"/>
                    </w:rPr>
                    <w:t>排入市政管网最终</w:t>
                  </w:r>
                  <w:r>
                    <w:rPr>
                      <w:rFonts w:hint="default"/>
                      <w:color w:val="auto"/>
                      <w:sz w:val="21"/>
                      <w:szCs w:val="21"/>
                      <w:lang w:val="en-US" w:eastAsia="zh-CN"/>
                    </w:rPr>
                    <w:t>进入长治市</w:t>
                  </w:r>
                  <w:r>
                    <w:rPr>
                      <w:rFonts w:hint="default"/>
                      <w:color w:val="auto"/>
                      <w:sz w:val="21"/>
                      <w:szCs w:val="21"/>
                      <w:highlight w:val="none"/>
                      <w:lang w:val="en-US" w:eastAsia="zh-CN"/>
                    </w:rPr>
                    <w:t>屯留县城区污水处理厂</w:t>
                  </w:r>
                  <w:r>
                    <w:rPr>
                      <w:rFonts w:hint="eastAsia"/>
                      <w:color w:val="auto"/>
                      <w:sz w:val="21"/>
                      <w:szCs w:val="21"/>
                      <w:lang w:val="en-US" w:eastAsia="zh-CN"/>
                    </w:rPr>
                    <w:t>处理</w:t>
                  </w:r>
                </w:p>
              </w:tc>
              <w:tc>
                <w:tcPr>
                  <w:tcW w:w="373" w:type="pct"/>
                  <w:gridSpan w:val="2"/>
                  <w:tcBorders>
                    <w:tl2br w:val="nil"/>
                    <w:tr2bl w:val="nil"/>
                  </w:tcBorders>
                  <w:vAlign w:val="center"/>
                </w:tcPr>
                <w:p w14:paraId="50B520F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rPr>
                    <w:t>新建</w:t>
                  </w:r>
                </w:p>
              </w:tc>
            </w:tr>
            <w:tr w14:paraId="7FE68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41" w:hRule="atLeast"/>
                <w:jc w:val="center"/>
              </w:trPr>
              <w:tc>
                <w:tcPr>
                  <w:tcW w:w="454" w:type="pct"/>
                  <w:vMerge w:val="continue"/>
                  <w:tcBorders>
                    <w:tl2br w:val="nil"/>
                    <w:tr2bl w:val="nil"/>
                  </w:tcBorders>
                  <w:vAlign w:val="center"/>
                </w:tcPr>
                <w:p w14:paraId="5582F46E">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261" w:type="pct"/>
                  <w:vMerge w:val="restart"/>
                  <w:tcBorders>
                    <w:tl2br w:val="nil"/>
                    <w:tr2bl w:val="nil"/>
                  </w:tcBorders>
                  <w:vAlign w:val="center"/>
                </w:tcPr>
                <w:p w14:paraId="4D3637D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固废</w:t>
                  </w:r>
                </w:p>
              </w:tc>
              <w:tc>
                <w:tcPr>
                  <w:tcW w:w="840" w:type="pct"/>
                  <w:gridSpan w:val="3"/>
                  <w:tcBorders>
                    <w:tl2br w:val="nil"/>
                    <w:tr2bl w:val="nil"/>
                  </w:tcBorders>
                  <w:vAlign w:val="center"/>
                </w:tcPr>
                <w:p w14:paraId="22CA9582">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生活垃圾</w:t>
                  </w:r>
                </w:p>
              </w:tc>
              <w:tc>
                <w:tcPr>
                  <w:tcW w:w="3068" w:type="pct"/>
                  <w:tcBorders>
                    <w:tl2br w:val="nil"/>
                    <w:tr2bl w:val="nil"/>
                  </w:tcBorders>
                  <w:vAlign w:val="center"/>
                </w:tcPr>
                <w:p w14:paraId="2D8DB4BA">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eastAsia="宋体"/>
                      <w:color w:val="auto"/>
                      <w:sz w:val="21"/>
                      <w:szCs w:val="21"/>
                      <w:lang w:val="en-US" w:eastAsia="zh-CN"/>
                    </w:rPr>
                  </w:pPr>
                  <w:r>
                    <w:rPr>
                      <w:rFonts w:hint="eastAsia"/>
                      <w:color w:val="auto"/>
                      <w:sz w:val="21"/>
                      <w:szCs w:val="21"/>
                      <w:lang w:val="en-US" w:eastAsia="zh-CN"/>
                    </w:rPr>
                    <w:t>集中收集，由环卫部门定期清理。</w:t>
                  </w:r>
                </w:p>
              </w:tc>
              <w:tc>
                <w:tcPr>
                  <w:tcW w:w="373" w:type="pct"/>
                  <w:gridSpan w:val="2"/>
                  <w:vMerge w:val="restart"/>
                  <w:tcBorders>
                    <w:tl2br w:val="nil"/>
                    <w:tr2bl w:val="nil"/>
                  </w:tcBorders>
                  <w:vAlign w:val="center"/>
                </w:tcPr>
                <w:p w14:paraId="283DCE35">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合理处置</w:t>
                  </w:r>
                </w:p>
              </w:tc>
            </w:tr>
            <w:tr w14:paraId="38152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41" w:hRule="atLeast"/>
                <w:jc w:val="center"/>
              </w:trPr>
              <w:tc>
                <w:tcPr>
                  <w:tcW w:w="454" w:type="pct"/>
                  <w:vMerge w:val="continue"/>
                  <w:tcBorders>
                    <w:tl2br w:val="nil"/>
                    <w:tr2bl w:val="nil"/>
                  </w:tcBorders>
                  <w:vAlign w:val="center"/>
                </w:tcPr>
                <w:p w14:paraId="7757E79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261" w:type="pct"/>
                  <w:vMerge w:val="continue"/>
                  <w:tcBorders>
                    <w:tl2br w:val="nil"/>
                    <w:tr2bl w:val="nil"/>
                  </w:tcBorders>
                  <w:vAlign w:val="center"/>
                </w:tcPr>
                <w:p w14:paraId="049A1DA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p>
              </w:tc>
              <w:tc>
                <w:tcPr>
                  <w:tcW w:w="840" w:type="pct"/>
                  <w:gridSpan w:val="3"/>
                  <w:tcBorders>
                    <w:tl2br w:val="nil"/>
                    <w:tr2bl w:val="nil"/>
                  </w:tcBorders>
                  <w:vAlign w:val="center"/>
                </w:tcPr>
                <w:p w14:paraId="4696F46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实验室一般固废</w:t>
                  </w:r>
                </w:p>
              </w:tc>
              <w:tc>
                <w:tcPr>
                  <w:tcW w:w="3068" w:type="pct"/>
                  <w:tcBorders>
                    <w:tl2br w:val="nil"/>
                    <w:tr2bl w:val="nil"/>
                  </w:tcBorders>
                  <w:vAlign w:val="center"/>
                </w:tcPr>
                <w:p w14:paraId="7EFDD1B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eastAsia"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主要为废纸箱、废弃或破损玻璃仪器、废纸等，集中收集后交环卫部门统一处理。</w:t>
                  </w:r>
                </w:p>
              </w:tc>
              <w:tc>
                <w:tcPr>
                  <w:tcW w:w="373" w:type="pct"/>
                  <w:gridSpan w:val="2"/>
                  <w:vMerge w:val="continue"/>
                  <w:tcBorders>
                    <w:tl2br w:val="nil"/>
                    <w:tr2bl w:val="nil"/>
                  </w:tcBorders>
                  <w:vAlign w:val="center"/>
                </w:tcPr>
                <w:p w14:paraId="097EF99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p>
              </w:tc>
            </w:tr>
            <w:tr w14:paraId="05542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522" w:hRule="atLeast"/>
                <w:jc w:val="center"/>
              </w:trPr>
              <w:tc>
                <w:tcPr>
                  <w:tcW w:w="454" w:type="pct"/>
                  <w:vMerge w:val="continue"/>
                  <w:tcBorders>
                    <w:tl2br w:val="nil"/>
                    <w:tr2bl w:val="nil"/>
                  </w:tcBorders>
                  <w:vAlign w:val="center"/>
                </w:tcPr>
                <w:p w14:paraId="3CFC518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eastAsia="zh-CN"/>
                    </w:rPr>
                  </w:pPr>
                </w:p>
              </w:tc>
              <w:tc>
                <w:tcPr>
                  <w:tcW w:w="261" w:type="pct"/>
                  <w:vMerge w:val="continue"/>
                  <w:tcBorders>
                    <w:tl2br w:val="nil"/>
                    <w:tr2bl w:val="nil"/>
                  </w:tcBorders>
                  <w:vAlign w:val="center"/>
                </w:tcPr>
                <w:p w14:paraId="544DEDB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eastAsia="zh-CN"/>
                    </w:rPr>
                  </w:pPr>
                </w:p>
              </w:tc>
              <w:tc>
                <w:tcPr>
                  <w:tcW w:w="252" w:type="pct"/>
                  <w:gridSpan w:val="2"/>
                  <w:vMerge w:val="restart"/>
                  <w:tcBorders>
                    <w:tl2br w:val="nil"/>
                    <w:tr2bl w:val="nil"/>
                  </w:tcBorders>
                  <w:vAlign w:val="center"/>
                </w:tcPr>
                <w:p w14:paraId="68644449">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588" w:type="pct"/>
                  <w:tcBorders>
                    <w:tl2br w:val="nil"/>
                    <w:tr2bl w:val="nil"/>
                  </w:tcBorders>
                  <w:vAlign w:val="center"/>
                </w:tcPr>
                <w:p w14:paraId="1A44DB6E">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实验</w:t>
                  </w:r>
                </w:p>
                <w:p w14:paraId="7C9132E0">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废液</w:t>
                  </w:r>
                </w:p>
              </w:tc>
              <w:tc>
                <w:tcPr>
                  <w:tcW w:w="3068" w:type="pct"/>
                  <w:vMerge w:val="restart"/>
                  <w:tcBorders>
                    <w:tl2br w:val="nil"/>
                    <w:tr2bl w:val="nil"/>
                  </w:tcBorders>
                  <w:vAlign w:val="center"/>
                </w:tcPr>
                <w:p w14:paraId="71981F2F">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eastAsia"/>
                      <w:color w:val="auto"/>
                      <w:sz w:val="21"/>
                      <w:szCs w:val="21"/>
                      <w:lang w:val="en-US" w:eastAsia="zh-CN"/>
                    </w:rPr>
                  </w:pPr>
                  <w:r>
                    <w:rPr>
                      <w:rFonts w:hint="eastAsia"/>
                      <w:color w:val="auto"/>
                      <w:sz w:val="21"/>
                      <w:szCs w:val="21"/>
                      <w:lang w:val="en-US" w:eastAsia="zh-CN"/>
                    </w:rPr>
                    <w:t>危险废物暂存于危废贮存点，定期交由有资质的单位</w:t>
                  </w:r>
                  <w:r>
                    <w:rPr>
                      <w:rFonts w:hint="eastAsia"/>
                      <w:color w:val="auto"/>
                      <w:sz w:val="21"/>
                      <w:szCs w:val="21"/>
                      <w:highlight w:val="none"/>
                      <w:lang w:val="en-US" w:eastAsia="zh-CN"/>
                    </w:rPr>
                    <w:t>处理。危废贮存点设计面积为5m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，位于实验楼一层楼梯间。</w:t>
                  </w:r>
                </w:p>
              </w:tc>
              <w:tc>
                <w:tcPr>
                  <w:tcW w:w="373" w:type="pct"/>
                  <w:gridSpan w:val="2"/>
                  <w:vMerge w:val="restart"/>
                  <w:tcBorders>
                    <w:tl2br w:val="nil"/>
                    <w:tr2bl w:val="nil"/>
                  </w:tcBorders>
                  <w:vAlign w:val="center"/>
                </w:tcPr>
                <w:p w14:paraId="2F36D58E">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合理处置</w:t>
                  </w:r>
                </w:p>
              </w:tc>
            </w:tr>
            <w:tr w14:paraId="1AAC6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616" w:hRule="atLeast"/>
                <w:jc w:val="center"/>
              </w:trPr>
              <w:tc>
                <w:tcPr>
                  <w:tcW w:w="454" w:type="pct"/>
                  <w:vMerge w:val="continue"/>
                  <w:tcBorders>
                    <w:tl2br w:val="nil"/>
                    <w:tr2bl w:val="nil"/>
                  </w:tcBorders>
                  <w:vAlign w:val="center"/>
                </w:tcPr>
                <w:p w14:paraId="55ECD8C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eastAsia="zh-CN"/>
                    </w:rPr>
                  </w:pPr>
                </w:p>
              </w:tc>
              <w:tc>
                <w:tcPr>
                  <w:tcW w:w="261" w:type="pct"/>
                  <w:vMerge w:val="continue"/>
                  <w:tcBorders>
                    <w:tl2br w:val="nil"/>
                    <w:tr2bl w:val="nil"/>
                  </w:tcBorders>
                  <w:vAlign w:val="center"/>
                </w:tcPr>
                <w:p w14:paraId="09F7AA6D">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eastAsia="zh-CN"/>
                    </w:rPr>
                  </w:pPr>
                </w:p>
              </w:tc>
              <w:tc>
                <w:tcPr>
                  <w:tcW w:w="252" w:type="pct"/>
                  <w:gridSpan w:val="2"/>
                  <w:vMerge w:val="continue"/>
                  <w:tcBorders>
                    <w:tl2br w:val="nil"/>
                    <w:tr2bl w:val="nil"/>
                  </w:tcBorders>
                  <w:vAlign w:val="center"/>
                </w:tcPr>
                <w:p w14:paraId="12778047">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ascii="Times New Roman" w:hAnsi="Times New Roman" w:eastAsia="宋体" w:cs="Times New Roman"/>
                      <w:color w:val="auto"/>
                      <w:sz w:val="21"/>
                      <w:szCs w:val="21"/>
                      <w:lang w:val="en-US" w:eastAsia="zh-CN"/>
                    </w:rPr>
                  </w:pPr>
                </w:p>
              </w:tc>
              <w:tc>
                <w:tcPr>
                  <w:tcW w:w="588" w:type="pct"/>
                  <w:tcBorders>
                    <w:tl2br w:val="nil"/>
                    <w:tr2bl w:val="nil"/>
                  </w:tcBorders>
                  <w:vAlign w:val="center"/>
                </w:tcPr>
                <w:p w14:paraId="03C14C0F">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废实验用品</w:t>
                  </w:r>
                </w:p>
              </w:tc>
              <w:tc>
                <w:tcPr>
                  <w:tcW w:w="3068" w:type="pct"/>
                  <w:vMerge w:val="continue"/>
                  <w:tcBorders>
                    <w:tl2br w:val="nil"/>
                    <w:tr2bl w:val="nil"/>
                  </w:tcBorders>
                  <w:vAlign w:val="center"/>
                </w:tcPr>
                <w:p w14:paraId="68D8A65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eastAsia="zh-CN"/>
                    </w:rPr>
                  </w:pPr>
                </w:p>
              </w:tc>
              <w:tc>
                <w:tcPr>
                  <w:tcW w:w="373" w:type="pct"/>
                  <w:gridSpan w:val="2"/>
                  <w:vMerge w:val="continue"/>
                  <w:tcBorders>
                    <w:tl2br w:val="nil"/>
                    <w:tr2bl w:val="nil"/>
                  </w:tcBorders>
                  <w:vAlign w:val="center"/>
                </w:tcPr>
                <w:p w14:paraId="5BD6EDE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eastAsia="zh-CN"/>
                    </w:rPr>
                  </w:pPr>
                </w:p>
              </w:tc>
            </w:tr>
            <w:tr w14:paraId="27BEB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569" w:hRule="atLeast"/>
                <w:jc w:val="center"/>
              </w:trPr>
              <w:tc>
                <w:tcPr>
                  <w:tcW w:w="454" w:type="pct"/>
                  <w:vMerge w:val="continue"/>
                  <w:tcBorders>
                    <w:tl2br w:val="nil"/>
                    <w:tr2bl w:val="nil"/>
                  </w:tcBorders>
                  <w:vAlign w:val="center"/>
                </w:tcPr>
                <w:p w14:paraId="7FF4D8BF">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rPr>
                  </w:pPr>
                </w:p>
              </w:tc>
              <w:tc>
                <w:tcPr>
                  <w:tcW w:w="261" w:type="pct"/>
                  <w:tcBorders>
                    <w:tl2br w:val="nil"/>
                    <w:tr2bl w:val="nil"/>
                  </w:tcBorders>
                  <w:vAlign w:val="center"/>
                </w:tcPr>
                <w:p w14:paraId="3FD7BE9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噪声</w:t>
                  </w:r>
                </w:p>
              </w:tc>
              <w:tc>
                <w:tcPr>
                  <w:tcW w:w="840" w:type="pct"/>
                  <w:gridSpan w:val="3"/>
                  <w:tcBorders>
                    <w:tl2br w:val="nil"/>
                    <w:tr2bl w:val="nil"/>
                  </w:tcBorders>
                  <w:vAlign w:val="center"/>
                </w:tcPr>
                <w:p w14:paraId="4CB0321B">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设备噪声</w:t>
                  </w:r>
                </w:p>
              </w:tc>
              <w:tc>
                <w:tcPr>
                  <w:tcW w:w="3068" w:type="pct"/>
                  <w:tcBorders>
                    <w:tl2br w:val="nil"/>
                    <w:tr2bl w:val="nil"/>
                  </w:tcBorders>
                  <w:vAlign w:val="center"/>
                </w:tcPr>
                <w:p w14:paraId="4EB28A88">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color w:val="auto"/>
                      <w:sz w:val="21"/>
                      <w:szCs w:val="21"/>
                      <w:lang w:val="en-US"/>
                    </w:rPr>
                  </w:pPr>
                  <w:r>
                    <w:rPr>
                      <w:rFonts w:hint="eastAsia"/>
                      <w:color w:val="auto"/>
                      <w:sz w:val="21"/>
                      <w:szCs w:val="21"/>
                      <w:lang w:eastAsia="zh-CN"/>
                    </w:rPr>
                    <w:t>选用低噪设备，定期维护，保证设备正常运行；</w:t>
                  </w:r>
                  <w:r>
                    <w:rPr>
                      <w:rFonts w:hint="eastAsia"/>
                      <w:color w:val="auto"/>
                      <w:sz w:val="21"/>
                      <w:szCs w:val="21"/>
                      <w:lang w:val="en-US" w:eastAsia="zh-CN"/>
                    </w:rPr>
                    <w:t>基础减振，合理布局；</w:t>
                  </w:r>
                  <w:r>
                    <w:rPr>
                      <w:rFonts w:hint="eastAsia" w:cs="Times New Roman"/>
                      <w:color w:val="auto"/>
                      <w:sz w:val="21"/>
                      <w:szCs w:val="21"/>
                      <w:lang w:val="en-US" w:eastAsia="zh-CN"/>
                    </w:rPr>
                    <w:t>学生活动时</w:t>
                  </w:r>
                  <w:r>
                    <w:rPr>
                      <w:rFonts w:hint="eastAsia" w:ascii="Times New Roman" w:hAnsi="Times New Roman" w:eastAsia="宋体" w:cs="Times New Roman"/>
                      <w:color w:val="auto"/>
                      <w:sz w:val="21"/>
                      <w:szCs w:val="21"/>
                      <w:lang w:eastAsia="zh-CN"/>
                    </w:rPr>
                    <w:t>控制广播时间、使用多个低音喇叭代替高音喇叭</w:t>
                  </w:r>
                </w:p>
              </w:tc>
              <w:tc>
                <w:tcPr>
                  <w:tcW w:w="373" w:type="pct"/>
                  <w:gridSpan w:val="2"/>
                  <w:tcBorders>
                    <w:tl2br w:val="nil"/>
                    <w:tr2bl w:val="nil"/>
                  </w:tcBorders>
                  <w:vAlign w:val="center"/>
                </w:tcPr>
                <w:p w14:paraId="73136EA4">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bl>
          <w:p w14:paraId="39F982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eastAsia"/>
                <w:b/>
                <w:bCs/>
                <w:color w:val="auto"/>
                <w:lang w:val="en-US" w:eastAsia="zh-CN"/>
              </w:rPr>
            </w:pPr>
            <w:r>
              <w:rPr>
                <w:rFonts w:hint="eastAsia"/>
                <w:b/>
                <w:bCs/>
                <w:color w:val="auto"/>
                <w:lang w:val="en-US" w:eastAsia="zh-CN"/>
              </w:rPr>
              <w:t>2.4实验室设置情况</w:t>
            </w:r>
          </w:p>
          <w:p w14:paraId="2CE6E7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eastAsia"/>
                <w:color w:val="auto"/>
                <w:lang w:val="en-US" w:eastAsia="zh-CN"/>
              </w:rPr>
              <w:t>2.4.1实验项目</w:t>
            </w:r>
          </w:p>
          <w:p w14:paraId="6BE37D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eastAsia"/>
                <w:color w:val="auto"/>
                <w:lang w:val="en-US" w:eastAsia="zh-CN"/>
              </w:rPr>
              <w:t>本项目教学对象为初中，初中部实验教学活动包括生物实验课，化学实验课和物理实验课。根据九年义务教育初中阶段教学大纲，各实验课实验项目如下：</w:t>
            </w:r>
          </w:p>
          <w:p w14:paraId="5F74C072">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物理实验</w:t>
            </w:r>
          </w:p>
          <w:p w14:paraId="3EFACA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初中物理实验分为光学、电学</w:t>
            </w:r>
            <w:r>
              <w:rPr>
                <w:rFonts w:hint="eastAsia"/>
                <w:color w:val="auto"/>
                <w:lang w:val="en-US" w:eastAsia="zh-CN"/>
              </w:rPr>
              <w:t>、</w:t>
            </w:r>
            <w:r>
              <w:rPr>
                <w:rFonts w:hint="default"/>
                <w:color w:val="auto"/>
                <w:lang w:val="en-US" w:eastAsia="zh-CN"/>
              </w:rPr>
              <w:t>力学</w:t>
            </w:r>
            <w:r>
              <w:rPr>
                <w:rFonts w:hint="eastAsia"/>
                <w:color w:val="auto"/>
                <w:lang w:val="en-US" w:eastAsia="zh-CN"/>
              </w:rPr>
              <w:t>和热学</w:t>
            </w:r>
            <w:r>
              <w:rPr>
                <w:rFonts w:hint="default"/>
                <w:color w:val="auto"/>
                <w:lang w:val="en-US" w:eastAsia="zh-CN"/>
              </w:rPr>
              <w:t>，其内容分别包括，</w:t>
            </w:r>
            <w:r>
              <w:rPr>
                <w:rFonts w:hint="default"/>
                <w:b/>
                <w:bCs/>
                <w:color w:val="auto"/>
                <w:lang w:val="en-US" w:eastAsia="zh-CN"/>
              </w:rPr>
              <w:t>光学</w:t>
            </w:r>
            <w:r>
              <w:rPr>
                <w:rFonts w:hint="default"/>
                <w:color w:val="auto"/>
                <w:lang w:val="en-US" w:eastAsia="zh-CN"/>
              </w:rPr>
              <w:t>：</w:t>
            </w:r>
            <w:r>
              <w:rPr>
                <w:rFonts w:hint="eastAsia"/>
                <w:color w:val="auto"/>
                <w:lang w:val="en-US" w:eastAsia="zh-CN"/>
              </w:rPr>
              <w:t>探究光的反射与折射实验</w:t>
            </w:r>
            <w:r>
              <w:rPr>
                <w:rFonts w:hint="default"/>
                <w:color w:val="auto"/>
                <w:lang w:val="en-US" w:eastAsia="zh-CN"/>
              </w:rPr>
              <w:t>；</w:t>
            </w:r>
            <w:r>
              <w:rPr>
                <w:rFonts w:hint="default"/>
                <w:b/>
                <w:bCs/>
                <w:color w:val="auto"/>
                <w:lang w:val="en-US" w:eastAsia="zh-CN"/>
              </w:rPr>
              <w:t>电学</w:t>
            </w:r>
            <w:r>
              <w:rPr>
                <w:rFonts w:hint="default"/>
                <w:color w:val="auto"/>
                <w:lang w:val="en-US" w:eastAsia="zh-CN"/>
              </w:rPr>
              <w:t>：</w:t>
            </w:r>
            <w:r>
              <w:rPr>
                <w:rFonts w:hint="eastAsia"/>
                <w:color w:val="auto"/>
                <w:lang w:val="en-US" w:eastAsia="zh-CN"/>
              </w:rPr>
              <w:t>串联与并联电路连接，测量小灯泡的电功率等</w:t>
            </w:r>
            <w:r>
              <w:rPr>
                <w:rFonts w:hint="default"/>
                <w:color w:val="auto"/>
                <w:lang w:val="en-US" w:eastAsia="zh-CN"/>
              </w:rPr>
              <w:t>；</w:t>
            </w:r>
            <w:r>
              <w:rPr>
                <w:rFonts w:hint="default"/>
                <w:b/>
                <w:bCs/>
                <w:color w:val="auto"/>
                <w:lang w:val="en-US" w:eastAsia="zh-CN"/>
              </w:rPr>
              <w:t>力学</w:t>
            </w:r>
            <w:r>
              <w:rPr>
                <w:rFonts w:hint="default"/>
                <w:color w:val="auto"/>
                <w:lang w:val="en-US" w:eastAsia="zh-CN"/>
              </w:rPr>
              <w:t>：测量物体的长度和质量</w:t>
            </w:r>
            <w:r>
              <w:rPr>
                <w:rFonts w:hint="eastAsia"/>
                <w:color w:val="auto"/>
                <w:lang w:val="en-US" w:eastAsia="zh-CN"/>
              </w:rPr>
              <w:t>，探究弹簧的伸长与拉力的关系，探究杠杆平衡条件，</w:t>
            </w:r>
            <w:r>
              <w:rPr>
                <w:rFonts w:hint="default"/>
                <w:color w:val="auto"/>
                <w:lang w:val="en-US" w:eastAsia="zh-CN"/>
              </w:rPr>
              <w:t>等</w:t>
            </w:r>
            <w:r>
              <w:rPr>
                <w:rFonts w:hint="eastAsia"/>
                <w:color w:val="auto"/>
                <w:lang w:val="en-US" w:eastAsia="zh-CN"/>
              </w:rPr>
              <w:t>；</w:t>
            </w:r>
            <w:r>
              <w:rPr>
                <w:rFonts w:hint="eastAsia"/>
                <w:b/>
                <w:bCs/>
                <w:color w:val="auto"/>
                <w:lang w:val="en-US" w:eastAsia="zh-CN"/>
              </w:rPr>
              <w:t>热学</w:t>
            </w:r>
            <w:r>
              <w:rPr>
                <w:rFonts w:hint="eastAsia"/>
                <w:color w:val="auto"/>
                <w:lang w:val="en-US" w:eastAsia="zh-CN"/>
              </w:rPr>
              <w:t>：探究水的沸腾现象等。</w:t>
            </w:r>
          </w:p>
          <w:p w14:paraId="20DFFF06">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化学实验</w:t>
            </w:r>
          </w:p>
          <w:p w14:paraId="05BC70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化学实验包括</w:t>
            </w:r>
            <w:r>
              <w:rPr>
                <w:rFonts w:hint="eastAsia"/>
                <w:color w:val="auto"/>
                <w:lang w:val="en-US" w:eastAsia="zh-CN"/>
              </w:rPr>
              <w:t>以下</w:t>
            </w:r>
            <w:r>
              <w:rPr>
                <w:rFonts w:hint="default"/>
                <w:color w:val="auto"/>
                <w:lang w:val="en-US" w:eastAsia="zh-CN"/>
              </w:rPr>
              <w:t>项目：药品的取用与加热</w:t>
            </w:r>
            <w:r>
              <w:rPr>
                <w:rFonts w:hint="eastAsia"/>
                <w:color w:val="auto"/>
                <w:lang w:val="en-US" w:eastAsia="zh-CN"/>
              </w:rPr>
              <w:t>；物理变化与化学变化；金属活动性探究（如铁、铜与酸反应）；燃烧条件探究（对比可燃物与氧气、温度关系）；粗盐的提纯（溶解、过滤、蒸发）；配制一定溶质质量分数的溶液；结晶现象观察（如硝酸钾的冷却结晶）；常见酸碱指示剂变色实验；浓硫酸的稀释与腐蚀性实验；碳酸钠与盐酸反应（验证气体产生）；探究质量守恒定律（如铁与硫酸铜反应）；鉴别常见离子（如Cl⁻、SO</w:t>
            </w:r>
            <w:r>
              <w:rPr>
                <w:rFonts w:hint="eastAsia"/>
                <w:color w:val="auto"/>
                <w:vertAlign w:val="subscript"/>
                <w:lang w:val="en-US" w:eastAsia="zh-CN"/>
              </w:rPr>
              <w:t>4</w:t>
            </w:r>
            <w:r>
              <w:rPr>
                <w:rFonts w:hint="eastAsia"/>
                <w:color w:val="auto"/>
                <w:vertAlign w:val="superscript"/>
                <w:lang w:val="en-US" w:eastAsia="zh-CN"/>
              </w:rPr>
              <w:t>2-</w:t>
            </w:r>
            <w:r>
              <w:rPr>
                <w:rFonts w:hint="eastAsia"/>
                <w:color w:val="auto"/>
                <w:lang w:val="en-US" w:eastAsia="zh-CN"/>
              </w:rPr>
              <w:t>、CO</w:t>
            </w:r>
            <w:r>
              <w:rPr>
                <w:rFonts w:hint="eastAsia"/>
                <w:color w:val="auto"/>
                <w:vertAlign w:val="subscript"/>
                <w:lang w:val="en-US" w:eastAsia="zh-CN"/>
              </w:rPr>
              <w:t>3</w:t>
            </w:r>
            <w:r>
              <w:rPr>
                <w:rFonts w:hint="eastAsia"/>
                <w:color w:val="auto"/>
                <w:vertAlign w:val="superscript"/>
                <w:lang w:val="en-US" w:eastAsia="zh-CN"/>
              </w:rPr>
              <w:t>2-</w:t>
            </w:r>
            <w:r>
              <w:rPr>
                <w:rFonts w:hint="eastAsia"/>
                <w:color w:val="auto"/>
                <w:lang w:val="en-US" w:eastAsia="zh-CN"/>
              </w:rPr>
              <w:t>）；氧气的制备等。</w:t>
            </w:r>
          </w:p>
          <w:p w14:paraId="3601CF47">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生物实验</w:t>
            </w:r>
          </w:p>
          <w:p w14:paraId="2270E5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生物实验包括显微镜的使用与植物细胞观察</w:t>
            </w:r>
            <w:r>
              <w:rPr>
                <w:rFonts w:hint="eastAsia"/>
                <w:color w:val="auto"/>
                <w:lang w:val="en-US" w:eastAsia="zh-CN"/>
              </w:rPr>
              <w:t>；探究种子萌发的条件；观察小鱼尾鳍的血液流动；探究唾液对淀粉的消化作用；模拟生态系统（如生态瓶制作）。</w:t>
            </w:r>
          </w:p>
          <w:p w14:paraId="3AB0EC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2.4.2实验室主要仪器和设备</w:t>
            </w:r>
          </w:p>
          <w:p w14:paraId="772B65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实验室主要仪器及设备见下表。</w:t>
            </w:r>
          </w:p>
          <w:p w14:paraId="2BDB4A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表2-2 实验室主要仪器及设备一览表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6483"/>
              <w:gridCol w:w="1080"/>
            </w:tblGrid>
            <w:tr w14:paraId="05F8C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357BD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3825" w:type="pct"/>
                  <w:tcBorders>
                    <w:tl2br w:val="nil"/>
                    <w:tr2bl w:val="nil"/>
                  </w:tcBorders>
                  <w:vAlign w:val="center"/>
                </w:tcPr>
                <w:p w14:paraId="41938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仪器名称</w:t>
                  </w:r>
                </w:p>
              </w:tc>
              <w:tc>
                <w:tcPr>
                  <w:tcW w:w="637" w:type="pct"/>
                  <w:tcBorders>
                    <w:tl2br w:val="nil"/>
                    <w:tr2bl w:val="nil"/>
                  </w:tcBorders>
                  <w:vAlign w:val="center"/>
                </w:tcPr>
                <w:p w14:paraId="70BEC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w:t>
                  </w:r>
                </w:p>
              </w:tc>
            </w:tr>
            <w:tr w14:paraId="05AEA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7E71A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w:t>
                  </w:r>
                </w:p>
              </w:tc>
              <w:tc>
                <w:tcPr>
                  <w:tcW w:w="3825" w:type="pct"/>
                  <w:tcBorders>
                    <w:tl2br w:val="nil"/>
                    <w:tr2bl w:val="nil"/>
                  </w:tcBorders>
                  <w:vAlign w:val="center"/>
                </w:tcPr>
                <w:p w14:paraId="5B90B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物理实验室</w:t>
                  </w:r>
                </w:p>
              </w:tc>
              <w:tc>
                <w:tcPr>
                  <w:tcW w:w="637" w:type="pct"/>
                  <w:tcBorders>
                    <w:tl2br w:val="nil"/>
                    <w:tr2bl w:val="nil"/>
                  </w:tcBorders>
                  <w:vAlign w:val="center"/>
                </w:tcPr>
                <w:p w14:paraId="4298F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1A11F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7A264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825" w:type="pct"/>
                  <w:tcBorders>
                    <w:tl2br w:val="nil"/>
                    <w:tr2bl w:val="nil"/>
                  </w:tcBorders>
                  <w:vAlign w:val="center"/>
                </w:tcPr>
                <w:p w14:paraId="183D4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操作台、光具座、平面镜、玻璃板、凸透镜、凹透镜、夹子、激光笔、直角三角板、刻度尺、量角器、棱镜、蜡烛</w:t>
                  </w:r>
                </w:p>
              </w:tc>
              <w:tc>
                <w:tcPr>
                  <w:tcW w:w="637" w:type="pct"/>
                  <w:tcBorders>
                    <w:tl2br w:val="nil"/>
                    <w:tr2bl w:val="nil"/>
                  </w:tcBorders>
                  <w:vAlign w:val="center"/>
                </w:tcPr>
                <w:p w14:paraId="0FE71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光学</w:t>
                  </w:r>
                </w:p>
              </w:tc>
            </w:tr>
            <w:tr w14:paraId="73D82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7C054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825" w:type="pct"/>
                  <w:tcBorders>
                    <w:tl2br w:val="nil"/>
                    <w:tr2bl w:val="nil"/>
                  </w:tcBorders>
                  <w:vAlign w:val="center"/>
                </w:tcPr>
                <w:p w14:paraId="53DA0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流表、电压表、灵敏电流计、打点计时器、多用电表、学生电源、电路板、滑动电阻器、定值电阻、通电螺线管磁场演示器、方形线圈、U型/条型磁铁、菱形小磁针、导线、开关、小灯座、电池、电池盒、干电池、小灯泡、纸带</w:t>
                  </w:r>
                </w:p>
              </w:tc>
              <w:tc>
                <w:tcPr>
                  <w:tcW w:w="637" w:type="pct"/>
                  <w:tcBorders>
                    <w:tl2br w:val="nil"/>
                    <w:tr2bl w:val="nil"/>
                  </w:tcBorders>
                  <w:vAlign w:val="center"/>
                </w:tcPr>
                <w:p w14:paraId="7C376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电学</w:t>
                  </w:r>
                </w:p>
              </w:tc>
            </w:tr>
            <w:tr w14:paraId="65F15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17EDF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3825" w:type="pct"/>
                  <w:tcBorders>
                    <w:tl2br w:val="nil"/>
                    <w:tr2bl w:val="nil"/>
                  </w:tcBorders>
                  <w:vAlign w:val="center"/>
                </w:tcPr>
                <w:p w14:paraId="42F42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平抛仪、轨道小车、长木板、停表、弹簧测力计、杠杆、方木板、天平、钩码、图钉、橡皮条、细线、 白纸等</w:t>
                  </w:r>
                </w:p>
              </w:tc>
              <w:tc>
                <w:tcPr>
                  <w:tcW w:w="637" w:type="pct"/>
                  <w:tcBorders>
                    <w:tl2br w:val="nil"/>
                    <w:tr2bl w:val="nil"/>
                  </w:tcBorders>
                  <w:vAlign w:val="center"/>
                </w:tcPr>
                <w:p w14:paraId="74B7C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力学</w:t>
                  </w:r>
                </w:p>
              </w:tc>
            </w:tr>
            <w:tr w14:paraId="27BF1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737E4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3825" w:type="pct"/>
                  <w:tcBorders>
                    <w:tl2br w:val="nil"/>
                    <w:tr2bl w:val="nil"/>
                  </w:tcBorders>
                  <w:vAlign w:val="center"/>
                </w:tcPr>
                <w:p w14:paraId="2A120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酒精灯、温度计、烧杯、石棉网</w:t>
                  </w:r>
                </w:p>
              </w:tc>
              <w:tc>
                <w:tcPr>
                  <w:tcW w:w="637" w:type="pct"/>
                  <w:tcBorders>
                    <w:tl2br w:val="nil"/>
                    <w:tr2bl w:val="nil"/>
                  </w:tcBorders>
                  <w:vAlign w:val="center"/>
                </w:tcPr>
                <w:p w14:paraId="3C9FC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热学</w:t>
                  </w:r>
                </w:p>
              </w:tc>
            </w:tr>
            <w:tr w14:paraId="77054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18E1F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w:t>
                  </w:r>
                </w:p>
              </w:tc>
              <w:tc>
                <w:tcPr>
                  <w:tcW w:w="3825" w:type="pct"/>
                  <w:tcBorders>
                    <w:tl2br w:val="nil"/>
                    <w:tr2bl w:val="nil"/>
                  </w:tcBorders>
                  <w:vAlign w:val="center"/>
                </w:tcPr>
                <w:p w14:paraId="174BC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化学实验室</w:t>
                  </w:r>
                </w:p>
              </w:tc>
              <w:tc>
                <w:tcPr>
                  <w:tcW w:w="637" w:type="pct"/>
                  <w:tcBorders>
                    <w:tl2br w:val="nil"/>
                    <w:tr2bl w:val="nil"/>
                  </w:tcBorders>
                  <w:vAlign w:val="center"/>
                </w:tcPr>
                <w:p w14:paraId="49F9B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00FF8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0C04B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3825" w:type="pct"/>
                  <w:tcBorders>
                    <w:tl2br w:val="nil"/>
                    <w:tr2bl w:val="nil"/>
                  </w:tcBorders>
                  <w:vAlign w:val="center"/>
                </w:tcPr>
                <w:p w14:paraId="616ED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托盘天平、烧杯、量筒、胶头滴管、玻璃棒、药匙、酒精灯、铁架台、</w:t>
                  </w:r>
                  <w:r>
                    <w:rPr>
                      <w:rFonts w:hint="eastAsia" w:cs="Times New Roman"/>
                      <w:color w:val="auto"/>
                      <w:sz w:val="21"/>
                      <w:szCs w:val="21"/>
                      <w:vertAlign w:val="baseline"/>
                      <w:lang w:val="en-US" w:eastAsia="zh-CN"/>
                    </w:rPr>
                    <w:t>坩埚钳、</w:t>
                  </w:r>
                  <w:r>
                    <w:rPr>
                      <w:rFonts w:hint="default" w:ascii="Times New Roman" w:hAnsi="Times New Roman" w:eastAsia="宋体" w:cs="Times New Roman"/>
                      <w:color w:val="auto"/>
                      <w:sz w:val="21"/>
                      <w:szCs w:val="21"/>
                      <w:vertAlign w:val="baseline"/>
                      <w:lang w:val="en-US" w:eastAsia="zh-CN"/>
                    </w:rPr>
                    <w:t>试管</w:t>
                  </w:r>
                  <w:r>
                    <w:rPr>
                      <w:rFonts w:hint="eastAsia" w:cs="Times New Roman"/>
                      <w:color w:val="auto"/>
                      <w:sz w:val="21"/>
                      <w:szCs w:val="21"/>
                      <w:vertAlign w:val="baseline"/>
                      <w:lang w:val="en-US" w:eastAsia="zh-CN"/>
                    </w:rPr>
                    <w:t>、集气瓶、锥形瓶、漏斗、pH试纸、镊子、研钵、蒸发皿</w:t>
                  </w:r>
                  <w:r>
                    <w:rPr>
                      <w:rFonts w:hint="default" w:ascii="Times New Roman" w:hAnsi="Times New Roman" w:eastAsia="宋体" w:cs="Times New Roman"/>
                      <w:color w:val="auto"/>
                      <w:sz w:val="21"/>
                      <w:szCs w:val="21"/>
                      <w:vertAlign w:val="baseline"/>
                      <w:lang w:val="en-US" w:eastAsia="zh-CN"/>
                    </w:rPr>
                    <w:t>等</w:t>
                  </w:r>
                </w:p>
              </w:tc>
              <w:tc>
                <w:tcPr>
                  <w:tcW w:w="637" w:type="pct"/>
                  <w:tcBorders>
                    <w:tl2br w:val="nil"/>
                    <w:tr2bl w:val="nil"/>
                  </w:tcBorders>
                  <w:vAlign w:val="center"/>
                </w:tcPr>
                <w:p w14:paraId="487B0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6E936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0DA5A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p>
              </w:tc>
              <w:tc>
                <w:tcPr>
                  <w:tcW w:w="3825" w:type="pct"/>
                  <w:tcBorders>
                    <w:tl2br w:val="nil"/>
                    <w:tr2bl w:val="nil"/>
                  </w:tcBorders>
                  <w:vAlign w:val="center"/>
                </w:tcPr>
                <w:p w14:paraId="6D56E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生物实验室</w:t>
                  </w:r>
                </w:p>
              </w:tc>
              <w:tc>
                <w:tcPr>
                  <w:tcW w:w="637" w:type="pct"/>
                  <w:tcBorders>
                    <w:tl2br w:val="nil"/>
                    <w:tr2bl w:val="nil"/>
                  </w:tcBorders>
                  <w:vAlign w:val="center"/>
                </w:tcPr>
                <w:p w14:paraId="4CDA1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0CF5A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6" w:type="pct"/>
                  <w:tcBorders>
                    <w:tl2br w:val="nil"/>
                    <w:tr2bl w:val="nil"/>
                  </w:tcBorders>
                  <w:vAlign w:val="center"/>
                </w:tcPr>
                <w:p w14:paraId="06775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825" w:type="pct"/>
                  <w:tcBorders>
                    <w:tl2br w:val="nil"/>
                    <w:tr2bl w:val="nil"/>
                  </w:tcBorders>
                  <w:vAlign w:val="center"/>
                </w:tcPr>
                <w:p w14:paraId="28FA7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pacing w:val="9"/>
                      <w:sz w:val="21"/>
                      <w:szCs w:val="21"/>
                    </w:rPr>
                    <w:t>操作台、显微镜、温度计、试管架、烧杯、定量瓶、滴瓶、试</w:t>
                  </w:r>
                  <w:r>
                    <w:rPr>
                      <w:rFonts w:hint="default" w:ascii="Times New Roman" w:hAnsi="Times New Roman" w:eastAsia="宋体" w:cs="Times New Roman"/>
                      <w:color w:val="auto"/>
                      <w:spacing w:val="9"/>
                      <w:sz w:val="21"/>
                      <w:szCs w:val="21"/>
                      <w:lang w:val="en-US" w:eastAsia="zh-CN"/>
                    </w:rPr>
                    <w:t>管、污物杯、滴定管</w:t>
                  </w:r>
                  <w:r>
                    <w:rPr>
                      <w:rFonts w:hint="eastAsia" w:cs="Times New Roman"/>
                      <w:color w:val="auto"/>
                      <w:spacing w:val="9"/>
                      <w:sz w:val="21"/>
                      <w:szCs w:val="21"/>
                      <w:lang w:val="en-US" w:eastAsia="zh-CN"/>
                    </w:rPr>
                    <w:t>、载玻片、水浴锅</w:t>
                  </w:r>
                  <w:r>
                    <w:rPr>
                      <w:rFonts w:hint="default" w:ascii="Times New Roman" w:hAnsi="Times New Roman" w:eastAsia="宋体" w:cs="Times New Roman"/>
                      <w:color w:val="auto"/>
                      <w:spacing w:val="9"/>
                      <w:sz w:val="21"/>
                      <w:szCs w:val="21"/>
                      <w:lang w:val="en-US" w:eastAsia="zh-CN"/>
                    </w:rPr>
                    <w:t>等</w:t>
                  </w:r>
                </w:p>
              </w:tc>
              <w:tc>
                <w:tcPr>
                  <w:tcW w:w="637" w:type="pct"/>
                  <w:tcBorders>
                    <w:tl2br w:val="nil"/>
                    <w:tr2bl w:val="nil"/>
                  </w:tcBorders>
                  <w:vAlign w:val="center"/>
                </w:tcPr>
                <w:p w14:paraId="0CD6B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bl>
          <w:p w14:paraId="13D60E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2.4.3实验试剂及理化性质</w:t>
            </w:r>
          </w:p>
          <w:p w14:paraId="1801C5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eastAsia"/>
                <w:color w:val="auto"/>
                <w:lang w:val="en-US" w:eastAsia="zh-CN"/>
              </w:rPr>
              <w:t>物理实验仅光的反射与折射实验、探究水的沸腾现象用到试剂（蒸馏水），不涉及其他试剂及药品。</w:t>
            </w:r>
          </w:p>
          <w:p w14:paraId="129F5F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本学校化学实验所用到的主要试剂见下表。</w:t>
            </w:r>
          </w:p>
          <w:p w14:paraId="0A2C56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表2-3 化学实验室主要试剂一览表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628"/>
              <w:gridCol w:w="1249"/>
              <w:gridCol w:w="793"/>
              <w:gridCol w:w="898"/>
              <w:gridCol w:w="2477"/>
              <w:gridCol w:w="743"/>
            </w:tblGrid>
            <w:tr w14:paraId="3E5EA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2" w:type="pct"/>
                  <w:tcBorders>
                    <w:tl2br w:val="nil"/>
                    <w:tr2bl w:val="nil"/>
                  </w:tcBorders>
                  <w:vAlign w:val="center"/>
                </w:tcPr>
                <w:p w14:paraId="1E458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序号</w:t>
                  </w:r>
                </w:p>
              </w:tc>
              <w:tc>
                <w:tcPr>
                  <w:tcW w:w="961" w:type="pct"/>
                  <w:tcBorders>
                    <w:tl2br w:val="nil"/>
                    <w:tr2bl w:val="nil"/>
                  </w:tcBorders>
                  <w:vAlign w:val="center"/>
                </w:tcPr>
                <w:p w14:paraId="76B6A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试剂名称</w:t>
                  </w:r>
                </w:p>
              </w:tc>
              <w:tc>
                <w:tcPr>
                  <w:tcW w:w="737" w:type="pct"/>
                  <w:tcBorders>
                    <w:tl2br w:val="nil"/>
                    <w:tr2bl w:val="nil"/>
                  </w:tcBorders>
                  <w:vAlign w:val="center"/>
                </w:tcPr>
                <w:p w14:paraId="65AA5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规格</w:t>
                  </w:r>
                </w:p>
              </w:tc>
              <w:tc>
                <w:tcPr>
                  <w:tcW w:w="468" w:type="pct"/>
                  <w:tcBorders>
                    <w:tl2br w:val="nil"/>
                    <w:tr2bl w:val="nil"/>
                  </w:tcBorders>
                  <w:vAlign w:val="center"/>
                </w:tcPr>
                <w:p w14:paraId="7FB94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年用量</w:t>
                  </w:r>
                </w:p>
              </w:tc>
              <w:tc>
                <w:tcPr>
                  <w:tcW w:w="530" w:type="pct"/>
                  <w:tcBorders>
                    <w:tl2br w:val="nil"/>
                    <w:tr2bl w:val="nil"/>
                  </w:tcBorders>
                  <w:vAlign w:val="center"/>
                </w:tcPr>
                <w:p w14:paraId="7F390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最大储</w:t>
                  </w:r>
                </w:p>
                <w:p w14:paraId="3269D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存量</w:t>
                  </w:r>
                </w:p>
              </w:tc>
              <w:tc>
                <w:tcPr>
                  <w:tcW w:w="1462" w:type="pct"/>
                  <w:tcBorders>
                    <w:tl2br w:val="nil"/>
                    <w:tr2bl w:val="nil"/>
                  </w:tcBorders>
                  <w:vAlign w:val="center"/>
                </w:tcPr>
                <w:p w14:paraId="2319A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用途</w:t>
                  </w:r>
                </w:p>
              </w:tc>
              <w:tc>
                <w:tcPr>
                  <w:tcW w:w="438" w:type="pct"/>
                  <w:tcBorders>
                    <w:tl2br w:val="nil"/>
                    <w:tr2bl w:val="nil"/>
                  </w:tcBorders>
                  <w:vAlign w:val="center"/>
                </w:tcPr>
                <w:p w14:paraId="7E8EB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存放</w:t>
                  </w:r>
                </w:p>
                <w:p w14:paraId="23815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位置</w:t>
                  </w:r>
                </w:p>
              </w:tc>
            </w:tr>
            <w:tr w14:paraId="2BB65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F493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961" w:type="pct"/>
                  <w:tcBorders>
                    <w:tl2br w:val="nil"/>
                    <w:tr2bl w:val="nil"/>
                  </w:tcBorders>
                  <w:shd w:val="clear" w:color="auto" w:fill="auto"/>
                  <w:vAlign w:val="center"/>
                </w:tcPr>
                <w:p w14:paraId="18B18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default"/>
                      <w:color w:val="auto"/>
                      <w:sz w:val="21"/>
                      <w:szCs w:val="21"/>
                    </w:rPr>
                    <w:t>铝粉</w:t>
                  </w:r>
                </w:p>
              </w:tc>
              <w:tc>
                <w:tcPr>
                  <w:tcW w:w="737" w:type="pct"/>
                  <w:tcBorders>
                    <w:tl2br w:val="nil"/>
                    <w:tr2bl w:val="nil"/>
                  </w:tcBorders>
                  <w:shd w:val="clear" w:color="auto" w:fill="auto"/>
                  <w:vAlign w:val="center"/>
                </w:tcPr>
                <w:p w14:paraId="5CA2C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default"/>
                      <w:color w:val="auto"/>
                      <w:sz w:val="21"/>
                      <w:szCs w:val="21"/>
                    </w:rPr>
                    <w:t>AR500g</w:t>
                  </w:r>
                </w:p>
              </w:tc>
              <w:tc>
                <w:tcPr>
                  <w:tcW w:w="468" w:type="pct"/>
                  <w:tcBorders>
                    <w:tl2br w:val="nil"/>
                    <w:tr2bl w:val="nil"/>
                  </w:tcBorders>
                  <w:shd w:val="clear" w:color="auto" w:fill="auto"/>
                  <w:vAlign w:val="center"/>
                </w:tcPr>
                <w:p w14:paraId="72024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cs="Times New Roman"/>
                      <w:i w:val="0"/>
                      <w:iCs w:val="0"/>
                      <w:color w:val="auto"/>
                      <w:kern w:val="0"/>
                      <w:sz w:val="21"/>
                      <w:szCs w:val="21"/>
                      <w:u w:val="none"/>
                      <w:lang w:val="en-US" w:eastAsia="zh-CN" w:bidi="ar"/>
                    </w:rPr>
                    <w:t>kg</w:t>
                  </w:r>
                </w:p>
              </w:tc>
              <w:tc>
                <w:tcPr>
                  <w:tcW w:w="530" w:type="pct"/>
                  <w:tcBorders>
                    <w:tl2br w:val="nil"/>
                    <w:tr2bl w:val="nil"/>
                  </w:tcBorders>
                  <w:shd w:val="clear" w:color="auto" w:fill="auto"/>
                  <w:vAlign w:val="center"/>
                </w:tcPr>
                <w:p w14:paraId="10EE3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cs="Times New Roman"/>
                      <w:i w:val="0"/>
                      <w:iCs w:val="0"/>
                      <w:color w:val="auto"/>
                      <w:kern w:val="0"/>
                      <w:sz w:val="21"/>
                      <w:szCs w:val="21"/>
                      <w:u w:val="none"/>
                      <w:lang w:val="en-US" w:eastAsia="zh-CN" w:bidi="ar"/>
                    </w:rPr>
                    <w:t>kg</w:t>
                  </w:r>
                </w:p>
              </w:tc>
              <w:tc>
                <w:tcPr>
                  <w:tcW w:w="1462" w:type="pct"/>
                  <w:tcBorders>
                    <w:tl2br w:val="nil"/>
                    <w:tr2bl w:val="nil"/>
                  </w:tcBorders>
                  <w:shd w:val="clear" w:color="auto" w:fill="auto"/>
                  <w:vAlign w:val="center"/>
                </w:tcPr>
                <w:p w14:paraId="281CA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金属活动性探究</w:t>
                  </w:r>
                </w:p>
              </w:tc>
              <w:tc>
                <w:tcPr>
                  <w:tcW w:w="438" w:type="pct"/>
                  <w:vMerge w:val="restart"/>
                  <w:tcBorders>
                    <w:tl2br w:val="nil"/>
                    <w:tr2bl w:val="nil"/>
                  </w:tcBorders>
                  <w:shd w:val="clear" w:color="auto" w:fill="auto"/>
                  <w:vAlign w:val="center"/>
                </w:tcPr>
                <w:p w14:paraId="7D1E4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化学药品储藏室</w:t>
                  </w:r>
                </w:p>
              </w:tc>
            </w:tr>
            <w:tr w14:paraId="1583C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21FDD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961" w:type="pct"/>
                  <w:tcBorders>
                    <w:tl2br w:val="nil"/>
                    <w:tr2bl w:val="nil"/>
                  </w:tcBorders>
                  <w:shd w:val="clear" w:color="auto" w:fill="auto"/>
                  <w:vAlign w:val="center"/>
                </w:tcPr>
                <w:p w14:paraId="28DD4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eastAsia"/>
                      <w:color w:val="auto"/>
                      <w:sz w:val="21"/>
                      <w:szCs w:val="21"/>
                      <w:lang w:val="en-US" w:eastAsia="zh-CN"/>
                    </w:rPr>
                    <w:t>36%浓盐酸</w:t>
                  </w:r>
                </w:p>
              </w:tc>
              <w:tc>
                <w:tcPr>
                  <w:tcW w:w="737" w:type="pct"/>
                  <w:tcBorders>
                    <w:tl2br w:val="nil"/>
                    <w:tr2bl w:val="nil"/>
                  </w:tcBorders>
                  <w:shd w:val="clear" w:color="auto" w:fill="auto"/>
                  <w:vAlign w:val="center"/>
                </w:tcPr>
                <w:p w14:paraId="20AAA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AR500mL</w:t>
                  </w:r>
                </w:p>
              </w:tc>
              <w:tc>
                <w:tcPr>
                  <w:tcW w:w="468" w:type="pct"/>
                  <w:tcBorders>
                    <w:tl2br w:val="nil"/>
                    <w:tr2bl w:val="nil"/>
                  </w:tcBorders>
                  <w:shd w:val="clear" w:color="auto" w:fill="auto"/>
                  <w:vAlign w:val="center"/>
                </w:tcPr>
                <w:p w14:paraId="1D606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5L</w:t>
                  </w:r>
                </w:p>
              </w:tc>
              <w:tc>
                <w:tcPr>
                  <w:tcW w:w="530" w:type="pct"/>
                  <w:tcBorders>
                    <w:tl2br w:val="nil"/>
                    <w:tr2bl w:val="nil"/>
                  </w:tcBorders>
                  <w:shd w:val="clear" w:color="auto" w:fill="auto"/>
                  <w:vAlign w:val="center"/>
                </w:tcPr>
                <w:p w14:paraId="32594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2L</w:t>
                  </w:r>
                </w:p>
              </w:tc>
              <w:tc>
                <w:tcPr>
                  <w:tcW w:w="1462" w:type="pct"/>
                  <w:tcBorders>
                    <w:tl2br w:val="nil"/>
                    <w:tr2bl w:val="nil"/>
                  </w:tcBorders>
                  <w:shd w:val="clear" w:color="auto" w:fill="auto"/>
                  <w:vAlign w:val="center"/>
                </w:tcPr>
                <w:p w14:paraId="42A34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二氧化碳制备、金属活动性实验</w:t>
                  </w:r>
                </w:p>
              </w:tc>
              <w:tc>
                <w:tcPr>
                  <w:tcW w:w="438" w:type="pct"/>
                  <w:vMerge w:val="continue"/>
                  <w:tcBorders>
                    <w:tl2br w:val="nil"/>
                    <w:tr2bl w:val="nil"/>
                  </w:tcBorders>
                  <w:shd w:val="clear" w:color="auto" w:fill="auto"/>
                  <w:vAlign w:val="center"/>
                </w:tcPr>
                <w:p w14:paraId="0EA33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5A1F4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4D641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961" w:type="pct"/>
                  <w:tcBorders>
                    <w:tl2br w:val="nil"/>
                    <w:tr2bl w:val="nil"/>
                  </w:tcBorders>
                  <w:shd w:val="clear" w:color="auto" w:fill="auto"/>
                  <w:vAlign w:val="center"/>
                </w:tcPr>
                <w:p w14:paraId="2B219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98%浓硫酸</w:t>
                  </w:r>
                </w:p>
              </w:tc>
              <w:tc>
                <w:tcPr>
                  <w:tcW w:w="737" w:type="pct"/>
                  <w:tcBorders>
                    <w:tl2br w:val="nil"/>
                    <w:tr2bl w:val="nil"/>
                  </w:tcBorders>
                  <w:shd w:val="clear" w:color="auto" w:fill="auto"/>
                  <w:vAlign w:val="center"/>
                </w:tcPr>
                <w:p w14:paraId="15445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AR500mL</w:t>
                  </w:r>
                </w:p>
              </w:tc>
              <w:tc>
                <w:tcPr>
                  <w:tcW w:w="468" w:type="pct"/>
                  <w:tcBorders>
                    <w:tl2br w:val="nil"/>
                    <w:tr2bl w:val="nil"/>
                  </w:tcBorders>
                  <w:shd w:val="clear" w:color="auto" w:fill="auto"/>
                  <w:vAlign w:val="center"/>
                </w:tcPr>
                <w:p w14:paraId="4E453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2L</w:t>
                  </w:r>
                </w:p>
              </w:tc>
              <w:tc>
                <w:tcPr>
                  <w:tcW w:w="530" w:type="pct"/>
                  <w:tcBorders>
                    <w:tl2br w:val="nil"/>
                    <w:tr2bl w:val="nil"/>
                  </w:tcBorders>
                  <w:shd w:val="clear" w:color="auto" w:fill="auto"/>
                  <w:vAlign w:val="center"/>
                </w:tcPr>
                <w:p w14:paraId="71FD1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2L</w:t>
                  </w:r>
                </w:p>
              </w:tc>
              <w:tc>
                <w:tcPr>
                  <w:tcW w:w="1462" w:type="pct"/>
                  <w:tcBorders>
                    <w:tl2br w:val="nil"/>
                    <w:tr2bl w:val="nil"/>
                  </w:tcBorders>
                  <w:shd w:val="clear" w:color="auto" w:fill="auto"/>
                  <w:vAlign w:val="center"/>
                </w:tcPr>
                <w:p w14:paraId="20D15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稀释后用于酸碱反应、溶液配制</w:t>
                  </w:r>
                </w:p>
              </w:tc>
              <w:tc>
                <w:tcPr>
                  <w:tcW w:w="438" w:type="pct"/>
                  <w:vMerge w:val="continue"/>
                  <w:tcBorders>
                    <w:tl2br w:val="nil"/>
                    <w:tr2bl w:val="nil"/>
                  </w:tcBorders>
                  <w:shd w:val="clear" w:color="auto" w:fill="auto"/>
                  <w:vAlign w:val="center"/>
                </w:tcPr>
                <w:p w14:paraId="37EBB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4D20A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50277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961" w:type="pct"/>
                  <w:tcBorders>
                    <w:tl2br w:val="nil"/>
                    <w:tr2bl w:val="nil"/>
                  </w:tcBorders>
                  <w:shd w:val="clear" w:color="auto" w:fill="auto"/>
                  <w:vAlign w:val="center"/>
                </w:tcPr>
                <w:p w14:paraId="01AB2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default"/>
                      <w:color w:val="auto"/>
                      <w:sz w:val="21"/>
                      <w:szCs w:val="21"/>
                    </w:rPr>
                    <w:t>氢氧化钠</w:t>
                  </w:r>
                </w:p>
              </w:tc>
              <w:tc>
                <w:tcPr>
                  <w:tcW w:w="737" w:type="pct"/>
                  <w:tcBorders>
                    <w:tl2br w:val="nil"/>
                    <w:tr2bl w:val="nil"/>
                  </w:tcBorders>
                  <w:shd w:val="clear" w:color="auto" w:fill="auto"/>
                  <w:vAlign w:val="center"/>
                </w:tcPr>
                <w:p w14:paraId="77523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AR500g</w:t>
                  </w:r>
                </w:p>
              </w:tc>
              <w:tc>
                <w:tcPr>
                  <w:tcW w:w="468" w:type="pct"/>
                  <w:tcBorders>
                    <w:tl2br w:val="nil"/>
                    <w:tr2bl w:val="nil"/>
                  </w:tcBorders>
                  <w:shd w:val="clear" w:color="auto" w:fill="auto"/>
                  <w:vAlign w:val="center"/>
                </w:tcPr>
                <w:p w14:paraId="482D8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2kg</w:t>
                  </w:r>
                </w:p>
              </w:tc>
              <w:tc>
                <w:tcPr>
                  <w:tcW w:w="530" w:type="pct"/>
                  <w:tcBorders>
                    <w:tl2br w:val="nil"/>
                    <w:tr2bl w:val="nil"/>
                  </w:tcBorders>
                  <w:shd w:val="clear" w:color="auto" w:fill="auto"/>
                  <w:vAlign w:val="center"/>
                </w:tcPr>
                <w:p w14:paraId="371B9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2kg</w:t>
                  </w:r>
                </w:p>
              </w:tc>
              <w:tc>
                <w:tcPr>
                  <w:tcW w:w="1462" w:type="pct"/>
                  <w:tcBorders>
                    <w:tl2br w:val="nil"/>
                    <w:tr2bl w:val="nil"/>
                  </w:tcBorders>
                  <w:shd w:val="clear" w:color="auto" w:fill="auto"/>
                  <w:vAlign w:val="center"/>
                </w:tcPr>
                <w:p w14:paraId="1DA8E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中和反应、溶液配制</w:t>
                  </w:r>
                </w:p>
              </w:tc>
              <w:tc>
                <w:tcPr>
                  <w:tcW w:w="438" w:type="pct"/>
                  <w:vMerge w:val="continue"/>
                  <w:tcBorders>
                    <w:tl2br w:val="nil"/>
                    <w:tr2bl w:val="nil"/>
                  </w:tcBorders>
                  <w:shd w:val="clear" w:color="auto" w:fill="auto"/>
                  <w:vAlign w:val="center"/>
                </w:tcPr>
                <w:p w14:paraId="64A75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5CAAB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C95A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961" w:type="pct"/>
                  <w:tcBorders>
                    <w:tl2br w:val="nil"/>
                    <w:tr2bl w:val="nil"/>
                  </w:tcBorders>
                  <w:shd w:val="clear" w:color="auto" w:fill="auto"/>
                  <w:vAlign w:val="center"/>
                </w:tcPr>
                <w:p w14:paraId="5F35E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高锰酸钾</w:t>
                  </w:r>
                </w:p>
              </w:tc>
              <w:tc>
                <w:tcPr>
                  <w:tcW w:w="737" w:type="pct"/>
                  <w:tcBorders>
                    <w:tl2br w:val="nil"/>
                    <w:tr2bl w:val="nil"/>
                  </w:tcBorders>
                  <w:shd w:val="clear" w:color="auto" w:fill="auto"/>
                  <w:vAlign w:val="center"/>
                </w:tcPr>
                <w:p w14:paraId="6D765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AR500g</w:t>
                  </w:r>
                </w:p>
              </w:tc>
              <w:tc>
                <w:tcPr>
                  <w:tcW w:w="468" w:type="pct"/>
                  <w:tcBorders>
                    <w:tl2br w:val="nil"/>
                    <w:tr2bl w:val="nil"/>
                  </w:tcBorders>
                  <w:shd w:val="clear" w:color="auto" w:fill="auto"/>
                  <w:vAlign w:val="center"/>
                </w:tcPr>
                <w:p w14:paraId="57400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1kg</w:t>
                  </w:r>
                </w:p>
              </w:tc>
              <w:tc>
                <w:tcPr>
                  <w:tcW w:w="530" w:type="pct"/>
                  <w:tcBorders>
                    <w:tl2br w:val="nil"/>
                    <w:tr2bl w:val="nil"/>
                  </w:tcBorders>
                  <w:shd w:val="clear" w:color="auto" w:fill="auto"/>
                  <w:vAlign w:val="center"/>
                </w:tcPr>
                <w:p w14:paraId="1A2BF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1kg</w:t>
                  </w:r>
                </w:p>
              </w:tc>
              <w:tc>
                <w:tcPr>
                  <w:tcW w:w="1462" w:type="pct"/>
                  <w:tcBorders>
                    <w:tl2br w:val="nil"/>
                    <w:tr2bl w:val="nil"/>
                  </w:tcBorders>
                  <w:shd w:val="clear" w:color="auto" w:fill="auto"/>
                  <w:vAlign w:val="center"/>
                </w:tcPr>
                <w:p w14:paraId="44587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氧气制备实验</w:t>
                  </w:r>
                </w:p>
              </w:tc>
              <w:tc>
                <w:tcPr>
                  <w:tcW w:w="438" w:type="pct"/>
                  <w:vMerge w:val="continue"/>
                  <w:tcBorders>
                    <w:tl2br w:val="nil"/>
                    <w:tr2bl w:val="nil"/>
                  </w:tcBorders>
                  <w:shd w:val="clear" w:color="auto" w:fill="auto"/>
                  <w:vAlign w:val="center"/>
                </w:tcPr>
                <w:p w14:paraId="7AFB3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03A8E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74A08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961" w:type="pct"/>
                  <w:tcBorders>
                    <w:tl2br w:val="nil"/>
                    <w:tr2bl w:val="nil"/>
                  </w:tcBorders>
                  <w:shd w:val="clear" w:color="auto" w:fill="auto"/>
                  <w:vAlign w:val="center"/>
                </w:tcPr>
                <w:p w14:paraId="06436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eastAsia"/>
                      <w:color w:val="auto"/>
                      <w:sz w:val="21"/>
                      <w:szCs w:val="21"/>
                      <w:lang w:val="en-US" w:eastAsia="zh-CN"/>
                    </w:rPr>
                    <w:t>30%</w:t>
                  </w:r>
                  <w:r>
                    <w:rPr>
                      <w:rFonts w:hint="default"/>
                      <w:color w:val="auto"/>
                      <w:sz w:val="21"/>
                      <w:szCs w:val="21"/>
                    </w:rPr>
                    <w:t>过氧化氢</w:t>
                  </w:r>
                </w:p>
              </w:tc>
              <w:tc>
                <w:tcPr>
                  <w:tcW w:w="737" w:type="pct"/>
                  <w:tcBorders>
                    <w:tl2br w:val="nil"/>
                    <w:tr2bl w:val="nil"/>
                  </w:tcBorders>
                  <w:shd w:val="clear" w:color="auto" w:fill="auto"/>
                  <w:vAlign w:val="center"/>
                </w:tcPr>
                <w:p w14:paraId="75EC9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AR500mL</w:t>
                  </w:r>
                </w:p>
              </w:tc>
              <w:tc>
                <w:tcPr>
                  <w:tcW w:w="468" w:type="pct"/>
                  <w:tcBorders>
                    <w:tl2br w:val="nil"/>
                    <w:tr2bl w:val="nil"/>
                  </w:tcBorders>
                  <w:shd w:val="clear" w:color="auto" w:fill="auto"/>
                  <w:vAlign w:val="center"/>
                </w:tcPr>
                <w:p w14:paraId="4C0BB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5L</w:t>
                  </w:r>
                </w:p>
              </w:tc>
              <w:tc>
                <w:tcPr>
                  <w:tcW w:w="530" w:type="pct"/>
                  <w:tcBorders>
                    <w:tl2br w:val="nil"/>
                    <w:tr2bl w:val="nil"/>
                  </w:tcBorders>
                  <w:shd w:val="clear" w:color="auto" w:fill="auto"/>
                  <w:vAlign w:val="center"/>
                </w:tcPr>
                <w:p w14:paraId="644882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2L</w:t>
                  </w:r>
                </w:p>
              </w:tc>
              <w:tc>
                <w:tcPr>
                  <w:tcW w:w="1462" w:type="pct"/>
                  <w:tcBorders>
                    <w:tl2br w:val="nil"/>
                    <w:tr2bl w:val="nil"/>
                  </w:tcBorders>
                  <w:shd w:val="clear" w:color="auto" w:fill="auto"/>
                  <w:vAlign w:val="center"/>
                </w:tcPr>
                <w:p w14:paraId="2240B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氧气制备</w:t>
                  </w:r>
                </w:p>
              </w:tc>
              <w:tc>
                <w:tcPr>
                  <w:tcW w:w="438" w:type="pct"/>
                  <w:vMerge w:val="continue"/>
                  <w:tcBorders>
                    <w:tl2br w:val="nil"/>
                    <w:tr2bl w:val="nil"/>
                  </w:tcBorders>
                  <w:shd w:val="clear" w:color="auto" w:fill="auto"/>
                  <w:vAlign w:val="center"/>
                </w:tcPr>
                <w:p w14:paraId="7158A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30759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28278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961" w:type="pct"/>
                  <w:tcBorders>
                    <w:tl2br w:val="nil"/>
                    <w:tr2bl w:val="nil"/>
                  </w:tcBorders>
                  <w:shd w:val="clear" w:color="auto" w:fill="auto"/>
                  <w:vAlign w:val="center"/>
                </w:tcPr>
                <w:p w14:paraId="27CDA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 xml:space="preserve"> 75%酒精</w:t>
                  </w:r>
                </w:p>
              </w:tc>
              <w:tc>
                <w:tcPr>
                  <w:tcW w:w="737" w:type="pct"/>
                  <w:tcBorders>
                    <w:tl2br w:val="nil"/>
                    <w:tr2bl w:val="nil"/>
                  </w:tcBorders>
                  <w:shd w:val="clear" w:color="auto" w:fill="auto"/>
                  <w:vAlign w:val="center"/>
                </w:tcPr>
                <w:p w14:paraId="1F509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AR500mL</w:t>
                  </w:r>
                </w:p>
              </w:tc>
              <w:tc>
                <w:tcPr>
                  <w:tcW w:w="468" w:type="pct"/>
                  <w:tcBorders>
                    <w:tl2br w:val="nil"/>
                    <w:tr2bl w:val="nil"/>
                  </w:tcBorders>
                  <w:shd w:val="clear" w:color="auto" w:fill="auto"/>
                  <w:vAlign w:val="center"/>
                </w:tcPr>
                <w:p w14:paraId="664C4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20L</w:t>
                  </w:r>
                </w:p>
              </w:tc>
              <w:tc>
                <w:tcPr>
                  <w:tcW w:w="530" w:type="pct"/>
                  <w:tcBorders>
                    <w:tl2br w:val="nil"/>
                    <w:tr2bl w:val="nil"/>
                  </w:tcBorders>
                  <w:shd w:val="clear" w:color="auto" w:fill="auto"/>
                  <w:vAlign w:val="center"/>
                </w:tcPr>
                <w:p w14:paraId="71E42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4L</w:t>
                  </w:r>
                </w:p>
              </w:tc>
              <w:tc>
                <w:tcPr>
                  <w:tcW w:w="1462" w:type="pct"/>
                  <w:tcBorders>
                    <w:tl2br w:val="nil"/>
                    <w:tr2bl w:val="nil"/>
                  </w:tcBorders>
                  <w:shd w:val="clear" w:color="auto" w:fill="auto"/>
                  <w:vAlign w:val="center"/>
                </w:tcPr>
                <w:p w14:paraId="4D5FA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燃料、消毒、生物脱色（共用试剂）</w:t>
                  </w:r>
                </w:p>
              </w:tc>
              <w:tc>
                <w:tcPr>
                  <w:tcW w:w="438" w:type="pct"/>
                  <w:vMerge w:val="continue"/>
                  <w:tcBorders>
                    <w:tl2br w:val="nil"/>
                    <w:tr2bl w:val="nil"/>
                  </w:tcBorders>
                  <w:shd w:val="clear" w:color="auto" w:fill="auto"/>
                  <w:vAlign w:val="center"/>
                </w:tcPr>
                <w:p w14:paraId="35111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11FF0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6E6A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961" w:type="pct"/>
                  <w:tcBorders>
                    <w:tl2br w:val="nil"/>
                    <w:tr2bl w:val="nil"/>
                  </w:tcBorders>
                  <w:shd w:val="clear" w:color="auto" w:fill="auto"/>
                  <w:vAlign w:val="center"/>
                </w:tcPr>
                <w:p w14:paraId="5CAC0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酚酞试液</w:t>
                  </w:r>
                </w:p>
              </w:tc>
              <w:tc>
                <w:tcPr>
                  <w:tcW w:w="737" w:type="pct"/>
                  <w:tcBorders>
                    <w:tl2br w:val="nil"/>
                    <w:tr2bl w:val="nil"/>
                  </w:tcBorders>
                  <w:shd w:val="clear" w:color="auto" w:fill="auto"/>
                  <w:vAlign w:val="center"/>
                </w:tcPr>
                <w:p w14:paraId="768CA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100ml</w:t>
                  </w:r>
                </w:p>
              </w:tc>
              <w:tc>
                <w:tcPr>
                  <w:tcW w:w="468" w:type="pct"/>
                  <w:tcBorders>
                    <w:tl2br w:val="nil"/>
                    <w:tr2bl w:val="nil"/>
                  </w:tcBorders>
                  <w:shd w:val="clear" w:color="auto" w:fill="auto"/>
                  <w:vAlign w:val="center"/>
                </w:tcPr>
                <w:p w14:paraId="5A2C9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500ml</w:t>
                  </w:r>
                </w:p>
              </w:tc>
              <w:tc>
                <w:tcPr>
                  <w:tcW w:w="530" w:type="pct"/>
                  <w:tcBorders>
                    <w:tl2br w:val="nil"/>
                    <w:tr2bl w:val="nil"/>
                  </w:tcBorders>
                  <w:shd w:val="clear" w:color="auto" w:fill="auto"/>
                  <w:vAlign w:val="center"/>
                </w:tcPr>
                <w:p w14:paraId="1B520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500ml</w:t>
                  </w:r>
                </w:p>
              </w:tc>
              <w:tc>
                <w:tcPr>
                  <w:tcW w:w="1462" w:type="pct"/>
                  <w:tcBorders>
                    <w:tl2br w:val="nil"/>
                    <w:tr2bl w:val="nil"/>
                  </w:tcBorders>
                  <w:shd w:val="clear" w:color="auto" w:fill="auto"/>
                  <w:vAlign w:val="center"/>
                </w:tcPr>
                <w:p w14:paraId="47824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酸碱指示剂</w:t>
                  </w:r>
                </w:p>
              </w:tc>
              <w:tc>
                <w:tcPr>
                  <w:tcW w:w="438" w:type="pct"/>
                  <w:vMerge w:val="continue"/>
                  <w:tcBorders>
                    <w:tl2br w:val="nil"/>
                    <w:tr2bl w:val="nil"/>
                  </w:tcBorders>
                  <w:shd w:val="clear" w:color="auto" w:fill="auto"/>
                  <w:vAlign w:val="center"/>
                </w:tcPr>
                <w:p w14:paraId="2E65F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475B8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A555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9</w:t>
                  </w:r>
                </w:p>
              </w:tc>
              <w:tc>
                <w:tcPr>
                  <w:tcW w:w="961" w:type="pct"/>
                  <w:tcBorders>
                    <w:tl2br w:val="nil"/>
                    <w:tr2bl w:val="nil"/>
                  </w:tcBorders>
                  <w:shd w:val="clear" w:color="auto" w:fill="auto"/>
                  <w:vAlign w:val="center"/>
                </w:tcPr>
                <w:p w14:paraId="050E4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硫酸铜固体</w:t>
                  </w:r>
                </w:p>
              </w:tc>
              <w:tc>
                <w:tcPr>
                  <w:tcW w:w="737" w:type="pct"/>
                  <w:tcBorders>
                    <w:tl2br w:val="nil"/>
                    <w:tr2bl w:val="nil"/>
                  </w:tcBorders>
                  <w:shd w:val="clear" w:color="auto" w:fill="auto"/>
                  <w:vAlign w:val="center"/>
                </w:tcPr>
                <w:p w14:paraId="0EDE5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eastAsia"/>
                      <w:color w:val="auto"/>
                      <w:sz w:val="21"/>
                      <w:szCs w:val="21"/>
                      <w:lang w:val="en-US" w:eastAsia="zh-CN"/>
                    </w:rPr>
                    <w:t>AR</w:t>
                  </w:r>
                  <w:r>
                    <w:rPr>
                      <w:rFonts w:hint="default"/>
                      <w:color w:val="auto"/>
                      <w:sz w:val="21"/>
                      <w:szCs w:val="21"/>
                    </w:rPr>
                    <w:t>500g</w:t>
                  </w:r>
                </w:p>
              </w:tc>
              <w:tc>
                <w:tcPr>
                  <w:tcW w:w="468" w:type="pct"/>
                  <w:tcBorders>
                    <w:tl2br w:val="nil"/>
                    <w:tr2bl w:val="nil"/>
                  </w:tcBorders>
                  <w:shd w:val="clear" w:color="auto" w:fill="auto"/>
                  <w:vAlign w:val="center"/>
                </w:tcPr>
                <w:p w14:paraId="04379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500g</w:t>
                  </w:r>
                </w:p>
              </w:tc>
              <w:tc>
                <w:tcPr>
                  <w:tcW w:w="530" w:type="pct"/>
                  <w:tcBorders>
                    <w:tl2br w:val="nil"/>
                    <w:tr2bl w:val="nil"/>
                  </w:tcBorders>
                  <w:shd w:val="clear" w:color="auto" w:fill="auto"/>
                  <w:vAlign w:val="center"/>
                </w:tcPr>
                <w:p w14:paraId="33216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500g</w:t>
                  </w:r>
                </w:p>
              </w:tc>
              <w:tc>
                <w:tcPr>
                  <w:tcW w:w="1462" w:type="pct"/>
                  <w:tcBorders>
                    <w:tl2br w:val="nil"/>
                    <w:tr2bl w:val="nil"/>
                  </w:tcBorders>
                  <w:shd w:val="clear" w:color="auto" w:fill="auto"/>
                  <w:vAlign w:val="center"/>
                </w:tcPr>
                <w:p w14:paraId="32974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晶体析出实验、置换反应</w:t>
                  </w:r>
                </w:p>
              </w:tc>
              <w:tc>
                <w:tcPr>
                  <w:tcW w:w="438" w:type="pct"/>
                  <w:vMerge w:val="continue"/>
                  <w:tcBorders>
                    <w:tl2br w:val="nil"/>
                    <w:tr2bl w:val="nil"/>
                  </w:tcBorders>
                  <w:shd w:val="clear" w:color="auto" w:fill="auto"/>
                  <w:vAlign w:val="center"/>
                </w:tcPr>
                <w:p w14:paraId="4C88FF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46864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3E15C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961" w:type="pct"/>
                  <w:tcBorders>
                    <w:tl2br w:val="nil"/>
                    <w:tr2bl w:val="nil"/>
                  </w:tcBorders>
                  <w:shd w:val="clear" w:color="auto" w:fill="auto"/>
                  <w:vAlign w:val="center"/>
                </w:tcPr>
                <w:p w14:paraId="07AE0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氯化钠固体</w:t>
                  </w:r>
                </w:p>
              </w:tc>
              <w:tc>
                <w:tcPr>
                  <w:tcW w:w="737" w:type="pct"/>
                  <w:tcBorders>
                    <w:tl2br w:val="nil"/>
                    <w:tr2bl w:val="nil"/>
                  </w:tcBorders>
                  <w:shd w:val="clear" w:color="auto" w:fill="auto"/>
                  <w:vAlign w:val="center"/>
                </w:tcPr>
                <w:p w14:paraId="5F0EE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AR500g</w:t>
                  </w:r>
                </w:p>
              </w:tc>
              <w:tc>
                <w:tcPr>
                  <w:tcW w:w="468" w:type="pct"/>
                  <w:tcBorders>
                    <w:tl2br w:val="nil"/>
                    <w:tr2bl w:val="nil"/>
                  </w:tcBorders>
                  <w:shd w:val="clear" w:color="auto" w:fill="auto"/>
                  <w:vAlign w:val="center"/>
                </w:tcPr>
                <w:p w14:paraId="7400F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2kg</w:t>
                  </w:r>
                </w:p>
              </w:tc>
              <w:tc>
                <w:tcPr>
                  <w:tcW w:w="530" w:type="pct"/>
                  <w:tcBorders>
                    <w:tl2br w:val="nil"/>
                    <w:tr2bl w:val="nil"/>
                  </w:tcBorders>
                  <w:shd w:val="clear" w:color="auto" w:fill="auto"/>
                  <w:vAlign w:val="center"/>
                </w:tcPr>
                <w:p w14:paraId="2EFCF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2kg</w:t>
                  </w:r>
                </w:p>
              </w:tc>
              <w:tc>
                <w:tcPr>
                  <w:tcW w:w="1462" w:type="pct"/>
                  <w:tcBorders>
                    <w:tl2br w:val="nil"/>
                    <w:tr2bl w:val="nil"/>
                  </w:tcBorders>
                  <w:shd w:val="clear" w:color="auto" w:fill="auto"/>
                  <w:vAlign w:val="center"/>
                </w:tcPr>
                <w:p w14:paraId="141B9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溶液配制、生理盐水</w:t>
                  </w:r>
                </w:p>
              </w:tc>
              <w:tc>
                <w:tcPr>
                  <w:tcW w:w="438" w:type="pct"/>
                  <w:vMerge w:val="continue"/>
                  <w:tcBorders>
                    <w:tl2br w:val="nil"/>
                    <w:tr2bl w:val="nil"/>
                  </w:tcBorders>
                  <w:shd w:val="clear" w:color="auto" w:fill="auto"/>
                  <w:vAlign w:val="center"/>
                </w:tcPr>
                <w:p w14:paraId="1F082B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031F2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21E69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11</w:t>
                  </w:r>
                </w:p>
              </w:tc>
              <w:tc>
                <w:tcPr>
                  <w:tcW w:w="961" w:type="pct"/>
                  <w:tcBorders>
                    <w:tl2br w:val="nil"/>
                    <w:tr2bl w:val="nil"/>
                  </w:tcBorders>
                  <w:shd w:val="clear" w:color="auto" w:fill="auto"/>
                  <w:vAlign w:val="center"/>
                </w:tcPr>
                <w:p w14:paraId="0B115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碳酸钙</w:t>
                  </w:r>
                </w:p>
              </w:tc>
              <w:tc>
                <w:tcPr>
                  <w:tcW w:w="737" w:type="pct"/>
                  <w:tcBorders>
                    <w:tl2br w:val="nil"/>
                    <w:tr2bl w:val="nil"/>
                  </w:tcBorders>
                  <w:shd w:val="clear" w:color="auto" w:fill="auto"/>
                  <w:vAlign w:val="center"/>
                </w:tcPr>
                <w:p w14:paraId="6DFA7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eastAsia"/>
                      <w:color w:val="auto"/>
                      <w:sz w:val="21"/>
                      <w:szCs w:val="21"/>
                      <w:lang w:val="en-US" w:eastAsia="zh-CN"/>
                    </w:rPr>
                    <w:t>AR500g</w:t>
                  </w:r>
                </w:p>
              </w:tc>
              <w:tc>
                <w:tcPr>
                  <w:tcW w:w="468" w:type="pct"/>
                  <w:tcBorders>
                    <w:tl2br w:val="nil"/>
                    <w:tr2bl w:val="nil"/>
                  </w:tcBorders>
                  <w:shd w:val="clear" w:color="auto" w:fill="auto"/>
                  <w:vAlign w:val="center"/>
                </w:tcPr>
                <w:p w14:paraId="5822E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3kg</w:t>
                  </w:r>
                </w:p>
              </w:tc>
              <w:tc>
                <w:tcPr>
                  <w:tcW w:w="530" w:type="pct"/>
                  <w:tcBorders>
                    <w:tl2br w:val="nil"/>
                    <w:tr2bl w:val="nil"/>
                  </w:tcBorders>
                  <w:shd w:val="clear" w:color="auto" w:fill="auto"/>
                  <w:vAlign w:val="center"/>
                </w:tcPr>
                <w:p w14:paraId="024F6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1kg</w:t>
                  </w:r>
                </w:p>
              </w:tc>
              <w:tc>
                <w:tcPr>
                  <w:tcW w:w="1462" w:type="pct"/>
                  <w:tcBorders>
                    <w:tl2br w:val="nil"/>
                    <w:tr2bl w:val="nil"/>
                  </w:tcBorders>
                  <w:shd w:val="clear" w:color="auto" w:fill="auto"/>
                  <w:vAlign w:val="center"/>
                </w:tcPr>
                <w:p w14:paraId="75E5A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二氧化碳制备</w:t>
                  </w:r>
                </w:p>
              </w:tc>
              <w:tc>
                <w:tcPr>
                  <w:tcW w:w="438" w:type="pct"/>
                  <w:vMerge w:val="continue"/>
                  <w:tcBorders>
                    <w:tl2br w:val="nil"/>
                    <w:tr2bl w:val="nil"/>
                  </w:tcBorders>
                  <w:shd w:val="clear" w:color="auto" w:fill="auto"/>
                  <w:vAlign w:val="center"/>
                </w:tcPr>
                <w:p w14:paraId="40138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6B09C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39510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12</w:t>
                  </w:r>
                </w:p>
              </w:tc>
              <w:tc>
                <w:tcPr>
                  <w:tcW w:w="961" w:type="pct"/>
                  <w:tcBorders>
                    <w:tl2br w:val="nil"/>
                    <w:tr2bl w:val="nil"/>
                  </w:tcBorders>
                  <w:shd w:val="clear" w:color="auto" w:fill="auto"/>
                  <w:vAlign w:val="center"/>
                </w:tcPr>
                <w:p w14:paraId="63664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金属</w:t>
                  </w:r>
                  <w:r>
                    <w:rPr>
                      <w:rFonts w:hint="default"/>
                      <w:color w:val="auto"/>
                      <w:sz w:val="21"/>
                      <w:szCs w:val="21"/>
                    </w:rPr>
                    <w:t>镁条</w:t>
                  </w:r>
                </w:p>
              </w:tc>
              <w:tc>
                <w:tcPr>
                  <w:tcW w:w="737" w:type="pct"/>
                  <w:tcBorders>
                    <w:tl2br w:val="nil"/>
                    <w:tr2bl w:val="nil"/>
                  </w:tcBorders>
                  <w:shd w:val="clear" w:color="auto" w:fill="auto"/>
                  <w:vAlign w:val="center"/>
                </w:tcPr>
                <w:p w14:paraId="0BED9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AR25g</w:t>
                  </w:r>
                </w:p>
              </w:tc>
              <w:tc>
                <w:tcPr>
                  <w:tcW w:w="468" w:type="pct"/>
                  <w:tcBorders>
                    <w:tl2br w:val="nil"/>
                    <w:tr2bl w:val="nil"/>
                  </w:tcBorders>
                  <w:shd w:val="clear" w:color="auto" w:fill="auto"/>
                  <w:vAlign w:val="center"/>
                </w:tcPr>
                <w:p w14:paraId="1798A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0.5kg</w:t>
                  </w:r>
                </w:p>
              </w:tc>
              <w:tc>
                <w:tcPr>
                  <w:tcW w:w="530" w:type="pct"/>
                  <w:tcBorders>
                    <w:tl2br w:val="nil"/>
                    <w:tr2bl w:val="nil"/>
                  </w:tcBorders>
                  <w:shd w:val="clear" w:color="auto" w:fill="auto"/>
                  <w:vAlign w:val="center"/>
                </w:tcPr>
                <w:p w14:paraId="1301F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0.1kg</w:t>
                  </w:r>
                </w:p>
              </w:tc>
              <w:tc>
                <w:tcPr>
                  <w:tcW w:w="1462" w:type="pct"/>
                  <w:tcBorders>
                    <w:tl2br w:val="nil"/>
                    <w:tr2bl w:val="nil"/>
                  </w:tcBorders>
                  <w:shd w:val="clear" w:color="auto" w:fill="auto"/>
                  <w:vAlign w:val="center"/>
                </w:tcPr>
                <w:p w14:paraId="2B119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金属与酸反应实验</w:t>
                  </w:r>
                </w:p>
              </w:tc>
              <w:tc>
                <w:tcPr>
                  <w:tcW w:w="438" w:type="pct"/>
                  <w:vMerge w:val="continue"/>
                  <w:tcBorders>
                    <w:tl2br w:val="nil"/>
                    <w:tr2bl w:val="nil"/>
                  </w:tcBorders>
                  <w:shd w:val="clear" w:color="auto" w:fill="auto"/>
                  <w:vAlign w:val="center"/>
                </w:tcPr>
                <w:p w14:paraId="3B690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3B256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4323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13</w:t>
                  </w:r>
                </w:p>
              </w:tc>
              <w:tc>
                <w:tcPr>
                  <w:tcW w:w="961" w:type="pct"/>
                  <w:tcBorders>
                    <w:tl2br w:val="nil"/>
                    <w:tr2bl w:val="nil"/>
                  </w:tcBorders>
                  <w:shd w:val="clear" w:color="auto" w:fill="auto"/>
                  <w:vAlign w:val="center"/>
                </w:tcPr>
                <w:p w14:paraId="72FC0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硝酸钾</w:t>
                  </w:r>
                </w:p>
              </w:tc>
              <w:tc>
                <w:tcPr>
                  <w:tcW w:w="737" w:type="pct"/>
                  <w:tcBorders>
                    <w:tl2br w:val="nil"/>
                    <w:tr2bl w:val="nil"/>
                  </w:tcBorders>
                  <w:shd w:val="clear" w:color="auto" w:fill="auto"/>
                  <w:vAlign w:val="center"/>
                </w:tcPr>
                <w:p w14:paraId="7582F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AR500g</w:t>
                  </w:r>
                </w:p>
              </w:tc>
              <w:tc>
                <w:tcPr>
                  <w:tcW w:w="468" w:type="pct"/>
                  <w:tcBorders>
                    <w:tl2br w:val="nil"/>
                    <w:tr2bl w:val="nil"/>
                  </w:tcBorders>
                  <w:shd w:val="clear" w:color="auto" w:fill="auto"/>
                  <w:vAlign w:val="center"/>
                </w:tcPr>
                <w:p w14:paraId="6ACF6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1.0kg</w:t>
                  </w:r>
                </w:p>
              </w:tc>
              <w:tc>
                <w:tcPr>
                  <w:tcW w:w="530" w:type="pct"/>
                  <w:tcBorders>
                    <w:tl2br w:val="nil"/>
                    <w:tr2bl w:val="nil"/>
                  </w:tcBorders>
                  <w:shd w:val="clear" w:color="auto" w:fill="auto"/>
                  <w:vAlign w:val="center"/>
                </w:tcPr>
                <w:p w14:paraId="709E1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1.0kg</w:t>
                  </w:r>
                </w:p>
              </w:tc>
              <w:tc>
                <w:tcPr>
                  <w:tcW w:w="1462" w:type="pct"/>
                  <w:tcBorders>
                    <w:tl2br w:val="nil"/>
                    <w:tr2bl w:val="nil"/>
                  </w:tcBorders>
                  <w:shd w:val="clear" w:color="auto" w:fill="auto"/>
                  <w:vAlign w:val="center"/>
                </w:tcPr>
                <w:p w14:paraId="35591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结晶现象观察</w:t>
                  </w:r>
                </w:p>
              </w:tc>
              <w:tc>
                <w:tcPr>
                  <w:tcW w:w="438" w:type="pct"/>
                  <w:vMerge w:val="continue"/>
                  <w:tcBorders>
                    <w:tl2br w:val="nil"/>
                    <w:tr2bl w:val="nil"/>
                  </w:tcBorders>
                  <w:shd w:val="clear" w:color="auto" w:fill="auto"/>
                  <w:vAlign w:val="center"/>
                </w:tcPr>
                <w:p w14:paraId="23911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391ED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D2CC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14</w:t>
                  </w:r>
                </w:p>
              </w:tc>
              <w:tc>
                <w:tcPr>
                  <w:tcW w:w="961" w:type="pct"/>
                  <w:tcBorders>
                    <w:tl2br w:val="nil"/>
                    <w:tr2bl w:val="nil"/>
                  </w:tcBorders>
                  <w:shd w:val="clear" w:color="auto" w:fill="auto"/>
                  <w:vAlign w:val="center"/>
                </w:tcPr>
                <w:p w14:paraId="2915A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无水碳酸钠</w:t>
                  </w:r>
                </w:p>
              </w:tc>
              <w:tc>
                <w:tcPr>
                  <w:tcW w:w="737" w:type="pct"/>
                  <w:tcBorders>
                    <w:tl2br w:val="nil"/>
                    <w:tr2bl w:val="nil"/>
                  </w:tcBorders>
                  <w:shd w:val="clear" w:color="auto" w:fill="auto"/>
                  <w:vAlign w:val="center"/>
                </w:tcPr>
                <w:p w14:paraId="67949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AR500g</w:t>
                  </w:r>
                </w:p>
              </w:tc>
              <w:tc>
                <w:tcPr>
                  <w:tcW w:w="468" w:type="pct"/>
                  <w:tcBorders>
                    <w:tl2br w:val="nil"/>
                    <w:tr2bl w:val="nil"/>
                  </w:tcBorders>
                  <w:shd w:val="clear" w:color="auto" w:fill="auto"/>
                  <w:vAlign w:val="center"/>
                </w:tcPr>
                <w:p w14:paraId="569DE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r>
                    <w:rPr>
                      <w:rFonts w:hint="eastAsia" w:cs="Times New Roman"/>
                      <w:i w:val="0"/>
                      <w:iCs w:val="0"/>
                      <w:color w:val="auto"/>
                      <w:kern w:val="0"/>
                      <w:sz w:val="21"/>
                      <w:szCs w:val="21"/>
                      <w:u w:val="none"/>
                      <w:lang w:val="en-US" w:eastAsia="zh-CN" w:bidi="ar"/>
                    </w:rPr>
                    <w:t>kg</w:t>
                  </w:r>
                </w:p>
              </w:tc>
              <w:tc>
                <w:tcPr>
                  <w:tcW w:w="530" w:type="pct"/>
                  <w:tcBorders>
                    <w:tl2br w:val="nil"/>
                    <w:tr2bl w:val="nil"/>
                  </w:tcBorders>
                  <w:shd w:val="clear" w:color="auto" w:fill="auto"/>
                  <w:vAlign w:val="center"/>
                </w:tcPr>
                <w:p w14:paraId="3C89D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r>
                    <w:rPr>
                      <w:rFonts w:hint="eastAsia" w:cs="Times New Roman"/>
                      <w:i w:val="0"/>
                      <w:iCs w:val="0"/>
                      <w:color w:val="auto"/>
                      <w:kern w:val="0"/>
                      <w:sz w:val="21"/>
                      <w:szCs w:val="21"/>
                      <w:u w:val="none"/>
                      <w:lang w:val="en-US" w:eastAsia="zh-CN" w:bidi="ar"/>
                    </w:rPr>
                    <w:t>kg</w:t>
                  </w:r>
                </w:p>
              </w:tc>
              <w:tc>
                <w:tcPr>
                  <w:tcW w:w="1462" w:type="pct"/>
                  <w:tcBorders>
                    <w:tl2br w:val="nil"/>
                    <w:tr2bl w:val="nil"/>
                  </w:tcBorders>
                  <w:shd w:val="clear" w:color="auto" w:fill="auto"/>
                  <w:vAlign w:val="center"/>
                </w:tcPr>
                <w:p w14:paraId="4A83A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二氧化碳制备</w:t>
                  </w:r>
                </w:p>
              </w:tc>
              <w:tc>
                <w:tcPr>
                  <w:tcW w:w="438" w:type="pct"/>
                  <w:vMerge w:val="continue"/>
                  <w:tcBorders>
                    <w:tl2br w:val="nil"/>
                    <w:tr2bl w:val="nil"/>
                  </w:tcBorders>
                  <w:shd w:val="clear" w:color="auto" w:fill="auto"/>
                  <w:vAlign w:val="center"/>
                </w:tcPr>
                <w:p w14:paraId="4066B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2B371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FB4E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961" w:type="pct"/>
                  <w:tcBorders>
                    <w:tl2br w:val="nil"/>
                    <w:tr2bl w:val="nil"/>
                  </w:tcBorders>
                  <w:shd w:val="clear" w:color="auto" w:fill="auto"/>
                  <w:vAlign w:val="center"/>
                </w:tcPr>
                <w:p w14:paraId="2EF53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硝酸银</w:t>
                  </w:r>
                </w:p>
              </w:tc>
              <w:tc>
                <w:tcPr>
                  <w:tcW w:w="737" w:type="pct"/>
                  <w:tcBorders>
                    <w:tl2br w:val="nil"/>
                    <w:tr2bl w:val="nil"/>
                  </w:tcBorders>
                  <w:shd w:val="clear" w:color="auto" w:fill="auto"/>
                  <w:vAlign w:val="center"/>
                </w:tcPr>
                <w:p w14:paraId="163D4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AR100g</w:t>
                  </w:r>
                </w:p>
              </w:tc>
              <w:tc>
                <w:tcPr>
                  <w:tcW w:w="468" w:type="pct"/>
                  <w:tcBorders>
                    <w:tl2br w:val="nil"/>
                    <w:tr2bl w:val="nil"/>
                  </w:tcBorders>
                  <w:shd w:val="clear" w:color="auto" w:fill="auto"/>
                  <w:vAlign w:val="center"/>
                </w:tcPr>
                <w:p w14:paraId="53232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0.4kg</w:t>
                  </w:r>
                </w:p>
              </w:tc>
              <w:tc>
                <w:tcPr>
                  <w:tcW w:w="530" w:type="pct"/>
                  <w:tcBorders>
                    <w:tl2br w:val="nil"/>
                    <w:tr2bl w:val="nil"/>
                  </w:tcBorders>
                  <w:shd w:val="clear" w:color="auto" w:fill="auto"/>
                  <w:vAlign w:val="center"/>
                </w:tcPr>
                <w:p w14:paraId="70590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0.4kg</w:t>
                  </w:r>
                </w:p>
              </w:tc>
              <w:tc>
                <w:tcPr>
                  <w:tcW w:w="1462" w:type="pct"/>
                  <w:tcBorders>
                    <w:tl2br w:val="nil"/>
                    <w:tr2bl w:val="nil"/>
                  </w:tcBorders>
                  <w:shd w:val="clear" w:color="auto" w:fill="auto"/>
                  <w:vAlign w:val="center"/>
                </w:tcPr>
                <w:p w14:paraId="45E27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检验氯离子</w:t>
                  </w:r>
                </w:p>
              </w:tc>
              <w:tc>
                <w:tcPr>
                  <w:tcW w:w="438" w:type="pct"/>
                  <w:vMerge w:val="continue"/>
                  <w:tcBorders>
                    <w:tl2br w:val="nil"/>
                    <w:tr2bl w:val="nil"/>
                  </w:tcBorders>
                  <w:shd w:val="clear" w:color="auto" w:fill="auto"/>
                  <w:vAlign w:val="center"/>
                </w:tcPr>
                <w:p w14:paraId="0A998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1DC1D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1794A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16</w:t>
                  </w:r>
                </w:p>
              </w:tc>
              <w:tc>
                <w:tcPr>
                  <w:tcW w:w="961" w:type="pct"/>
                  <w:tcBorders>
                    <w:tl2br w:val="nil"/>
                    <w:tr2bl w:val="nil"/>
                  </w:tcBorders>
                  <w:shd w:val="clear" w:color="auto" w:fill="auto"/>
                  <w:vAlign w:val="center"/>
                </w:tcPr>
                <w:p w14:paraId="43E9B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硝酸钡</w:t>
                  </w:r>
                </w:p>
              </w:tc>
              <w:tc>
                <w:tcPr>
                  <w:tcW w:w="737" w:type="pct"/>
                  <w:tcBorders>
                    <w:tl2br w:val="nil"/>
                    <w:tr2bl w:val="nil"/>
                  </w:tcBorders>
                  <w:shd w:val="clear" w:color="auto" w:fill="auto"/>
                  <w:vAlign w:val="center"/>
                </w:tcPr>
                <w:p w14:paraId="0E8DD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AR500g</w:t>
                  </w:r>
                </w:p>
              </w:tc>
              <w:tc>
                <w:tcPr>
                  <w:tcW w:w="468" w:type="pct"/>
                  <w:tcBorders>
                    <w:tl2br w:val="nil"/>
                    <w:tr2bl w:val="nil"/>
                  </w:tcBorders>
                  <w:shd w:val="clear" w:color="auto" w:fill="auto"/>
                  <w:vAlign w:val="center"/>
                </w:tcPr>
                <w:p w14:paraId="14BAE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2.0kg</w:t>
                  </w:r>
                </w:p>
              </w:tc>
              <w:tc>
                <w:tcPr>
                  <w:tcW w:w="530" w:type="pct"/>
                  <w:tcBorders>
                    <w:tl2br w:val="nil"/>
                    <w:tr2bl w:val="nil"/>
                  </w:tcBorders>
                  <w:shd w:val="clear" w:color="auto" w:fill="auto"/>
                  <w:vAlign w:val="center"/>
                </w:tcPr>
                <w:p w14:paraId="3AA5F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2.0kg</w:t>
                  </w:r>
                </w:p>
              </w:tc>
              <w:tc>
                <w:tcPr>
                  <w:tcW w:w="1462" w:type="pct"/>
                  <w:tcBorders>
                    <w:tl2br w:val="nil"/>
                    <w:tr2bl w:val="nil"/>
                  </w:tcBorders>
                  <w:shd w:val="clear" w:color="auto" w:fill="auto"/>
                  <w:vAlign w:val="center"/>
                </w:tcPr>
                <w:p w14:paraId="58709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检验硫酸根离子</w:t>
                  </w:r>
                </w:p>
              </w:tc>
              <w:tc>
                <w:tcPr>
                  <w:tcW w:w="438" w:type="pct"/>
                  <w:vMerge w:val="continue"/>
                  <w:tcBorders>
                    <w:tl2br w:val="nil"/>
                    <w:tr2bl w:val="nil"/>
                  </w:tcBorders>
                  <w:shd w:val="clear" w:color="auto" w:fill="auto"/>
                  <w:vAlign w:val="center"/>
                </w:tcPr>
                <w:p w14:paraId="6EDED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5245A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6A26D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17</w:t>
                  </w:r>
                </w:p>
              </w:tc>
              <w:tc>
                <w:tcPr>
                  <w:tcW w:w="961" w:type="pct"/>
                  <w:tcBorders>
                    <w:tl2br w:val="nil"/>
                    <w:tr2bl w:val="nil"/>
                  </w:tcBorders>
                  <w:shd w:val="clear" w:color="auto" w:fill="auto"/>
                  <w:vAlign w:val="center"/>
                </w:tcPr>
                <w:p w14:paraId="24F1D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氨水</w:t>
                  </w:r>
                </w:p>
              </w:tc>
              <w:tc>
                <w:tcPr>
                  <w:tcW w:w="737" w:type="pct"/>
                  <w:tcBorders>
                    <w:tl2br w:val="nil"/>
                    <w:tr2bl w:val="nil"/>
                  </w:tcBorders>
                  <w:shd w:val="clear" w:color="auto" w:fill="auto"/>
                  <w:vAlign w:val="center"/>
                </w:tcPr>
                <w:p w14:paraId="54D76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default"/>
                      <w:color w:val="auto"/>
                      <w:sz w:val="21"/>
                      <w:szCs w:val="21"/>
                    </w:rPr>
                    <w:t>AR500mL</w:t>
                  </w:r>
                </w:p>
              </w:tc>
              <w:tc>
                <w:tcPr>
                  <w:tcW w:w="468" w:type="pct"/>
                  <w:tcBorders>
                    <w:tl2br w:val="nil"/>
                    <w:tr2bl w:val="nil"/>
                  </w:tcBorders>
                  <w:shd w:val="clear" w:color="auto" w:fill="auto"/>
                  <w:vAlign w:val="center"/>
                </w:tcPr>
                <w:p w14:paraId="4CB0A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0.5L</w:t>
                  </w:r>
                </w:p>
              </w:tc>
              <w:tc>
                <w:tcPr>
                  <w:tcW w:w="530" w:type="pct"/>
                  <w:tcBorders>
                    <w:tl2br w:val="nil"/>
                    <w:tr2bl w:val="nil"/>
                  </w:tcBorders>
                  <w:shd w:val="clear" w:color="auto" w:fill="auto"/>
                  <w:vAlign w:val="center"/>
                </w:tcPr>
                <w:p w14:paraId="44B91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0.5L</w:t>
                  </w:r>
                </w:p>
              </w:tc>
              <w:tc>
                <w:tcPr>
                  <w:tcW w:w="1462" w:type="pct"/>
                  <w:tcBorders>
                    <w:tl2br w:val="nil"/>
                    <w:tr2bl w:val="nil"/>
                  </w:tcBorders>
                  <w:shd w:val="clear" w:color="auto" w:fill="auto"/>
                  <w:vAlign w:val="center"/>
                </w:tcPr>
                <w:p w14:paraId="5384F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弱碱性实验</w:t>
                  </w:r>
                </w:p>
              </w:tc>
              <w:tc>
                <w:tcPr>
                  <w:tcW w:w="438" w:type="pct"/>
                  <w:vMerge w:val="continue"/>
                  <w:tcBorders>
                    <w:tl2br w:val="nil"/>
                    <w:tr2bl w:val="nil"/>
                  </w:tcBorders>
                  <w:shd w:val="clear" w:color="auto" w:fill="auto"/>
                  <w:vAlign w:val="center"/>
                </w:tcPr>
                <w:p w14:paraId="220D8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7F957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7FEE0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18</w:t>
                  </w:r>
                </w:p>
              </w:tc>
              <w:tc>
                <w:tcPr>
                  <w:tcW w:w="961" w:type="pct"/>
                  <w:tcBorders>
                    <w:tl2br w:val="nil"/>
                    <w:tr2bl w:val="nil"/>
                  </w:tcBorders>
                  <w:shd w:val="clear" w:color="auto" w:fill="auto"/>
                  <w:vAlign w:val="center"/>
                </w:tcPr>
                <w:p w14:paraId="5F3FC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铁粉</w:t>
                  </w:r>
                </w:p>
              </w:tc>
              <w:tc>
                <w:tcPr>
                  <w:tcW w:w="737" w:type="pct"/>
                  <w:tcBorders>
                    <w:tl2br w:val="nil"/>
                    <w:tr2bl w:val="nil"/>
                  </w:tcBorders>
                  <w:shd w:val="clear" w:color="auto" w:fill="auto"/>
                  <w:vAlign w:val="center"/>
                </w:tcPr>
                <w:p w14:paraId="3E373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AR500g</w:t>
                  </w:r>
                </w:p>
              </w:tc>
              <w:tc>
                <w:tcPr>
                  <w:tcW w:w="468" w:type="pct"/>
                  <w:tcBorders>
                    <w:tl2br w:val="nil"/>
                    <w:tr2bl w:val="nil"/>
                  </w:tcBorders>
                  <w:shd w:val="clear" w:color="auto" w:fill="auto"/>
                  <w:vAlign w:val="center"/>
                </w:tcPr>
                <w:p w14:paraId="22C70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1.5kg</w:t>
                  </w:r>
                </w:p>
              </w:tc>
              <w:tc>
                <w:tcPr>
                  <w:tcW w:w="530" w:type="pct"/>
                  <w:tcBorders>
                    <w:tl2br w:val="nil"/>
                    <w:tr2bl w:val="nil"/>
                  </w:tcBorders>
                  <w:shd w:val="clear" w:color="auto" w:fill="auto"/>
                  <w:vAlign w:val="center"/>
                </w:tcPr>
                <w:p w14:paraId="6E25C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1.0kg</w:t>
                  </w:r>
                </w:p>
              </w:tc>
              <w:tc>
                <w:tcPr>
                  <w:tcW w:w="1462" w:type="pct"/>
                  <w:tcBorders>
                    <w:tl2br w:val="nil"/>
                    <w:tr2bl w:val="nil"/>
                  </w:tcBorders>
                  <w:shd w:val="clear" w:color="auto" w:fill="auto"/>
                  <w:vAlign w:val="center"/>
                </w:tcPr>
                <w:p w14:paraId="7859B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置换反应</w:t>
                  </w:r>
                </w:p>
              </w:tc>
              <w:tc>
                <w:tcPr>
                  <w:tcW w:w="438" w:type="pct"/>
                  <w:vMerge w:val="continue"/>
                  <w:tcBorders>
                    <w:tl2br w:val="nil"/>
                    <w:tr2bl w:val="nil"/>
                  </w:tcBorders>
                  <w:shd w:val="clear" w:color="auto" w:fill="auto"/>
                  <w:vAlign w:val="center"/>
                </w:tcPr>
                <w:p w14:paraId="2AB52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1E6EA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14:paraId="44E4F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19</w:t>
                  </w:r>
                </w:p>
              </w:tc>
              <w:tc>
                <w:tcPr>
                  <w:tcW w:w="961" w:type="pct"/>
                  <w:tcBorders>
                    <w:tl2br w:val="nil"/>
                    <w:tr2bl w:val="nil"/>
                  </w:tcBorders>
                  <w:shd w:val="clear" w:color="auto" w:fill="auto"/>
                  <w:vAlign w:val="center"/>
                </w:tcPr>
                <w:p w14:paraId="16999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硫粉</w:t>
                  </w:r>
                </w:p>
              </w:tc>
              <w:tc>
                <w:tcPr>
                  <w:tcW w:w="1249" w:type="dxa"/>
                  <w:tcBorders>
                    <w:tl2br w:val="nil"/>
                    <w:tr2bl w:val="nil"/>
                  </w:tcBorders>
                  <w:shd w:val="clear" w:color="auto" w:fill="auto"/>
                  <w:vAlign w:val="center"/>
                </w:tcPr>
                <w:p w14:paraId="45D1B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eastAsia"/>
                      <w:color w:val="auto"/>
                      <w:sz w:val="21"/>
                      <w:szCs w:val="21"/>
                      <w:lang w:val="en-US" w:eastAsia="zh-CN"/>
                    </w:rPr>
                    <w:t>AR500g</w:t>
                  </w:r>
                </w:p>
              </w:tc>
              <w:tc>
                <w:tcPr>
                  <w:tcW w:w="793" w:type="dxa"/>
                  <w:tcBorders>
                    <w:tl2br w:val="nil"/>
                    <w:tr2bl w:val="nil"/>
                  </w:tcBorders>
                  <w:shd w:val="clear" w:color="auto" w:fill="auto"/>
                  <w:vAlign w:val="center"/>
                </w:tcPr>
                <w:p w14:paraId="28BED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1.5kg</w:t>
                  </w:r>
                </w:p>
              </w:tc>
              <w:tc>
                <w:tcPr>
                  <w:tcW w:w="898" w:type="dxa"/>
                  <w:tcBorders>
                    <w:tl2br w:val="nil"/>
                    <w:tr2bl w:val="nil"/>
                  </w:tcBorders>
                  <w:shd w:val="clear" w:color="auto" w:fill="auto"/>
                  <w:vAlign w:val="center"/>
                </w:tcPr>
                <w:p w14:paraId="37DFE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1.0kg</w:t>
                  </w:r>
                </w:p>
              </w:tc>
              <w:tc>
                <w:tcPr>
                  <w:tcW w:w="1462" w:type="pct"/>
                  <w:tcBorders>
                    <w:tl2br w:val="nil"/>
                    <w:tr2bl w:val="nil"/>
                  </w:tcBorders>
                  <w:shd w:val="clear" w:color="auto" w:fill="auto"/>
                  <w:vAlign w:val="center"/>
                </w:tcPr>
                <w:p w14:paraId="58245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燃烧反应</w:t>
                  </w:r>
                </w:p>
              </w:tc>
              <w:tc>
                <w:tcPr>
                  <w:tcW w:w="438" w:type="pct"/>
                  <w:vMerge w:val="continue"/>
                  <w:tcBorders>
                    <w:tl2br w:val="nil"/>
                    <w:tr2bl w:val="nil"/>
                  </w:tcBorders>
                  <w:shd w:val="clear" w:color="auto" w:fill="auto"/>
                  <w:vAlign w:val="center"/>
                </w:tcPr>
                <w:p w14:paraId="4D26C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bl>
          <w:p w14:paraId="323041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本学校生物实验所用到的主要试剂见下表。</w:t>
            </w:r>
          </w:p>
          <w:p w14:paraId="3BF973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bCs/>
                <w:color w:val="auto"/>
                <w:sz w:val="21"/>
                <w:szCs w:val="18"/>
                <w:lang w:val="en-US" w:eastAsia="zh-CN"/>
              </w:rPr>
            </w:pPr>
            <w:r>
              <w:rPr>
                <w:rFonts w:hint="eastAsia"/>
                <w:b/>
                <w:bCs/>
                <w:color w:val="auto"/>
                <w:sz w:val="21"/>
                <w:szCs w:val="18"/>
                <w:lang w:val="en-US" w:eastAsia="zh-CN"/>
              </w:rPr>
              <w:t>表2-4 生物实验室主要试剂一览表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607"/>
              <w:gridCol w:w="1397"/>
              <w:gridCol w:w="882"/>
              <w:gridCol w:w="971"/>
              <w:gridCol w:w="2121"/>
              <w:gridCol w:w="814"/>
            </w:tblGrid>
            <w:tr w14:paraId="5EA77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vAlign w:val="center"/>
                </w:tcPr>
                <w:p w14:paraId="5D942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948" w:type="pct"/>
                  <w:tcBorders>
                    <w:tl2br w:val="nil"/>
                    <w:tr2bl w:val="nil"/>
                  </w:tcBorders>
                  <w:vAlign w:val="center"/>
                </w:tcPr>
                <w:p w14:paraId="05632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试剂名称</w:t>
                  </w:r>
                </w:p>
              </w:tc>
              <w:tc>
                <w:tcPr>
                  <w:tcW w:w="824" w:type="pct"/>
                  <w:tcBorders>
                    <w:tl2br w:val="nil"/>
                    <w:tr2bl w:val="nil"/>
                  </w:tcBorders>
                  <w:vAlign w:val="center"/>
                </w:tcPr>
                <w:p w14:paraId="737BE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规格</w:t>
                  </w:r>
                </w:p>
              </w:tc>
              <w:tc>
                <w:tcPr>
                  <w:tcW w:w="520" w:type="pct"/>
                  <w:tcBorders>
                    <w:tl2br w:val="nil"/>
                    <w:tr2bl w:val="nil"/>
                  </w:tcBorders>
                  <w:vAlign w:val="center"/>
                </w:tcPr>
                <w:p w14:paraId="48DC7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用量</w:t>
                  </w:r>
                </w:p>
              </w:tc>
              <w:tc>
                <w:tcPr>
                  <w:tcW w:w="573" w:type="pct"/>
                  <w:tcBorders>
                    <w:tl2br w:val="nil"/>
                    <w:tr2bl w:val="nil"/>
                  </w:tcBorders>
                  <w:vAlign w:val="center"/>
                </w:tcPr>
                <w:p w14:paraId="42506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最大储存量</w:t>
                  </w:r>
                </w:p>
              </w:tc>
              <w:tc>
                <w:tcPr>
                  <w:tcW w:w="1251" w:type="pct"/>
                  <w:tcBorders>
                    <w:tl2br w:val="nil"/>
                    <w:tr2bl w:val="nil"/>
                  </w:tcBorders>
                  <w:vAlign w:val="center"/>
                </w:tcPr>
                <w:p w14:paraId="285D7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用途</w:t>
                  </w:r>
                </w:p>
              </w:tc>
              <w:tc>
                <w:tcPr>
                  <w:tcW w:w="480" w:type="pct"/>
                  <w:tcBorders>
                    <w:tl2br w:val="nil"/>
                    <w:tr2bl w:val="nil"/>
                  </w:tcBorders>
                  <w:vAlign w:val="center"/>
                </w:tcPr>
                <w:p w14:paraId="19E3B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存放位置</w:t>
                  </w:r>
                </w:p>
              </w:tc>
            </w:tr>
            <w:tr w14:paraId="35B1B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vAlign w:val="center"/>
                </w:tcPr>
                <w:p w14:paraId="77F80D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948" w:type="pct"/>
                  <w:tcBorders>
                    <w:tl2br w:val="nil"/>
                    <w:tr2bl w:val="nil"/>
                  </w:tcBorders>
                  <w:vAlign w:val="center"/>
                </w:tcPr>
                <w:p w14:paraId="66D03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碘</w:t>
                  </w:r>
                </w:p>
              </w:tc>
              <w:tc>
                <w:tcPr>
                  <w:tcW w:w="824" w:type="pct"/>
                  <w:tcBorders>
                    <w:tl2br w:val="nil"/>
                    <w:tr2bl w:val="nil"/>
                  </w:tcBorders>
                  <w:vAlign w:val="center"/>
                </w:tcPr>
                <w:p w14:paraId="3C946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50g</w:t>
                  </w:r>
                </w:p>
              </w:tc>
              <w:tc>
                <w:tcPr>
                  <w:tcW w:w="520" w:type="pct"/>
                  <w:tcBorders>
                    <w:tl2br w:val="nil"/>
                    <w:tr2bl w:val="nil"/>
                  </w:tcBorders>
                  <w:vAlign w:val="center"/>
                </w:tcPr>
                <w:p w14:paraId="16F9A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25g</w:t>
                  </w:r>
                </w:p>
              </w:tc>
              <w:tc>
                <w:tcPr>
                  <w:tcW w:w="573" w:type="pct"/>
                  <w:tcBorders>
                    <w:tl2br w:val="nil"/>
                    <w:tr2bl w:val="nil"/>
                  </w:tcBorders>
                  <w:vAlign w:val="center"/>
                </w:tcPr>
                <w:p w14:paraId="4F54F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50g</w:t>
                  </w:r>
                </w:p>
              </w:tc>
              <w:tc>
                <w:tcPr>
                  <w:tcW w:w="1251" w:type="pct"/>
                  <w:vMerge w:val="restart"/>
                  <w:tcBorders>
                    <w:tl2br w:val="nil"/>
                    <w:tr2bl w:val="nil"/>
                  </w:tcBorders>
                  <w:vAlign w:val="center"/>
                </w:tcPr>
                <w:p w14:paraId="5922A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配制鲁戈氏碘液，用于</w:t>
                  </w:r>
                  <w:r>
                    <w:rPr>
                      <w:rFonts w:hint="default" w:ascii="Times New Roman" w:hAnsi="Times New Roman" w:eastAsia="宋体" w:cs="Times New Roman"/>
                      <w:color w:val="auto"/>
                      <w:sz w:val="21"/>
                      <w:szCs w:val="21"/>
                      <w:lang w:val="en-US" w:eastAsia="zh-CN"/>
                    </w:rPr>
                    <w:t>淀粉检测</w:t>
                  </w:r>
                </w:p>
              </w:tc>
              <w:tc>
                <w:tcPr>
                  <w:tcW w:w="480" w:type="pct"/>
                  <w:vMerge w:val="restart"/>
                  <w:tcBorders>
                    <w:tl2br w:val="nil"/>
                    <w:tr2bl w:val="nil"/>
                  </w:tcBorders>
                  <w:vAlign w:val="center"/>
                </w:tcPr>
                <w:p w14:paraId="65B41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生物实药品储藏室</w:t>
                  </w:r>
                </w:p>
              </w:tc>
            </w:tr>
            <w:tr w14:paraId="5B8E4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vAlign w:val="center"/>
                </w:tcPr>
                <w:p w14:paraId="5CB3E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948" w:type="pct"/>
                  <w:tcBorders>
                    <w:tl2br w:val="nil"/>
                    <w:tr2bl w:val="nil"/>
                  </w:tcBorders>
                  <w:vAlign w:val="center"/>
                </w:tcPr>
                <w:p w14:paraId="1E38E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碘化钾</w:t>
                  </w:r>
                </w:p>
              </w:tc>
              <w:tc>
                <w:tcPr>
                  <w:tcW w:w="824" w:type="pct"/>
                  <w:tcBorders>
                    <w:tl2br w:val="nil"/>
                    <w:tr2bl w:val="nil"/>
                  </w:tcBorders>
                  <w:vAlign w:val="center"/>
                </w:tcPr>
                <w:p w14:paraId="31559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25g</w:t>
                  </w:r>
                </w:p>
              </w:tc>
              <w:tc>
                <w:tcPr>
                  <w:tcW w:w="520" w:type="pct"/>
                  <w:tcBorders>
                    <w:tl2br w:val="nil"/>
                    <w:tr2bl w:val="nil"/>
                  </w:tcBorders>
                  <w:vAlign w:val="center"/>
                </w:tcPr>
                <w:p w14:paraId="7094F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50g</w:t>
                  </w:r>
                </w:p>
              </w:tc>
              <w:tc>
                <w:tcPr>
                  <w:tcW w:w="573" w:type="pct"/>
                  <w:tcBorders>
                    <w:tl2br w:val="nil"/>
                    <w:tr2bl w:val="nil"/>
                  </w:tcBorders>
                  <w:vAlign w:val="center"/>
                </w:tcPr>
                <w:p w14:paraId="57829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25g</w:t>
                  </w:r>
                </w:p>
              </w:tc>
              <w:tc>
                <w:tcPr>
                  <w:tcW w:w="1251" w:type="pct"/>
                  <w:vMerge w:val="continue"/>
                  <w:tcBorders>
                    <w:tl2br w:val="nil"/>
                    <w:tr2bl w:val="nil"/>
                  </w:tcBorders>
                  <w:vAlign w:val="center"/>
                </w:tcPr>
                <w:p w14:paraId="5EF4A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80" w:type="pct"/>
                  <w:vMerge w:val="continue"/>
                  <w:tcBorders>
                    <w:tl2br w:val="nil"/>
                    <w:tr2bl w:val="nil"/>
                  </w:tcBorders>
                  <w:vAlign w:val="center"/>
                </w:tcPr>
                <w:p w14:paraId="47BE5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r w14:paraId="1BC4F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vAlign w:val="center"/>
                </w:tcPr>
                <w:p w14:paraId="7F74D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948" w:type="pct"/>
                  <w:tcBorders>
                    <w:tl2br w:val="nil"/>
                    <w:tr2bl w:val="nil"/>
                  </w:tcBorders>
                  <w:vAlign w:val="center"/>
                </w:tcPr>
                <w:p w14:paraId="60D52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氯化钠</w:t>
                  </w:r>
                </w:p>
              </w:tc>
              <w:tc>
                <w:tcPr>
                  <w:tcW w:w="824" w:type="pct"/>
                  <w:tcBorders>
                    <w:tl2br w:val="nil"/>
                    <w:tr2bl w:val="nil"/>
                  </w:tcBorders>
                  <w:vAlign w:val="center"/>
                </w:tcPr>
                <w:p w14:paraId="5834C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100g</w:t>
                  </w:r>
                </w:p>
              </w:tc>
              <w:tc>
                <w:tcPr>
                  <w:tcW w:w="520" w:type="pct"/>
                  <w:tcBorders>
                    <w:tl2br w:val="nil"/>
                    <w:tr2bl w:val="nil"/>
                  </w:tcBorders>
                  <w:vAlign w:val="center"/>
                </w:tcPr>
                <w:p w14:paraId="4198D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45g</w:t>
                  </w:r>
                </w:p>
              </w:tc>
              <w:tc>
                <w:tcPr>
                  <w:tcW w:w="573" w:type="pct"/>
                  <w:tcBorders>
                    <w:tl2br w:val="nil"/>
                    <w:tr2bl w:val="nil"/>
                  </w:tcBorders>
                  <w:vAlign w:val="center"/>
                </w:tcPr>
                <w:p w14:paraId="46AD1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100g</w:t>
                  </w:r>
                </w:p>
              </w:tc>
              <w:tc>
                <w:tcPr>
                  <w:tcW w:w="1251" w:type="pct"/>
                  <w:tcBorders>
                    <w:tl2br w:val="nil"/>
                    <w:tr2bl w:val="nil"/>
                  </w:tcBorders>
                  <w:vAlign w:val="center"/>
                </w:tcPr>
                <w:p w14:paraId="6419B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动物细胞观察</w:t>
                  </w:r>
                </w:p>
              </w:tc>
              <w:tc>
                <w:tcPr>
                  <w:tcW w:w="480" w:type="pct"/>
                  <w:vMerge w:val="continue"/>
                  <w:tcBorders>
                    <w:tl2br w:val="nil"/>
                    <w:tr2bl w:val="nil"/>
                  </w:tcBorders>
                  <w:vAlign w:val="center"/>
                </w:tcPr>
                <w:p w14:paraId="26D3D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14:paraId="194EE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vAlign w:val="center"/>
                </w:tcPr>
                <w:p w14:paraId="3A08E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948" w:type="pct"/>
                  <w:tcBorders>
                    <w:tl2br w:val="nil"/>
                    <w:tr2bl w:val="nil"/>
                  </w:tcBorders>
                  <w:vAlign w:val="center"/>
                </w:tcPr>
                <w:p w14:paraId="1F02D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可溶性淀粉</w:t>
                  </w:r>
                </w:p>
              </w:tc>
              <w:tc>
                <w:tcPr>
                  <w:tcW w:w="824" w:type="pct"/>
                  <w:tcBorders>
                    <w:tl2br w:val="nil"/>
                    <w:tr2bl w:val="nil"/>
                  </w:tcBorders>
                  <w:vAlign w:val="center"/>
                </w:tcPr>
                <w:p w14:paraId="40CF9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AR500g</w:t>
                  </w:r>
                </w:p>
              </w:tc>
              <w:tc>
                <w:tcPr>
                  <w:tcW w:w="520" w:type="pct"/>
                  <w:tcBorders>
                    <w:tl2br w:val="nil"/>
                    <w:tr2bl w:val="nil"/>
                  </w:tcBorders>
                  <w:vAlign w:val="center"/>
                </w:tcPr>
                <w:p w14:paraId="0EFCB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1.0kg</w:t>
                  </w:r>
                </w:p>
              </w:tc>
              <w:tc>
                <w:tcPr>
                  <w:tcW w:w="573" w:type="pct"/>
                  <w:tcBorders>
                    <w:tl2br w:val="nil"/>
                    <w:tr2bl w:val="nil"/>
                  </w:tcBorders>
                  <w:vAlign w:val="center"/>
                </w:tcPr>
                <w:p w14:paraId="0FA81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1.0kg</w:t>
                  </w:r>
                </w:p>
              </w:tc>
              <w:tc>
                <w:tcPr>
                  <w:tcW w:w="1251" w:type="pct"/>
                  <w:vMerge w:val="restart"/>
                  <w:tcBorders>
                    <w:tl2br w:val="nil"/>
                    <w:tr2bl w:val="nil"/>
                  </w:tcBorders>
                  <w:vAlign w:val="center"/>
                </w:tcPr>
                <w:p w14:paraId="24D14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唾液淀粉酶消化</w:t>
                  </w:r>
                </w:p>
              </w:tc>
              <w:tc>
                <w:tcPr>
                  <w:tcW w:w="480" w:type="pct"/>
                  <w:vMerge w:val="continue"/>
                  <w:tcBorders>
                    <w:tl2br w:val="nil"/>
                    <w:tr2bl w:val="nil"/>
                  </w:tcBorders>
                  <w:vAlign w:val="center"/>
                </w:tcPr>
                <w:p w14:paraId="6997A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14:paraId="5FC67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vAlign w:val="center"/>
                </w:tcPr>
                <w:p w14:paraId="2D2AA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948" w:type="pct"/>
                  <w:tcBorders>
                    <w:tl2br w:val="nil"/>
                    <w:tr2bl w:val="nil"/>
                  </w:tcBorders>
                  <w:vAlign w:val="center"/>
                </w:tcPr>
                <w:p w14:paraId="6B148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α-淀粉酶</w:t>
                  </w:r>
                </w:p>
              </w:tc>
              <w:tc>
                <w:tcPr>
                  <w:tcW w:w="824" w:type="pct"/>
                  <w:tcBorders>
                    <w:tl2br w:val="nil"/>
                    <w:tr2bl w:val="nil"/>
                  </w:tcBorders>
                  <w:vAlign w:val="center"/>
                </w:tcPr>
                <w:p w14:paraId="33058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250g</w:t>
                  </w:r>
                </w:p>
              </w:tc>
              <w:tc>
                <w:tcPr>
                  <w:tcW w:w="520" w:type="pct"/>
                  <w:tcBorders>
                    <w:tl2br w:val="nil"/>
                    <w:tr2bl w:val="nil"/>
                  </w:tcBorders>
                  <w:vAlign w:val="center"/>
                </w:tcPr>
                <w:p w14:paraId="27680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0.25kg</w:t>
                  </w:r>
                </w:p>
              </w:tc>
              <w:tc>
                <w:tcPr>
                  <w:tcW w:w="573" w:type="pct"/>
                  <w:tcBorders>
                    <w:tl2br w:val="nil"/>
                    <w:tr2bl w:val="nil"/>
                  </w:tcBorders>
                  <w:vAlign w:val="center"/>
                </w:tcPr>
                <w:p w14:paraId="31E41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0.25kg</w:t>
                  </w:r>
                </w:p>
              </w:tc>
              <w:tc>
                <w:tcPr>
                  <w:tcW w:w="1251" w:type="pct"/>
                  <w:vMerge w:val="continue"/>
                  <w:tcBorders>
                    <w:tl2br w:val="nil"/>
                    <w:tr2bl w:val="nil"/>
                  </w:tcBorders>
                  <w:vAlign w:val="center"/>
                </w:tcPr>
                <w:p w14:paraId="76164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80" w:type="pct"/>
                  <w:vMerge w:val="continue"/>
                  <w:tcBorders>
                    <w:tl2br w:val="nil"/>
                    <w:tr2bl w:val="nil"/>
                  </w:tcBorders>
                  <w:vAlign w:val="center"/>
                </w:tcPr>
                <w:p w14:paraId="02BBB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14:paraId="2A9ED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vAlign w:val="center"/>
                </w:tcPr>
                <w:p w14:paraId="4A656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948" w:type="pct"/>
                  <w:tcBorders>
                    <w:tl2br w:val="nil"/>
                    <w:tr2bl w:val="nil"/>
                  </w:tcBorders>
                  <w:shd w:val="clear" w:color="auto" w:fill="auto"/>
                  <w:vAlign w:val="center"/>
                </w:tcPr>
                <w:p w14:paraId="79590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琼脂粉</w:t>
                  </w:r>
                </w:p>
              </w:tc>
              <w:tc>
                <w:tcPr>
                  <w:tcW w:w="824" w:type="pct"/>
                  <w:tcBorders>
                    <w:tl2br w:val="nil"/>
                    <w:tr2bl w:val="nil"/>
                  </w:tcBorders>
                  <w:shd w:val="clear" w:color="auto" w:fill="auto"/>
                  <w:vAlign w:val="center"/>
                </w:tcPr>
                <w:p w14:paraId="03779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250g</w:t>
                  </w:r>
                </w:p>
              </w:tc>
              <w:tc>
                <w:tcPr>
                  <w:tcW w:w="520" w:type="pct"/>
                  <w:tcBorders>
                    <w:tl2br w:val="nil"/>
                    <w:tr2bl w:val="nil"/>
                  </w:tcBorders>
                  <w:shd w:val="clear" w:color="auto" w:fill="auto"/>
                  <w:vAlign w:val="center"/>
                </w:tcPr>
                <w:p w14:paraId="668FB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0.25kg</w:t>
                  </w:r>
                </w:p>
              </w:tc>
              <w:tc>
                <w:tcPr>
                  <w:tcW w:w="573" w:type="pct"/>
                  <w:tcBorders>
                    <w:tl2br w:val="nil"/>
                    <w:tr2bl w:val="nil"/>
                  </w:tcBorders>
                  <w:shd w:val="clear" w:color="auto" w:fill="auto"/>
                  <w:vAlign w:val="center"/>
                </w:tcPr>
                <w:p w14:paraId="7405A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0.25kg</w:t>
                  </w:r>
                </w:p>
              </w:tc>
              <w:tc>
                <w:tcPr>
                  <w:tcW w:w="1251" w:type="pct"/>
                  <w:tcBorders>
                    <w:tl2br w:val="nil"/>
                    <w:tr2bl w:val="nil"/>
                  </w:tcBorders>
                  <w:shd w:val="clear" w:color="auto" w:fill="auto"/>
                  <w:vAlign w:val="center"/>
                </w:tcPr>
                <w:p w14:paraId="52074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淀粉酶的专一性演示</w:t>
                  </w:r>
                </w:p>
              </w:tc>
              <w:tc>
                <w:tcPr>
                  <w:tcW w:w="480" w:type="pct"/>
                  <w:vMerge w:val="continue"/>
                  <w:tcBorders>
                    <w:tl2br w:val="nil"/>
                    <w:tr2bl w:val="nil"/>
                  </w:tcBorders>
                  <w:vAlign w:val="center"/>
                </w:tcPr>
                <w:p w14:paraId="79865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r>
            <w:tr w14:paraId="11389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vAlign w:val="center"/>
                </w:tcPr>
                <w:p w14:paraId="05758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948" w:type="pct"/>
                  <w:tcBorders>
                    <w:tl2br w:val="nil"/>
                    <w:tr2bl w:val="nil"/>
                  </w:tcBorders>
                  <w:shd w:val="clear" w:color="auto" w:fill="auto"/>
                  <w:vAlign w:val="center"/>
                </w:tcPr>
                <w:p w14:paraId="20C1B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亚甲基蓝</w:t>
                  </w:r>
                </w:p>
              </w:tc>
              <w:tc>
                <w:tcPr>
                  <w:tcW w:w="824" w:type="pct"/>
                  <w:tcBorders>
                    <w:tl2br w:val="nil"/>
                    <w:tr2bl w:val="nil"/>
                  </w:tcBorders>
                  <w:shd w:val="clear" w:color="auto" w:fill="auto"/>
                  <w:vAlign w:val="center"/>
                </w:tcPr>
                <w:p w14:paraId="4314D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50ml</w:t>
                  </w:r>
                </w:p>
              </w:tc>
              <w:tc>
                <w:tcPr>
                  <w:tcW w:w="520" w:type="pct"/>
                  <w:tcBorders>
                    <w:tl2br w:val="nil"/>
                    <w:tr2bl w:val="nil"/>
                  </w:tcBorders>
                  <w:shd w:val="clear" w:color="auto" w:fill="auto"/>
                  <w:vAlign w:val="center"/>
                </w:tcPr>
                <w:p w14:paraId="21D76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200ml</w:t>
                  </w:r>
                </w:p>
              </w:tc>
              <w:tc>
                <w:tcPr>
                  <w:tcW w:w="573" w:type="pct"/>
                  <w:tcBorders>
                    <w:tl2br w:val="nil"/>
                    <w:tr2bl w:val="nil"/>
                  </w:tcBorders>
                  <w:shd w:val="clear" w:color="auto" w:fill="auto"/>
                  <w:vAlign w:val="center"/>
                </w:tcPr>
                <w:p w14:paraId="4C3DE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50ml</w:t>
                  </w:r>
                </w:p>
              </w:tc>
              <w:tc>
                <w:tcPr>
                  <w:tcW w:w="1251" w:type="pct"/>
                  <w:tcBorders>
                    <w:tl2br w:val="nil"/>
                    <w:tr2bl w:val="nil"/>
                  </w:tcBorders>
                  <w:shd w:val="clear" w:color="auto" w:fill="auto"/>
                  <w:vAlign w:val="center"/>
                </w:tcPr>
                <w:p w14:paraId="620D6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细胞核染色</w:t>
                  </w:r>
                </w:p>
              </w:tc>
              <w:tc>
                <w:tcPr>
                  <w:tcW w:w="480" w:type="pct"/>
                  <w:vMerge w:val="continue"/>
                  <w:tcBorders>
                    <w:tl2br w:val="nil"/>
                    <w:tr2bl w:val="nil"/>
                  </w:tcBorders>
                  <w:vAlign w:val="center"/>
                </w:tcPr>
                <w:p w14:paraId="63C18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p>
              </w:tc>
            </w:tr>
          </w:tbl>
          <w:p w14:paraId="10A0F3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主要实验试剂及药品的特性见表2-5。</w:t>
            </w:r>
          </w:p>
          <w:p w14:paraId="19BBE4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表2-5 主要实验试剂及药品特性一览表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556"/>
              <w:gridCol w:w="2907"/>
              <w:gridCol w:w="3337"/>
            </w:tblGrid>
            <w:tr w14:paraId="243CD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011EA2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序号</w:t>
                  </w:r>
                </w:p>
              </w:tc>
              <w:tc>
                <w:tcPr>
                  <w:tcW w:w="918" w:type="pct"/>
                  <w:tcBorders>
                    <w:tl2br w:val="nil"/>
                    <w:tr2bl w:val="nil"/>
                  </w:tcBorders>
                  <w:vAlign w:val="center"/>
                </w:tcPr>
                <w:p w14:paraId="489E5E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名称</w:t>
                  </w:r>
                </w:p>
              </w:tc>
              <w:tc>
                <w:tcPr>
                  <w:tcW w:w="1715" w:type="pct"/>
                  <w:tcBorders>
                    <w:tl2br w:val="nil"/>
                    <w:tr2bl w:val="nil"/>
                  </w:tcBorders>
                  <w:vAlign w:val="center"/>
                </w:tcPr>
                <w:p w14:paraId="741F1B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理化性质</w:t>
                  </w:r>
                </w:p>
              </w:tc>
              <w:tc>
                <w:tcPr>
                  <w:tcW w:w="1969" w:type="pct"/>
                  <w:tcBorders>
                    <w:tl2br w:val="nil"/>
                    <w:tr2bl w:val="nil"/>
                  </w:tcBorders>
                  <w:vAlign w:val="center"/>
                </w:tcPr>
                <w:p w14:paraId="13A6CF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毒理特性</w:t>
                  </w:r>
                </w:p>
              </w:tc>
            </w:tr>
            <w:tr w14:paraId="276DF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6A541C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918" w:type="pct"/>
                  <w:tcBorders>
                    <w:tl2br w:val="nil"/>
                    <w:tr2bl w:val="nil"/>
                  </w:tcBorders>
                  <w:vAlign w:val="center"/>
                </w:tcPr>
                <w:p w14:paraId="4F579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铝粉</w:t>
                  </w:r>
                </w:p>
              </w:tc>
              <w:tc>
                <w:tcPr>
                  <w:tcW w:w="1715" w:type="pct"/>
                  <w:tcBorders>
                    <w:tl2br w:val="nil"/>
                    <w:tr2bl w:val="nil"/>
                  </w:tcBorders>
                  <w:vAlign w:val="center"/>
                </w:tcPr>
                <w:p w14:paraId="0339F5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银白色金属粉末，在空气中易氧化，能溶于酸和碱，不溶于水，易燃（粉尘可爆炸）</w:t>
                  </w:r>
                </w:p>
              </w:tc>
              <w:tc>
                <w:tcPr>
                  <w:tcW w:w="1969" w:type="pct"/>
                  <w:tcBorders>
                    <w:tl2br w:val="nil"/>
                    <w:tr2bl w:val="nil"/>
                  </w:tcBorders>
                  <w:vAlign w:val="center"/>
                </w:tcPr>
                <w:p w14:paraId="5C0E57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低毒，LD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：＞5000mg/kg，但吸入粉尘可能引发呼吸道刺激或金属热病，大量吸入可能对神经系统、骨骼损害</w:t>
                  </w:r>
                </w:p>
              </w:tc>
            </w:tr>
            <w:tr w14:paraId="15B22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309D26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w:t>
                  </w:r>
                </w:p>
              </w:tc>
              <w:tc>
                <w:tcPr>
                  <w:tcW w:w="918" w:type="pct"/>
                  <w:tcBorders>
                    <w:tl2br w:val="nil"/>
                    <w:tr2bl w:val="nil"/>
                  </w:tcBorders>
                  <w:vAlign w:val="center"/>
                </w:tcPr>
                <w:p w14:paraId="7E357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浓盐酸</w:t>
                  </w:r>
                </w:p>
              </w:tc>
              <w:tc>
                <w:tcPr>
                  <w:tcW w:w="1715" w:type="pct"/>
                  <w:tcBorders>
                    <w:tl2br w:val="nil"/>
                    <w:tr2bl w:val="nil"/>
                  </w:tcBorders>
                  <w:vAlign w:val="center"/>
                </w:tcPr>
                <w:p w14:paraId="145A37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盐酸为不同浓度的氯化氢水溶液，呈透明无色或黄色，有刺激性气味和强腐蚀性。易溶于水、乙醇、乙醚和油等</w:t>
                  </w:r>
                </w:p>
              </w:tc>
              <w:tc>
                <w:tcPr>
                  <w:tcW w:w="1969" w:type="pct"/>
                  <w:tcBorders>
                    <w:tl2br w:val="nil"/>
                    <w:tr2bl w:val="nil"/>
                  </w:tcBorders>
                  <w:vAlign w:val="center"/>
                </w:tcPr>
                <w:p w14:paraId="19AD19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强腐蚀性，接触皮肤/眼睛可灼伤，吸入蒸气损伤呼吸道</w:t>
                  </w:r>
                </w:p>
              </w:tc>
            </w:tr>
            <w:tr w14:paraId="1EB8B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6E2E5F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3</w:t>
                  </w:r>
                </w:p>
              </w:tc>
              <w:tc>
                <w:tcPr>
                  <w:tcW w:w="918" w:type="pct"/>
                  <w:tcBorders>
                    <w:tl2br w:val="nil"/>
                    <w:tr2bl w:val="nil"/>
                  </w:tcBorders>
                  <w:vAlign w:val="center"/>
                </w:tcPr>
                <w:p w14:paraId="24CB0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浓硫酸</w:t>
                  </w:r>
                </w:p>
              </w:tc>
              <w:tc>
                <w:tcPr>
                  <w:tcW w:w="1715" w:type="pct"/>
                  <w:tcBorders>
                    <w:tl2br w:val="nil"/>
                    <w:tr2bl w:val="nil"/>
                  </w:tcBorders>
                  <w:vAlign w:val="center"/>
                </w:tcPr>
                <w:p w14:paraId="70E58E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无色油状液体，强吸水性，与水剧烈放热，</w:t>
                  </w:r>
                  <w:r>
                    <w:rPr>
                      <w:rFonts w:hint="default" w:ascii="Times New Roman" w:hAnsi="Times New Roman" w:eastAsia="宋体" w:cs="Times New Roman"/>
                      <w:b w:val="0"/>
                      <w:bCs w:val="0"/>
                      <w:color w:val="auto"/>
                      <w:kern w:val="0"/>
                      <w:sz w:val="21"/>
                      <w:szCs w:val="21"/>
                      <w:lang w:val="en-US" w:eastAsia="zh-CN" w:bidi="ar"/>
                    </w:rPr>
                    <w:t>沸点338℃</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相对密度1.84g/cm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969" w:type="pct"/>
                  <w:tcBorders>
                    <w:tl2br w:val="nil"/>
                    <w:tr2bl w:val="nil"/>
                  </w:tcBorders>
                  <w:vAlign w:val="center"/>
                </w:tcPr>
                <w:p w14:paraId="07B215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强腐蚀性，接触可致严重化学烧伤，释放SO</w:t>
                  </w:r>
                  <w:r>
                    <w:rPr>
                      <w:rFonts w:hint="eastAsia"/>
                      <w:b w:val="0"/>
                      <w:bCs w:val="0"/>
                      <w:color w:val="auto"/>
                      <w:sz w:val="21"/>
                      <w:szCs w:val="18"/>
                      <w:vertAlign w:val="subscript"/>
                      <w:lang w:val="en-US" w:eastAsia="zh-CN"/>
                    </w:rPr>
                    <w:t>3</w:t>
                  </w:r>
                  <w:r>
                    <w:rPr>
                      <w:rFonts w:hint="eastAsia"/>
                      <w:b w:val="0"/>
                      <w:bCs w:val="0"/>
                      <w:color w:val="auto"/>
                      <w:sz w:val="21"/>
                      <w:szCs w:val="18"/>
                      <w:vertAlign w:val="baseline"/>
                      <w:lang w:val="en-US" w:eastAsia="zh-CN"/>
                    </w:rPr>
                    <w:t>可能引发肺水肿</w:t>
                  </w:r>
                </w:p>
              </w:tc>
            </w:tr>
            <w:tr w14:paraId="021DE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5C1A3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4</w:t>
                  </w:r>
                </w:p>
              </w:tc>
              <w:tc>
                <w:tcPr>
                  <w:tcW w:w="918" w:type="pct"/>
                  <w:tcBorders>
                    <w:tl2br w:val="nil"/>
                    <w:tr2bl w:val="nil"/>
                  </w:tcBorders>
                  <w:vAlign w:val="center"/>
                </w:tcPr>
                <w:p w14:paraId="50644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氢氧化钠</w:t>
                  </w:r>
                </w:p>
              </w:tc>
              <w:tc>
                <w:tcPr>
                  <w:tcW w:w="1715" w:type="pct"/>
                  <w:tcBorders>
                    <w:tl2br w:val="nil"/>
                    <w:tr2bl w:val="nil"/>
                  </w:tcBorders>
                  <w:vAlign w:val="center"/>
                </w:tcPr>
                <w:p w14:paraId="14A29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白色固体，易潮解，强碱性，溶于水放热，</w:t>
                  </w:r>
                  <w:r>
                    <w:rPr>
                      <w:rFonts w:hint="default" w:ascii="Times New Roman" w:hAnsi="Times New Roman" w:eastAsia="宋体" w:cs="Times New Roman"/>
                      <w:b w:val="0"/>
                      <w:bCs w:val="0"/>
                      <w:color w:val="auto"/>
                      <w:kern w:val="0"/>
                      <w:sz w:val="21"/>
                      <w:szCs w:val="21"/>
                      <w:lang w:val="en-US" w:eastAsia="zh-CN" w:bidi="ar"/>
                    </w:rPr>
                    <w:t>密度：2.13g/cm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，熔点：318℃</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沸点：1388℃。</w:t>
                  </w:r>
                </w:p>
              </w:tc>
              <w:tc>
                <w:tcPr>
                  <w:tcW w:w="1969" w:type="pct"/>
                  <w:tcBorders>
                    <w:tl2br w:val="nil"/>
                    <w:tr2bl w:val="nil"/>
                  </w:tcBorders>
                  <w:vAlign w:val="center"/>
                </w:tcPr>
                <w:p w14:paraId="6BEE45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：500mg/kg，强腐蚀性，接触组织可液化坏死，吸入粉尘刺激呼吸道</w:t>
                  </w:r>
                </w:p>
              </w:tc>
            </w:tr>
            <w:tr w14:paraId="33894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7769CE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5</w:t>
                  </w:r>
                </w:p>
              </w:tc>
              <w:tc>
                <w:tcPr>
                  <w:tcW w:w="918" w:type="pct"/>
                  <w:tcBorders>
                    <w:tl2br w:val="nil"/>
                    <w:tr2bl w:val="nil"/>
                  </w:tcBorders>
                  <w:vAlign w:val="center"/>
                </w:tcPr>
                <w:p w14:paraId="33191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高锰酸钾</w:t>
                  </w:r>
                </w:p>
              </w:tc>
              <w:tc>
                <w:tcPr>
                  <w:tcW w:w="1715" w:type="pct"/>
                  <w:tcBorders>
                    <w:tl2br w:val="nil"/>
                    <w:tr2bl w:val="nil"/>
                  </w:tcBorders>
                  <w:vAlign w:val="center"/>
                </w:tcPr>
                <w:p w14:paraId="0EE8E0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深紫色结晶，强氧化性，溶于水呈紫红色，</w:t>
                  </w:r>
                  <w:r>
                    <w:rPr>
                      <w:rFonts w:hint="default" w:ascii="Times New Roman" w:hAnsi="Times New Roman" w:eastAsia="宋体" w:cs="Times New Roman"/>
                      <w:b w:val="0"/>
                      <w:bCs w:val="0"/>
                      <w:color w:val="auto"/>
                      <w:kern w:val="0"/>
                      <w:sz w:val="21"/>
                      <w:szCs w:val="21"/>
                      <w:lang w:val="en-US" w:eastAsia="zh-CN" w:bidi="ar"/>
                    </w:rPr>
                    <w:t>熔点：240°C，密度：2.7g/cm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969" w:type="pct"/>
                  <w:tcBorders>
                    <w:tl2br w:val="nil"/>
                    <w:tr2bl w:val="nil"/>
                  </w:tcBorders>
                  <w:vAlign w:val="center"/>
                </w:tcPr>
                <w:p w14:paraId="323ED4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：1090mg/kg，刺激皮肤/黏膜，误服可致消化道损伤，高浓度溶液有腐蚀性</w:t>
                  </w:r>
                </w:p>
              </w:tc>
            </w:tr>
            <w:tr w14:paraId="626EC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43F2B1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6</w:t>
                  </w:r>
                </w:p>
              </w:tc>
              <w:tc>
                <w:tcPr>
                  <w:tcW w:w="918" w:type="pct"/>
                  <w:tcBorders>
                    <w:tl2br w:val="nil"/>
                    <w:tr2bl w:val="nil"/>
                  </w:tcBorders>
                  <w:vAlign w:val="center"/>
                </w:tcPr>
                <w:p w14:paraId="0760B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过氧化氢</w:t>
                  </w:r>
                </w:p>
              </w:tc>
              <w:tc>
                <w:tcPr>
                  <w:tcW w:w="1715" w:type="pct"/>
                  <w:tcBorders>
                    <w:tl2br w:val="nil"/>
                    <w:tr2bl w:val="nil"/>
                  </w:tcBorders>
                  <w:vAlign w:val="center"/>
                </w:tcPr>
                <w:p w14:paraId="3F7825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无色透明液体，不稳定易分解产氧，</w:t>
                  </w:r>
                  <w:r>
                    <w:rPr>
                      <w:rFonts w:hint="default" w:ascii="Times New Roman" w:hAnsi="Times New Roman" w:eastAsia="宋体" w:cs="Times New Roman"/>
                      <w:b w:val="0"/>
                      <w:bCs w:val="0"/>
                      <w:color w:val="auto"/>
                      <w:kern w:val="0"/>
                      <w:sz w:val="21"/>
                      <w:szCs w:val="21"/>
                      <w:lang w:val="en-US" w:eastAsia="zh-CN" w:bidi="ar"/>
                    </w:rPr>
                    <w:t>密度为1.463g/cm</w:t>
                  </w:r>
                  <w:r>
                    <w:rPr>
                      <w:rFonts w:hint="eastAsia"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，沸点150.2℃(分解)</w:t>
                  </w:r>
                </w:p>
              </w:tc>
              <w:tc>
                <w:tcPr>
                  <w:tcW w:w="1969" w:type="pct"/>
                  <w:tcBorders>
                    <w:tl2br w:val="nil"/>
                    <w:tr2bl w:val="nil"/>
                  </w:tcBorders>
                  <w:vAlign w:val="center"/>
                </w:tcPr>
                <w:p w14:paraId="6CB0F9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：1530mg/kg，强氧化性，高浓度溶液可灼伤皮肤/黏膜</w:t>
                  </w:r>
                </w:p>
              </w:tc>
            </w:tr>
            <w:tr w14:paraId="11DBD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48637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7</w:t>
                  </w:r>
                </w:p>
              </w:tc>
              <w:tc>
                <w:tcPr>
                  <w:tcW w:w="918" w:type="pct"/>
                  <w:tcBorders>
                    <w:tl2br w:val="nil"/>
                    <w:tr2bl w:val="nil"/>
                  </w:tcBorders>
                  <w:vAlign w:val="center"/>
                </w:tcPr>
                <w:p w14:paraId="6AF0F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 xml:space="preserve"> 酒精</w:t>
                  </w:r>
                </w:p>
              </w:tc>
              <w:tc>
                <w:tcPr>
                  <w:tcW w:w="1715" w:type="pct"/>
                  <w:tcBorders>
                    <w:tl2br w:val="nil"/>
                    <w:tr2bl w:val="nil"/>
                  </w:tcBorders>
                  <w:vAlign w:val="center"/>
                </w:tcPr>
                <w:p w14:paraId="6185B3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无色透明液体，易挥发，易燃，</w:t>
                  </w:r>
                  <w:r>
                    <w:rPr>
                      <w:rFonts w:hint="default" w:ascii="Times New Roman" w:hAnsi="Times New Roman" w:eastAsia="宋体" w:cs="Times New Roman"/>
                      <w:b w:val="0"/>
                      <w:bCs w:val="0"/>
                      <w:color w:val="auto"/>
                      <w:kern w:val="0"/>
                      <w:sz w:val="21"/>
                      <w:szCs w:val="21"/>
                      <w:lang w:val="en-US" w:eastAsia="zh-CN" w:bidi="ar"/>
                    </w:rPr>
                    <w:t>乙醇液体密度是0.789g/cm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（20℃)</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沸点是78.3℃</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熔点是-114.1℃</w:t>
                  </w:r>
                </w:p>
              </w:tc>
              <w:tc>
                <w:tcPr>
                  <w:tcW w:w="1969" w:type="pct"/>
                  <w:tcBorders>
                    <w:tl2br w:val="nil"/>
                    <w:tr2bl w:val="nil"/>
                  </w:tcBorders>
                  <w:vAlign w:val="center"/>
                </w:tcPr>
                <w:p w14:paraId="2878A2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：7060mg/kg，低毒，但高浓度蒸气麻醉中枢神经，长期接触损害肝脏</w:t>
                  </w:r>
                </w:p>
              </w:tc>
            </w:tr>
            <w:tr w14:paraId="77787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42A27A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w:t>
                  </w:r>
                </w:p>
              </w:tc>
              <w:tc>
                <w:tcPr>
                  <w:tcW w:w="918" w:type="pct"/>
                  <w:tcBorders>
                    <w:tl2br w:val="nil"/>
                    <w:tr2bl w:val="nil"/>
                  </w:tcBorders>
                  <w:vAlign w:val="center"/>
                </w:tcPr>
                <w:p w14:paraId="3C2F3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酚酞试液</w:t>
                  </w:r>
                </w:p>
              </w:tc>
              <w:tc>
                <w:tcPr>
                  <w:tcW w:w="1715" w:type="pct"/>
                  <w:tcBorders>
                    <w:tl2br w:val="nil"/>
                    <w:tr2bl w:val="nil"/>
                  </w:tcBorders>
                  <w:vAlign w:val="center"/>
                </w:tcPr>
                <w:p w14:paraId="253845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无色透明溶液（乙醇溶剂），遇碱变红</w:t>
                  </w:r>
                </w:p>
              </w:tc>
              <w:tc>
                <w:tcPr>
                  <w:tcW w:w="1969" w:type="pct"/>
                  <w:tcBorders>
                    <w:tl2br w:val="nil"/>
                    <w:tr2bl w:val="nil"/>
                  </w:tcBorders>
                  <w:vAlign w:val="center"/>
                </w:tcPr>
                <w:p w14:paraId="515FC2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低毒，过量摄入可能引起腹泻</w:t>
                  </w:r>
                </w:p>
              </w:tc>
            </w:tr>
            <w:tr w14:paraId="0411F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3B18EF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9</w:t>
                  </w:r>
                </w:p>
              </w:tc>
              <w:tc>
                <w:tcPr>
                  <w:tcW w:w="918" w:type="pct"/>
                  <w:tcBorders>
                    <w:tl2br w:val="nil"/>
                    <w:tr2bl w:val="nil"/>
                  </w:tcBorders>
                  <w:vAlign w:val="center"/>
                </w:tcPr>
                <w:p w14:paraId="0895C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硫酸铜</w:t>
                  </w:r>
                </w:p>
              </w:tc>
              <w:tc>
                <w:tcPr>
                  <w:tcW w:w="1715" w:type="pct"/>
                  <w:tcBorders>
                    <w:tl2br w:val="nil"/>
                    <w:tr2bl w:val="nil"/>
                  </w:tcBorders>
                  <w:vAlign w:val="center"/>
                </w:tcPr>
                <w:p w14:paraId="0751F5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蓝色结晶，易溶于水，</w:t>
                  </w:r>
                  <w:r>
                    <w:rPr>
                      <w:rFonts w:hint="default" w:ascii="Times New Roman" w:hAnsi="Times New Roman" w:eastAsia="宋体" w:cs="Times New Roman"/>
                      <w:b w:val="0"/>
                      <w:bCs w:val="0"/>
                      <w:color w:val="auto"/>
                      <w:kern w:val="0"/>
                      <w:sz w:val="21"/>
                      <w:szCs w:val="21"/>
                      <w:lang w:val="en-US" w:eastAsia="zh-CN" w:bidi="ar"/>
                    </w:rPr>
                    <w:t>熔点：560ºC，密度：3.606g/cm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（25ºC）</w:t>
                  </w:r>
                </w:p>
              </w:tc>
              <w:tc>
                <w:tcPr>
                  <w:tcW w:w="1969" w:type="pct"/>
                  <w:tcBorders>
                    <w:tl2br w:val="nil"/>
                    <w:tr2bl w:val="nil"/>
                  </w:tcBorders>
                  <w:vAlign w:val="center"/>
                </w:tcPr>
                <w:p w14:paraId="2EC6DB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：300mg/kg，有毒，误服引起恶心呕吐，长期接触损害肝肾</w:t>
                  </w:r>
                </w:p>
              </w:tc>
            </w:tr>
            <w:tr w14:paraId="33911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7603C2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10</w:t>
                  </w:r>
                </w:p>
              </w:tc>
              <w:tc>
                <w:tcPr>
                  <w:tcW w:w="918" w:type="pct"/>
                  <w:tcBorders>
                    <w:tl2br w:val="nil"/>
                    <w:tr2bl w:val="nil"/>
                  </w:tcBorders>
                  <w:vAlign w:val="center"/>
                </w:tcPr>
                <w:p w14:paraId="33C2B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氯化钠</w:t>
                  </w:r>
                </w:p>
              </w:tc>
              <w:tc>
                <w:tcPr>
                  <w:tcW w:w="1715" w:type="pct"/>
                  <w:tcBorders>
                    <w:tl2br w:val="nil"/>
                    <w:tr2bl w:val="nil"/>
                  </w:tcBorders>
                  <w:vAlign w:val="center"/>
                </w:tcPr>
                <w:p w14:paraId="0212D8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无色透明立方晶体或白色结晶粉末，易溶于水，水溶液呈中性</w:t>
                  </w:r>
                </w:p>
              </w:tc>
              <w:tc>
                <w:tcPr>
                  <w:tcW w:w="1969" w:type="pct"/>
                  <w:tcBorders>
                    <w:tl2br w:val="nil"/>
                    <w:tr2bl w:val="nil"/>
                  </w:tcBorders>
                  <w:vAlign w:val="center"/>
                </w:tcPr>
                <w:p w14:paraId="3B7091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低毒，但过量摄入导致电解质失衡</w:t>
                  </w:r>
                </w:p>
              </w:tc>
            </w:tr>
            <w:tr w14:paraId="52762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1986A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11</w:t>
                  </w:r>
                </w:p>
              </w:tc>
              <w:tc>
                <w:tcPr>
                  <w:tcW w:w="918" w:type="pct"/>
                  <w:tcBorders>
                    <w:tl2br w:val="nil"/>
                    <w:tr2bl w:val="nil"/>
                  </w:tcBorders>
                  <w:vAlign w:val="center"/>
                </w:tcPr>
                <w:p w14:paraId="1E719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碳酸钙</w:t>
                  </w:r>
                </w:p>
              </w:tc>
              <w:tc>
                <w:tcPr>
                  <w:tcW w:w="1715" w:type="pct"/>
                  <w:tcBorders>
                    <w:tl2br w:val="nil"/>
                    <w:tr2bl w:val="nil"/>
                  </w:tcBorders>
                  <w:vAlign w:val="center"/>
                </w:tcPr>
                <w:p w14:paraId="4DEC8E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白色粉末，难溶于水</w:t>
                  </w:r>
                </w:p>
              </w:tc>
              <w:tc>
                <w:tcPr>
                  <w:tcW w:w="1969" w:type="pct"/>
                  <w:tcBorders>
                    <w:tl2br w:val="nil"/>
                    <w:tr2bl w:val="nil"/>
                  </w:tcBorders>
                  <w:vAlign w:val="center"/>
                </w:tcPr>
                <w:p w14:paraId="54A40D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低毒，但吸入粉尘可能刺激呼吸道</w:t>
                  </w:r>
                </w:p>
              </w:tc>
            </w:tr>
            <w:tr w14:paraId="5D21D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2E1A7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12</w:t>
                  </w:r>
                </w:p>
              </w:tc>
              <w:tc>
                <w:tcPr>
                  <w:tcW w:w="918" w:type="pct"/>
                  <w:tcBorders>
                    <w:tl2br w:val="nil"/>
                    <w:tr2bl w:val="nil"/>
                  </w:tcBorders>
                  <w:vAlign w:val="center"/>
                </w:tcPr>
                <w:p w14:paraId="670B3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金属</w:t>
                  </w:r>
                  <w:r>
                    <w:rPr>
                      <w:rFonts w:hint="default"/>
                      <w:color w:val="auto"/>
                      <w:sz w:val="21"/>
                      <w:szCs w:val="21"/>
                    </w:rPr>
                    <w:t>镁条</w:t>
                  </w:r>
                </w:p>
              </w:tc>
              <w:tc>
                <w:tcPr>
                  <w:tcW w:w="1715" w:type="pct"/>
                  <w:tcBorders>
                    <w:tl2br w:val="nil"/>
                    <w:tr2bl w:val="nil"/>
                  </w:tcBorders>
                  <w:vAlign w:val="center"/>
                </w:tcPr>
                <w:p w14:paraId="668535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银白色金属，易燃（燃烧发强光），能与热水反应，熔点为648℃，沸点为1107℃</w:t>
                  </w:r>
                </w:p>
              </w:tc>
              <w:tc>
                <w:tcPr>
                  <w:tcW w:w="1969" w:type="pct"/>
                  <w:tcBorders>
                    <w:tl2br w:val="nil"/>
                    <w:tr2bl w:val="nil"/>
                  </w:tcBorders>
                  <w:vAlign w:val="center"/>
                </w:tcPr>
                <w:p w14:paraId="34A39E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低毒，但镁粉可引发爆炸，燃烧产物刺激呼吸道，燃烧强光可能损伤眼睛</w:t>
                  </w:r>
                </w:p>
              </w:tc>
            </w:tr>
            <w:tr w14:paraId="358DB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62236C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13</w:t>
                  </w:r>
                </w:p>
              </w:tc>
              <w:tc>
                <w:tcPr>
                  <w:tcW w:w="918" w:type="pct"/>
                  <w:tcBorders>
                    <w:tl2br w:val="nil"/>
                    <w:tr2bl w:val="nil"/>
                  </w:tcBorders>
                  <w:vAlign w:val="center"/>
                </w:tcPr>
                <w:p w14:paraId="15566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硝酸钾</w:t>
                  </w:r>
                </w:p>
              </w:tc>
              <w:tc>
                <w:tcPr>
                  <w:tcW w:w="1715" w:type="pct"/>
                  <w:tcBorders>
                    <w:tl2br w:val="nil"/>
                    <w:tr2bl w:val="nil"/>
                  </w:tcBorders>
                  <w:vAlign w:val="center"/>
                </w:tcPr>
                <w:p w14:paraId="0E7275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无色透明结晶，强氧化性，高温分解，</w:t>
                  </w:r>
                  <w:r>
                    <w:rPr>
                      <w:rFonts w:hint="default" w:ascii="Times New Roman" w:hAnsi="Times New Roman" w:eastAsia="宋体" w:cs="Times New Roman"/>
                      <w:b w:val="0"/>
                      <w:bCs w:val="0"/>
                      <w:color w:val="auto"/>
                      <w:kern w:val="0"/>
                      <w:sz w:val="21"/>
                      <w:szCs w:val="21"/>
                      <w:lang w:val="en-US" w:eastAsia="zh-CN" w:bidi="ar"/>
                    </w:rPr>
                    <w:t>熔点：334℃</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闪点：400℃</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密度：2.21g/cm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969" w:type="pct"/>
                  <w:tcBorders>
                    <w:tl2br w:val="nil"/>
                    <w:tr2bl w:val="nil"/>
                  </w:tcBorders>
                  <w:vAlign w:val="center"/>
                </w:tcPr>
                <w:p w14:paraId="60D4B0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：3750mg/kg，低毒，但大量摄入导致高铁血红蛋白血症</w:t>
                  </w:r>
                </w:p>
              </w:tc>
            </w:tr>
            <w:tr w14:paraId="4C60B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A8D07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14</w:t>
                  </w:r>
                </w:p>
              </w:tc>
              <w:tc>
                <w:tcPr>
                  <w:tcW w:w="918" w:type="pct"/>
                  <w:tcBorders>
                    <w:tl2br w:val="nil"/>
                    <w:tr2bl w:val="nil"/>
                  </w:tcBorders>
                  <w:vAlign w:val="center"/>
                </w:tcPr>
                <w:p w14:paraId="266BC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无水碳酸钠</w:t>
                  </w:r>
                </w:p>
              </w:tc>
              <w:tc>
                <w:tcPr>
                  <w:tcW w:w="1715" w:type="pct"/>
                  <w:tcBorders>
                    <w:tl2br w:val="nil"/>
                    <w:tr2bl w:val="nil"/>
                  </w:tcBorders>
                  <w:vAlign w:val="center"/>
                </w:tcPr>
                <w:p w14:paraId="45C6A5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白色粉末，易溶于水，强碱性，</w:t>
                  </w:r>
                  <w:r>
                    <w:rPr>
                      <w:rFonts w:hint="default" w:ascii="Times New Roman" w:hAnsi="Times New Roman" w:eastAsia="宋体" w:cs="Times New Roman"/>
                      <w:b w:val="0"/>
                      <w:bCs w:val="0"/>
                      <w:color w:val="auto"/>
                      <w:kern w:val="0"/>
                      <w:sz w:val="21"/>
                      <w:szCs w:val="21"/>
                      <w:lang w:val="en-US" w:eastAsia="zh-CN" w:bidi="ar"/>
                    </w:rPr>
                    <w:t>密度为2.54g/cm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，熔点为856ºC</w:t>
                  </w:r>
                </w:p>
              </w:tc>
              <w:tc>
                <w:tcPr>
                  <w:tcW w:w="1969" w:type="pct"/>
                  <w:tcBorders>
                    <w:tl2br w:val="nil"/>
                    <w:tr2bl w:val="nil"/>
                  </w:tcBorders>
                  <w:vAlign w:val="center"/>
                </w:tcPr>
                <w:p w14:paraId="7D5DDF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：4090mg/kg，刺激皮肤/眼睛，误服灼伤消化道</w:t>
                  </w:r>
                </w:p>
              </w:tc>
            </w:tr>
            <w:tr w14:paraId="1C663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B385B4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15</w:t>
                  </w:r>
                </w:p>
              </w:tc>
              <w:tc>
                <w:tcPr>
                  <w:tcW w:w="918" w:type="pct"/>
                  <w:tcBorders>
                    <w:tl2br w:val="nil"/>
                    <w:tr2bl w:val="nil"/>
                  </w:tcBorders>
                  <w:vAlign w:val="center"/>
                </w:tcPr>
                <w:p w14:paraId="54EC0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硝酸银</w:t>
                  </w:r>
                </w:p>
              </w:tc>
              <w:tc>
                <w:tcPr>
                  <w:tcW w:w="1715" w:type="pct"/>
                  <w:tcBorders>
                    <w:tl2br w:val="nil"/>
                    <w:tr2bl w:val="nil"/>
                  </w:tcBorders>
                  <w:vAlign w:val="center"/>
                </w:tcPr>
                <w:p w14:paraId="366CFD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无色晶体，见光分解变黑，溶于水，</w:t>
                  </w:r>
                  <w:r>
                    <w:rPr>
                      <w:rFonts w:hint="default" w:ascii="Times New Roman" w:hAnsi="Times New Roman" w:eastAsia="宋体" w:cs="Times New Roman"/>
                      <w:b w:val="0"/>
                      <w:bCs w:val="0"/>
                      <w:color w:val="auto"/>
                      <w:kern w:val="0"/>
                      <w:sz w:val="21"/>
                      <w:szCs w:val="21"/>
                      <w:lang w:val="en-US" w:eastAsia="zh-CN" w:bidi="ar"/>
                    </w:rPr>
                    <w:t>熔点：212℃</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沸点：444℃（分解），闪点：40℃</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密度：4.35g/cm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969" w:type="pct"/>
                  <w:tcBorders>
                    <w:tl2br w:val="nil"/>
                    <w:tr2bl w:val="nil"/>
                  </w:tcBorders>
                  <w:vAlign w:val="center"/>
                </w:tcPr>
                <w:p w14:paraId="4C22BB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：50mg/kg，腐蚀性，接触皮肤染色，误服引发消化道损伤</w:t>
                  </w:r>
                </w:p>
              </w:tc>
            </w:tr>
            <w:tr w14:paraId="729CA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5A2B6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16</w:t>
                  </w:r>
                </w:p>
              </w:tc>
              <w:tc>
                <w:tcPr>
                  <w:tcW w:w="918" w:type="pct"/>
                  <w:tcBorders>
                    <w:tl2br w:val="nil"/>
                    <w:tr2bl w:val="nil"/>
                  </w:tcBorders>
                  <w:vAlign w:val="center"/>
                </w:tcPr>
                <w:p w14:paraId="1E8F8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color w:val="auto"/>
                      <w:sz w:val="21"/>
                      <w:szCs w:val="21"/>
                    </w:rPr>
                    <w:t>硝酸钡</w:t>
                  </w:r>
                </w:p>
              </w:tc>
              <w:tc>
                <w:tcPr>
                  <w:tcW w:w="1715" w:type="pct"/>
                  <w:tcBorders>
                    <w:tl2br w:val="nil"/>
                    <w:tr2bl w:val="nil"/>
                  </w:tcBorders>
                  <w:vAlign w:val="center"/>
                </w:tcPr>
                <w:p w14:paraId="3F025C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白色结晶，密度3.24g/cm</w:t>
                  </w:r>
                  <w:r>
                    <w:rPr>
                      <w:rFonts w:hint="eastAsia"/>
                      <w:b w:val="0"/>
                      <w:bCs w:val="0"/>
                      <w:color w:val="auto"/>
                      <w:sz w:val="21"/>
                      <w:szCs w:val="18"/>
                      <w:vertAlign w:val="superscript"/>
                      <w:lang w:val="en-US" w:eastAsia="zh-CN"/>
                    </w:rPr>
                    <w:t>3</w:t>
                  </w:r>
                  <w:r>
                    <w:rPr>
                      <w:rFonts w:hint="eastAsia"/>
                      <w:b w:val="0"/>
                      <w:bCs w:val="0"/>
                      <w:color w:val="auto"/>
                      <w:sz w:val="21"/>
                      <w:szCs w:val="18"/>
                      <w:vertAlign w:val="baseline"/>
                      <w:lang w:val="en-US" w:eastAsia="zh-CN"/>
                    </w:rPr>
                    <w:t>，熔点590℃，溶于水，浓硫酸，不溶于乙醇、浓硝酸</w:t>
                  </w:r>
                </w:p>
              </w:tc>
              <w:tc>
                <w:tcPr>
                  <w:tcW w:w="1969" w:type="pct"/>
                  <w:tcBorders>
                    <w:tl2br w:val="nil"/>
                    <w:tr2bl w:val="nil"/>
                  </w:tcBorders>
                  <w:vAlign w:val="center"/>
                </w:tcPr>
                <w:p w14:paraId="16095F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：355mg/kg，剧毒，0.8-4g可致死（引发低钾血症）</w:t>
                  </w:r>
                </w:p>
              </w:tc>
            </w:tr>
            <w:tr w14:paraId="39931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7A03E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17</w:t>
                  </w:r>
                </w:p>
              </w:tc>
              <w:tc>
                <w:tcPr>
                  <w:tcW w:w="918" w:type="pct"/>
                  <w:tcBorders>
                    <w:tl2br w:val="nil"/>
                    <w:tr2bl w:val="nil"/>
                  </w:tcBorders>
                  <w:vAlign w:val="center"/>
                </w:tcPr>
                <w:p w14:paraId="7E297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氨水</w:t>
                  </w:r>
                </w:p>
              </w:tc>
              <w:tc>
                <w:tcPr>
                  <w:tcW w:w="1715" w:type="pct"/>
                  <w:tcBorders>
                    <w:tl2br w:val="nil"/>
                    <w:tr2bl w:val="nil"/>
                  </w:tcBorders>
                  <w:vAlign w:val="center"/>
                </w:tcPr>
                <w:p w14:paraId="795281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无色透明液体，强烈刺激性气味，易挥发，熔点-77℃，沸点36℃，密度0.91g/cm</w:t>
                  </w:r>
                  <w:r>
                    <w:rPr>
                      <w:rFonts w:hint="eastAsia"/>
                      <w:b w:val="0"/>
                      <w:bCs w:val="0"/>
                      <w:color w:val="auto"/>
                      <w:sz w:val="21"/>
                      <w:szCs w:val="18"/>
                      <w:vertAlign w:val="superscript"/>
                      <w:lang w:val="en-US" w:eastAsia="zh-CN"/>
                    </w:rPr>
                    <w:t>3</w:t>
                  </w:r>
                  <w:r>
                    <w:rPr>
                      <w:rFonts w:hint="eastAsia"/>
                      <w:b w:val="0"/>
                      <w:bCs w:val="0"/>
                      <w:color w:val="auto"/>
                      <w:sz w:val="21"/>
                      <w:szCs w:val="18"/>
                      <w:vertAlign w:val="baseline"/>
                      <w:lang w:val="en-US" w:eastAsia="zh-CN"/>
                    </w:rPr>
                    <w:t>。易溶于水、乙醇。</w:t>
                  </w:r>
                </w:p>
              </w:tc>
              <w:tc>
                <w:tcPr>
                  <w:tcW w:w="1969" w:type="pct"/>
                  <w:tcBorders>
                    <w:tl2br w:val="nil"/>
                    <w:tr2bl w:val="nil"/>
                  </w:tcBorders>
                  <w:vAlign w:val="center"/>
                </w:tcPr>
                <w:p w14:paraId="2B1A7D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腐蚀性，接触灼伤皮肤/眼睛，吸入高浓度致肺水肿</w:t>
                  </w:r>
                </w:p>
              </w:tc>
            </w:tr>
            <w:tr w14:paraId="2F5B9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7356F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18</w:t>
                  </w:r>
                </w:p>
              </w:tc>
              <w:tc>
                <w:tcPr>
                  <w:tcW w:w="918" w:type="pct"/>
                  <w:tcBorders>
                    <w:tl2br w:val="nil"/>
                    <w:tr2bl w:val="nil"/>
                  </w:tcBorders>
                  <w:vAlign w:val="center"/>
                </w:tcPr>
                <w:p w14:paraId="401BD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铁粉</w:t>
                  </w:r>
                </w:p>
              </w:tc>
              <w:tc>
                <w:tcPr>
                  <w:tcW w:w="1715" w:type="pct"/>
                  <w:tcBorders>
                    <w:tl2br w:val="nil"/>
                    <w:tr2bl w:val="nil"/>
                  </w:tcBorders>
                  <w:vAlign w:val="center"/>
                </w:tcPr>
                <w:p w14:paraId="208223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灰黑色粉末，磁性，缓慢氧化</w:t>
                  </w:r>
                </w:p>
              </w:tc>
              <w:tc>
                <w:tcPr>
                  <w:tcW w:w="1969" w:type="pct"/>
                  <w:tcBorders>
                    <w:tl2br w:val="nil"/>
                    <w:tr2bl w:val="nil"/>
                  </w:tcBorders>
                  <w:vAlign w:val="center"/>
                </w:tcPr>
                <w:p w14:paraId="69A597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低毒，但吸入粉尘可能引发尘肺病</w:t>
                  </w:r>
                </w:p>
              </w:tc>
            </w:tr>
            <w:tr w14:paraId="7C2E4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422A75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19</w:t>
                  </w:r>
                </w:p>
              </w:tc>
              <w:tc>
                <w:tcPr>
                  <w:tcW w:w="918" w:type="pct"/>
                  <w:tcBorders>
                    <w:tl2br w:val="nil"/>
                    <w:tr2bl w:val="nil"/>
                  </w:tcBorders>
                  <w:vAlign w:val="center"/>
                </w:tcPr>
                <w:p w14:paraId="59D52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olor w:val="auto"/>
                      <w:sz w:val="21"/>
                      <w:szCs w:val="21"/>
                      <w:lang w:val="en-US" w:eastAsia="zh-CN"/>
                    </w:rPr>
                    <w:t>硫粉</w:t>
                  </w:r>
                </w:p>
              </w:tc>
              <w:tc>
                <w:tcPr>
                  <w:tcW w:w="1715" w:type="pct"/>
                  <w:tcBorders>
                    <w:tl2br w:val="nil"/>
                    <w:tr2bl w:val="nil"/>
                  </w:tcBorders>
                  <w:vAlign w:val="center"/>
                </w:tcPr>
                <w:p w14:paraId="01727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黄色粉末，易燃（燃烧产生SO</w:t>
                  </w:r>
                  <w:r>
                    <w:rPr>
                      <w:rFonts w:hint="eastAsia"/>
                      <w:b w:val="0"/>
                      <w:bCs w:val="0"/>
                      <w:color w:val="auto"/>
                      <w:sz w:val="21"/>
                      <w:szCs w:val="18"/>
                      <w:vertAlign w:val="subscript"/>
                      <w:lang w:val="en-US" w:eastAsia="zh-CN"/>
                    </w:rPr>
                    <w:t>2</w:t>
                  </w:r>
                  <w:r>
                    <w:rPr>
                      <w:rFonts w:hint="eastAsia"/>
                      <w:b w:val="0"/>
                      <w:bCs w:val="0"/>
                      <w:color w:val="auto"/>
                      <w:sz w:val="21"/>
                      <w:szCs w:val="18"/>
                      <w:vertAlign w:val="baseline"/>
                      <w:lang w:val="en-US" w:eastAsia="zh-CN"/>
                    </w:rPr>
                    <w:t>），闪点207℃，熔点119℃，沸点444.6℃</w:t>
                  </w:r>
                </w:p>
              </w:tc>
              <w:tc>
                <w:tcPr>
                  <w:tcW w:w="1969" w:type="pct"/>
                  <w:tcBorders>
                    <w:tl2br w:val="nil"/>
                    <w:tr2bl w:val="nil"/>
                  </w:tcBorders>
                  <w:vAlign w:val="center"/>
                </w:tcPr>
                <w:p w14:paraId="2CE08A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：5000mg/kg，低毒，但燃烧产物SO</w:t>
                  </w:r>
                  <w:r>
                    <w:rPr>
                      <w:rFonts w:hint="eastAsia"/>
                      <w:b w:val="0"/>
                      <w:bCs w:val="0"/>
                      <w:color w:val="auto"/>
                      <w:sz w:val="21"/>
                      <w:szCs w:val="18"/>
                      <w:vertAlign w:val="subscript"/>
                      <w:lang w:val="en-US" w:eastAsia="zh-CN"/>
                    </w:rPr>
                    <w:t>2</w:t>
                  </w:r>
                  <w:r>
                    <w:rPr>
                      <w:rFonts w:hint="eastAsia"/>
                      <w:b w:val="0"/>
                      <w:bCs w:val="0"/>
                      <w:color w:val="auto"/>
                      <w:sz w:val="21"/>
                      <w:szCs w:val="18"/>
                      <w:vertAlign w:val="baseline"/>
                      <w:lang w:val="en-US" w:eastAsia="zh-CN"/>
                    </w:rPr>
                    <w:t>强烈刺激呼吸道</w:t>
                  </w:r>
                </w:p>
              </w:tc>
            </w:tr>
            <w:tr w14:paraId="011F4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0B36E1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20</w:t>
                  </w:r>
                </w:p>
              </w:tc>
              <w:tc>
                <w:tcPr>
                  <w:tcW w:w="918" w:type="pct"/>
                  <w:tcBorders>
                    <w:tl2br w:val="nil"/>
                    <w:tr2bl w:val="nil"/>
                  </w:tcBorders>
                  <w:vAlign w:val="center"/>
                </w:tcPr>
                <w:p w14:paraId="7B3EC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s="Times New Roman"/>
                      <w:color w:val="auto"/>
                      <w:sz w:val="21"/>
                      <w:szCs w:val="21"/>
                      <w:lang w:val="en-US" w:eastAsia="zh-CN"/>
                    </w:rPr>
                    <w:t>鲁戈氏碘液</w:t>
                  </w:r>
                </w:p>
              </w:tc>
              <w:tc>
                <w:tcPr>
                  <w:tcW w:w="1715" w:type="pct"/>
                  <w:tcBorders>
                    <w:tl2br w:val="nil"/>
                    <w:tr2bl w:val="nil"/>
                  </w:tcBorders>
                  <w:vAlign w:val="center"/>
                </w:tcPr>
                <w:p w14:paraId="130E23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深棕色溶液（含碘+碘化钾），遇淀粉变蓝</w:t>
                  </w:r>
                </w:p>
              </w:tc>
              <w:tc>
                <w:tcPr>
                  <w:tcW w:w="1969" w:type="pct"/>
                  <w:tcBorders>
                    <w:tl2br w:val="nil"/>
                    <w:tr2bl w:val="nil"/>
                  </w:tcBorders>
                  <w:vAlign w:val="center"/>
                </w:tcPr>
                <w:p w14:paraId="153DE7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对皮肤、黏膜有一定刺激性，大量摄入碘可引起碘中毒</w:t>
                  </w:r>
                </w:p>
              </w:tc>
            </w:tr>
            <w:tr w14:paraId="3BC28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3AC56A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21</w:t>
                  </w:r>
                </w:p>
              </w:tc>
              <w:tc>
                <w:tcPr>
                  <w:tcW w:w="918" w:type="pct"/>
                  <w:tcBorders>
                    <w:tl2br w:val="nil"/>
                    <w:tr2bl w:val="nil"/>
                  </w:tcBorders>
                  <w:vAlign w:val="center"/>
                </w:tcPr>
                <w:p w14:paraId="356DD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eastAsia" w:cs="Times New Roman"/>
                      <w:color w:val="auto"/>
                      <w:sz w:val="21"/>
                      <w:szCs w:val="21"/>
                      <w:lang w:val="en-US" w:eastAsia="zh-CN"/>
                    </w:rPr>
                    <w:t>生理盐水</w:t>
                  </w:r>
                </w:p>
              </w:tc>
              <w:tc>
                <w:tcPr>
                  <w:tcW w:w="1715" w:type="pct"/>
                  <w:tcBorders>
                    <w:tl2br w:val="nil"/>
                    <w:tr2bl w:val="nil"/>
                  </w:tcBorders>
                  <w:vAlign w:val="center"/>
                </w:tcPr>
                <w:p w14:paraId="6F86AC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无色透明液体，与体液等渗</w:t>
                  </w:r>
                </w:p>
              </w:tc>
              <w:tc>
                <w:tcPr>
                  <w:tcW w:w="1969" w:type="pct"/>
                  <w:tcBorders>
                    <w:tl2br w:val="nil"/>
                    <w:tr2bl w:val="nil"/>
                  </w:tcBorders>
                  <w:vAlign w:val="center"/>
                </w:tcPr>
                <w:p w14:paraId="77AEFC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无毒，但静脉注射过量导致水肿</w:t>
                  </w:r>
                </w:p>
              </w:tc>
            </w:tr>
            <w:tr w14:paraId="4B0A8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01B776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22</w:t>
                  </w:r>
                </w:p>
              </w:tc>
              <w:tc>
                <w:tcPr>
                  <w:tcW w:w="918" w:type="pct"/>
                  <w:tcBorders>
                    <w:tl2br w:val="nil"/>
                    <w:tr2bl w:val="nil"/>
                  </w:tcBorders>
                  <w:vAlign w:val="center"/>
                </w:tcPr>
                <w:p w14:paraId="6F52F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ascii="Times New Roman" w:hAnsi="Times New Roman" w:eastAsia="宋体" w:cs="Times New Roman"/>
                      <w:color w:val="auto"/>
                      <w:sz w:val="21"/>
                      <w:szCs w:val="21"/>
                    </w:rPr>
                    <w:t>可溶性淀粉</w:t>
                  </w:r>
                </w:p>
              </w:tc>
              <w:tc>
                <w:tcPr>
                  <w:tcW w:w="1715" w:type="pct"/>
                  <w:tcBorders>
                    <w:tl2br w:val="nil"/>
                    <w:tr2bl w:val="nil"/>
                  </w:tcBorders>
                  <w:vAlign w:val="center"/>
                </w:tcPr>
                <w:p w14:paraId="0E43FF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白色粉末，无味，遇碘显蓝</w:t>
                  </w:r>
                </w:p>
              </w:tc>
              <w:tc>
                <w:tcPr>
                  <w:tcW w:w="1969" w:type="pct"/>
                  <w:tcBorders>
                    <w:tl2br w:val="nil"/>
                    <w:tr2bl w:val="nil"/>
                  </w:tcBorders>
                  <w:vAlign w:val="center"/>
                </w:tcPr>
                <w:p w14:paraId="52279F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无毒</w:t>
                  </w:r>
                </w:p>
              </w:tc>
            </w:tr>
            <w:tr w14:paraId="317B9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117FE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23</w:t>
                  </w:r>
                </w:p>
              </w:tc>
              <w:tc>
                <w:tcPr>
                  <w:tcW w:w="918" w:type="pct"/>
                  <w:tcBorders>
                    <w:tl2br w:val="nil"/>
                    <w:tr2bl w:val="nil"/>
                  </w:tcBorders>
                  <w:vAlign w:val="center"/>
                </w:tcPr>
                <w:p w14:paraId="5613C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ascii="Times New Roman" w:hAnsi="Times New Roman" w:eastAsia="宋体" w:cs="Times New Roman"/>
                      <w:color w:val="auto"/>
                      <w:sz w:val="21"/>
                      <w:szCs w:val="21"/>
                    </w:rPr>
                    <w:t>α-淀粉酶</w:t>
                  </w:r>
                </w:p>
              </w:tc>
              <w:tc>
                <w:tcPr>
                  <w:tcW w:w="1715" w:type="pct"/>
                  <w:tcBorders>
                    <w:tl2br w:val="nil"/>
                    <w:tr2bl w:val="nil"/>
                  </w:tcBorders>
                  <w:vAlign w:val="center"/>
                </w:tcPr>
                <w:p w14:paraId="1F4BB9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淡黄色粉末或液体，生物催化剂，溶于水，不溶于乙醇乙醚</w:t>
                  </w:r>
                </w:p>
              </w:tc>
              <w:tc>
                <w:tcPr>
                  <w:tcW w:w="1969" w:type="pct"/>
                  <w:tcBorders>
                    <w:tl2br w:val="nil"/>
                    <w:tr2bl w:val="nil"/>
                  </w:tcBorders>
                  <w:vAlign w:val="center"/>
                </w:tcPr>
                <w:p w14:paraId="1B0F63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可能引起过敏反应（吸入粉尘）</w:t>
                  </w:r>
                </w:p>
              </w:tc>
            </w:tr>
            <w:tr w14:paraId="3A695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7B172B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24</w:t>
                  </w:r>
                </w:p>
              </w:tc>
              <w:tc>
                <w:tcPr>
                  <w:tcW w:w="918" w:type="pct"/>
                  <w:tcBorders>
                    <w:tl2br w:val="nil"/>
                    <w:tr2bl w:val="nil"/>
                  </w:tcBorders>
                  <w:vAlign w:val="center"/>
                </w:tcPr>
                <w:p w14:paraId="777F0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ascii="Times New Roman" w:hAnsi="Times New Roman" w:eastAsia="宋体" w:cs="Times New Roman"/>
                      <w:color w:val="auto"/>
                      <w:sz w:val="21"/>
                      <w:szCs w:val="21"/>
                    </w:rPr>
                    <w:t>琼脂粉</w:t>
                  </w:r>
                </w:p>
              </w:tc>
              <w:tc>
                <w:tcPr>
                  <w:tcW w:w="1715" w:type="pct"/>
                  <w:tcBorders>
                    <w:tl2br w:val="nil"/>
                    <w:tr2bl w:val="nil"/>
                  </w:tcBorders>
                  <w:vAlign w:val="center"/>
                </w:tcPr>
                <w:p w14:paraId="1A1B02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白色胶状多糖，来源于海藻，加热溶解冷却凝固</w:t>
                  </w:r>
                </w:p>
              </w:tc>
              <w:tc>
                <w:tcPr>
                  <w:tcW w:w="1969" w:type="pct"/>
                  <w:tcBorders>
                    <w:tl2br w:val="nil"/>
                    <w:tr2bl w:val="nil"/>
                  </w:tcBorders>
                  <w:vAlign w:val="center"/>
                </w:tcPr>
                <w:p w14:paraId="7C2722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无毒，广泛用于食品</w:t>
                  </w:r>
                </w:p>
              </w:tc>
            </w:tr>
            <w:tr w14:paraId="262D6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6B2E00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25</w:t>
                  </w:r>
                </w:p>
              </w:tc>
              <w:tc>
                <w:tcPr>
                  <w:tcW w:w="918" w:type="pct"/>
                  <w:tcBorders>
                    <w:tl2br w:val="nil"/>
                    <w:tr2bl w:val="nil"/>
                  </w:tcBorders>
                  <w:vAlign w:val="center"/>
                </w:tcPr>
                <w:p w14:paraId="2DE96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b w:val="0"/>
                      <w:bCs w:val="0"/>
                      <w:color w:val="auto"/>
                      <w:sz w:val="21"/>
                      <w:szCs w:val="18"/>
                      <w:vertAlign w:val="baseline"/>
                      <w:lang w:val="en-US" w:eastAsia="zh-CN"/>
                    </w:rPr>
                  </w:pPr>
                  <w:r>
                    <w:rPr>
                      <w:rFonts w:hint="default" w:ascii="Times New Roman" w:hAnsi="Times New Roman" w:eastAsia="宋体" w:cs="Times New Roman"/>
                      <w:color w:val="auto"/>
                      <w:sz w:val="21"/>
                      <w:szCs w:val="21"/>
                    </w:rPr>
                    <w:t>亚甲基蓝溶液</w:t>
                  </w:r>
                </w:p>
              </w:tc>
              <w:tc>
                <w:tcPr>
                  <w:tcW w:w="1715" w:type="pct"/>
                  <w:tcBorders>
                    <w:tl2br w:val="nil"/>
                    <w:tr2bl w:val="nil"/>
                  </w:tcBorders>
                  <w:vAlign w:val="center"/>
                </w:tcPr>
                <w:p w14:paraId="7B23AE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深蓝色溶液，氧化还原指示剂</w:t>
                  </w:r>
                </w:p>
              </w:tc>
              <w:tc>
                <w:tcPr>
                  <w:tcW w:w="1969" w:type="pct"/>
                  <w:tcBorders>
                    <w:tl2br w:val="nil"/>
                    <w:tr2bl w:val="nil"/>
                  </w:tcBorders>
                  <w:vAlign w:val="center"/>
                </w:tcPr>
                <w:p w14:paraId="67490B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vertAlign w:val="baseline"/>
                      <w:lang w:val="en-US" w:eastAsia="zh-CN"/>
                    </w:rPr>
                  </w:pPr>
                  <w:r>
                    <w:rPr>
                      <w:rFonts w:hint="eastAsia"/>
                      <w:b w:val="0"/>
                      <w:bCs w:val="0"/>
                      <w:color w:val="auto"/>
                      <w:sz w:val="21"/>
                      <w:szCs w:val="18"/>
                      <w:vertAlign w:val="baseline"/>
                      <w:lang w:val="en-US" w:eastAsia="zh-CN"/>
                    </w:rPr>
                    <w:t>LD</w:t>
                  </w:r>
                  <w:r>
                    <w:rPr>
                      <w:rFonts w:hint="eastAsia"/>
                      <w:b w:val="0"/>
                      <w:bCs w:val="0"/>
                      <w:color w:val="auto"/>
                      <w:sz w:val="21"/>
                      <w:szCs w:val="18"/>
                      <w:vertAlign w:val="subscript"/>
                      <w:lang w:val="en-US" w:eastAsia="zh-CN"/>
                    </w:rPr>
                    <w:t>50</w:t>
                  </w:r>
                  <w:r>
                    <w:rPr>
                      <w:rFonts w:hint="eastAsia"/>
                      <w:b w:val="0"/>
                      <w:bCs w:val="0"/>
                      <w:color w:val="auto"/>
                      <w:sz w:val="21"/>
                      <w:szCs w:val="18"/>
                      <w:vertAlign w:val="baseline"/>
                      <w:lang w:val="en-US" w:eastAsia="zh-CN"/>
                    </w:rPr>
                    <w:t>：1180mg/kg，低毒，高剂量致溶血性贫血，皮肤接触染色</w:t>
                  </w:r>
                </w:p>
              </w:tc>
            </w:tr>
          </w:tbl>
          <w:p w14:paraId="26F84B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2.4.4实验室管理要求</w:t>
            </w:r>
          </w:p>
          <w:p w14:paraId="026250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①根据试剂的性质、用途和稳定性进行分类存放。试剂应分别存放在专用的柜子里，并确保远离火源和热源。对于易挥发的试剂，必须采取密封措施，防止气体挥发。</w:t>
            </w:r>
          </w:p>
          <w:p w14:paraId="76E539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②每种试剂的存放位置都应有明确的标签，标签内容包括试剂名称、浓度、生产日期和有效期等关键信息。标签应清晰可见，不易脱落。同时，要确保标签与试剂的实际内容一致，避免误用。</w:t>
            </w:r>
          </w:p>
          <w:p w14:paraId="24939F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③实验室应安装有效的消防设施，并定期进行维护检查。试剂柜应选用防火材料制作，并保持干燥。对于易吸湿的试剂，应存放在干燥剂旁边或使用密封性好的容器保存。</w:t>
            </w:r>
          </w:p>
          <w:p w14:paraId="672308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④试剂的储存温度应根据其性质而定，对于需要低温保存的试剂，应使用冰箱或冷冻柜进行保存。</w:t>
            </w:r>
          </w:p>
          <w:p w14:paraId="22686A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⑤试剂的存放应远离污染源，如灰尘、污垢、细菌等。对于易污染的试剂，应使用洁净的容器和工具进行取用，并定期进行清洁和消毒。同时，要注意试剂的废弃处理，确保不对环境造成污染。</w:t>
            </w:r>
          </w:p>
          <w:p w14:paraId="0797BA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⑥教学仪器由专人负责管理，要设立账目，内容包括仪器名称、来源、数量、单价、金额，做到账、卡片、实物相符，学校教学仪器一律不准外借。设备应按标准分类编号，定柜、定架存放，并在柜上贴有存放仪器名称、数量的卡片，以便查找和使用。</w:t>
            </w:r>
          </w:p>
          <w:p w14:paraId="28AB5D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⑦各类仪器说明书要装订成册，专架存放，以便正确使用。教学仪器室内要张贴演示、分组实验安排表，设置实验记录单和报告单，为实验教学开展服务。</w:t>
            </w:r>
          </w:p>
          <w:p w14:paraId="56F82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⑧定期检查</w:t>
            </w:r>
          </w:p>
          <w:p w14:paraId="15EB9D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试剂的储存情况应定期进行检查，包括试剂的外观、标签、有效期等。发现异常情况应立即处理，如更换试剂、重新标记等。同时，要做好检查记录，以便追溯和管理。仪器管理人员要爱护仪器设备，及时做好维护、保养工作，使仪器设备始终处于完好状态，要经常做好仪器设备的安全工作，室内要保持干净、整洁、通风，做到防潮、防锈、防火、防盗。主管领导每学期对教学仪器管理工作进行不少于两次的检查、指导，学期末进行全面检查。</w:t>
            </w:r>
          </w:p>
          <w:p w14:paraId="5173E4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⑨使用记录</w:t>
            </w:r>
          </w:p>
          <w:p w14:paraId="515A04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每次使用试剂都应进行记录，包括使用人、使用时间、使用数量、使用目的等信息。建立教学仪器使用、归还、赔偿制度，仪器管理人员对仪器的使用、归还、赔偿都要有记载，需要请示领导的，及时向领导请示。</w:t>
            </w:r>
          </w:p>
          <w:p w14:paraId="69E47F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⑩安全培训</w:t>
            </w:r>
          </w:p>
          <w:p w14:paraId="07F099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b w:val="0"/>
                <w:bCs w:val="0"/>
                <w:color w:val="auto"/>
                <w:lang w:val="en-US" w:eastAsia="zh-CN"/>
              </w:rPr>
            </w:pPr>
            <w:r>
              <w:rPr>
                <w:rFonts w:hint="default"/>
                <w:b w:val="0"/>
                <w:bCs w:val="0"/>
                <w:color w:val="auto"/>
                <w:lang w:val="en-US" w:eastAsia="zh-CN"/>
              </w:rPr>
              <w:t>实验室的工作人员应定期进行安全培训，了解试剂的性质、储存方法、使用注意事项等。同时，要熟悉实验室的安全设施和应急处理措施，确保在遇到突发情况时能够迅速应对</w:t>
            </w:r>
            <w:r>
              <w:rPr>
                <w:rFonts w:hint="eastAsia"/>
                <w:b w:val="0"/>
                <w:bCs w:val="0"/>
                <w:color w:val="auto"/>
                <w:lang w:val="en-US" w:eastAsia="zh-CN"/>
              </w:rPr>
              <w:t>。</w:t>
            </w:r>
          </w:p>
          <w:p w14:paraId="3F3624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2.5总平面布置</w:t>
            </w:r>
          </w:p>
          <w:p w14:paraId="6A4FE0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color w:val="auto"/>
                <w:lang w:val="en-US" w:eastAsia="zh-CN"/>
              </w:rPr>
            </w:pPr>
            <w:r>
              <w:rPr>
                <w:rFonts w:hint="eastAsia"/>
                <w:b/>
                <w:bCs/>
                <w:color w:val="auto"/>
                <w:lang w:val="en-US" w:eastAsia="zh-CN"/>
              </w:rPr>
              <w:t>平面布置</w:t>
            </w:r>
            <w:r>
              <w:rPr>
                <w:rFonts w:hint="eastAsia"/>
                <w:color w:val="auto"/>
                <w:lang w:val="en-US" w:eastAsia="zh-CN"/>
              </w:rPr>
              <w:t>：本次新建初中部位于现有麟绛小学西侧，建成后拆除拟建场地与小学部之间围墙，与现有小学部分列东西两侧。</w:t>
            </w:r>
          </w:p>
          <w:p w14:paraId="6CA3FA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本项目校区扩建的初中部含教学楼，初中部实验楼，阅览室及阶梯教室，采用走廊连通，可方便学生与教师往返于教室及实验室之间。风雨操场位于校区占地南侧，设室内活动场（篮球场）、乒乓球场地、更衣室、器材存放室。田径操场与小学部共用，篮球场位于风雨操场旁，设置2座，占地面积860m</w:t>
            </w:r>
            <w:r>
              <w:rPr>
                <w:rFonts w:hint="eastAsia"/>
                <w:color w:val="auto"/>
                <w:vertAlign w:val="superscript"/>
                <w:lang w:val="en-US" w:eastAsia="zh-CN"/>
              </w:rPr>
              <w:t>2</w:t>
            </w:r>
            <w:r>
              <w:rPr>
                <w:rFonts w:hint="eastAsia"/>
                <w:color w:val="auto"/>
                <w:lang w:val="en-US" w:eastAsia="zh-CN"/>
              </w:rPr>
              <w:t>。新建教学楼四周形成环形车道，车道宽度≥4米，转弯半径为12米，可满足消防车通行。此外，校区按照0.5个/100名师生共配建6个地面停车位，1个充电桩。</w:t>
            </w:r>
          </w:p>
          <w:p w14:paraId="6E3B9F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color w:val="auto"/>
                <w:lang w:val="en-US" w:eastAsia="zh-CN"/>
              </w:rPr>
            </w:pPr>
            <w:r>
              <w:rPr>
                <w:rFonts w:hint="eastAsia"/>
                <w:b/>
                <w:bCs/>
                <w:color w:val="auto"/>
                <w:lang w:val="en-US" w:eastAsia="zh-CN"/>
              </w:rPr>
              <w:t>立面设置</w:t>
            </w:r>
            <w:r>
              <w:rPr>
                <w:rFonts w:hint="eastAsia"/>
                <w:color w:val="auto"/>
                <w:lang w:val="en-US" w:eastAsia="zh-CN"/>
              </w:rPr>
              <w:t>：初中部教学楼为地上五层，一层至五层为普通教室、行政办公室、卫生间、楼梯间、电机间等，教学用房24间。</w:t>
            </w:r>
          </w:p>
          <w:p w14:paraId="26F6EC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初中部实验楼地上一层为化学实验室，物理实验室，卫生间，楼梯间，电机间等；二层为化学实验室、物理实验室、生物实验室，卫生间，楼梯间，电机间等；三层为科学实验室，计算机教室，美术教室，音乐教室，卫生间，楼梯间，电机间等；四层、五层为教师办公室、行政办公室，卫生间、楼梯间、电机间等。共计化学实验室4间（一层、二层）、物理实验室3间、生物实验室1间、音乐1间、美术1间、计算机1间、多功能教室（合班教室）3间。</w:t>
            </w:r>
          </w:p>
          <w:p w14:paraId="7E18EA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阅览室、阶梯教室为地上二层，一层为阅览室，卫生间，楼梯间，电机间等；二层为阶梯教室，卫生间，楼梯间，电机间等。</w:t>
            </w:r>
          </w:p>
          <w:p w14:paraId="6A7E06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b/>
                <w:bCs/>
                <w:color w:val="auto"/>
                <w:highlight w:val="none"/>
                <w:lang w:val="en-US" w:eastAsia="zh-CN"/>
              </w:rPr>
            </w:pPr>
            <w:r>
              <w:rPr>
                <w:rFonts w:hint="eastAsia"/>
                <w:b w:val="0"/>
                <w:bCs w:val="0"/>
                <w:color w:val="auto"/>
                <w:highlight w:val="none"/>
                <w:lang w:val="en-US" w:eastAsia="zh-CN"/>
              </w:rPr>
              <w:t>校区平面布置及教学楼各层平面布置见附图3。</w:t>
            </w:r>
          </w:p>
          <w:p w14:paraId="19BF85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2.6办学规模与学制</w:t>
            </w:r>
          </w:p>
          <w:p w14:paraId="67A1EA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default"/>
                <w:color w:val="auto"/>
                <w:lang w:val="en-US" w:eastAsia="zh-CN"/>
              </w:rPr>
              <w:t>本项目招生规模为初中生1200人（</w:t>
            </w:r>
            <w:r>
              <w:rPr>
                <w:rFonts w:hint="eastAsia"/>
                <w:color w:val="auto"/>
                <w:lang w:val="en-US" w:eastAsia="zh-CN"/>
              </w:rPr>
              <w:t>不</w:t>
            </w:r>
            <w:r>
              <w:rPr>
                <w:rFonts w:hint="default"/>
                <w:color w:val="auto"/>
                <w:lang w:val="en-US" w:eastAsia="zh-CN"/>
              </w:rPr>
              <w:t>含食宿），并配套</w:t>
            </w:r>
            <w:r>
              <w:rPr>
                <w:rFonts w:hint="eastAsia"/>
                <w:color w:val="auto"/>
                <w:lang w:val="en-US" w:eastAsia="zh-CN"/>
              </w:rPr>
              <w:t>89</w:t>
            </w:r>
            <w:r>
              <w:rPr>
                <w:rFonts w:hint="default"/>
                <w:color w:val="auto"/>
                <w:lang w:val="en-US" w:eastAsia="zh-CN"/>
              </w:rPr>
              <w:t>名教职工</w:t>
            </w:r>
            <w:r>
              <w:rPr>
                <w:rFonts w:hint="eastAsia"/>
                <w:color w:val="auto"/>
                <w:lang w:val="en-US" w:eastAsia="zh-CN"/>
              </w:rPr>
              <w:t>；</w:t>
            </w:r>
            <w:r>
              <w:rPr>
                <w:rFonts w:hint="default"/>
                <w:color w:val="auto"/>
                <w:lang w:val="en-US" w:eastAsia="zh-CN"/>
              </w:rPr>
              <w:t>学制为全日制普通学校，</w:t>
            </w:r>
            <w:r>
              <w:rPr>
                <w:rFonts w:hint="eastAsia"/>
                <w:color w:val="auto"/>
                <w:lang w:val="en-US" w:eastAsia="zh-CN"/>
              </w:rPr>
              <w:t>除去寒暑假及节假日</w:t>
            </w:r>
            <w:r>
              <w:rPr>
                <w:rFonts w:hint="default"/>
                <w:color w:val="auto"/>
                <w:lang w:val="en-US" w:eastAsia="zh-CN"/>
              </w:rPr>
              <w:t>，年</w:t>
            </w:r>
            <w:r>
              <w:rPr>
                <w:rFonts w:hint="eastAsia"/>
                <w:color w:val="auto"/>
                <w:lang w:val="en-US" w:eastAsia="zh-CN"/>
              </w:rPr>
              <w:t>在校时间平均约198天。</w:t>
            </w:r>
          </w:p>
          <w:p w14:paraId="5D9390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2.7公用工程</w:t>
            </w:r>
          </w:p>
          <w:p w14:paraId="5396E9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本学校不设置食堂、住宿。</w:t>
            </w:r>
          </w:p>
          <w:p w14:paraId="43E83B61">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给水</w:t>
            </w:r>
          </w:p>
          <w:p w14:paraId="0A4718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本项目水源为城市自来水。本项目营运期用水主要为学生、教职工生活用水、实验用水、绿化及浇洒道路用水</w:t>
            </w:r>
            <w:r>
              <w:rPr>
                <w:rFonts w:hint="eastAsia"/>
                <w:color w:val="auto"/>
                <w:lang w:val="en-US" w:eastAsia="zh-CN"/>
              </w:rPr>
              <w:t>。</w:t>
            </w:r>
          </w:p>
          <w:p w14:paraId="17903A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rFonts w:hint="default"/>
                <w:color w:val="auto"/>
              </w:rPr>
              <w:t>①</w:t>
            </w:r>
            <w:r>
              <w:rPr>
                <w:rFonts w:hint="eastAsia"/>
                <w:color w:val="auto"/>
                <w:lang w:val="en-US" w:eastAsia="zh-CN"/>
              </w:rPr>
              <w:fldChar w:fldCharType="end"/>
            </w:r>
            <w:r>
              <w:rPr>
                <w:rFonts w:hint="eastAsia"/>
                <w:color w:val="auto"/>
                <w:lang w:val="en-US" w:eastAsia="zh-CN"/>
              </w:rPr>
              <w:t>学校学生、教职工生活用水</w:t>
            </w:r>
          </w:p>
          <w:p w14:paraId="3A54BE28">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1"/>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1"/>
                <w:lang w:val="en-US" w:eastAsia="zh-CN" w:bidi="ar-SA"/>
              </w:rPr>
              <w:t>学校办学规划在校师生共计</w:t>
            </w:r>
            <w:r>
              <w:rPr>
                <w:rFonts w:hint="eastAsia" w:ascii="Times New Roman" w:hAnsi="Times New Roman" w:eastAsia="宋体" w:cs="Times New Roman"/>
                <w:color w:val="auto"/>
                <w:kern w:val="2"/>
                <w:sz w:val="24"/>
                <w:szCs w:val="21"/>
                <w:lang w:val="en-US" w:eastAsia="zh-CN" w:bidi="ar-SA"/>
              </w:rPr>
              <w:t>1289人</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学生1200人，教职工89人</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除去节假日，年在校时间为 198 天</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根据《山西省用水定额第 3 部分：服务业用水定额》（DB14/T1049.3-2021）中教育用水定额，初中用水量按</w:t>
            </w:r>
            <w:r>
              <w:rPr>
                <w:rFonts w:hint="eastAsia" w:ascii="Times New Roman" w:hAnsi="Times New Roman" w:cs="Times New Roman"/>
                <w:color w:val="auto"/>
                <w:kern w:val="2"/>
                <w:sz w:val="24"/>
                <w:szCs w:val="21"/>
                <w:lang w:val="en-US" w:eastAsia="zh-CN" w:bidi="ar-SA"/>
              </w:rPr>
              <w:t>8.0</w:t>
            </w:r>
            <w:r>
              <w:rPr>
                <w:rFonts w:hint="default" w:ascii="Times New Roman" w:hAnsi="Times New Roman" w:eastAsia="宋体" w:cs="Times New Roman"/>
                <w:color w:val="auto"/>
                <w:kern w:val="2"/>
                <w:sz w:val="24"/>
                <w:szCs w:val="21"/>
                <w:lang w:val="en-US" w:eastAsia="zh-CN" w:bidi="ar-SA"/>
              </w:rPr>
              <w:t>m</w:t>
            </w:r>
            <w:r>
              <w:rPr>
                <w:rFonts w:hint="default" w:ascii="Times New Roman" w:hAnsi="Times New Roman" w:eastAsia="宋体" w:cs="Times New Roman"/>
                <w:color w:val="auto"/>
                <w:kern w:val="2"/>
                <w:sz w:val="24"/>
                <w:szCs w:val="21"/>
                <w:vertAlign w:val="superscript"/>
                <w:lang w:val="en-US" w:eastAsia="zh-CN" w:bidi="ar-SA"/>
              </w:rPr>
              <w:t>3</w:t>
            </w:r>
            <w:r>
              <w:rPr>
                <w:rFonts w:hint="default" w:ascii="Times New Roman" w:hAnsi="Times New Roman" w:eastAsia="宋体" w:cs="Times New Roman"/>
                <w:color w:val="auto"/>
                <w:kern w:val="2"/>
                <w:sz w:val="24"/>
                <w:szCs w:val="21"/>
                <w:lang w:val="en-US" w:eastAsia="zh-CN" w:bidi="ar-SA"/>
              </w:rPr>
              <w:t>（p ·a）计算，则生活用水量为</w:t>
            </w:r>
            <w:r>
              <w:rPr>
                <w:rFonts w:hint="eastAsia" w:ascii="Times New Roman" w:hAnsi="Times New Roman" w:cs="Times New Roman"/>
                <w:color w:val="auto"/>
                <w:kern w:val="2"/>
                <w:sz w:val="24"/>
                <w:szCs w:val="21"/>
                <w:lang w:val="en-US" w:eastAsia="zh-CN" w:bidi="ar-SA"/>
              </w:rPr>
              <w:t>10312</w:t>
            </w:r>
            <w:r>
              <w:rPr>
                <w:rFonts w:hint="default" w:ascii="Times New Roman" w:hAnsi="Times New Roman" w:eastAsia="宋体" w:cs="Times New Roman"/>
                <w:color w:val="auto"/>
                <w:kern w:val="2"/>
                <w:sz w:val="24"/>
                <w:szCs w:val="21"/>
                <w:lang w:val="en-US" w:eastAsia="zh-CN" w:bidi="ar-SA"/>
              </w:rPr>
              <w:t>m</w:t>
            </w:r>
            <w:r>
              <w:rPr>
                <w:rFonts w:hint="default" w:ascii="Times New Roman" w:hAnsi="Times New Roman" w:eastAsia="宋体" w:cs="Times New Roman"/>
                <w:color w:val="auto"/>
                <w:kern w:val="2"/>
                <w:sz w:val="24"/>
                <w:szCs w:val="21"/>
                <w:vertAlign w:val="superscript"/>
                <w:lang w:val="en-US" w:eastAsia="zh-CN" w:bidi="ar-SA"/>
              </w:rPr>
              <w:t>3</w:t>
            </w:r>
            <w:r>
              <w:rPr>
                <w:rFonts w:hint="default" w:ascii="Times New Roman" w:hAnsi="Times New Roman" w:eastAsia="宋体" w:cs="Times New Roman"/>
                <w:color w:val="auto"/>
                <w:kern w:val="2"/>
                <w:sz w:val="24"/>
                <w:szCs w:val="21"/>
                <w:lang w:val="en-US" w:eastAsia="zh-CN" w:bidi="ar-SA"/>
              </w:rPr>
              <w:t>/a</w:t>
            </w:r>
            <w:r>
              <w:rPr>
                <w:rFonts w:hint="eastAsia" w:ascii="Times New Roman" w:hAnsi="Times New Roman" w:eastAsia="宋体" w:cs="Times New Roman"/>
                <w:color w:val="auto"/>
                <w:kern w:val="2"/>
                <w:sz w:val="24"/>
                <w:szCs w:val="21"/>
                <w:lang w:val="en-US" w:eastAsia="zh-CN" w:bidi="ar-SA"/>
              </w:rPr>
              <w:t>，</w:t>
            </w:r>
            <w:r>
              <w:rPr>
                <w:rFonts w:hint="eastAsia" w:ascii="Times New Roman" w:hAnsi="Times New Roman" w:cs="Times New Roman"/>
                <w:color w:val="auto"/>
                <w:kern w:val="2"/>
                <w:sz w:val="24"/>
                <w:szCs w:val="21"/>
                <w:lang w:val="en-US" w:eastAsia="zh-CN" w:bidi="ar-SA"/>
              </w:rPr>
              <w:t>52.08</w:t>
            </w:r>
            <w:r>
              <w:rPr>
                <w:rFonts w:hint="default" w:ascii="Times New Roman" w:hAnsi="Times New Roman" w:eastAsia="宋体" w:cs="Times New Roman"/>
                <w:color w:val="auto"/>
                <w:kern w:val="2"/>
                <w:sz w:val="24"/>
                <w:szCs w:val="21"/>
                <w:lang w:val="en-US" w:eastAsia="zh-CN" w:bidi="ar-SA"/>
              </w:rPr>
              <w:t>m</w:t>
            </w:r>
            <w:r>
              <w:rPr>
                <w:rFonts w:hint="default" w:ascii="Times New Roman" w:hAnsi="Times New Roman" w:eastAsia="宋体" w:cs="Times New Roman"/>
                <w:color w:val="auto"/>
                <w:kern w:val="2"/>
                <w:sz w:val="24"/>
                <w:szCs w:val="21"/>
                <w:vertAlign w:val="superscript"/>
                <w:lang w:val="en-US" w:eastAsia="zh-CN" w:bidi="ar-SA"/>
              </w:rPr>
              <w:t>3</w:t>
            </w:r>
            <w:r>
              <w:rPr>
                <w:rFonts w:hint="default" w:ascii="Times New Roman" w:hAnsi="Times New Roman" w:eastAsia="宋体" w:cs="Times New Roman"/>
                <w:color w:val="auto"/>
                <w:kern w:val="2"/>
                <w:sz w:val="24"/>
                <w:szCs w:val="21"/>
                <w:lang w:val="en-US" w:eastAsia="zh-CN" w:bidi="ar-SA"/>
              </w:rPr>
              <w:t>/d</w:t>
            </w:r>
            <w:r>
              <w:rPr>
                <w:rFonts w:hint="default" w:ascii="Times New Roman" w:hAnsi="Times New Roman" w:cs="Times New Roman"/>
                <w:color w:val="auto"/>
                <w:spacing w:val="-2"/>
                <w:sz w:val="24"/>
                <w:szCs w:val="24"/>
              </w:rPr>
              <w:t>。</w:t>
            </w:r>
          </w:p>
          <w:p w14:paraId="18D9E5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2 \* GB3 \* MERGEFORMAT </w:instrText>
            </w:r>
            <w:r>
              <w:rPr>
                <w:rFonts w:hint="default" w:ascii="Times New Roman" w:hAnsi="Times New Roman" w:cs="Times New Roman"/>
                <w:color w:val="auto"/>
                <w:sz w:val="24"/>
                <w:szCs w:val="24"/>
                <w:lang w:val="en-US" w:eastAsia="zh-CN"/>
              </w:rPr>
              <w:fldChar w:fldCharType="separate"/>
            </w:r>
            <w:r>
              <w:rPr>
                <w:rFonts w:hint="default"/>
                <w:color w:val="auto"/>
              </w:rPr>
              <w:t>②</w:t>
            </w:r>
            <w:r>
              <w:rPr>
                <w:rFonts w:hint="default" w:ascii="Times New Roman" w:hAnsi="Times New Roman" w:cs="Times New Roman"/>
                <w:color w:val="auto"/>
                <w:sz w:val="24"/>
                <w:szCs w:val="24"/>
                <w:lang w:val="en-US" w:eastAsia="zh-CN"/>
              </w:rPr>
              <w:fldChar w:fldCharType="end"/>
            </w:r>
            <w:r>
              <w:rPr>
                <w:rFonts w:hint="eastAsia" w:ascii="Times New Roman" w:hAnsi="Times New Roman" w:cs="Times New Roman"/>
                <w:color w:val="auto"/>
                <w:sz w:val="24"/>
                <w:szCs w:val="24"/>
                <w:lang w:val="en-US" w:eastAsia="zh-CN"/>
              </w:rPr>
              <w:t>实验用水</w:t>
            </w:r>
          </w:p>
          <w:p w14:paraId="226D63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项目实验用水为物理、化学、生物实验用水。学生人数</w:t>
            </w:r>
            <w:r>
              <w:rPr>
                <w:rFonts w:hint="eastAsia" w:ascii="Times New Roman" w:hAnsi="Times New Roman" w:cs="Times New Roman"/>
                <w:color w:val="auto"/>
                <w:sz w:val="24"/>
                <w:szCs w:val="24"/>
                <w:lang w:val="en-US" w:eastAsia="zh-CN"/>
              </w:rPr>
              <w:t>1200</w:t>
            </w:r>
            <w:r>
              <w:rPr>
                <w:rFonts w:hint="default" w:ascii="Times New Roman" w:hAnsi="Times New Roman" w:cs="Times New Roman"/>
                <w:color w:val="auto"/>
                <w:sz w:val="24"/>
                <w:szCs w:val="24"/>
                <w:lang w:val="en-US" w:eastAsia="zh-CN"/>
              </w:rPr>
              <w:t>人，设</w:t>
            </w:r>
            <w:r>
              <w:rPr>
                <w:rFonts w:hint="eastAsia" w:ascii="Times New Roman" w:hAnsi="Times New Roman" w:cs="Times New Roman"/>
                <w:color w:val="auto"/>
                <w:sz w:val="24"/>
                <w:szCs w:val="24"/>
                <w:lang w:val="en-US" w:eastAsia="zh-CN"/>
              </w:rPr>
              <w:t>24个班，每个班 50 人。根据教学计划每个班平均每周做一次实验，实验分为演示型实验和操作型实验。操作型实验所占比例约为50% 。演示型实验采用多媒体教学方式。每学年36-40周，除考试外，平均每年教学课时为32周。每年操作型实验次数为24×32×50% ＝384次。每次实验人数为50人。根据《建筑给排水设计规范》中学实验室用水量指标为30L/人·次。本项目化学实验室用水为384次/年×50人×30L/次=576m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/年。折合日用水量为 576m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/年÷32周÷5天/周=3.6m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w:t>
            </w:r>
          </w:p>
          <w:p w14:paraId="1E8018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3 \* GB3 \* MERGEFORMAT </w:instrText>
            </w:r>
            <w:r>
              <w:rPr>
                <w:rFonts w:hint="default" w:ascii="Times New Roman" w:hAnsi="Times New Roman" w:cs="Times New Roman"/>
                <w:color w:val="auto"/>
                <w:sz w:val="24"/>
                <w:szCs w:val="24"/>
                <w:lang w:val="en-US" w:eastAsia="zh-CN"/>
              </w:rPr>
              <w:fldChar w:fldCharType="separate"/>
            </w:r>
            <w:r>
              <w:rPr>
                <w:rFonts w:hint="default"/>
                <w:color w:val="auto"/>
              </w:rPr>
              <w:t>③</w:t>
            </w:r>
            <w:r>
              <w:rPr>
                <w:rFonts w:hint="default" w:ascii="Times New Roman" w:hAnsi="Times New Roman" w:cs="Times New Roman"/>
                <w:color w:val="auto"/>
                <w:sz w:val="24"/>
                <w:szCs w:val="24"/>
                <w:lang w:val="en-US" w:eastAsia="zh-CN"/>
              </w:rPr>
              <w:fldChar w:fldCharType="end"/>
            </w:r>
            <w:r>
              <w:rPr>
                <w:rFonts w:hint="eastAsia" w:ascii="Times New Roman" w:hAnsi="Times New Roman" w:cs="Times New Roman"/>
                <w:color w:val="auto"/>
                <w:sz w:val="24"/>
                <w:szCs w:val="24"/>
                <w:lang w:val="en-US" w:eastAsia="zh-CN"/>
              </w:rPr>
              <w:t>绿化用水</w:t>
            </w:r>
          </w:p>
          <w:p w14:paraId="410F85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本项目绿化面积为</w:t>
            </w:r>
            <w:r>
              <w:rPr>
                <w:rFonts w:hint="eastAsia" w:ascii="Times New Roman" w:hAnsi="Times New Roman" w:cs="Times New Roman"/>
                <w:color w:val="auto"/>
                <w:sz w:val="24"/>
                <w:szCs w:val="24"/>
                <w:lang w:val="en-US" w:eastAsia="zh-CN"/>
              </w:rPr>
              <w:t>2577</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，根据《山西省用水定额第 3 部分：服务业用水定额》（DB14/T1049.3-2021），绿化用水</w:t>
            </w:r>
            <w:r>
              <w:rPr>
                <w:rFonts w:hint="default" w:ascii="Times New Roman" w:hAnsi="Times New Roman" w:cs="Times New Roman"/>
                <w:color w:val="auto"/>
                <w:sz w:val="24"/>
                <w:szCs w:val="24"/>
                <w:highlight w:val="none"/>
                <w:lang w:val="en-US" w:eastAsia="zh-CN"/>
              </w:rPr>
              <w:t>系数按</w:t>
            </w:r>
            <w:r>
              <w:rPr>
                <w:rFonts w:hint="eastAsia"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val="en-US" w:eastAsia="zh-CN"/>
              </w:rPr>
              <w:t>L/（m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 xml:space="preserve">/d）计算，本项目中绿化用水的年灌溉期设定为 </w:t>
            </w:r>
            <w:r>
              <w:rPr>
                <w:rFonts w:hint="eastAsia" w:cs="Times New Roman"/>
                <w:color w:val="auto"/>
                <w:sz w:val="24"/>
                <w:szCs w:val="24"/>
                <w:highlight w:val="none"/>
                <w:lang w:val="en-US" w:eastAsia="zh-CN"/>
              </w:rPr>
              <w:t>150</w:t>
            </w:r>
            <w:r>
              <w:rPr>
                <w:rFonts w:hint="default" w:ascii="Times New Roman" w:hAnsi="Times New Roman" w:cs="Times New Roman"/>
                <w:color w:val="auto"/>
                <w:sz w:val="24"/>
                <w:szCs w:val="24"/>
                <w:highlight w:val="none"/>
                <w:lang w:val="en-US" w:eastAsia="zh-CN"/>
              </w:rPr>
              <w:t xml:space="preserve"> 天，则绿化用水量为</w:t>
            </w:r>
            <w:r>
              <w:rPr>
                <w:rFonts w:hint="eastAsia" w:cs="Times New Roman"/>
                <w:color w:val="auto"/>
                <w:sz w:val="24"/>
                <w:szCs w:val="24"/>
                <w:highlight w:val="none"/>
                <w:lang w:val="en-US" w:eastAsia="zh-CN"/>
              </w:rPr>
              <w:t>579.8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3.87</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p>
          <w:p w14:paraId="674906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 4 \* GB3 \* MERGEFORMAT </w:instrText>
            </w:r>
            <w:r>
              <w:rPr>
                <w:rFonts w:hint="default" w:ascii="Times New Roman" w:hAnsi="Times New Roman" w:cs="Times New Roman"/>
                <w:color w:val="auto"/>
                <w:sz w:val="24"/>
                <w:szCs w:val="24"/>
                <w:highlight w:val="none"/>
                <w:lang w:val="en-US" w:eastAsia="zh-CN"/>
              </w:rPr>
              <w:fldChar w:fldCharType="separate"/>
            </w:r>
            <w:r>
              <w:rPr>
                <w:rFonts w:hint="default"/>
                <w:color w:val="auto"/>
                <w:highlight w:val="none"/>
              </w:rPr>
              <w:t>④</w:t>
            </w:r>
            <w:r>
              <w:rPr>
                <w:rFonts w:hint="default"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浇洒道路用水</w:t>
            </w:r>
          </w:p>
          <w:p w14:paraId="34B034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本项目道路硬化面积为3873m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，根据《山西省用水定额第 3 部分：服务业用水定额》（DB14/T1049.3-2021），道路用水系数按</w:t>
            </w:r>
            <w:r>
              <w:rPr>
                <w:rFonts w:hint="eastAsia"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val="en-US" w:eastAsia="zh-CN"/>
              </w:rPr>
              <w:t>L/（m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/d）计算，每天洒水一次，则道路用水量为</w:t>
            </w:r>
            <w:r>
              <w:rPr>
                <w:rFonts w:hint="eastAsia" w:cs="Times New Roman"/>
                <w:color w:val="auto"/>
                <w:sz w:val="24"/>
                <w:szCs w:val="24"/>
                <w:highlight w:val="none"/>
                <w:lang w:val="en-US" w:eastAsia="zh-CN"/>
              </w:rPr>
              <w:t>871.5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5.81</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p>
          <w:p w14:paraId="0000DF94">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排水</w:t>
            </w:r>
          </w:p>
          <w:p w14:paraId="23B047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highlight w:val="none"/>
                <w:lang w:val="en-US" w:eastAsia="zh-CN"/>
              </w:rPr>
            </w:pPr>
            <w:r>
              <w:rPr>
                <w:rFonts w:hint="default"/>
                <w:color w:val="auto"/>
                <w:lang w:val="en-US" w:eastAsia="zh-CN"/>
              </w:rPr>
              <w:t>本项</w:t>
            </w:r>
            <w:r>
              <w:rPr>
                <w:rFonts w:hint="default"/>
                <w:color w:val="auto"/>
                <w:highlight w:val="none"/>
                <w:lang w:val="en-US" w:eastAsia="zh-CN"/>
              </w:rPr>
              <w:t>目排水系统采用雨污分流制，雨、污水分别排入校区北侧</w:t>
            </w:r>
            <w:r>
              <w:rPr>
                <w:rFonts w:hint="eastAsia"/>
                <w:color w:val="auto"/>
                <w:highlight w:val="none"/>
                <w:lang w:val="en-US" w:eastAsia="zh-CN"/>
              </w:rPr>
              <w:t>麟绛西大街的</w:t>
            </w:r>
            <w:r>
              <w:rPr>
                <w:rFonts w:hint="default"/>
                <w:color w:val="auto"/>
                <w:highlight w:val="none"/>
                <w:lang w:val="en-US" w:eastAsia="zh-CN"/>
              </w:rPr>
              <w:t>市政道路的雨</w:t>
            </w:r>
            <w:r>
              <w:rPr>
                <w:rFonts w:hint="eastAsia"/>
                <w:color w:val="auto"/>
                <w:highlight w:val="none"/>
                <w:lang w:val="en-US" w:eastAsia="zh-CN"/>
              </w:rPr>
              <w:t>、污水管网。</w:t>
            </w:r>
          </w:p>
          <w:p w14:paraId="754B75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1 \* GB3 \* MERGEFORMAT </w:instrText>
            </w:r>
            <w:r>
              <w:rPr>
                <w:rFonts w:hint="eastAsia"/>
                <w:color w:val="auto"/>
                <w:highlight w:val="none"/>
                <w:lang w:val="en-US" w:eastAsia="zh-CN"/>
              </w:rPr>
              <w:fldChar w:fldCharType="separate"/>
            </w:r>
            <w:r>
              <w:rPr>
                <w:rFonts w:hint="default"/>
                <w:color w:val="auto"/>
                <w:highlight w:val="none"/>
              </w:rPr>
              <w:t>①</w:t>
            </w:r>
            <w:r>
              <w:rPr>
                <w:rFonts w:hint="eastAsia"/>
                <w:color w:val="auto"/>
                <w:highlight w:val="none"/>
                <w:lang w:val="en-US" w:eastAsia="zh-CN"/>
              </w:rPr>
              <w:fldChar w:fldCharType="end"/>
            </w:r>
            <w:r>
              <w:rPr>
                <w:rFonts w:hint="eastAsia"/>
                <w:color w:val="auto"/>
                <w:highlight w:val="none"/>
                <w:lang w:val="en-US" w:eastAsia="zh-CN"/>
              </w:rPr>
              <w:t>生活污水</w:t>
            </w:r>
          </w:p>
          <w:p w14:paraId="33D09A9E">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lang w:val="en-US" w:eastAsia="zh-CN"/>
              </w:rPr>
            </w:pPr>
            <w:r>
              <w:rPr>
                <w:rFonts w:hint="default"/>
                <w:color w:val="auto"/>
                <w:lang w:val="en-US" w:eastAsia="zh-CN"/>
              </w:rPr>
              <w:t>生活污水产生量按用水量的80%计，则生活污水产生量为</w:t>
            </w:r>
            <w:r>
              <w:rPr>
                <w:rFonts w:hint="eastAsia"/>
                <w:color w:val="auto"/>
                <w:lang w:val="en-US" w:eastAsia="zh-CN"/>
              </w:rPr>
              <w:t>8249.6t</w:t>
            </w:r>
            <w:r>
              <w:rPr>
                <w:rFonts w:hint="default"/>
                <w:color w:val="auto"/>
                <w:lang w:val="en-US" w:eastAsia="zh-CN"/>
              </w:rPr>
              <w:t>/a，</w:t>
            </w:r>
            <w:r>
              <w:rPr>
                <w:rFonts w:hint="eastAsia"/>
                <w:color w:val="auto"/>
                <w:lang w:val="en-US" w:eastAsia="zh-CN"/>
              </w:rPr>
              <w:t>41.66t</w:t>
            </w:r>
            <w:r>
              <w:rPr>
                <w:rFonts w:hint="default"/>
                <w:color w:val="auto"/>
                <w:lang w:val="en-US" w:eastAsia="zh-CN"/>
              </w:rPr>
              <w:t>/d。生活污水通过市政管网进入</w:t>
            </w:r>
            <w:r>
              <w:rPr>
                <w:rFonts w:hint="default"/>
                <w:color w:val="auto"/>
                <w:highlight w:val="none"/>
                <w:lang w:val="en-US" w:eastAsia="zh-CN"/>
              </w:rPr>
              <w:t>长治市</w:t>
            </w:r>
            <w:r>
              <w:rPr>
                <w:rFonts w:hint="eastAsia"/>
                <w:color w:val="auto"/>
                <w:highlight w:val="none"/>
                <w:lang w:val="en-US" w:eastAsia="zh-CN"/>
              </w:rPr>
              <w:t>屯留县城区污水处理厂</w:t>
            </w:r>
            <w:r>
              <w:rPr>
                <w:rFonts w:hint="default"/>
                <w:color w:val="auto"/>
                <w:lang w:val="en-US" w:eastAsia="zh-CN"/>
              </w:rPr>
              <w:t>。</w:t>
            </w:r>
          </w:p>
          <w:p w14:paraId="414AE3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rFonts w:hint="default"/>
                <w:color w:val="auto"/>
              </w:rPr>
              <w:t>②</w:t>
            </w:r>
            <w:r>
              <w:rPr>
                <w:rFonts w:hint="eastAsia"/>
                <w:color w:val="auto"/>
                <w:lang w:val="en-US" w:eastAsia="zh-CN"/>
              </w:rPr>
              <w:fldChar w:fldCharType="end"/>
            </w:r>
            <w:r>
              <w:rPr>
                <w:rFonts w:hint="eastAsia"/>
                <w:color w:val="auto"/>
                <w:lang w:val="en-US" w:eastAsia="zh-CN"/>
              </w:rPr>
              <w:t>实验废水</w:t>
            </w:r>
          </w:p>
          <w:p w14:paraId="507166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default"/>
                <w:color w:val="auto"/>
                <w:lang w:val="en-US" w:eastAsia="zh-CN"/>
              </w:rPr>
              <w:t>在进行实验前后，需要对实验器皿进行清洗，会产生实验废水，实验废水产生量按用水量的90%计，则实验废水产生量为</w:t>
            </w:r>
            <w:r>
              <w:rPr>
                <w:rFonts w:hint="eastAsia"/>
                <w:color w:val="auto"/>
                <w:lang w:val="en-US" w:eastAsia="zh-CN"/>
              </w:rPr>
              <w:t>518.4t</w:t>
            </w:r>
            <w:r>
              <w:rPr>
                <w:rFonts w:hint="default"/>
                <w:color w:val="auto"/>
                <w:lang w:val="en-US" w:eastAsia="zh-CN"/>
              </w:rPr>
              <w:t>/a，</w:t>
            </w:r>
            <w:r>
              <w:rPr>
                <w:rFonts w:hint="eastAsia"/>
                <w:color w:val="auto"/>
                <w:lang w:val="en-US" w:eastAsia="zh-CN"/>
              </w:rPr>
              <w:t>3.24t</w:t>
            </w:r>
            <w:r>
              <w:rPr>
                <w:rFonts w:hint="default"/>
                <w:color w:val="auto"/>
                <w:lang w:val="en-US" w:eastAsia="zh-CN"/>
              </w:rPr>
              <w:t>/d。实验室废水排至校区污水管网</w:t>
            </w:r>
            <w:r>
              <w:rPr>
                <w:rFonts w:hint="default"/>
                <w:color w:val="auto"/>
                <w:highlight w:val="none"/>
                <w:lang w:val="en-US" w:eastAsia="zh-CN"/>
              </w:rPr>
              <w:t>，最终进入长治市</w:t>
            </w:r>
            <w:r>
              <w:rPr>
                <w:rFonts w:hint="eastAsia"/>
                <w:color w:val="auto"/>
                <w:highlight w:val="none"/>
                <w:lang w:val="en-US" w:eastAsia="zh-CN"/>
              </w:rPr>
              <w:t>屯留县城区污水处理厂。</w:t>
            </w:r>
          </w:p>
          <w:p w14:paraId="621FDC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用水量统计表详见表2-6，水平衡图见图2-1及图2-2。</w:t>
            </w:r>
          </w:p>
          <w:p w14:paraId="1218D0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bCs/>
                <w:color w:val="auto"/>
                <w:sz w:val="21"/>
                <w:szCs w:val="18"/>
                <w:lang w:val="en-US" w:eastAsia="zh-CN"/>
              </w:rPr>
            </w:pPr>
            <w:r>
              <w:rPr>
                <w:rFonts w:hint="eastAsia"/>
                <w:b/>
                <w:bCs/>
                <w:color w:val="auto"/>
                <w:sz w:val="21"/>
                <w:szCs w:val="18"/>
                <w:lang w:val="en-US" w:eastAsia="zh-CN"/>
              </w:rPr>
              <w:t>表2-6 本项目用水量情况一览表</w:t>
            </w:r>
          </w:p>
          <w:tbl>
            <w:tblPr>
              <w:tblStyle w:val="8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30"/>
              <w:gridCol w:w="1454"/>
              <w:gridCol w:w="1835"/>
              <w:gridCol w:w="1461"/>
              <w:gridCol w:w="889"/>
            </w:tblGrid>
            <w:tr w14:paraId="2A24D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670" w:type="pct"/>
                  <w:tcBorders>
                    <w:tl2br w:val="nil"/>
                    <w:tr2bl w:val="nil"/>
                  </w:tcBorders>
                  <w:vAlign w:val="center"/>
                </w:tcPr>
                <w:p w14:paraId="01CB842E">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b/>
                      <w:bCs/>
                      <w:color w:val="auto"/>
                      <w:spacing w:val="8"/>
                      <w:sz w:val="21"/>
                      <w:szCs w:val="21"/>
                    </w:rPr>
                    <w:t>名称</w:t>
                  </w:r>
                </w:p>
              </w:tc>
              <w:tc>
                <w:tcPr>
                  <w:tcW w:w="858" w:type="pct"/>
                  <w:tcBorders>
                    <w:tl2br w:val="nil"/>
                    <w:tr2bl w:val="nil"/>
                  </w:tcBorders>
                  <w:vAlign w:val="center"/>
                </w:tcPr>
                <w:p w14:paraId="2DBF2C14">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b/>
                      <w:bCs/>
                      <w:color w:val="auto"/>
                      <w:spacing w:val="15"/>
                      <w:sz w:val="21"/>
                      <w:szCs w:val="21"/>
                    </w:rPr>
                    <w:t>用水定额</w:t>
                  </w:r>
                </w:p>
              </w:tc>
              <w:tc>
                <w:tcPr>
                  <w:tcW w:w="1083" w:type="pct"/>
                  <w:tcBorders>
                    <w:tl2br w:val="nil"/>
                    <w:tr2bl w:val="nil"/>
                  </w:tcBorders>
                  <w:vAlign w:val="center"/>
                </w:tcPr>
                <w:p w14:paraId="1F7C02A0">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b/>
                      <w:bCs/>
                      <w:color w:val="auto"/>
                      <w:spacing w:val="13"/>
                      <w:sz w:val="21"/>
                      <w:szCs w:val="21"/>
                    </w:rPr>
                    <w:t>用水量</w:t>
                  </w:r>
                  <w:r>
                    <w:rPr>
                      <w:b/>
                      <w:bCs/>
                      <w:color w:val="auto"/>
                      <w:spacing w:val="5"/>
                      <w:sz w:val="21"/>
                      <w:szCs w:val="21"/>
                    </w:rPr>
                    <w:t>（</w:t>
                  </w:r>
                  <w:r>
                    <w:rPr>
                      <w:rFonts w:ascii="Times New Roman" w:hAnsi="Times New Roman" w:eastAsia="Times New Roman" w:cs="Times New Roman"/>
                      <w:b/>
                      <w:bCs/>
                      <w:color w:val="auto"/>
                      <w:spacing w:val="5"/>
                      <w:sz w:val="21"/>
                      <w:szCs w:val="21"/>
                    </w:rPr>
                    <w:t>m</w:t>
                  </w:r>
                  <w:r>
                    <w:rPr>
                      <w:rFonts w:hint="eastAsia" w:ascii="Times New Roman" w:hAnsi="Times New Roman" w:eastAsia="宋体" w:cs="Times New Roman"/>
                      <w:b/>
                      <w:bCs/>
                      <w:color w:val="auto"/>
                      <w:spacing w:val="5"/>
                      <w:sz w:val="21"/>
                      <w:szCs w:val="21"/>
                      <w:vertAlign w:val="superscript"/>
                      <w:lang w:val="en-US" w:eastAsia="zh-CN"/>
                    </w:rPr>
                    <w:t>3</w:t>
                  </w:r>
                  <w:r>
                    <w:rPr>
                      <w:rFonts w:ascii="Times New Roman" w:hAnsi="Times New Roman" w:eastAsia="Times New Roman" w:cs="Times New Roman"/>
                      <w:b/>
                      <w:bCs/>
                      <w:color w:val="auto"/>
                      <w:spacing w:val="5"/>
                      <w:sz w:val="21"/>
                      <w:szCs w:val="21"/>
                    </w:rPr>
                    <w:t>/d</w:t>
                  </w:r>
                  <w:r>
                    <w:rPr>
                      <w:b/>
                      <w:bCs/>
                      <w:color w:val="auto"/>
                      <w:spacing w:val="5"/>
                      <w:sz w:val="21"/>
                      <w:szCs w:val="21"/>
                    </w:rPr>
                    <w:t>）</w:t>
                  </w:r>
                </w:p>
              </w:tc>
              <w:tc>
                <w:tcPr>
                  <w:tcW w:w="862" w:type="pct"/>
                  <w:tcBorders>
                    <w:tl2br w:val="nil"/>
                    <w:tr2bl w:val="nil"/>
                  </w:tcBorders>
                  <w:vAlign w:val="center"/>
                </w:tcPr>
                <w:p w14:paraId="40B8DAAE">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b/>
                      <w:bCs/>
                      <w:color w:val="auto"/>
                      <w:spacing w:val="15"/>
                      <w:sz w:val="21"/>
                      <w:szCs w:val="21"/>
                    </w:rPr>
                    <w:t>废水排放</w:t>
                  </w:r>
                  <w:r>
                    <w:rPr>
                      <w:b/>
                      <w:bCs/>
                      <w:color w:val="auto"/>
                      <w:spacing w:val="3"/>
                      <w:sz w:val="21"/>
                      <w:szCs w:val="21"/>
                    </w:rPr>
                    <w:t>量（</w:t>
                  </w:r>
                  <w:r>
                    <w:rPr>
                      <w:rFonts w:ascii="Times New Roman" w:hAnsi="Times New Roman" w:eastAsia="Times New Roman" w:cs="Times New Roman"/>
                      <w:b/>
                      <w:bCs/>
                      <w:color w:val="auto"/>
                      <w:spacing w:val="3"/>
                      <w:sz w:val="21"/>
                      <w:szCs w:val="21"/>
                    </w:rPr>
                    <w:t>m</w:t>
                  </w:r>
                  <w:r>
                    <w:rPr>
                      <w:rFonts w:hint="eastAsia" w:ascii="Times New Roman" w:hAnsi="Times New Roman" w:eastAsia="宋体" w:cs="Times New Roman"/>
                      <w:b/>
                      <w:bCs/>
                      <w:color w:val="auto"/>
                      <w:spacing w:val="3"/>
                      <w:sz w:val="21"/>
                      <w:szCs w:val="21"/>
                      <w:vertAlign w:val="superscript"/>
                      <w:lang w:val="en-US" w:eastAsia="zh-CN"/>
                    </w:rPr>
                    <w:t>3</w:t>
                  </w:r>
                  <w:r>
                    <w:rPr>
                      <w:rFonts w:ascii="Times New Roman" w:hAnsi="Times New Roman" w:eastAsia="Times New Roman" w:cs="Times New Roman"/>
                      <w:b/>
                      <w:bCs/>
                      <w:color w:val="auto"/>
                      <w:spacing w:val="3"/>
                      <w:sz w:val="21"/>
                      <w:szCs w:val="21"/>
                    </w:rPr>
                    <w:t>/d</w:t>
                  </w:r>
                  <w:r>
                    <w:rPr>
                      <w:b/>
                      <w:bCs/>
                      <w:color w:val="auto"/>
                      <w:spacing w:val="3"/>
                      <w:sz w:val="21"/>
                      <w:szCs w:val="21"/>
                    </w:rPr>
                    <w:t>）</w:t>
                  </w:r>
                </w:p>
              </w:tc>
              <w:tc>
                <w:tcPr>
                  <w:tcW w:w="524" w:type="pct"/>
                  <w:tcBorders>
                    <w:tl2br w:val="nil"/>
                    <w:tr2bl w:val="nil"/>
                  </w:tcBorders>
                  <w:vAlign w:val="center"/>
                </w:tcPr>
                <w:p w14:paraId="3403F953">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b/>
                      <w:bCs/>
                      <w:color w:val="auto"/>
                      <w:spacing w:val="8"/>
                      <w:sz w:val="21"/>
                      <w:szCs w:val="21"/>
                    </w:rPr>
                    <w:t>备注</w:t>
                  </w:r>
                </w:p>
              </w:tc>
            </w:tr>
            <w:tr w14:paraId="64EAC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670" w:type="pct"/>
                  <w:tcBorders>
                    <w:tl2br w:val="nil"/>
                    <w:tr2bl w:val="nil"/>
                  </w:tcBorders>
                  <w:vAlign w:val="center"/>
                </w:tcPr>
                <w:p w14:paraId="7EB9B8E9">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8"/>
                      <w:sz w:val="21"/>
                      <w:szCs w:val="21"/>
                    </w:rPr>
                    <w:t>学生及教职工生活用</w:t>
                  </w:r>
                  <w:r>
                    <w:rPr>
                      <w:color w:val="auto"/>
                      <w:sz w:val="21"/>
                      <w:szCs w:val="21"/>
                    </w:rPr>
                    <w:t>水</w:t>
                  </w:r>
                </w:p>
              </w:tc>
              <w:tc>
                <w:tcPr>
                  <w:tcW w:w="858" w:type="pct"/>
                  <w:tcBorders>
                    <w:tl2br w:val="nil"/>
                    <w:tr2bl w:val="nil"/>
                  </w:tcBorders>
                  <w:vAlign w:val="center"/>
                </w:tcPr>
                <w:p w14:paraId="6C092C0D">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hint="eastAsia" w:ascii="Times New Roman" w:hAnsi="Times New Roman" w:eastAsia="宋体" w:cs="Times New Roman"/>
                      <w:color w:val="auto"/>
                      <w:spacing w:val="-1"/>
                      <w:sz w:val="21"/>
                      <w:szCs w:val="21"/>
                      <w:lang w:val="en-US" w:eastAsia="zh-CN"/>
                    </w:rPr>
                    <w:t>8</w:t>
                  </w:r>
                  <w:r>
                    <w:rPr>
                      <w:rFonts w:ascii="Times New Roman" w:hAnsi="Times New Roman" w:eastAsia="Times New Roman" w:cs="Times New Roman"/>
                      <w:color w:val="auto"/>
                      <w:spacing w:val="-1"/>
                      <w:sz w:val="21"/>
                      <w:szCs w:val="21"/>
                    </w:rPr>
                    <w:t>m</w:t>
                  </w:r>
                  <w:r>
                    <w:rPr>
                      <w:rFonts w:hint="eastAsia" w:ascii="Times New Roman" w:hAnsi="Times New Roman" w:eastAsia="宋体" w:cs="Times New Roman"/>
                      <w:color w:val="auto"/>
                      <w:spacing w:val="-1"/>
                      <w:sz w:val="21"/>
                      <w:szCs w:val="21"/>
                      <w:vertAlign w:val="superscript"/>
                      <w:lang w:val="en-US" w:eastAsia="zh-CN"/>
                    </w:rPr>
                    <w:t>3</w:t>
                  </w:r>
                  <w:r>
                    <w:rPr>
                      <w:color w:val="auto"/>
                      <w:spacing w:val="-1"/>
                      <w:sz w:val="21"/>
                      <w:szCs w:val="21"/>
                    </w:rPr>
                    <w:t>（</w:t>
                  </w:r>
                  <w:r>
                    <w:rPr>
                      <w:rFonts w:ascii="Times New Roman" w:hAnsi="Times New Roman" w:eastAsia="Times New Roman" w:cs="Times New Roman"/>
                      <w:color w:val="auto"/>
                      <w:spacing w:val="-1"/>
                      <w:sz w:val="21"/>
                      <w:szCs w:val="21"/>
                    </w:rPr>
                    <w:t>p</w:t>
                  </w:r>
                  <w:r>
                    <w:rPr>
                      <w:rFonts w:ascii="Times New Roman" w:hAnsi="Times New Roman" w:eastAsia="Times New Roman" w:cs="Times New Roman"/>
                      <w:color w:val="auto"/>
                      <w:spacing w:val="-25"/>
                      <w:sz w:val="21"/>
                      <w:szCs w:val="21"/>
                    </w:rPr>
                    <w:t xml:space="preserve"> </w:t>
                  </w:r>
                  <w:r>
                    <w:rPr>
                      <w:rFonts w:ascii="Times New Roman" w:hAnsi="Times New Roman" w:eastAsia="Times New Roman" w:cs="Times New Roman"/>
                      <w:color w:val="auto"/>
                      <w:spacing w:val="-1"/>
                      <w:sz w:val="21"/>
                      <w:szCs w:val="21"/>
                    </w:rPr>
                    <w:t>·a</w:t>
                  </w:r>
                  <w:r>
                    <w:rPr>
                      <w:color w:val="auto"/>
                      <w:spacing w:val="-1"/>
                      <w:sz w:val="21"/>
                      <w:szCs w:val="21"/>
                    </w:rPr>
                    <w:t>）</w:t>
                  </w:r>
                </w:p>
              </w:tc>
              <w:tc>
                <w:tcPr>
                  <w:tcW w:w="1083" w:type="pct"/>
                  <w:tcBorders>
                    <w:tl2br w:val="nil"/>
                    <w:tr2bl w:val="nil"/>
                  </w:tcBorders>
                  <w:vAlign w:val="center"/>
                </w:tcPr>
                <w:p w14:paraId="65C897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52.08</w:t>
                  </w:r>
                </w:p>
              </w:tc>
              <w:tc>
                <w:tcPr>
                  <w:tcW w:w="862" w:type="pct"/>
                  <w:tcBorders>
                    <w:tl2br w:val="nil"/>
                    <w:tr2bl w:val="nil"/>
                  </w:tcBorders>
                  <w:vAlign w:val="center"/>
                </w:tcPr>
                <w:p w14:paraId="00B0DD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41.66</w:t>
                  </w:r>
                </w:p>
              </w:tc>
              <w:tc>
                <w:tcPr>
                  <w:tcW w:w="524" w:type="pct"/>
                  <w:vMerge w:val="restart"/>
                  <w:tcBorders>
                    <w:tl2br w:val="nil"/>
                    <w:tr2bl w:val="nil"/>
                  </w:tcBorders>
                  <w:vAlign w:val="center"/>
                </w:tcPr>
                <w:p w14:paraId="4D29E1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eastAsia="宋体"/>
                      <w:color w:val="auto"/>
                      <w:sz w:val="21"/>
                      <w:szCs w:val="21"/>
                      <w:lang w:val="en-US" w:eastAsia="zh-CN"/>
                    </w:rPr>
                  </w:pPr>
                  <w:r>
                    <w:rPr>
                      <w:rFonts w:hint="eastAsia" w:ascii="Times New Roman" w:hAnsi="Times New Roman" w:eastAsia="Times New Roman" w:cs="Times New Roman"/>
                      <w:color w:val="auto"/>
                      <w:spacing w:val="-1"/>
                      <w:kern w:val="2"/>
                      <w:sz w:val="21"/>
                      <w:szCs w:val="21"/>
                      <w:lang w:val="en-US" w:eastAsia="zh-CN" w:bidi="ar-SA"/>
                    </w:rPr>
                    <w:t>198天</w:t>
                  </w:r>
                </w:p>
              </w:tc>
            </w:tr>
            <w:tr w14:paraId="54ECD4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670" w:type="pct"/>
                  <w:tcBorders>
                    <w:tl2br w:val="nil"/>
                    <w:tr2bl w:val="nil"/>
                  </w:tcBorders>
                  <w:vAlign w:val="center"/>
                </w:tcPr>
                <w:p w14:paraId="317B2911">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6"/>
                      <w:sz w:val="21"/>
                      <w:szCs w:val="21"/>
                    </w:rPr>
                    <w:t>实验室用水</w:t>
                  </w:r>
                </w:p>
              </w:tc>
              <w:tc>
                <w:tcPr>
                  <w:tcW w:w="858" w:type="pct"/>
                  <w:tcBorders>
                    <w:tl2br w:val="nil"/>
                    <w:tr2bl w:val="nil"/>
                  </w:tcBorders>
                  <w:vAlign w:val="center"/>
                </w:tcPr>
                <w:p w14:paraId="22E64301">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ascii="Times New Roman" w:hAnsi="Times New Roman" w:eastAsia="Times New Roman" w:cs="Times New Roman"/>
                      <w:color w:val="auto"/>
                      <w:spacing w:val="4"/>
                      <w:sz w:val="21"/>
                      <w:szCs w:val="21"/>
                    </w:rPr>
                    <w:t>30L/</w:t>
                  </w:r>
                  <w:r>
                    <w:rPr>
                      <w:color w:val="auto"/>
                      <w:spacing w:val="4"/>
                      <w:sz w:val="21"/>
                      <w:szCs w:val="21"/>
                    </w:rPr>
                    <w:t>人</w:t>
                  </w:r>
                  <w:r>
                    <w:rPr>
                      <w:rFonts w:ascii="Times New Roman" w:hAnsi="Times New Roman" w:eastAsia="Times New Roman" w:cs="Times New Roman"/>
                      <w:color w:val="auto"/>
                      <w:spacing w:val="4"/>
                      <w:sz w:val="21"/>
                      <w:szCs w:val="21"/>
                    </w:rPr>
                    <w:t>·</w:t>
                  </w:r>
                  <w:r>
                    <w:rPr>
                      <w:rFonts w:hint="eastAsia" w:ascii="Times New Roman" w:hAnsi="Times New Roman" w:cs="Times New Roman"/>
                      <w:color w:val="auto"/>
                      <w:spacing w:val="4"/>
                      <w:sz w:val="21"/>
                      <w:szCs w:val="21"/>
                      <w:lang w:val="en-US" w:eastAsia="zh-CN"/>
                    </w:rPr>
                    <w:t>次</w:t>
                  </w:r>
                </w:p>
              </w:tc>
              <w:tc>
                <w:tcPr>
                  <w:tcW w:w="1083" w:type="pct"/>
                  <w:tcBorders>
                    <w:tl2br w:val="nil"/>
                    <w:tr2bl w:val="nil"/>
                  </w:tcBorders>
                  <w:vAlign w:val="center"/>
                </w:tcPr>
                <w:p w14:paraId="278220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862" w:type="pct"/>
                  <w:tcBorders>
                    <w:tl2br w:val="nil"/>
                    <w:tr2bl w:val="nil"/>
                  </w:tcBorders>
                  <w:vAlign w:val="center"/>
                </w:tcPr>
                <w:p w14:paraId="57A08BD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3"/>
                      <w:sz w:val="21"/>
                      <w:szCs w:val="21"/>
                      <w:lang w:val="en-US" w:eastAsia="zh-CN"/>
                    </w:rPr>
                    <w:t>3.24</w:t>
                  </w:r>
                </w:p>
              </w:tc>
              <w:tc>
                <w:tcPr>
                  <w:tcW w:w="524" w:type="pct"/>
                  <w:vMerge w:val="continue"/>
                  <w:tcBorders>
                    <w:tl2br w:val="nil"/>
                    <w:tr2bl w:val="nil"/>
                  </w:tcBorders>
                  <w:vAlign w:val="center"/>
                </w:tcPr>
                <w:p w14:paraId="7496CE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180C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670" w:type="pct"/>
                  <w:tcBorders>
                    <w:tl2br w:val="nil"/>
                    <w:tr2bl w:val="nil"/>
                  </w:tcBorders>
                  <w:vAlign w:val="center"/>
                </w:tcPr>
                <w:p w14:paraId="2611C1D7">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z w:val="21"/>
                      <w:szCs w:val="21"/>
                      <w:lang w:val="en-US" w:eastAsia="zh-CN"/>
                    </w:rPr>
                  </w:pPr>
                  <w:r>
                    <w:rPr>
                      <w:rFonts w:hint="eastAsia"/>
                      <w:color w:val="auto"/>
                      <w:sz w:val="21"/>
                      <w:szCs w:val="21"/>
                      <w:lang w:val="en-US" w:eastAsia="zh-CN"/>
                    </w:rPr>
                    <w:t>浇洒道路用水</w:t>
                  </w:r>
                </w:p>
              </w:tc>
              <w:tc>
                <w:tcPr>
                  <w:tcW w:w="858" w:type="pct"/>
                  <w:tcBorders>
                    <w:tl2br w:val="nil"/>
                    <w:tr2bl w:val="nil"/>
                  </w:tcBorders>
                  <w:vAlign w:val="center"/>
                </w:tcPr>
                <w:p w14:paraId="3781E808">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hint="eastAsia" w:ascii="Times New Roman" w:hAnsi="Times New Roman" w:cs="Times New Roman"/>
                      <w:color w:val="auto"/>
                      <w:spacing w:val="3"/>
                      <w:sz w:val="21"/>
                      <w:szCs w:val="21"/>
                      <w:lang w:val="en-US" w:eastAsia="zh-CN"/>
                    </w:rPr>
                    <w:t>1.5</w:t>
                  </w:r>
                  <w:r>
                    <w:rPr>
                      <w:rFonts w:ascii="Times New Roman" w:hAnsi="Times New Roman" w:eastAsia="Times New Roman" w:cs="Times New Roman"/>
                      <w:color w:val="auto"/>
                      <w:spacing w:val="3"/>
                      <w:sz w:val="21"/>
                      <w:szCs w:val="21"/>
                    </w:rPr>
                    <w:t>L/</w:t>
                  </w:r>
                  <w:r>
                    <w:rPr>
                      <w:color w:val="auto"/>
                      <w:spacing w:val="3"/>
                      <w:sz w:val="21"/>
                      <w:szCs w:val="21"/>
                    </w:rPr>
                    <w:t>（</w:t>
                  </w:r>
                  <w:r>
                    <w:rPr>
                      <w:rFonts w:ascii="Times New Roman" w:hAnsi="Times New Roman" w:eastAsia="Times New Roman" w:cs="Times New Roman"/>
                      <w:color w:val="auto"/>
                      <w:spacing w:val="3"/>
                      <w:sz w:val="21"/>
                      <w:szCs w:val="21"/>
                    </w:rPr>
                    <w:t>m</w:t>
                  </w:r>
                  <w:r>
                    <w:rPr>
                      <w:rFonts w:hint="eastAsia" w:ascii="Times New Roman" w:hAnsi="Times New Roman" w:eastAsia="宋体" w:cs="Times New Roman"/>
                      <w:color w:val="auto"/>
                      <w:spacing w:val="3"/>
                      <w:sz w:val="21"/>
                      <w:szCs w:val="21"/>
                      <w:vertAlign w:val="superscript"/>
                      <w:lang w:val="en-US" w:eastAsia="zh-CN"/>
                    </w:rPr>
                    <w:t>2</w:t>
                  </w:r>
                  <w:r>
                    <w:rPr>
                      <w:rFonts w:ascii="Times New Roman" w:hAnsi="Times New Roman" w:eastAsia="Times New Roman" w:cs="Times New Roman"/>
                      <w:color w:val="auto"/>
                      <w:spacing w:val="3"/>
                      <w:sz w:val="21"/>
                      <w:szCs w:val="21"/>
                    </w:rPr>
                    <w:t>/d</w:t>
                  </w:r>
                  <w:r>
                    <w:rPr>
                      <w:color w:val="auto"/>
                      <w:spacing w:val="3"/>
                      <w:sz w:val="21"/>
                      <w:szCs w:val="21"/>
                    </w:rPr>
                    <w:t>）</w:t>
                  </w:r>
                </w:p>
              </w:tc>
              <w:tc>
                <w:tcPr>
                  <w:tcW w:w="1083" w:type="pct"/>
                  <w:tcBorders>
                    <w:tl2br w:val="nil"/>
                    <w:tr2bl w:val="nil"/>
                  </w:tcBorders>
                  <w:vAlign w:val="center"/>
                </w:tcPr>
                <w:p w14:paraId="2E95FC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5.81</w:t>
                  </w:r>
                </w:p>
              </w:tc>
              <w:tc>
                <w:tcPr>
                  <w:tcW w:w="862" w:type="pct"/>
                  <w:tcBorders>
                    <w:tl2br w:val="nil"/>
                    <w:tr2bl w:val="nil"/>
                  </w:tcBorders>
                  <w:vAlign w:val="center"/>
                </w:tcPr>
                <w:p w14:paraId="7FED39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524" w:type="pct"/>
                  <w:vMerge w:val="restart"/>
                  <w:tcBorders>
                    <w:tl2br w:val="nil"/>
                    <w:tr2bl w:val="nil"/>
                  </w:tcBorders>
                  <w:vAlign w:val="center"/>
                </w:tcPr>
                <w:p w14:paraId="5FA3DA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eastAsia="宋体"/>
                      <w:color w:val="auto"/>
                      <w:sz w:val="21"/>
                      <w:szCs w:val="21"/>
                      <w:lang w:val="en-US" w:eastAsia="zh-CN"/>
                    </w:rPr>
                  </w:pPr>
                  <w:r>
                    <w:rPr>
                      <w:rFonts w:hint="eastAsia" w:eastAsia="Times New Roman" w:cs="Times New Roman"/>
                      <w:color w:val="auto"/>
                      <w:spacing w:val="-1"/>
                      <w:kern w:val="2"/>
                      <w:sz w:val="21"/>
                      <w:szCs w:val="21"/>
                      <w:lang w:val="en-US" w:eastAsia="zh-CN" w:bidi="ar-SA"/>
                    </w:rPr>
                    <w:t>150</w:t>
                  </w:r>
                  <w:r>
                    <w:rPr>
                      <w:rFonts w:hint="eastAsia" w:ascii="Times New Roman" w:hAnsi="Times New Roman" w:eastAsia="Times New Roman" w:cs="Times New Roman"/>
                      <w:color w:val="auto"/>
                      <w:spacing w:val="-1"/>
                      <w:kern w:val="2"/>
                      <w:sz w:val="21"/>
                      <w:szCs w:val="21"/>
                      <w:lang w:val="en-US" w:eastAsia="zh-CN" w:bidi="ar-SA"/>
                    </w:rPr>
                    <w:t>天</w:t>
                  </w:r>
                </w:p>
              </w:tc>
            </w:tr>
            <w:tr w14:paraId="7C786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670" w:type="pct"/>
                  <w:tcBorders>
                    <w:tl2br w:val="nil"/>
                    <w:tr2bl w:val="nil"/>
                  </w:tcBorders>
                  <w:vAlign w:val="center"/>
                </w:tcPr>
                <w:p w14:paraId="5949C37D">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z w:val="21"/>
                      <w:szCs w:val="21"/>
                      <w:lang w:val="en-US" w:eastAsia="zh-CN"/>
                    </w:rPr>
                  </w:pPr>
                  <w:r>
                    <w:rPr>
                      <w:rFonts w:hint="eastAsia"/>
                      <w:color w:val="auto"/>
                      <w:sz w:val="21"/>
                      <w:szCs w:val="21"/>
                      <w:lang w:val="en-US" w:eastAsia="zh-CN"/>
                    </w:rPr>
                    <w:t>绿化用水</w:t>
                  </w:r>
                </w:p>
              </w:tc>
              <w:tc>
                <w:tcPr>
                  <w:tcW w:w="858" w:type="pct"/>
                  <w:tcBorders>
                    <w:tl2br w:val="nil"/>
                    <w:tr2bl w:val="nil"/>
                  </w:tcBorders>
                  <w:vAlign w:val="center"/>
                </w:tcPr>
                <w:p w14:paraId="4B7AABBD">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hint="eastAsia" w:ascii="Times New Roman" w:hAnsi="Times New Roman" w:cs="Times New Roman"/>
                      <w:color w:val="auto"/>
                      <w:spacing w:val="4"/>
                      <w:sz w:val="21"/>
                      <w:szCs w:val="21"/>
                      <w:lang w:val="en-US" w:eastAsia="zh-CN"/>
                    </w:rPr>
                    <w:t>1.5</w:t>
                  </w:r>
                  <w:r>
                    <w:rPr>
                      <w:rFonts w:ascii="Times New Roman" w:hAnsi="Times New Roman" w:eastAsia="Times New Roman" w:cs="Times New Roman"/>
                      <w:color w:val="auto"/>
                      <w:spacing w:val="4"/>
                      <w:sz w:val="21"/>
                      <w:szCs w:val="21"/>
                    </w:rPr>
                    <w:t>L/</w:t>
                  </w:r>
                  <w:r>
                    <w:rPr>
                      <w:color w:val="auto"/>
                      <w:spacing w:val="4"/>
                      <w:sz w:val="21"/>
                      <w:szCs w:val="21"/>
                    </w:rPr>
                    <w:t>（</w:t>
                  </w:r>
                  <w:r>
                    <w:rPr>
                      <w:rFonts w:ascii="Times New Roman" w:hAnsi="Times New Roman" w:eastAsia="Times New Roman" w:cs="Times New Roman"/>
                      <w:color w:val="auto"/>
                      <w:spacing w:val="4"/>
                      <w:sz w:val="21"/>
                      <w:szCs w:val="21"/>
                    </w:rPr>
                    <w:t>m</w:t>
                  </w:r>
                  <w:r>
                    <w:rPr>
                      <w:rFonts w:hint="eastAsia" w:ascii="Times New Roman" w:hAnsi="Times New Roman" w:eastAsia="宋体" w:cs="Times New Roman"/>
                      <w:color w:val="auto"/>
                      <w:spacing w:val="4"/>
                      <w:sz w:val="21"/>
                      <w:szCs w:val="21"/>
                      <w:vertAlign w:val="superscript"/>
                      <w:lang w:val="en-US" w:eastAsia="zh-CN"/>
                    </w:rPr>
                    <w:t>2</w:t>
                  </w:r>
                  <w:r>
                    <w:rPr>
                      <w:rFonts w:ascii="Times New Roman" w:hAnsi="Times New Roman" w:eastAsia="Times New Roman" w:cs="Times New Roman"/>
                      <w:color w:val="auto"/>
                      <w:spacing w:val="4"/>
                      <w:sz w:val="21"/>
                      <w:szCs w:val="21"/>
                    </w:rPr>
                    <w:t>/d</w:t>
                  </w:r>
                  <w:r>
                    <w:rPr>
                      <w:color w:val="auto"/>
                      <w:spacing w:val="4"/>
                      <w:sz w:val="21"/>
                      <w:szCs w:val="21"/>
                    </w:rPr>
                    <w:t>）</w:t>
                  </w:r>
                </w:p>
              </w:tc>
              <w:tc>
                <w:tcPr>
                  <w:tcW w:w="1083" w:type="pct"/>
                  <w:tcBorders>
                    <w:tl2br w:val="nil"/>
                    <w:tr2bl w:val="nil"/>
                  </w:tcBorders>
                  <w:vAlign w:val="center"/>
                </w:tcPr>
                <w:p w14:paraId="1A2582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3.87</w:t>
                  </w:r>
                </w:p>
              </w:tc>
              <w:tc>
                <w:tcPr>
                  <w:tcW w:w="862" w:type="pct"/>
                  <w:tcBorders>
                    <w:tl2br w:val="nil"/>
                    <w:tr2bl w:val="nil"/>
                  </w:tcBorders>
                  <w:vAlign w:val="center"/>
                </w:tcPr>
                <w:p w14:paraId="0E6C32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524" w:type="pct"/>
                  <w:vMerge w:val="continue"/>
                  <w:tcBorders>
                    <w:tl2br w:val="nil"/>
                    <w:tr2bl w:val="nil"/>
                  </w:tcBorders>
                  <w:vAlign w:val="center"/>
                </w:tcPr>
                <w:p w14:paraId="3F6A86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eastAsia="宋体"/>
                      <w:color w:val="auto"/>
                      <w:sz w:val="21"/>
                      <w:szCs w:val="21"/>
                      <w:lang w:val="en-US" w:eastAsia="zh-CN"/>
                    </w:rPr>
                  </w:pPr>
                </w:p>
              </w:tc>
            </w:tr>
            <w:tr w14:paraId="1909D7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670" w:type="pct"/>
                  <w:vMerge w:val="restart"/>
                  <w:tcBorders>
                    <w:tl2br w:val="nil"/>
                    <w:tr2bl w:val="nil"/>
                  </w:tcBorders>
                  <w:vAlign w:val="center"/>
                </w:tcPr>
                <w:p w14:paraId="02B10D01">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总计</w:t>
                  </w:r>
                </w:p>
              </w:tc>
              <w:tc>
                <w:tcPr>
                  <w:tcW w:w="858" w:type="pct"/>
                  <w:tcBorders>
                    <w:tl2br w:val="nil"/>
                    <w:tr2bl w:val="nil"/>
                  </w:tcBorders>
                  <w:vAlign w:val="center"/>
                </w:tcPr>
                <w:p w14:paraId="6CC62E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1083" w:type="pct"/>
                  <w:tcBorders>
                    <w:tl2br w:val="nil"/>
                    <w:tr2bl w:val="nil"/>
                  </w:tcBorders>
                  <w:vAlign w:val="center"/>
                </w:tcPr>
                <w:p w14:paraId="35632ED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65.36（非采暖期）</w:t>
                  </w:r>
                </w:p>
              </w:tc>
              <w:tc>
                <w:tcPr>
                  <w:tcW w:w="862" w:type="pct"/>
                  <w:tcBorders>
                    <w:tl2br w:val="nil"/>
                    <w:tr2bl w:val="nil"/>
                  </w:tcBorders>
                  <w:vAlign w:val="center"/>
                </w:tcPr>
                <w:p w14:paraId="176C7A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44.90</w:t>
                  </w:r>
                </w:p>
              </w:tc>
              <w:tc>
                <w:tcPr>
                  <w:tcW w:w="524" w:type="pct"/>
                  <w:tcBorders>
                    <w:tl2br w:val="nil"/>
                    <w:tr2bl w:val="nil"/>
                  </w:tcBorders>
                  <w:vAlign w:val="center"/>
                </w:tcPr>
                <w:p w14:paraId="16B3C1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2CB61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670" w:type="pct"/>
                  <w:vMerge w:val="continue"/>
                  <w:tcBorders>
                    <w:tl2br w:val="nil"/>
                    <w:tr2bl w:val="nil"/>
                  </w:tcBorders>
                  <w:vAlign w:val="center"/>
                </w:tcPr>
                <w:p w14:paraId="0F78B00B">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pacing w:val="2"/>
                      <w:sz w:val="21"/>
                      <w:szCs w:val="21"/>
                    </w:rPr>
                  </w:pPr>
                </w:p>
              </w:tc>
              <w:tc>
                <w:tcPr>
                  <w:tcW w:w="858" w:type="pct"/>
                  <w:tcBorders>
                    <w:tl2br w:val="nil"/>
                    <w:tr2bl w:val="nil"/>
                  </w:tcBorders>
                  <w:vAlign w:val="center"/>
                </w:tcPr>
                <w:p w14:paraId="32CCD5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pacing w:val="2"/>
                      <w:sz w:val="21"/>
                      <w:szCs w:val="21"/>
                    </w:rPr>
                  </w:pPr>
                </w:p>
              </w:tc>
              <w:tc>
                <w:tcPr>
                  <w:tcW w:w="1083" w:type="pct"/>
                  <w:tcBorders>
                    <w:tl2br w:val="nil"/>
                    <w:tr2bl w:val="nil"/>
                  </w:tcBorders>
                  <w:vAlign w:val="center"/>
                </w:tcPr>
                <w:p w14:paraId="49E80C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55.68（采暖期）</w:t>
                  </w:r>
                </w:p>
              </w:tc>
              <w:tc>
                <w:tcPr>
                  <w:tcW w:w="862" w:type="pct"/>
                  <w:tcBorders>
                    <w:tl2br w:val="nil"/>
                    <w:tr2bl w:val="nil"/>
                  </w:tcBorders>
                  <w:vAlign w:val="center"/>
                </w:tcPr>
                <w:p w14:paraId="0A620F1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44.90</w:t>
                  </w:r>
                </w:p>
              </w:tc>
              <w:tc>
                <w:tcPr>
                  <w:tcW w:w="524" w:type="pct"/>
                  <w:tcBorders>
                    <w:tl2br w:val="nil"/>
                    <w:tr2bl w:val="nil"/>
                  </w:tcBorders>
                  <w:vAlign w:val="center"/>
                </w:tcPr>
                <w:p w14:paraId="7ED82D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bl>
          <w:p w14:paraId="1C167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eastAsia"/>
                <w:color w:val="auto"/>
                <w:lang w:val="en-US" w:eastAsia="zh-CN"/>
              </w:rPr>
            </w:pPr>
            <w:r>
              <w:rPr>
                <w:rFonts w:hint="eastAsia"/>
                <w:color w:val="auto"/>
                <w:lang w:val="en-US" w:eastAsia="zh-CN"/>
              </w:rPr>
              <w:object>
                <v:shape id="_x0000_i1025" o:spt="75" type="#_x0000_t75" style="height:194.6pt;width:358.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48B30E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color w:val="auto"/>
                <w:lang w:val="en-US" w:eastAsia="zh-CN"/>
              </w:rPr>
            </w:pPr>
            <w:r>
              <w:rPr>
                <w:rFonts w:hint="eastAsia"/>
                <w:b/>
                <w:bCs/>
                <w:color w:val="auto"/>
                <w:sz w:val="21"/>
                <w:szCs w:val="18"/>
                <w:lang w:val="en-US" w:eastAsia="zh-CN"/>
              </w:rPr>
              <w:t>图2-1 非采暖期水平衡图（m</w:t>
            </w:r>
            <w:r>
              <w:rPr>
                <w:rFonts w:hint="eastAsia"/>
                <w:b/>
                <w:bCs/>
                <w:color w:val="auto"/>
                <w:sz w:val="21"/>
                <w:szCs w:val="18"/>
                <w:vertAlign w:val="superscript"/>
                <w:lang w:val="en-US" w:eastAsia="zh-CN"/>
              </w:rPr>
              <w:t>3</w:t>
            </w:r>
            <w:r>
              <w:rPr>
                <w:rFonts w:hint="eastAsia"/>
                <w:b/>
                <w:bCs/>
                <w:color w:val="auto"/>
                <w:sz w:val="21"/>
                <w:szCs w:val="18"/>
                <w:lang w:val="en-US" w:eastAsia="zh-CN"/>
              </w:rPr>
              <w:t>/d）</w:t>
            </w:r>
          </w:p>
          <w:p w14:paraId="7265E6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eastAsia"/>
                <w:color w:val="auto"/>
                <w:lang w:val="en-US" w:eastAsia="zh-CN"/>
              </w:rPr>
            </w:pPr>
            <w:r>
              <w:rPr>
                <w:rFonts w:hint="eastAsia"/>
                <w:color w:val="auto"/>
                <w:lang w:val="en-US" w:eastAsia="zh-CN"/>
              </w:rPr>
              <w:object>
                <v:shape id="_x0000_i1026" o:spt="75" type="#_x0000_t75" style="height:91.35pt;width:358.7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11424D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b/>
                <w:bCs/>
                <w:color w:val="auto"/>
                <w:sz w:val="21"/>
                <w:szCs w:val="18"/>
                <w:lang w:val="en-US" w:eastAsia="zh-CN"/>
              </w:rPr>
            </w:pPr>
            <w:r>
              <w:rPr>
                <w:rFonts w:hint="eastAsia"/>
                <w:b/>
                <w:bCs/>
                <w:color w:val="auto"/>
                <w:sz w:val="21"/>
                <w:szCs w:val="18"/>
                <w:lang w:val="en-US" w:eastAsia="zh-CN"/>
              </w:rPr>
              <w:t>图2-2 采暖期水平衡图（m</w:t>
            </w:r>
            <w:r>
              <w:rPr>
                <w:rFonts w:hint="eastAsia"/>
                <w:b/>
                <w:bCs/>
                <w:color w:val="auto"/>
                <w:sz w:val="21"/>
                <w:szCs w:val="18"/>
                <w:vertAlign w:val="superscript"/>
                <w:lang w:val="en-US" w:eastAsia="zh-CN"/>
              </w:rPr>
              <w:t>3</w:t>
            </w:r>
            <w:r>
              <w:rPr>
                <w:rFonts w:hint="eastAsia"/>
                <w:b/>
                <w:bCs/>
                <w:color w:val="auto"/>
                <w:sz w:val="21"/>
                <w:szCs w:val="18"/>
                <w:lang w:val="en-US" w:eastAsia="zh-CN"/>
              </w:rPr>
              <w:t>/d）</w:t>
            </w:r>
          </w:p>
          <w:p w14:paraId="284DD5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（3）供电</w:t>
            </w:r>
          </w:p>
          <w:p w14:paraId="4034A6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本项目供电由</w:t>
            </w:r>
            <w:r>
              <w:rPr>
                <w:rFonts w:hint="eastAsia"/>
                <w:color w:val="auto"/>
                <w:lang w:val="en-US" w:eastAsia="zh-CN"/>
              </w:rPr>
              <w:t>一</w:t>
            </w:r>
            <w:r>
              <w:rPr>
                <w:rFonts w:hint="default"/>
                <w:color w:val="auto"/>
                <w:lang w:val="en-US" w:eastAsia="zh-CN"/>
              </w:rPr>
              <w:t>路10kV市政供电系统供给，电源接自麟绛西大街。配电室位于</w:t>
            </w:r>
            <w:r>
              <w:rPr>
                <w:rFonts w:hint="eastAsia"/>
                <w:color w:val="auto"/>
                <w:lang w:val="en-US" w:eastAsia="zh-CN"/>
              </w:rPr>
              <w:t>教学楼</w:t>
            </w:r>
            <w:r>
              <w:rPr>
                <w:rFonts w:hint="default"/>
                <w:color w:val="auto"/>
                <w:lang w:val="en-US" w:eastAsia="zh-CN"/>
              </w:rPr>
              <w:t>设备间，可满足本项目用电需求</w:t>
            </w:r>
            <w:r>
              <w:rPr>
                <w:rFonts w:hint="eastAsia"/>
                <w:color w:val="auto"/>
                <w:lang w:val="en-US" w:eastAsia="zh-CN"/>
              </w:rPr>
              <w:t>。</w:t>
            </w:r>
          </w:p>
          <w:p w14:paraId="2C1FBC21">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供暖</w:t>
            </w:r>
          </w:p>
          <w:p w14:paraId="79B7E9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供暖由市政集中供热系统供给，不新建换热站。</w:t>
            </w:r>
          </w:p>
          <w:p w14:paraId="1763A3A9">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制冷</w:t>
            </w:r>
          </w:p>
          <w:p w14:paraId="4EE1B7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本项目</w:t>
            </w:r>
            <w:r>
              <w:rPr>
                <w:rFonts w:hint="eastAsia"/>
                <w:color w:val="auto"/>
                <w:lang w:val="en-US" w:eastAsia="zh-CN"/>
              </w:rPr>
              <w:t>教学楼、实验楼及阅览室</w:t>
            </w:r>
            <w:r>
              <w:rPr>
                <w:rFonts w:hint="default"/>
                <w:color w:val="auto"/>
                <w:lang w:val="en-US" w:eastAsia="zh-CN"/>
              </w:rPr>
              <w:t>不设置集中制冷设施，风雨操场制冷采用</w:t>
            </w:r>
            <w:r>
              <w:rPr>
                <w:rFonts w:hint="eastAsia"/>
                <w:color w:val="auto"/>
                <w:lang w:val="en-US" w:eastAsia="zh-CN"/>
              </w:rPr>
              <w:t>风冷式中央</w:t>
            </w:r>
            <w:r>
              <w:rPr>
                <w:rFonts w:hint="default"/>
                <w:color w:val="auto"/>
                <w:lang w:val="en-US" w:eastAsia="zh-CN"/>
              </w:rPr>
              <w:t>空调</w:t>
            </w:r>
            <w:r>
              <w:rPr>
                <w:rFonts w:hint="eastAsia"/>
                <w:color w:val="auto"/>
                <w:lang w:val="en-US" w:eastAsia="zh-CN"/>
              </w:rPr>
              <w:t>。</w:t>
            </w:r>
          </w:p>
          <w:p w14:paraId="68A9ED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2.8主要经济技术指标</w:t>
            </w:r>
          </w:p>
          <w:p w14:paraId="3F4396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表2-7 主要经济技术指标表</w:t>
            </w:r>
          </w:p>
          <w:tbl>
            <w:tblPr>
              <w:tblStyle w:val="8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20"/>
              <w:gridCol w:w="529"/>
              <w:gridCol w:w="1923"/>
              <w:gridCol w:w="1300"/>
              <w:gridCol w:w="1149"/>
              <w:gridCol w:w="2748"/>
            </w:tblGrid>
            <w:tr w14:paraId="781FA7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84" w:type="pct"/>
                  <w:tcBorders>
                    <w:tl2br w:val="nil"/>
                    <w:tr2bl w:val="nil"/>
                  </w:tcBorders>
                  <w:vAlign w:val="center"/>
                </w:tcPr>
                <w:p w14:paraId="762BCC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1447" w:type="pct"/>
                  <w:gridSpan w:val="2"/>
                  <w:tcBorders>
                    <w:tl2br w:val="nil"/>
                    <w:tr2bl w:val="nil"/>
                  </w:tcBorders>
                  <w:vAlign w:val="center"/>
                </w:tcPr>
                <w:p w14:paraId="68E3190F">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pacing w:val="8"/>
                      <w:sz w:val="21"/>
                      <w:szCs w:val="21"/>
                      <w:lang w:val="en-US" w:eastAsia="zh-CN"/>
                    </w:rPr>
                  </w:pPr>
                  <w:r>
                    <w:rPr>
                      <w:rFonts w:hint="eastAsia"/>
                      <w:color w:val="auto"/>
                      <w:spacing w:val="8"/>
                      <w:sz w:val="21"/>
                      <w:szCs w:val="21"/>
                      <w:lang w:val="en-US" w:eastAsia="zh-CN"/>
                    </w:rPr>
                    <w:t>项目</w:t>
                  </w:r>
                </w:p>
              </w:tc>
              <w:tc>
                <w:tcPr>
                  <w:tcW w:w="767" w:type="pct"/>
                  <w:tcBorders>
                    <w:tl2br w:val="nil"/>
                    <w:tr2bl w:val="nil"/>
                  </w:tcBorders>
                  <w:vAlign w:val="center"/>
                </w:tcPr>
                <w:p w14:paraId="17937B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总计</w:t>
                  </w:r>
                </w:p>
              </w:tc>
              <w:tc>
                <w:tcPr>
                  <w:tcW w:w="678" w:type="pct"/>
                  <w:tcBorders>
                    <w:tl2br w:val="nil"/>
                    <w:tr2bl w:val="nil"/>
                  </w:tcBorders>
                  <w:vAlign w:val="center"/>
                </w:tcPr>
                <w:p w14:paraId="0B84A2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单位</w:t>
                  </w:r>
                </w:p>
              </w:tc>
              <w:tc>
                <w:tcPr>
                  <w:tcW w:w="1622" w:type="pct"/>
                  <w:tcBorders>
                    <w:tl2br w:val="nil"/>
                    <w:tr2bl w:val="nil"/>
                  </w:tcBorders>
                  <w:vAlign w:val="center"/>
                </w:tcPr>
                <w:p w14:paraId="6DFC7F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eastAsia="宋体"/>
                      <w:color w:val="auto"/>
                      <w:sz w:val="21"/>
                      <w:szCs w:val="21"/>
                      <w:lang w:val="en-US" w:eastAsia="zh-CN"/>
                    </w:rPr>
                  </w:pPr>
                  <w:r>
                    <w:rPr>
                      <w:rFonts w:hint="eastAsia" w:ascii="Arial"/>
                      <w:color w:val="auto"/>
                      <w:sz w:val="21"/>
                      <w:szCs w:val="21"/>
                      <w:lang w:val="en-US" w:eastAsia="zh-CN"/>
                    </w:rPr>
                    <w:t>备注</w:t>
                  </w:r>
                </w:p>
              </w:tc>
            </w:tr>
            <w:tr w14:paraId="683EB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84" w:type="pct"/>
                  <w:tcBorders>
                    <w:tl2br w:val="nil"/>
                    <w:tr2bl w:val="nil"/>
                  </w:tcBorders>
                  <w:vAlign w:val="center"/>
                </w:tcPr>
                <w:p w14:paraId="1E590C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47" w:type="pct"/>
                  <w:gridSpan w:val="2"/>
                  <w:tcBorders>
                    <w:tl2br w:val="nil"/>
                    <w:tr2bl w:val="nil"/>
                  </w:tcBorders>
                  <w:vAlign w:val="center"/>
                </w:tcPr>
                <w:p w14:paraId="68DDB112">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8"/>
                      <w:sz w:val="21"/>
                      <w:szCs w:val="21"/>
                    </w:rPr>
                    <w:t>项目规划总用地面积</w:t>
                  </w:r>
                </w:p>
              </w:tc>
              <w:tc>
                <w:tcPr>
                  <w:tcW w:w="767" w:type="pct"/>
                  <w:tcBorders>
                    <w:tl2br w:val="nil"/>
                    <w:tr2bl w:val="nil"/>
                  </w:tcBorders>
                  <w:vAlign w:val="center"/>
                </w:tcPr>
                <w:p w14:paraId="3C8947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3"/>
                      <w:sz w:val="21"/>
                      <w:szCs w:val="21"/>
                      <w:lang w:val="en-US" w:eastAsia="zh-CN"/>
                    </w:rPr>
                    <w:t>11421.64</w:t>
                  </w:r>
                </w:p>
              </w:tc>
              <w:tc>
                <w:tcPr>
                  <w:tcW w:w="678" w:type="pct"/>
                  <w:tcBorders>
                    <w:tl2br w:val="nil"/>
                    <w:tr2bl w:val="nil"/>
                  </w:tcBorders>
                  <w:vAlign w:val="center"/>
                </w:tcPr>
                <w:p w14:paraId="07F0E0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7F897B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eastAsia="宋体"/>
                      <w:color w:val="auto"/>
                      <w:sz w:val="21"/>
                      <w:szCs w:val="21"/>
                      <w:lang w:val="en-US" w:eastAsia="zh-CN"/>
                    </w:rPr>
                  </w:pPr>
                  <w:r>
                    <w:rPr>
                      <w:rFonts w:hint="default" w:ascii="Times New Roman" w:hAnsi="Times New Roman" w:cs="Times New Roman"/>
                      <w:color w:val="auto"/>
                      <w:sz w:val="21"/>
                      <w:szCs w:val="21"/>
                      <w:lang w:val="en-US" w:eastAsia="zh-CN"/>
                    </w:rPr>
                    <w:t>17.13亩</w:t>
                  </w:r>
                </w:p>
              </w:tc>
            </w:tr>
            <w:tr w14:paraId="5E27B6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4F7204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47" w:type="pct"/>
                  <w:gridSpan w:val="2"/>
                  <w:tcBorders>
                    <w:tl2br w:val="nil"/>
                    <w:tr2bl w:val="nil"/>
                  </w:tcBorders>
                  <w:vAlign w:val="center"/>
                </w:tcPr>
                <w:p w14:paraId="2D2EF4ED">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7"/>
                      <w:sz w:val="21"/>
                      <w:szCs w:val="21"/>
                    </w:rPr>
                    <w:t>总建筑面积</w:t>
                  </w:r>
                </w:p>
              </w:tc>
              <w:tc>
                <w:tcPr>
                  <w:tcW w:w="767" w:type="pct"/>
                  <w:tcBorders>
                    <w:tl2br w:val="nil"/>
                    <w:tr2bl w:val="nil"/>
                  </w:tcBorders>
                  <w:vAlign w:val="center"/>
                </w:tcPr>
                <w:p w14:paraId="2937785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3"/>
                      <w:sz w:val="21"/>
                      <w:szCs w:val="21"/>
                      <w:lang w:val="en-US" w:eastAsia="zh-CN"/>
                    </w:rPr>
                    <w:t>156</w:t>
                  </w:r>
                  <w:r>
                    <w:rPr>
                      <w:rFonts w:hint="eastAsia" w:cs="Times New Roman"/>
                      <w:color w:val="auto"/>
                      <w:spacing w:val="3"/>
                      <w:sz w:val="21"/>
                      <w:szCs w:val="21"/>
                      <w:lang w:val="en-US" w:eastAsia="zh-CN"/>
                    </w:rPr>
                    <w:t>6</w:t>
                  </w:r>
                  <w:r>
                    <w:rPr>
                      <w:rFonts w:hint="eastAsia" w:ascii="Times New Roman" w:hAnsi="Times New Roman" w:eastAsia="宋体" w:cs="Times New Roman"/>
                      <w:color w:val="auto"/>
                      <w:spacing w:val="3"/>
                      <w:sz w:val="21"/>
                      <w:szCs w:val="21"/>
                      <w:lang w:val="en-US" w:eastAsia="zh-CN"/>
                    </w:rPr>
                    <w:t>8</w:t>
                  </w:r>
                </w:p>
              </w:tc>
              <w:tc>
                <w:tcPr>
                  <w:tcW w:w="678" w:type="pct"/>
                  <w:tcBorders>
                    <w:tl2br w:val="nil"/>
                    <w:tr2bl w:val="nil"/>
                  </w:tcBorders>
                  <w:vAlign w:val="center"/>
                </w:tcPr>
                <w:p w14:paraId="0B66F3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29DC45D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1AB32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vMerge w:val="restart"/>
                  <w:tcBorders>
                    <w:tl2br w:val="nil"/>
                    <w:tr2bl w:val="nil"/>
                  </w:tcBorders>
                  <w:vAlign w:val="center"/>
                </w:tcPr>
                <w:p w14:paraId="00C8D6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1447" w:type="pct"/>
                  <w:gridSpan w:val="2"/>
                  <w:tcBorders>
                    <w:tl2br w:val="nil"/>
                    <w:tr2bl w:val="nil"/>
                  </w:tcBorders>
                  <w:vAlign w:val="center"/>
                </w:tcPr>
                <w:p w14:paraId="357E96B2">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pacing w:val="7"/>
                      <w:sz w:val="21"/>
                      <w:szCs w:val="21"/>
                    </w:rPr>
                  </w:pPr>
                  <w:r>
                    <w:rPr>
                      <w:rFonts w:hint="eastAsia"/>
                      <w:color w:val="auto"/>
                      <w:spacing w:val="7"/>
                      <w:sz w:val="21"/>
                      <w:szCs w:val="21"/>
                      <w:lang w:val="en-US" w:eastAsia="zh-CN"/>
                    </w:rPr>
                    <w:t>地上总建筑面积</w:t>
                  </w:r>
                </w:p>
              </w:tc>
              <w:tc>
                <w:tcPr>
                  <w:tcW w:w="767" w:type="pct"/>
                  <w:tcBorders>
                    <w:tl2br w:val="nil"/>
                    <w:tr2bl w:val="nil"/>
                  </w:tcBorders>
                  <w:vAlign w:val="center"/>
                </w:tcPr>
                <w:p w14:paraId="7330EA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15328</w:t>
                  </w:r>
                </w:p>
              </w:tc>
              <w:tc>
                <w:tcPr>
                  <w:tcW w:w="678" w:type="pct"/>
                  <w:tcBorders>
                    <w:tl2br w:val="nil"/>
                    <w:tr2bl w:val="nil"/>
                  </w:tcBorders>
                  <w:vAlign w:val="center"/>
                </w:tcPr>
                <w:p w14:paraId="094415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30E0A9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00F057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vMerge w:val="continue"/>
                  <w:tcBorders>
                    <w:tl2br w:val="nil"/>
                    <w:tr2bl w:val="nil"/>
                  </w:tcBorders>
                  <w:vAlign w:val="center"/>
                </w:tcPr>
                <w:p w14:paraId="56FC3A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312" w:type="pct"/>
                  <w:vMerge w:val="restart"/>
                  <w:tcBorders>
                    <w:tl2br w:val="nil"/>
                    <w:tr2bl w:val="nil"/>
                  </w:tcBorders>
                  <w:vAlign w:val="center"/>
                </w:tcPr>
                <w:p w14:paraId="43305C5C">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pacing w:val="7"/>
                      <w:sz w:val="21"/>
                      <w:szCs w:val="21"/>
                      <w:lang w:val="en-US" w:eastAsia="zh-CN"/>
                    </w:rPr>
                  </w:pPr>
                  <w:r>
                    <w:rPr>
                      <w:rFonts w:hint="eastAsia"/>
                      <w:color w:val="auto"/>
                      <w:spacing w:val="7"/>
                      <w:sz w:val="21"/>
                      <w:szCs w:val="21"/>
                      <w:lang w:val="en-US" w:eastAsia="zh-CN"/>
                    </w:rPr>
                    <w:t>其中</w:t>
                  </w:r>
                </w:p>
              </w:tc>
              <w:tc>
                <w:tcPr>
                  <w:tcW w:w="1135" w:type="pct"/>
                  <w:tcBorders>
                    <w:tl2br w:val="nil"/>
                    <w:tr2bl w:val="nil"/>
                  </w:tcBorders>
                  <w:vAlign w:val="center"/>
                </w:tcPr>
                <w:p w14:paraId="52901F65">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pacing w:val="7"/>
                      <w:sz w:val="21"/>
                      <w:szCs w:val="21"/>
                      <w:lang w:val="en-US" w:eastAsia="zh-CN"/>
                    </w:rPr>
                  </w:pPr>
                  <w:r>
                    <w:rPr>
                      <w:rFonts w:hint="eastAsia"/>
                      <w:color w:val="auto"/>
                      <w:spacing w:val="7"/>
                      <w:sz w:val="21"/>
                      <w:szCs w:val="21"/>
                      <w:lang w:val="en-US" w:eastAsia="zh-CN"/>
                    </w:rPr>
                    <w:t>初中教学楼</w:t>
                  </w:r>
                </w:p>
              </w:tc>
              <w:tc>
                <w:tcPr>
                  <w:tcW w:w="767" w:type="pct"/>
                  <w:tcBorders>
                    <w:tl2br w:val="nil"/>
                    <w:tr2bl w:val="nil"/>
                  </w:tcBorders>
                  <w:vAlign w:val="center"/>
                </w:tcPr>
                <w:p w14:paraId="581337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13428</w:t>
                  </w:r>
                </w:p>
              </w:tc>
              <w:tc>
                <w:tcPr>
                  <w:tcW w:w="678" w:type="pct"/>
                  <w:tcBorders>
                    <w:tl2br w:val="nil"/>
                    <w:tr2bl w:val="nil"/>
                  </w:tcBorders>
                  <w:vAlign w:val="center"/>
                </w:tcPr>
                <w:p w14:paraId="2D39BE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19E15F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r>
                    <w:rPr>
                      <w:rFonts w:hint="default" w:ascii="Times New Roman" w:hAnsi="Times New Roman" w:eastAsia="宋体" w:cs="Times New Roman"/>
                      <w:color w:val="auto"/>
                      <w:spacing w:val="7"/>
                      <w:kern w:val="2"/>
                      <w:sz w:val="21"/>
                      <w:szCs w:val="21"/>
                      <w:lang w:val="en-US" w:eastAsia="zh-CN" w:bidi="ar-SA"/>
                    </w:rPr>
                    <w:t>初中部实验楼教学楼5F、阅览室、阶梯教室2F、初中部教学楼5F</w:t>
                  </w:r>
                </w:p>
              </w:tc>
            </w:tr>
            <w:tr w14:paraId="2AE11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vMerge w:val="continue"/>
                  <w:tcBorders>
                    <w:tl2br w:val="nil"/>
                    <w:tr2bl w:val="nil"/>
                  </w:tcBorders>
                  <w:vAlign w:val="center"/>
                </w:tcPr>
                <w:p w14:paraId="25E957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p>
              </w:tc>
              <w:tc>
                <w:tcPr>
                  <w:tcW w:w="312" w:type="pct"/>
                  <w:vMerge w:val="continue"/>
                  <w:tcBorders>
                    <w:tl2br w:val="nil"/>
                    <w:tr2bl w:val="nil"/>
                  </w:tcBorders>
                  <w:vAlign w:val="center"/>
                </w:tcPr>
                <w:p w14:paraId="73FDD6A2">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pacing w:val="7"/>
                      <w:sz w:val="21"/>
                      <w:szCs w:val="21"/>
                      <w:lang w:val="en-US" w:eastAsia="zh-CN"/>
                    </w:rPr>
                  </w:pPr>
                </w:p>
              </w:tc>
              <w:tc>
                <w:tcPr>
                  <w:tcW w:w="1135" w:type="pct"/>
                  <w:tcBorders>
                    <w:tl2br w:val="nil"/>
                    <w:tr2bl w:val="nil"/>
                  </w:tcBorders>
                  <w:vAlign w:val="center"/>
                </w:tcPr>
                <w:p w14:paraId="617B5521">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pacing w:val="7"/>
                      <w:sz w:val="21"/>
                      <w:szCs w:val="21"/>
                      <w:lang w:val="en-US" w:eastAsia="zh-CN"/>
                    </w:rPr>
                  </w:pPr>
                  <w:r>
                    <w:rPr>
                      <w:rFonts w:hint="eastAsia"/>
                      <w:color w:val="auto"/>
                      <w:spacing w:val="7"/>
                      <w:sz w:val="21"/>
                      <w:szCs w:val="21"/>
                      <w:lang w:val="en-US" w:eastAsia="zh-CN"/>
                    </w:rPr>
                    <w:t>风雨操场</w:t>
                  </w:r>
                </w:p>
              </w:tc>
              <w:tc>
                <w:tcPr>
                  <w:tcW w:w="767" w:type="pct"/>
                  <w:tcBorders>
                    <w:tl2br w:val="nil"/>
                    <w:tr2bl w:val="nil"/>
                  </w:tcBorders>
                  <w:vAlign w:val="center"/>
                </w:tcPr>
                <w:p w14:paraId="08A51F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1900</w:t>
                  </w:r>
                </w:p>
              </w:tc>
              <w:tc>
                <w:tcPr>
                  <w:tcW w:w="678" w:type="pct"/>
                  <w:tcBorders>
                    <w:tl2br w:val="nil"/>
                    <w:tr2bl w:val="nil"/>
                  </w:tcBorders>
                  <w:vAlign w:val="center"/>
                </w:tcPr>
                <w:p w14:paraId="06F803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797DB3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kern w:val="2"/>
                      <w:sz w:val="21"/>
                      <w:szCs w:val="21"/>
                      <w:lang w:val="en-US" w:eastAsia="zh-CN" w:bidi="ar-SA"/>
                    </w:rPr>
                  </w:pPr>
                  <w:r>
                    <w:rPr>
                      <w:rFonts w:hint="eastAsia" w:ascii="Times New Roman" w:hAnsi="Times New Roman" w:eastAsia="宋体" w:cs="Times New Roman"/>
                      <w:color w:val="auto"/>
                      <w:spacing w:val="7"/>
                      <w:kern w:val="2"/>
                      <w:sz w:val="21"/>
                      <w:szCs w:val="21"/>
                      <w:lang w:val="en-US" w:eastAsia="zh-CN" w:bidi="ar-SA"/>
                    </w:rPr>
                    <w:t>2层</w:t>
                  </w:r>
                </w:p>
              </w:tc>
            </w:tr>
            <w:tr w14:paraId="6B3B0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74E1D4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447" w:type="pct"/>
                  <w:gridSpan w:val="2"/>
                  <w:tcBorders>
                    <w:tl2br w:val="nil"/>
                    <w:tr2bl w:val="nil"/>
                  </w:tcBorders>
                  <w:vAlign w:val="center"/>
                </w:tcPr>
                <w:p w14:paraId="763FADF3">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pacing w:val="7"/>
                      <w:sz w:val="21"/>
                      <w:szCs w:val="21"/>
                      <w:lang w:val="en-US" w:eastAsia="zh-CN"/>
                    </w:rPr>
                  </w:pPr>
                  <w:r>
                    <w:rPr>
                      <w:rFonts w:hint="eastAsia"/>
                      <w:color w:val="auto"/>
                      <w:spacing w:val="7"/>
                      <w:sz w:val="21"/>
                      <w:szCs w:val="21"/>
                      <w:lang w:val="en-US" w:eastAsia="zh-CN"/>
                    </w:rPr>
                    <w:t>地下总建筑面积</w:t>
                  </w:r>
                </w:p>
              </w:tc>
              <w:tc>
                <w:tcPr>
                  <w:tcW w:w="767" w:type="pct"/>
                  <w:tcBorders>
                    <w:tl2br w:val="nil"/>
                    <w:tr2bl w:val="nil"/>
                  </w:tcBorders>
                  <w:vAlign w:val="center"/>
                </w:tcPr>
                <w:p w14:paraId="1B780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340</w:t>
                  </w:r>
                </w:p>
              </w:tc>
              <w:tc>
                <w:tcPr>
                  <w:tcW w:w="678" w:type="pct"/>
                  <w:tcBorders>
                    <w:tl2br w:val="nil"/>
                    <w:tr2bl w:val="nil"/>
                  </w:tcBorders>
                  <w:vAlign w:val="center"/>
                </w:tcPr>
                <w:p w14:paraId="7D9669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35E47B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lang w:val="en-US" w:eastAsia="zh-CN" w:bidi="ar-SA"/>
                    </w:rPr>
                  </w:pPr>
                  <w:r>
                    <w:rPr>
                      <w:rFonts w:hint="default" w:ascii="Times New Roman" w:hAnsi="Times New Roman" w:eastAsia="宋体" w:cs="Times New Roman"/>
                      <w:color w:val="auto"/>
                      <w:spacing w:val="7"/>
                      <w:kern w:val="2"/>
                      <w:sz w:val="21"/>
                      <w:szCs w:val="21"/>
                      <w:lang w:val="en-US" w:eastAsia="zh-CN" w:bidi="ar-SA"/>
                    </w:rPr>
                    <w:t>消防水泵房</w:t>
                  </w:r>
                </w:p>
              </w:tc>
            </w:tr>
            <w:tr w14:paraId="1FEB0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66E4FC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447" w:type="pct"/>
                  <w:gridSpan w:val="2"/>
                  <w:tcBorders>
                    <w:tl2br w:val="nil"/>
                    <w:tr2bl w:val="nil"/>
                  </w:tcBorders>
                  <w:vAlign w:val="center"/>
                </w:tcPr>
                <w:p w14:paraId="41131E78">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7"/>
                      <w:sz w:val="21"/>
                      <w:szCs w:val="21"/>
                      <w:lang w:val="en-US" w:eastAsia="zh-CN"/>
                    </w:rPr>
                  </w:pPr>
                  <w:r>
                    <w:rPr>
                      <w:rFonts w:hint="eastAsia"/>
                      <w:color w:val="auto"/>
                      <w:spacing w:val="7"/>
                      <w:sz w:val="21"/>
                      <w:szCs w:val="21"/>
                      <w:lang w:val="en-US" w:eastAsia="zh-CN"/>
                    </w:rPr>
                    <w:t>道路及硬化面积</w:t>
                  </w:r>
                </w:p>
              </w:tc>
              <w:tc>
                <w:tcPr>
                  <w:tcW w:w="767" w:type="pct"/>
                  <w:tcBorders>
                    <w:tl2br w:val="nil"/>
                    <w:tr2bl w:val="nil"/>
                  </w:tcBorders>
                  <w:vAlign w:val="center"/>
                </w:tcPr>
                <w:p w14:paraId="524F2F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3873</w:t>
                  </w:r>
                </w:p>
              </w:tc>
              <w:tc>
                <w:tcPr>
                  <w:tcW w:w="678" w:type="pct"/>
                  <w:tcBorders>
                    <w:tl2br w:val="nil"/>
                    <w:tr2bl w:val="nil"/>
                  </w:tcBorders>
                  <w:vAlign w:val="center"/>
                </w:tcPr>
                <w:p w14:paraId="38A9A7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3AE2F0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kern w:val="2"/>
                      <w:sz w:val="21"/>
                      <w:szCs w:val="21"/>
                      <w:lang w:val="en-US" w:eastAsia="zh-CN" w:bidi="ar-SA"/>
                    </w:rPr>
                  </w:pPr>
                </w:p>
              </w:tc>
            </w:tr>
            <w:tr w14:paraId="7C12A4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13A0B2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447" w:type="pct"/>
                  <w:gridSpan w:val="2"/>
                  <w:tcBorders>
                    <w:tl2br w:val="nil"/>
                    <w:tr2bl w:val="nil"/>
                  </w:tcBorders>
                  <w:vAlign w:val="center"/>
                </w:tcPr>
                <w:p w14:paraId="5FA2BEE2">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7"/>
                      <w:sz w:val="21"/>
                      <w:szCs w:val="21"/>
                      <w:lang w:val="en-US" w:eastAsia="zh-CN"/>
                    </w:rPr>
                  </w:pPr>
                  <w:r>
                    <w:rPr>
                      <w:rFonts w:hint="eastAsia"/>
                      <w:color w:val="auto"/>
                      <w:spacing w:val="7"/>
                      <w:sz w:val="21"/>
                      <w:szCs w:val="21"/>
                      <w:lang w:val="en-US" w:eastAsia="zh-CN"/>
                    </w:rPr>
                    <w:t>容积率</w:t>
                  </w:r>
                </w:p>
              </w:tc>
              <w:tc>
                <w:tcPr>
                  <w:tcW w:w="767" w:type="pct"/>
                  <w:tcBorders>
                    <w:tl2br w:val="nil"/>
                    <w:tr2bl w:val="nil"/>
                  </w:tcBorders>
                  <w:vAlign w:val="center"/>
                </w:tcPr>
                <w:p w14:paraId="0BDDA1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1.34</w:t>
                  </w:r>
                </w:p>
              </w:tc>
              <w:tc>
                <w:tcPr>
                  <w:tcW w:w="678" w:type="pct"/>
                  <w:tcBorders>
                    <w:tl2br w:val="nil"/>
                    <w:tr2bl w:val="nil"/>
                  </w:tcBorders>
                  <w:vAlign w:val="center"/>
                </w:tcPr>
                <w:p w14:paraId="138EF9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lang w:val="en-US" w:eastAsia="zh-CN"/>
                    </w:rPr>
                  </w:pPr>
                </w:p>
              </w:tc>
              <w:tc>
                <w:tcPr>
                  <w:tcW w:w="1622" w:type="pct"/>
                  <w:tcBorders>
                    <w:tl2br w:val="nil"/>
                    <w:tr2bl w:val="nil"/>
                  </w:tcBorders>
                  <w:vAlign w:val="center"/>
                </w:tcPr>
                <w:p w14:paraId="590FB32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kern w:val="2"/>
                      <w:sz w:val="21"/>
                      <w:szCs w:val="21"/>
                      <w:lang w:val="en-US" w:eastAsia="zh-CN" w:bidi="ar-SA"/>
                    </w:rPr>
                  </w:pPr>
                </w:p>
              </w:tc>
            </w:tr>
            <w:tr w14:paraId="3E9881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1D75CE1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447" w:type="pct"/>
                  <w:gridSpan w:val="2"/>
                  <w:tcBorders>
                    <w:tl2br w:val="nil"/>
                    <w:tr2bl w:val="nil"/>
                  </w:tcBorders>
                  <w:vAlign w:val="center"/>
                </w:tcPr>
                <w:p w14:paraId="6D1F0867">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7"/>
                      <w:sz w:val="21"/>
                      <w:szCs w:val="21"/>
                      <w:lang w:val="en-US" w:eastAsia="zh-CN"/>
                    </w:rPr>
                  </w:pPr>
                  <w:r>
                    <w:rPr>
                      <w:rFonts w:hint="eastAsia"/>
                      <w:color w:val="auto"/>
                      <w:spacing w:val="7"/>
                      <w:sz w:val="21"/>
                      <w:szCs w:val="21"/>
                      <w:lang w:val="en-US" w:eastAsia="zh-CN"/>
                    </w:rPr>
                    <w:t>绿化面积</w:t>
                  </w:r>
                </w:p>
              </w:tc>
              <w:tc>
                <w:tcPr>
                  <w:tcW w:w="767" w:type="pct"/>
                  <w:tcBorders>
                    <w:tl2br w:val="nil"/>
                    <w:tr2bl w:val="nil"/>
                  </w:tcBorders>
                  <w:vAlign w:val="center"/>
                </w:tcPr>
                <w:p w14:paraId="3B449B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2577</w:t>
                  </w:r>
                </w:p>
              </w:tc>
              <w:tc>
                <w:tcPr>
                  <w:tcW w:w="678" w:type="pct"/>
                  <w:tcBorders>
                    <w:tl2br w:val="nil"/>
                    <w:tr2bl w:val="nil"/>
                  </w:tcBorders>
                  <w:vAlign w:val="center"/>
                </w:tcPr>
                <w:p w14:paraId="2240AC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position w:val="-3"/>
                      <w:sz w:val="21"/>
                      <w:szCs w:val="21"/>
                      <w:lang w:val="en-US" w:eastAsia="zh-CN"/>
                    </w:rPr>
                  </w:pPr>
                  <w:r>
                    <w:rPr>
                      <w:rFonts w:hint="eastAsia" w:ascii="Times New Roman" w:hAnsi="Times New Roman" w:eastAsia="宋体" w:cs="Times New Roman"/>
                      <w:color w:val="auto"/>
                      <w:spacing w:val="4"/>
                      <w:position w:val="-3"/>
                      <w:sz w:val="21"/>
                      <w:szCs w:val="21"/>
                      <w:lang w:val="en-US" w:eastAsia="zh-CN"/>
                    </w:rPr>
                    <w:t>m</w:t>
                  </w:r>
                  <w:r>
                    <w:rPr>
                      <w:rFonts w:hint="eastAsia" w:ascii="Times New Roman" w:hAnsi="Times New Roman" w:eastAsia="宋体" w:cs="Times New Roman"/>
                      <w:color w:val="auto"/>
                      <w:spacing w:val="4"/>
                      <w:position w:val="-3"/>
                      <w:sz w:val="21"/>
                      <w:szCs w:val="21"/>
                      <w:vertAlign w:val="superscript"/>
                      <w:lang w:val="en-US" w:eastAsia="zh-CN"/>
                    </w:rPr>
                    <w:t>2</w:t>
                  </w:r>
                </w:p>
              </w:tc>
              <w:tc>
                <w:tcPr>
                  <w:tcW w:w="1622" w:type="pct"/>
                  <w:tcBorders>
                    <w:tl2br w:val="nil"/>
                    <w:tr2bl w:val="nil"/>
                  </w:tcBorders>
                  <w:vAlign w:val="center"/>
                </w:tcPr>
                <w:p w14:paraId="1A08FB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kern w:val="2"/>
                      <w:sz w:val="21"/>
                      <w:szCs w:val="21"/>
                      <w:lang w:val="en-US" w:eastAsia="zh-CN" w:bidi="ar-SA"/>
                    </w:rPr>
                  </w:pPr>
                </w:p>
              </w:tc>
            </w:tr>
            <w:tr w14:paraId="53B6A6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1B64AF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1447" w:type="pct"/>
                  <w:gridSpan w:val="2"/>
                  <w:tcBorders>
                    <w:tl2br w:val="nil"/>
                    <w:tr2bl w:val="nil"/>
                  </w:tcBorders>
                  <w:vAlign w:val="center"/>
                </w:tcPr>
                <w:p w14:paraId="74171763">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eastAsia="zh-CN"/>
                    </w:rPr>
                  </w:pPr>
                  <w:r>
                    <w:rPr>
                      <w:rFonts w:hint="eastAsia"/>
                      <w:color w:val="auto"/>
                      <w:spacing w:val="6"/>
                      <w:sz w:val="21"/>
                      <w:szCs w:val="21"/>
                      <w:lang w:val="en-US" w:eastAsia="zh-CN"/>
                    </w:rPr>
                    <w:t>绿地率</w:t>
                  </w:r>
                </w:p>
              </w:tc>
              <w:tc>
                <w:tcPr>
                  <w:tcW w:w="767" w:type="pct"/>
                  <w:tcBorders>
                    <w:tl2br w:val="nil"/>
                    <w:tr2bl w:val="nil"/>
                  </w:tcBorders>
                  <w:vAlign w:val="center"/>
                </w:tcPr>
                <w:p w14:paraId="15AC691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sz w:val="21"/>
                      <w:szCs w:val="21"/>
                      <w:lang w:val="en-US" w:eastAsia="zh-CN"/>
                    </w:rPr>
                    <w:t>22.56%</w:t>
                  </w:r>
                </w:p>
              </w:tc>
              <w:tc>
                <w:tcPr>
                  <w:tcW w:w="678" w:type="pct"/>
                  <w:tcBorders>
                    <w:tl2br w:val="nil"/>
                    <w:tr2bl w:val="nil"/>
                  </w:tcBorders>
                  <w:vAlign w:val="center"/>
                </w:tcPr>
                <w:p w14:paraId="1F771B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w:t>
                  </w:r>
                </w:p>
              </w:tc>
              <w:tc>
                <w:tcPr>
                  <w:tcW w:w="1622" w:type="pct"/>
                  <w:tcBorders>
                    <w:tl2br w:val="nil"/>
                    <w:tr2bl w:val="nil"/>
                  </w:tcBorders>
                  <w:vAlign w:val="center"/>
                </w:tcPr>
                <w:p w14:paraId="6B2D08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24BA64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4F8568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447" w:type="pct"/>
                  <w:gridSpan w:val="2"/>
                  <w:tcBorders>
                    <w:tl2br w:val="nil"/>
                    <w:tr2bl w:val="nil"/>
                  </w:tcBorders>
                  <w:vAlign w:val="center"/>
                </w:tcPr>
                <w:p w14:paraId="002D5695">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6"/>
                      <w:sz w:val="21"/>
                      <w:szCs w:val="21"/>
                      <w:lang w:val="en-US" w:eastAsia="zh-CN"/>
                    </w:rPr>
                  </w:pPr>
                  <w:r>
                    <w:rPr>
                      <w:rFonts w:hint="eastAsia"/>
                      <w:color w:val="auto"/>
                      <w:spacing w:val="6"/>
                      <w:sz w:val="21"/>
                      <w:szCs w:val="21"/>
                      <w:lang w:val="en-US" w:eastAsia="zh-CN"/>
                    </w:rPr>
                    <w:t>建筑物层高</w:t>
                  </w:r>
                </w:p>
              </w:tc>
              <w:tc>
                <w:tcPr>
                  <w:tcW w:w="767" w:type="pct"/>
                  <w:tcBorders>
                    <w:tl2br w:val="nil"/>
                    <w:tr2bl w:val="nil"/>
                  </w:tcBorders>
                  <w:vAlign w:val="center"/>
                </w:tcPr>
                <w:p w14:paraId="293086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3.9</w:t>
                  </w:r>
                </w:p>
              </w:tc>
              <w:tc>
                <w:tcPr>
                  <w:tcW w:w="678" w:type="pct"/>
                  <w:tcBorders>
                    <w:tl2br w:val="nil"/>
                    <w:tr2bl w:val="nil"/>
                  </w:tcBorders>
                  <w:vAlign w:val="center"/>
                </w:tcPr>
                <w:p w14:paraId="178D03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position w:val="-2"/>
                      <w:sz w:val="21"/>
                      <w:szCs w:val="21"/>
                      <w:lang w:val="en-US" w:eastAsia="zh-CN"/>
                    </w:rPr>
                  </w:pPr>
                  <w:r>
                    <w:rPr>
                      <w:rFonts w:hint="eastAsia" w:ascii="Times New Roman" w:hAnsi="Times New Roman" w:eastAsia="宋体" w:cs="Times New Roman"/>
                      <w:color w:val="auto"/>
                      <w:position w:val="-2"/>
                      <w:sz w:val="21"/>
                      <w:szCs w:val="21"/>
                      <w:lang w:val="en-US" w:eastAsia="zh-CN"/>
                    </w:rPr>
                    <w:t>m</w:t>
                  </w:r>
                </w:p>
              </w:tc>
              <w:tc>
                <w:tcPr>
                  <w:tcW w:w="1622" w:type="pct"/>
                  <w:tcBorders>
                    <w:tl2br w:val="nil"/>
                    <w:tr2bl w:val="nil"/>
                  </w:tcBorders>
                  <w:vAlign w:val="center"/>
                </w:tcPr>
                <w:p w14:paraId="38CBD2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3133C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84" w:type="pct"/>
                  <w:tcBorders>
                    <w:tl2br w:val="nil"/>
                    <w:tr2bl w:val="nil"/>
                  </w:tcBorders>
                  <w:vAlign w:val="center"/>
                </w:tcPr>
                <w:p w14:paraId="2F087C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447" w:type="pct"/>
                  <w:gridSpan w:val="2"/>
                  <w:tcBorders>
                    <w:tl2br w:val="nil"/>
                    <w:tr2bl w:val="nil"/>
                  </w:tcBorders>
                  <w:vAlign w:val="center"/>
                </w:tcPr>
                <w:p w14:paraId="4C1CB067">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6"/>
                      <w:sz w:val="21"/>
                      <w:szCs w:val="21"/>
                      <w:lang w:val="en-US" w:eastAsia="zh-CN"/>
                    </w:rPr>
                  </w:pPr>
                  <w:r>
                    <w:rPr>
                      <w:rFonts w:hint="eastAsia"/>
                      <w:color w:val="auto"/>
                      <w:spacing w:val="6"/>
                      <w:sz w:val="21"/>
                      <w:szCs w:val="21"/>
                      <w:lang w:val="en-US" w:eastAsia="zh-CN"/>
                    </w:rPr>
                    <w:t>地面停车位</w:t>
                  </w:r>
                </w:p>
              </w:tc>
              <w:tc>
                <w:tcPr>
                  <w:tcW w:w="767" w:type="pct"/>
                  <w:tcBorders>
                    <w:tl2br w:val="nil"/>
                    <w:tr2bl w:val="nil"/>
                  </w:tcBorders>
                  <w:vAlign w:val="center"/>
                </w:tcPr>
                <w:p w14:paraId="46C22D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6</w:t>
                  </w:r>
                </w:p>
              </w:tc>
              <w:tc>
                <w:tcPr>
                  <w:tcW w:w="678" w:type="pct"/>
                  <w:tcBorders>
                    <w:tl2br w:val="nil"/>
                    <w:tr2bl w:val="nil"/>
                  </w:tcBorders>
                  <w:vAlign w:val="center"/>
                </w:tcPr>
                <w:p w14:paraId="068AC1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1"/>
                      <w:lang w:val="en-US" w:eastAsia="zh-CN"/>
                    </w:rPr>
                  </w:pPr>
                  <w:r>
                    <w:rPr>
                      <w:rFonts w:hint="default" w:ascii="Times New Roman" w:hAnsi="Times New Roman" w:eastAsia="宋体" w:cs="Times New Roman"/>
                      <w:color w:val="auto"/>
                      <w:position w:val="-2"/>
                      <w:sz w:val="21"/>
                      <w:szCs w:val="21"/>
                      <w:lang w:val="en-US" w:eastAsia="zh-CN"/>
                    </w:rPr>
                    <w:t>个</w:t>
                  </w:r>
                </w:p>
              </w:tc>
              <w:tc>
                <w:tcPr>
                  <w:tcW w:w="1622" w:type="pct"/>
                  <w:tcBorders>
                    <w:tl2br w:val="nil"/>
                    <w:tr2bl w:val="nil"/>
                  </w:tcBorders>
                  <w:vAlign w:val="center"/>
                </w:tcPr>
                <w:p w14:paraId="5254A4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按总停车位数的10%设置电动汽车充电车位1个</w:t>
                  </w:r>
                </w:p>
              </w:tc>
            </w:tr>
          </w:tbl>
          <w:p w14:paraId="742DAD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default"/>
                <w:color w:val="auto"/>
                <w:lang w:val="en-US" w:eastAsia="zh-CN"/>
              </w:rPr>
            </w:pPr>
          </w:p>
        </w:tc>
      </w:tr>
      <w:tr w14:paraId="427C33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16" w:hRule="atLeast"/>
          <w:jc w:val="center"/>
        </w:trPr>
        <w:tc>
          <w:tcPr>
            <w:tcW w:w="243" w:type="pct"/>
            <w:tcBorders>
              <w:tl2br w:val="nil"/>
              <w:tr2bl w:val="nil"/>
            </w:tcBorders>
            <w:vAlign w:val="center"/>
          </w:tcPr>
          <w:p w14:paraId="1E6C279A">
            <w:pPr>
              <w:keepNext w:val="0"/>
              <w:keepLines w:val="0"/>
              <w:suppressLineNumbers w:val="0"/>
              <w:spacing w:before="0" w:beforeAutospacing="0" w:after="0" w:afterAutospacing="0"/>
              <w:ind w:left="0" w:right="0"/>
              <w:rPr>
                <w:rFonts w:hint="default"/>
                <w:color w:val="auto"/>
              </w:rPr>
            </w:pPr>
            <w:r>
              <w:rPr>
                <w:rFonts w:hint="eastAsia" w:ascii="宋体" w:hAnsi="宋体"/>
                <w:color w:val="auto"/>
              </w:rPr>
              <w:t>工艺流程和产排污环节</w:t>
            </w:r>
          </w:p>
        </w:tc>
        <w:tc>
          <w:tcPr>
            <w:tcW w:w="4756" w:type="pct"/>
            <w:tcBorders>
              <w:tl2br w:val="nil"/>
              <w:tr2bl w:val="nil"/>
            </w:tcBorders>
          </w:tcPr>
          <w:p w14:paraId="355F310B">
            <w:pPr>
              <w:keepNext w:val="0"/>
              <w:keepLines w:val="0"/>
              <w:suppressLineNumbers w:val="0"/>
              <w:spacing w:before="0" w:beforeAutospacing="0" w:after="0" w:afterAutospacing="0"/>
              <w:ind w:left="0" w:right="0" w:firstLine="482" w:firstLineChars="200"/>
              <w:rPr>
                <w:rFonts w:hint="eastAsia"/>
                <w:b/>
                <w:bCs/>
                <w:color w:val="auto"/>
                <w:lang w:val="en-US" w:eastAsia="zh-CN"/>
              </w:rPr>
            </w:pPr>
            <w:r>
              <w:rPr>
                <w:rFonts w:hint="eastAsia"/>
                <w:b/>
                <w:bCs/>
                <w:color w:val="auto"/>
                <w:lang w:val="en-US" w:eastAsia="zh-CN"/>
              </w:rPr>
              <w:t>2.9工艺流程简述</w:t>
            </w:r>
          </w:p>
          <w:p w14:paraId="12BA5C1A">
            <w:pPr>
              <w:keepNext w:val="0"/>
              <w:keepLines w:val="0"/>
              <w:suppressLineNumbers w:val="0"/>
              <w:spacing w:before="0" w:beforeAutospacing="0" w:after="0" w:afterAutospacing="0"/>
              <w:ind w:left="0" w:right="0" w:firstLine="482" w:firstLineChars="200"/>
              <w:rPr>
                <w:rFonts w:hint="default"/>
                <w:b/>
                <w:bCs/>
                <w:color w:val="auto"/>
                <w:lang w:val="en-US" w:eastAsia="zh-CN"/>
              </w:rPr>
            </w:pPr>
            <w:r>
              <w:rPr>
                <w:rFonts w:hint="eastAsia"/>
                <w:b/>
                <w:bCs/>
                <w:color w:val="auto"/>
                <w:lang w:val="en-US" w:eastAsia="zh-CN"/>
              </w:rPr>
              <w:t>2.9.1施工期生产流程及主要产污环节</w:t>
            </w:r>
          </w:p>
          <w:p w14:paraId="49109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本项目建筑施工全过程按作业性质可以分为下列几个阶段：清理场地阶段，主要包括清理土地等；土方阶段，包括挖掘土石方等；基础工程阶段，包括打桩、</w:t>
            </w:r>
          </w:p>
          <w:p w14:paraId="48A96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 w:val="0"/>
                <w:bCs w:val="0"/>
                <w:color w:val="auto"/>
                <w:lang w:val="en-US" w:eastAsia="zh-CN"/>
              </w:rPr>
            </w:pPr>
            <w:r>
              <w:rPr>
                <w:rFonts w:hint="default"/>
                <w:b w:val="0"/>
                <w:bCs w:val="0"/>
                <w:color w:val="auto"/>
                <w:lang w:val="en-US" w:eastAsia="zh-CN"/>
              </w:rPr>
              <w:t>砌筑基础等；主体工程阶段，包括钢筋、混凝土工程、钢木工程、砌体工程和装修等；扫尾阶段，包括回填土方、清理现场、绿化等。施工期主要的污染物产生环节来自基槽开挖、地基处理、地下结构施工、上部结构施工、环保水电土建等附属设施安装以及工程调试运行等过程中产生的污染物，而施工噪声则贯穿施工全过程。</w:t>
            </w:r>
          </w:p>
          <w:p w14:paraId="7434F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主要污染因素产污环节详见图</w:t>
            </w:r>
            <w:r>
              <w:rPr>
                <w:rFonts w:hint="eastAsia"/>
                <w:b w:val="0"/>
                <w:bCs w:val="0"/>
                <w:color w:val="auto"/>
                <w:lang w:val="en-US" w:eastAsia="zh-CN"/>
              </w:rPr>
              <w:t>2-3</w:t>
            </w:r>
            <w:r>
              <w:rPr>
                <w:rFonts w:hint="default"/>
                <w:b w:val="0"/>
                <w:bCs w:val="0"/>
                <w:color w:val="auto"/>
                <w:lang w:val="en-US" w:eastAsia="zh-CN"/>
              </w:rPr>
              <w:t>。</w:t>
            </w:r>
          </w:p>
          <w:p w14:paraId="0A6DF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bCs/>
                <w:color w:val="auto"/>
                <w:sz w:val="21"/>
                <w:szCs w:val="18"/>
                <w:lang w:val="en-US" w:eastAsia="zh-CN"/>
              </w:rPr>
            </w:pPr>
            <w:r>
              <w:rPr>
                <w:rFonts w:hint="default"/>
                <w:b w:val="0"/>
                <w:bCs w:val="0"/>
                <w:color w:val="auto"/>
                <w:lang w:val="en-US" w:eastAsia="zh-CN"/>
              </w:rPr>
              <w:object>
                <v:shape id="_x0000_i1027" o:spt="75" type="#_x0000_t75" style="height:105.85pt;width:425.25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r>
              <w:rPr>
                <w:rFonts w:hint="eastAsia"/>
                <w:b/>
                <w:bCs/>
                <w:color w:val="auto"/>
                <w:sz w:val="21"/>
                <w:szCs w:val="18"/>
                <w:lang w:val="en-US" w:eastAsia="zh-CN"/>
              </w:rPr>
              <w:t>图2-3  施工期产污环节图</w:t>
            </w:r>
          </w:p>
          <w:p w14:paraId="38633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lang w:val="en-US" w:eastAsia="zh-CN"/>
              </w:rPr>
            </w:pPr>
            <w:r>
              <w:rPr>
                <w:rFonts w:hint="eastAsia"/>
                <w:b w:val="0"/>
                <w:bCs w:val="0"/>
                <w:color w:val="auto"/>
                <w:lang w:val="en-US" w:eastAsia="zh-CN"/>
              </w:rPr>
              <w:t>施工期产污环节主要为：</w:t>
            </w:r>
          </w:p>
          <w:p w14:paraId="306DB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（1）废气</w:t>
            </w:r>
          </w:p>
          <w:p w14:paraId="3523F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在施工中产生的废气污染物主要是</w:t>
            </w:r>
            <w:r>
              <w:rPr>
                <w:rFonts w:hint="eastAsia"/>
                <w:b w:val="0"/>
                <w:bCs w:val="0"/>
                <w:color w:val="auto"/>
                <w:lang w:val="en-US" w:eastAsia="zh-CN"/>
              </w:rPr>
              <w:t>土石方开挖、场地清理、</w:t>
            </w:r>
            <w:r>
              <w:rPr>
                <w:rFonts w:hint="default"/>
                <w:b w:val="0"/>
                <w:bCs w:val="0"/>
                <w:color w:val="auto"/>
                <w:lang w:val="en-US" w:eastAsia="zh-CN"/>
              </w:rPr>
              <w:t>砂石料装卸、堆存产生的粉尘，运输车辆扬尘，少量施工机械排放的废气</w:t>
            </w:r>
            <w:r>
              <w:rPr>
                <w:rFonts w:hint="eastAsia"/>
                <w:b w:val="0"/>
                <w:bCs w:val="0"/>
                <w:color w:val="auto"/>
                <w:lang w:val="en-US" w:eastAsia="zh-CN"/>
              </w:rPr>
              <w:t>及装修废气</w:t>
            </w:r>
            <w:r>
              <w:rPr>
                <w:rFonts w:hint="default"/>
                <w:b w:val="0"/>
                <w:bCs w:val="0"/>
                <w:color w:val="auto"/>
                <w:lang w:val="en-US" w:eastAsia="zh-CN"/>
              </w:rPr>
              <w:t>。</w:t>
            </w:r>
          </w:p>
          <w:p w14:paraId="1321C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（2）废水</w:t>
            </w:r>
          </w:p>
          <w:p w14:paraId="12F1E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建筑施工期间的废水包括建筑废水和生活污水。建筑废水主要包括冲洗施工机械、工具、地面等产生的废水，水泥砂浆、石灰浆废液以及基坑排水产生的废水。</w:t>
            </w:r>
          </w:p>
          <w:p w14:paraId="0C04B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（3）噪声</w:t>
            </w:r>
          </w:p>
          <w:p w14:paraId="22939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default"/>
                <w:b w:val="0"/>
                <w:bCs w:val="0"/>
                <w:color w:val="auto"/>
                <w:lang w:val="en-US" w:eastAsia="zh-CN"/>
              </w:rPr>
              <w:t>噪声是施工期主要的污染因子，施工过程中使用的运输车辆及各种施工机械产生的噪声</w:t>
            </w:r>
            <w:r>
              <w:rPr>
                <w:rFonts w:hint="eastAsia"/>
                <w:b w:val="0"/>
                <w:bCs w:val="0"/>
                <w:color w:val="auto"/>
                <w:lang w:val="en-US" w:eastAsia="zh-CN"/>
              </w:rPr>
              <w:t>。</w:t>
            </w:r>
          </w:p>
          <w:p w14:paraId="745C11CD">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b w:val="0"/>
                <w:bCs w:val="0"/>
                <w:color w:val="auto"/>
                <w:lang w:val="en-US" w:eastAsia="zh-CN"/>
              </w:rPr>
            </w:pPr>
            <w:r>
              <w:rPr>
                <w:rFonts w:hint="eastAsia"/>
                <w:b w:val="0"/>
                <w:bCs w:val="0"/>
                <w:color w:val="auto"/>
                <w:lang w:val="en-US" w:eastAsia="zh-CN"/>
              </w:rPr>
              <w:t>固废</w:t>
            </w:r>
          </w:p>
          <w:p w14:paraId="77DAFC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b w:val="0"/>
                <w:bCs w:val="0"/>
                <w:color w:val="auto"/>
                <w:lang w:val="en-US" w:eastAsia="zh-CN"/>
              </w:rPr>
            </w:pPr>
            <w:r>
              <w:rPr>
                <w:rFonts w:hint="default"/>
                <w:b w:val="0"/>
                <w:bCs w:val="0"/>
                <w:color w:val="auto"/>
                <w:lang w:val="en-US" w:eastAsia="zh-CN"/>
              </w:rPr>
              <w:t>施工期间将有一定数量的废弃建筑材料如砂石、石灰、混凝土、废砖、土石方等。处置不当将会对周围环境产生影响。施工过程中必然要有大量的施工人员工作和生活在施工现场，其日常生活将产生一定数量的生活垃圾。</w:t>
            </w:r>
          </w:p>
          <w:p w14:paraId="3660C0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eastAsia"/>
                <w:b/>
                <w:bCs/>
                <w:color w:val="auto"/>
                <w:lang w:val="en-US" w:eastAsia="zh-CN"/>
              </w:rPr>
            </w:pPr>
            <w:r>
              <w:rPr>
                <w:rFonts w:hint="eastAsia"/>
                <w:b/>
                <w:bCs/>
                <w:color w:val="auto"/>
                <w:lang w:val="en-US" w:eastAsia="zh-CN"/>
              </w:rPr>
              <w:t>2.9.2营运期生产工艺流程及主要产污环节</w:t>
            </w:r>
          </w:p>
          <w:p w14:paraId="190221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项目建成后为普通中学，非制造型项目，营运期生产活动为师生学习、教学、实验等。产污环节见图2-4。</w:t>
            </w:r>
          </w:p>
          <w:p w14:paraId="78F5D8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p>
          <w:p w14:paraId="122566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p>
          <w:p w14:paraId="50AE48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p>
          <w:p w14:paraId="37A2FA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p>
          <w:p w14:paraId="178A37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b w:val="0"/>
                <w:bCs w:val="0"/>
                <w:color w:val="auto"/>
                <w:lang w:val="en-US" w:eastAsia="zh-CN"/>
              </w:rPr>
            </w:pPr>
            <w:r>
              <w:rPr>
                <w:rFonts w:hint="default"/>
                <w:b w:val="0"/>
                <w:bCs w:val="0"/>
                <w:color w:val="auto"/>
                <w:lang w:val="en-US" w:eastAsia="zh-CN"/>
              </w:rPr>
              <w:object>
                <v:shape id="_x0000_i1028" o:spt="75" type="#_x0000_t75" style="height:102.75pt;width:359.25pt;" o:ole="t" filled="f" o:preferrelative="t" stroked="f" coordsize="21600,21600">
                  <v:path/>
                  <v:fill on="f" focussize="0,0"/>
                  <v:stroke on="f"/>
                  <v:imagedata r:id="rId23" o:title=""/>
                  <o:lock v:ext="edit" aspectratio="f"/>
                  <w10:wrap type="none"/>
                  <w10:anchorlock/>
                </v:shape>
                <o:OLEObject Type="Embed" ProgID="Visio.Drawing.15" ShapeID="_x0000_i1028" DrawAspect="Content" ObjectID="_1468075728" r:id="rId22">
                  <o:LockedField>false</o:LockedField>
                </o:OLEObject>
              </w:object>
            </w:r>
          </w:p>
          <w:p w14:paraId="5E14E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bCs/>
                <w:color w:val="auto"/>
                <w:sz w:val="21"/>
                <w:szCs w:val="18"/>
                <w:lang w:val="en-US" w:eastAsia="zh-CN"/>
              </w:rPr>
            </w:pPr>
            <w:r>
              <w:rPr>
                <w:rFonts w:hint="eastAsia"/>
                <w:b/>
                <w:bCs/>
                <w:color w:val="auto"/>
                <w:sz w:val="21"/>
                <w:szCs w:val="18"/>
                <w:lang w:val="en-US" w:eastAsia="zh-CN"/>
              </w:rPr>
              <w:t>图2-4  营运期产排污环节图</w:t>
            </w:r>
          </w:p>
          <w:p w14:paraId="217E9F1D">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lang w:val="en-US" w:eastAsia="zh-CN"/>
              </w:rPr>
            </w:pPr>
            <w:r>
              <w:rPr>
                <w:rFonts w:hint="eastAsia"/>
                <w:b w:val="0"/>
                <w:bCs w:val="0"/>
                <w:color w:val="auto"/>
                <w:lang w:val="en-US" w:eastAsia="zh-CN"/>
              </w:rPr>
              <w:t>物理实验</w:t>
            </w:r>
          </w:p>
          <w:p w14:paraId="0B9B2D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b w:val="0"/>
                <w:bCs w:val="0"/>
                <w:color w:val="auto"/>
                <w:lang w:val="en-US" w:eastAsia="zh-CN"/>
              </w:rPr>
            </w:pPr>
            <w:r>
              <w:rPr>
                <w:rFonts w:hint="default"/>
                <w:b w:val="0"/>
                <w:bCs w:val="0"/>
                <w:color w:val="auto"/>
                <w:lang w:val="en-US" w:eastAsia="zh-CN"/>
              </w:rPr>
              <w:t>物理实验主要为根据研究方向，制备相应的样品，通过调节仪器设备参数进</w:t>
            </w:r>
          </w:p>
          <w:p w14:paraId="69F2FA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default"/>
                <w:b w:val="0"/>
                <w:bCs w:val="0"/>
                <w:color w:val="auto"/>
                <w:lang w:val="en-US" w:eastAsia="zh-CN"/>
              </w:rPr>
            </w:pPr>
            <w:r>
              <w:rPr>
                <w:rFonts w:hint="default"/>
                <w:b w:val="0"/>
                <w:bCs w:val="0"/>
                <w:color w:val="auto"/>
                <w:lang w:val="en-US" w:eastAsia="zh-CN"/>
              </w:rPr>
              <w:t>行表征分析测试，测试后样品再带回各个实验室处理。</w:t>
            </w:r>
          </w:p>
          <w:p w14:paraId="3B134E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b w:val="0"/>
                <w:bCs w:val="0"/>
                <w:color w:val="auto"/>
                <w:lang w:val="en-US" w:eastAsia="zh-CN"/>
              </w:rPr>
            </w:pPr>
            <w:r>
              <w:rPr>
                <w:rFonts w:hint="default"/>
                <w:b w:val="0"/>
                <w:bCs w:val="0"/>
                <w:color w:val="auto"/>
                <w:lang w:val="en-US" w:eastAsia="zh-CN"/>
              </w:rPr>
              <w:object>
                <v:shape id="_x0000_i1029" o:spt="75" type="#_x0000_t75" style="height:105.3pt;width:346.6pt;" o:ole="t" filled="f" o:preferrelative="t" stroked="f" coordsize="21600,21600">
                  <v:path/>
                  <v:fill on="f" focussize="0,0"/>
                  <v:stroke on="f"/>
                  <v:imagedata r:id="rId25" o:title=""/>
                  <o:lock v:ext="edit" aspectratio="f"/>
                  <w10:wrap type="none"/>
                  <w10:anchorlock/>
                </v:shape>
                <o:OLEObject Type="Embed" ProgID="Visio.Drawing.15" ShapeID="_x0000_i1029" DrawAspect="Content" ObjectID="_1468075729" r:id="rId24">
                  <o:LockedField>false</o:LockedField>
                </o:OLEObject>
              </w:object>
            </w:r>
          </w:p>
          <w:p w14:paraId="1C6EC0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b/>
                <w:bCs/>
                <w:color w:val="auto"/>
                <w:sz w:val="21"/>
                <w:szCs w:val="18"/>
                <w:lang w:val="en-US" w:eastAsia="zh-CN"/>
              </w:rPr>
            </w:pPr>
            <w:r>
              <w:rPr>
                <w:rFonts w:hint="eastAsia"/>
                <w:b/>
                <w:bCs/>
                <w:color w:val="auto"/>
                <w:sz w:val="21"/>
                <w:szCs w:val="18"/>
                <w:lang w:val="en-US" w:eastAsia="zh-CN"/>
              </w:rPr>
              <w:t>图2-5 物理实验主要工艺流程图</w:t>
            </w:r>
          </w:p>
          <w:p w14:paraId="764E7198">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b w:val="0"/>
                <w:bCs w:val="0"/>
                <w:color w:val="auto"/>
                <w:lang w:val="en-US" w:eastAsia="zh-CN"/>
              </w:rPr>
            </w:pPr>
            <w:r>
              <w:rPr>
                <w:rFonts w:hint="eastAsia"/>
                <w:b w:val="0"/>
                <w:bCs w:val="0"/>
                <w:color w:val="auto"/>
                <w:lang w:val="en-US" w:eastAsia="zh-CN"/>
              </w:rPr>
              <w:t>化学实验</w:t>
            </w:r>
          </w:p>
          <w:p w14:paraId="5F34B9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b w:val="0"/>
                <w:bCs w:val="0"/>
                <w:color w:val="auto"/>
                <w:lang w:val="en-US" w:eastAsia="zh-CN"/>
              </w:rPr>
            </w:pPr>
            <w:r>
              <w:rPr>
                <w:rFonts w:hint="default"/>
                <w:b w:val="0"/>
                <w:bCs w:val="0"/>
                <w:color w:val="auto"/>
                <w:lang w:val="en-US" w:eastAsia="zh-CN"/>
              </w:rPr>
              <w:t>化学实验主要为根据研究方向，配置相应的溶液进行化学反应合成，样品制备完成后进行数据分析</w:t>
            </w:r>
            <w:r>
              <w:rPr>
                <w:rFonts w:hint="eastAsia"/>
                <w:b w:val="0"/>
                <w:bCs w:val="0"/>
                <w:color w:val="auto"/>
                <w:lang w:val="en-US" w:eastAsia="zh-CN"/>
              </w:rPr>
              <w:t>。</w:t>
            </w:r>
          </w:p>
          <w:p w14:paraId="7641C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val="0"/>
                <w:bCs w:val="0"/>
                <w:color w:val="auto"/>
                <w:lang w:val="en-US" w:eastAsia="zh-CN"/>
              </w:rPr>
            </w:pPr>
            <w:r>
              <w:rPr>
                <w:rFonts w:hint="default"/>
                <w:b w:val="0"/>
                <w:bCs w:val="0"/>
                <w:color w:val="auto"/>
                <w:lang w:val="en-US" w:eastAsia="zh-CN"/>
              </w:rPr>
              <w:object>
                <v:shape id="_x0000_i1030" o:spt="75" type="#_x0000_t75" style="height:100.7pt;width:354.3pt;" o:ole="t" filled="f" o:preferrelative="t" stroked="f" coordsize="21600,21600">
                  <v:path/>
                  <v:fill on="f" focussize="0,0"/>
                  <v:stroke on="f"/>
                  <v:imagedata r:id="rId27" o:title=""/>
                  <o:lock v:ext="edit" aspectratio="f"/>
                  <w10:wrap type="none"/>
                  <w10:anchorlock/>
                </v:shape>
                <o:OLEObject Type="Embed" ProgID="Visio.Drawing.15" ShapeID="_x0000_i1030" DrawAspect="Content" ObjectID="_1468075730" r:id="rId26">
                  <o:LockedField>false</o:LockedField>
                </o:OLEObject>
              </w:object>
            </w:r>
          </w:p>
          <w:p w14:paraId="50DBE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bCs/>
                <w:color w:val="auto"/>
                <w:sz w:val="21"/>
                <w:szCs w:val="18"/>
                <w:lang w:val="en-US" w:eastAsia="zh-CN"/>
              </w:rPr>
            </w:pPr>
            <w:r>
              <w:rPr>
                <w:rFonts w:hint="eastAsia"/>
                <w:b/>
                <w:bCs/>
                <w:color w:val="auto"/>
                <w:sz w:val="21"/>
                <w:szCs w:val="18"/>
                <w:lang w:val="en-US" w:eastAsia="zh-CN"/>
              </w:rPr>
              <w:t>图2-6  化学实验主要工艺流程图</w:t>
            </w:r>
          </w:p>
          <w:p w14:paraId="4DEF1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eastAsia"/>
                <w:b w:val="0"/>
                <w:bCs w:val="0"/>
                <w:color w:val="auto"/>
                <w:lang w:val="en-US" w:eastAsia="zh-CN"/>
              </w:rPr>
              <w:t>（3）生物实验</w:t>
            </w:r>
          </w:p>
          <w:p w14:paraId="2A619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lang w:val="en-US" w:eastAsia="zh-CN"/>
              </w:rPr>
            </w:pPr>
            <w:r>
              <w:rPr>
                <w:rFonts w:hint="eastAsia"/>
                <w:b w:val="0"/>
                <w:bCs w:val="0"/>
                <w:color w:val="auto"/>
                <w:lang w:val="en-US" w:eastAsia="zh-CN"/>
              </w:rPr>
              <w:t>初中生物实验主要为对细胞、植物或者其他对象采用不同的处理，观察不同条件下的结果，实验对象多为植物、种子等，不包含活体实验。</w:t>
            </w:r>
          </w:p>
          <w:p w14:paraId="1A4DE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lang w:val="en-US" w:eastAsia="zh-CN"/>
              </w:rPr>
            </w:pPr>
          </w:p>
          <w:p w14:paraId="1338E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p>
          <w:p w14:paraId="1A75D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val="0"/>
                <w:bCs w:val="0"/>
                <w:color w:val="auto"/>
                <w:lang w:val="en-US" w:eastAsia="zh-CN"/>
              </w:rPr>
            </w:pPr>
            <w:r>
              <w:rPr>
                <w:rFonts w:hint="eastAsia"/>
                <w:b w:val="0"/>
                <w:bCs w:val="0"/>
                <w:color w:val="auto"/>
                <w:lang w:val="en-US" w:eastAsia="zh-CN"/>
              </w:rPr>
              <w:object>
                <v:shape id="_x0000_i1031" o:spt="75" type="#_x0000_t75" style="height:88.5pt;width:364.5pt;" o:ole="t" filled="f" o:preferrelative="t" stroked="f" coordsize="21600,21600">
                  <v:path/>
                  <v:fill on="f" focussize="0,0"/>
                  <v:stroke on="f"/>
                  <v:imagedata r:id="rId29" o:title=""/>
                  <o:lock v:ext="edit" aspectratio="f"/>
                  <w10:wrap type="none"/>
                  <w10:anchorlock/>
                </v:shape>
                <o:OLEObject Type="Embed" ProgID="Visio.Drawing.15" ShapeID="_x0000_i1031" DrawAspect="Content" ObjectID="_1468075731" r:id="rId28">
                  <o:LockedField>false</o:LockedField>
                </o:OLEObject>
              </w:object>
            </w:r>
          </w:p>
          <w:p w14:paraId="05E4C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bCs/>
                <w:color w:val="auto"/>
                <w:sz w:val="21"/>
                <w:szCs w:val="18"/>
                <w:lang w:val="en-US" w:eastAsia="zh-CN"/>
              </w:rPr>
            </w:pPr>
            <w:r>
              <w:rPr>
                <w:rFonts w:hint="eastAsia"/>
                <w:b/>
                <w:bCs/>
                <w:color w:val="auto"/>
                <w:sz w:val="21"/>
                <w:szCs w:val="18"/>
                <w:lang w:val="en-US" w:eastAsia="zh-CN"/>
              </w:rPr>
              <w:t>图2-7  生物实验主要工艺流程图</w:t>
            </w:r>
          </w:p>
          <w:p w14:paraId="68CDB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val="0"/>
                <w:color w:val="auto"/>
                <w:lang w:val="en-US" w:eastAsia="zh-CN"/>
              </w:rPr>
            </w:pPr>
            <w:r>
              <w:rPr>
                <w:rFonts w:hint="eastAsia"/>
                <w:b w:val="0"/>
                <w:bCs w:val="0"/>
                <w:color w:val="auto"/>
                <w:lang w:val="en-US" w:eastAsia="zh-CN"/>
              </w:rPr>
              <w:t>营运期主要产污环节如下：</w:t>
            </w:r>
          </w:p>
          <w:p w14:paraId="6FDF7BD6">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lang w:val="en-US" w:eastAsia="zh-CN"/>
              </w:rPr>
            </w:pPr>
            <w:r>
              <w:rPr>
                <w:rFonts w:hint="eastAsia"/>
                <w:b w:val="0"/>
                <w:bCs w:val="0"/>
                <w:color w:val="auto"/>
                <w:lang w:val="en-US" w:eastAsia="zh-CN"/>
              </w:rPr>
              <w:t>废气</w:t>
            </w:r>
          </w:p>
          <w:p w14:paraId="3BC863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营运期废气主要为实验室废气；</w:t>
            </w:r>
          </w:p>
          <w:p w14:paraId="7EF7F6BC">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废水</w:t>
            </w:r>
          </w:p>
          <w:p w14:paraId="716803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b w:val="0"/>
                <w:bCs w:val="0"/>
                <w:color w:val="auto"/>
                <w:lang w:val="en-US" w:eastAsia="zh-CN"/>
              </w:rPr>
            </w:pPr>
            <w:r>
              <w:rPr>
                <w:rFonts w:hint="default"/>
                <w:b w:val="0"/>
                <w:bCs w:val="0"/>
                <w:color w:val="auto"/>
                <w:lang w:val="en-US" w:eastAsia="zh-CN"/>
              </w:rPr>
              <w:t>本项目产生的废水主要为实验废水和生活污水</w:t>
            </w:r>
            <w:r>
              <w:rPr>
                <w:rFonts w:hint="eastAsia"/>
                <w:b w:val="0"/>
                <w:bCs w:val="0"/>
                <w:color w:val="auto"/>
                <w:lang w:val="en-US" w:eastAsia="zh-CN"/>
              </w:rPr>
              <w:t>；</w:t>
            </w:r>
          </w:p>
          <w:p w14:paraId="0568C972">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噪声</w:t>
            </w:r>
          </w:p>
          <w:p w14:paraId="19027D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b w:val="0"/>
                <w:bCs w:val="0"/>
                <w:color w:val="auto"/>
                <w:lang w:val="en-US" w:eastAsia="zh-CN"/>
              </w:rPr>
            </w:pPr>
            <w:r>
              <w:rPr>
                <w:rFonts w:hint="default"/>
                <w:b w:val="0"/>
                <w:bCs w:val="0"/>
                <w:color w:val="auto"/>
                <w:lang w:val="en-US" w:eastAsia="zh-CN"/>
              </w:rPr>
              <w:t>项目营运期噪声主要来自日常教学及生活噪声、风机及泵类运行产生的噪声</w:t>
            </w:r>
            <w:r>
              <w:rPr>
                <w:rFonts w:hint="eastAsia"/>
                <w:b w:val="0"/>
                <w:bCs w:val="0"/>
                <w:color w:val="auto"/>
                <w:lang w:val="en-US" w:eastAsia="zh-CN"/>
              </w:rPr>
              <w:t>；</w:t>
            </w:r>
          </w:p>
          <w:p w14:paraId="7A90BEC4">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b w:val="0"/>
                <w:bCs w:val="0"/>
                <w:color w:val="auto"/>
                <w:lang w:val="en-US" w:eastAsia="zh-CN"/>
              </w:rPr>
            </w:pPr>
            <w:r>
              <w:rPr>
                <w:rFonts w:hint="eastAsia"/>
                <w:b w:val="0"/>
                <w:bCs w:val="0"/>
                <w:color w:val="auto"/>
                <w:lang w:val="en-US" w:eastAsia="zh-CN"/>
              </w:rPr>
              <w:t>固体废物</w:t>
            </w:r>
          </w:p>
          <w:p w14:paraId="61C8EF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b w:val="0"/>
                <w:bCs w:val="0"/>
                <w:color w:val="auto"/>
                <w:lang w:val="en-US" w:eastAsia="zh-CN"/>
              </w:rPr>
            </w:pPr>
            <w:r>
              <w:rPr>
                <w:rFonts w:hint="default"/>
                <w:b w:val="0"/>
                <w:bCs w:val="0"/>
                <w:color w:val="auto"/>
                <w:lang w:val="en-US" w:eastAsia="zh-CN"/>
              </w:rPr>
              <w:t>本项目产生的固体废物主要为</w:t>
            </w:r>
            <w:r>
              <w:rPr>
                <w:rFonts w:hint="eastAsia"/>
                <w:b w:val="0"/>
                <w:bCs w:val="0"/>
                <w:color w:val="auto"/>
                <w:lang w:val="en-US" w:eastAsia="zh-CN"/>
              </w:rPr>
              <w:t>生活垃圾；一般固废（</w:t>
            </w:r>
            <w:r>
              <w:rPr>
                <w:rFonts w:hint="default"/>
                <w:b w:val="0"/>
                <w:bCs w:val="0"/>
                <w:color w:val="auto"/>
                <w:sz w:val="24"/>
                <w:szCs w:val="21"/>
                <w:lang w:val="en-US" w:eastAsia="zh-CN"/>
              </w:rPr>
              <w:t>废纸箱、废弃或破损玻璃仪器、废纸</w:t>
            </w:r>
            <w:r>
              <w:rPr>
                <w:rFonts w:hint="eastAsia"/>
                <w:b w:val="0"/>
                <w:bCs w:val="0"/>
                <w:color w:val="auto"/>
                <w:lang w:val="en-US" w:eastAsia="zh-CN"/>
              </w:rPr>
              <w:t>）；危险废物：</w:t>
            </w:r>
            <w:r>
              <w:rPr>
                <w:rFonts w:hint="default"/>
                <w:b w:val="0"/>
                <w:bCs w:val="0"/>
                <w:color w:val="auto"/>
                <w:sz w:val="24"/>
                <w:szCs w:val="21"/>
                <w:lang w:val="en-US" w:eastAsia="zh-CN"/>
              </w:rPr>
              <w:t>实验废液、废实验用品（废弃药品、废试剂、废试纸、沾染酸碱等化学品的破损实验仪器（试管、载玻片等）</w:t>
            </w:r>
            <w:r>
              <w:rPr>
                <w:rFonts w:hint="eastAsia"/>
                <w:b w:val="0"/>
                <w:bCs w:val="0"/>
                <w:color w:val="auto"/>
                <w:highlight w:val="none"/>
                <w:lang w:val="en-US" w:eastAsia="zh-CN"/>
              </w:rPr>
              <w:t>。</w:t>
            </w:r>
          </w:p>
        </w:tc>
      </w:tr>
      <w:tr w14:paraId="21F114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7" w:hRule="atLeast"/>
          <w:jc w:val="center"/>
        </w:trPr>
        <w:tc>
          <w:tcPr>
            <w:tcW w:w="243" w:type="pct"/>
            <w:tcBorders>
              <w:tl2br w:val="nil"/>
              <w:tr2bl w:val="nil"/>
            </w:tcBorders>
            <w:shd w:val="clear" w:color="auto" w:fill="auto"/>
            <w:vAlign w:val="center"/>
          </w:tcPr>
          <w:p w14:paraId="31D1293E">
            <w:pPr>
              <w:keepNext w:val="0"/>
              <w:keepLines w:val="0"/>
              <w:suppressLineNumbers w:val="0"/>
              <w:spacing w:before="0" w:beforeAutospacing="0" w:after="0" w:afterAutospacing="0"/>
              <w:ind w:left="0" w:right="0"/>
              <w:jc w:val="center"/>
              <w:rPr>
                <w:rFonts w:hint="eastAsia" w:ascii="宋体" w:hAnsi="宋体"/>
                <w:color w:val="auto"/>
              </w:rPr>
            </w:pPr>
            <w:r>
              <w:rPr>
                <w:rFonts w:hint="eastAsia"/>
                <w:color w:val="auto"/>
              </w:rPr>
              <w:t>原有环境污染问题</w:t>
            </w:r>
          </w:p>
        </w:tc>
        <w:tc>
          <w:tcPr>
            <w:tcW w:w="4756" w:type="pct"/>
            <w:tcBorders>
              <w:tl2br w:val="nil"/>
              <w:tr2bl w:val="nil"/>
            </w:tcBorders>
          </w:tcPr>
          <w:p w14:paraId="5A42C89D">
            <w:pPr>
              <w:pStyle w:val="2"/>
              <w:numPr>
                <w:ilvl w:val="0"/>
                <w:numId w:val="0"/>
              </w:numPr>
              <w:suppressLineNumbers w:val="0"/>
              <w:spacing w:before="0" w:beforeAutospacing="0" w:after="0" w:afterAutospacing="0"/>
              <w:ind w:left="0" w:right="0" w:firstLine="480" w:firstLineChars="200"/>
              <w:rPr>
                <w:rFonts w:hint="default"/>
                <w:color w:val="auto"/>
                <w:sz w:val="24"/>
                <w:szCs w:val="36"/>
                <w:lang w:val="en-US" w:eastAsia="zh-CN"/>
              </w:rPr>
            </w:pPr>
            <w:r>
              <w:rPr>
                <w:rFonts w:hint="default"/>
                <w:color w:val="auto"/>
                <w:sz w:val="24"/>
                <w:szCs w:val="36"/>
              </w:rPr>
              <w:t>长治市屯留区麟绛小学校扩建初中部项目</w:t>
            </w:r>
            <w:r>
              <w:rPr>
                <w:rFonts w:hint="eastAsia"/>
                <w:color w:val="auto"/>
                <w:sz w:val="24"/>
                <w:szCs w:val="36"/>
                <w:lang w:val="en-US" w:eastAsia="zh-CN"/>
              </w:rPr>
              <w:t>为新征占地，从环境影响评价的角度及“长治市屯留区教育局关于城南学校、麟绛小学初中部规划设计方案的情况说明”，本项目实际为新建初中部，项目建成后依托</w:t>
            </w:r>
            <w:r>
              <w:rPr>
                <w:rFonts w:hint="eastAsia"/>
                <w:color w:val="auto"/>
                <w:sz w:val="24"/>
                <w:szCs w:val="36"/>
                <w:highlight w:val="none"/>
                <w:lang w:val="en-US" w:eastAsia="zh-CN"/>
              </w:rPr>
              <w:t>小学部田</w:t>
            </w:r>
            <w:r>
              <w:rPr>
                <w:rFonts w:hint="eastAsia"/>
                <w:color w:val="auto"/>
                <w:sz w:val="24"/>
                <w:szCs w:val="36"/>
                <w:lang w:val="en-US" w:eastAsia="zh-CN"/>
              </w:rPr>
              <w:t>径操场。环保工程如实验废气的处置、固体废物的处置均单独设置，生活污水及实验废水排入市政污水管网。</w:t>
            </w:r>
          </w:p>
          <w:p w14:paraId="6C83125E">
            <w:pPr>
              <w:keepNext w:val="0"/>
              <w:keepLines w:val="0"/>
              <w:numPr>
                <w:ilvl w:val="0"/>
                <w:numId w:val="8"/>
              </w:numPr>
              <w:suppressLineNumbers w:val="0"/>
              <w:spacing w:before="0" w:beforeAutospacing="0" w:after="0" w:afterAutospacing="0"/>
              <w:ind w:left="0" w:right="0" w:firstLine="480" w:firstLineChars="200"/>
              <w:rPr>
                <w:rFonts w:hint="eastAsia"/>
                <w:color w:val="auto"/>
                <w:sz w:val="24"/>
                <w:szCs w:val="36"/>
                <w:lang w:val="en-US" w:eastAsia="zh-CN"/>
              </w:rPr>
            </w:pPr>
            <w:r>
              <w:rPr>
                <w:rFonts w:hint="eastAsia"/>
                <w:color w:val="auto"/>
                <w:sz w:val="24"/>
                <w:szCs w:val="36"/>
                <w:lang w:val="en-US" w:eastAsia="zh-CN"/>
              </w:rPr>
              <w:t>原项目概况</w:t>
            </w:r>
          </w:p>
          <w:p w14:paraId="7DB91C68">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eastAsia"/>
                <w:color w:val="auto"/>
                <w:sz w:val="24"/>
                <w:szCs w:val="36"/>
                <w:lang w:val="en-US" w:eastAsia="zh-CN"/>
              </w:rPr>
            </w:pPr>
            <w:r>
              <w:rPr>
                <w:rFonts w:hint="eastAsia"/>
                <w:color w:val="auto"/>
                <w:sz w:val="24"/>
                <w:szCs w:val="36"/>
                <w:lang w:val="en-US" w:eastAsia="zh-CN"/>
              </w:rPr>
              <w:t>原项目为“屯留县麟绛中心学校新建项目”，该项目于2017年3月15日进行了环境影响评价登记备案，备案号：201714042400000002。</w:t>
            </w:r>
          </w:p>
          <w:p w14:paraId="0AAAB5B1">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default"/>
                <w:color w:val="auto"/>
                <w:sz w:val="24"/>
                <w:szCs w:val="36"/>
                <w:lang w:val="en-US" w:eastAsia="zh-CN"/>
              </w:rPr>
            </w:pPr>
            <w:r>
              <w:rPr>
                <w:rFonts w:hint="eastAsia"/>
                <w:color w:val="auto"/>
                <w:sz w:val="24"/>
                <w:szCs w:val="36"/>
                <w:lang w:val="en-US" w:eastAsia="zh-CN"/>
              </w:rPr>
              <w:t>原项目建筑面积总计17319m</w:t>
            </w:r>
            <w:r>
              <w:rPr>
                <w:rFonts w:hint="eastAsia"/>
                <w:color w:val="auto"/>
                <w:sz w:val="24"/>
                <w:szCs w:val="36"/>
                <w:vertAlign w:val="superscript"/>
                <w:lang w:val="en-US" w:eastAsia="zh-CN"/>
              </w:rPr>
              <w:t>2</w:t>
            </w:r>
            <w:r>
              <w:rPr>
                <w:rFonts w:hint="eastAsia"/>
                <w:color w:val="auto"/>
                <w:sz w:val="24"/>
                <w:szCs w:val="36"/>
                <w:lang w:val="en-US" w:eastAsia="zh-CN"/>
              </w:rPr>
              <w:t>，包括教学楼、综合楼、办公楼、田径操场等，无食堂及住宿。现有小学部为8轨制小学，现有教学班48个，在校学生2160人，教职工123名。</w:t>
            </w:r>
          </w:p>
          <w:p w14:paraId="245B4735">
            <w:pPr>
              <w:keepNext w:val="0"/>
              <w:keepLines w:val="0"/>
              <w:widowControl w:val="0"/>
              <w:numPr>
                <w:ilvl w:val="0"/>
                <w:numId w:val="8"/>
              </w:numPr>
              <w:suppressLineNumbers w:val="0"/>
              <w:spacing w:before="0" w:beforeAutospacing="0" w:after="0" w:afterAutospacing="0" w:line="480" w:lineRule="exact"/>
              <w:ind w:left="0" w:leftChars="0" w:right="0" w:rightChars="0" w:firstLine="480" w:firstLineChars="200"/>
              <w:jc w:val="both"/>
              <w:rPr>
                <w:rFonts w:hint="eastAsia"/>
                <w:color w:val="auto"/>
                <w:sz w:val="24"/>
                <w:szCs w:val="36"/>
                <w:lang w:val="en-US" w:eastAsia="zh-CN"/>
              </w:rPr>
            </w:pPr>
            <w:r>
              <w:rPr>
                <w:rFonts w:hint="eastAsia"/>
                <w:color w:val="auto"/>
                <w:sz w:val="24"/>
                <w:szCs w:val="36"/>
                <w:lang w:val="en-US" w:eastAsia="zh-CN"/>
              </w:rPr>
              <w:t>原项目主要产排污环节</w:t>
            </w:r>
          </w:p>
          <w:p w14:paraId="0760B862">
            <w:pPr>
              <w:keepNext w:val="0"/>
              <w:keepLines w:val="0"/>
              <w:widowControl w:val="0"/>
              <w:numPr>
                <w:ilvl w:val="0"/>
                <w:numId w:val="0"/>
              </w:numPr>
              <w:suppressLineNumbers w:val="0"/>
              <w:spacing w:before="0" w:beforeAutospacing="0" w:after="0" w:afterAutospacing="0" w:line="480" w:lineRule="exact"/>
              <w:ind w:left="480" w:leftChars="200" w:right="0" w:rightChars="0"/>
              <w:jc w:val="both"/>
              <w:rPr>
                <w:rFonts w:hint="eastAsia"/>
                <w:color w:val="auto"/>
                <w:sz w:val="24"/>
                <w:szCs w:val="36"/>
                <w:lang w:val="en-US" w:eastAsia="zh-CN"/>
              </w:rPr>
            </w:pPr>
            <w:r>
              <w:rPr>
                <w:rFonts w:hint="eastAsia"/>
                <w:color w:val="auto"/>
                <w:sz w:val="24"/>
                <w:szCs w:val="36"/>
                <w:lang w:val="en-US" w:eastAsia="zh-CN"/>
              </w:rPr>
              <w:t>原项目主要污染物有：生活污水、生活垃圾和设备噪声等。</w:t>
            </w:r>
          </w:p>
          <w:p w14:paraId="3594BDE1">
            <w:pPr>
              <w:keepNext w:val="0"/>
              <w:keepLines w:val="0"/>
              <w:widowControl w:val="0"/>
              <w:numPr>
                <w:ilvl w:val="0"/>
                <w:numId w:val="0"/>
              </w:numPr>
              <w:suppressLineNumbers w:val="0"/>
              <w:spacing w:before="0" w:beforeAutospacing="0" w:after="0" w:afterAutospacing="0" w:line="480" w:lineRule="exact"/>
              <w:ind w:left="480" w:leftChars="200" w:right="0" w:rightChars="0"/>
              <w:jc w:val="both"/>
              <w:rPr>
                <w:rFonts w:hint="eastAsia"/>
                <w:color w:val="auto"/>
                <w:sz w:val="24"/>
                <w:szCs w:val="36"/>
                <w:lang w:val="en-US" w:eastAsia="zh-CN"/>
              </w:rPr>
            </w:pPr>
            <w:r>
              <w:rPr>
                <w:rFonts w:hint="default"/>
                <w:color w:val="auto"/>
                <w:sz w:val="24"/>
                <w:szCs w:val="36"/>
                <w:lang w:val="en-US" w:eastAsia="zh-CN"/>
              </w:rPr>
              <w:fldChar w:fldCharType="begin"/>
            </w:r>
            <w:r>
              <w:rPr>
                <w:rFonts w:hint="default"/>
                <w:color w:val="auto"/>
                <w:sz w:val="24"/>
                <w:szCs w:val="36"/>
                <w:lang w:val="en-US" w:eastAsia="zh-CN"/>
              </w:rPr>
              <w:instrText xml:space="preserve"> = 1 \* GB3 \* MERGEFORMAT </w:instrText>
            </w:r>
            <w:r>
              <w:rPr>
                <w:rFonts w:hint="default"/>
                <w:color w:val="auto"/>
                <w:sz w:val="24"/>
                <w:szCs w:val="36"/>
                <w:lang w:val="en-US" w:eastAsia="zh-CN"/>
              </w:rPr>
              <w:fldChar w:fldCharType="separate"/>
            </w:r>
            <w:r>
              <w:rPr>
                <w:rFonts w:hint="default"/>
                <w:color w:val="auto"/>
              </w:rPr>
              <w:t>①</w:t>
            </w:r>
            <w:r>
              <w:rPr>
                <w:rFonts w:hint="default"/>
                <w:color w:val="auto"/>
                <w:sz w:val="24"/>
                <w:szCs w:val="36"/>
                <w:lang w:val="en-US" w:eastAsia="zh-CN"/>
              </w:rPr>
              <w:fldChar w:fldCharType="end"/>
            </w:r>
            <w:r>
              <w:rPr>
                <w:rFonts w:hint="eastAsia"/>
                <w:color w:val="auto"/>
                <w:sz w:val="24"/>
                <w:szCs w:val="36"/>
                <w:lang w:val="en-US" w:eastAsia="zh-CN"/>
              </w:rPr>
              <w:t>废水</w:t>
            </w:r>
          </w:p>
          <w:p w14:paraId="321AEB98">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eastAsia"/>
                <w:color w:val="auto"/>
                <w:sz w:val="24"/>
                <w:szCs w:val="36"/>
                <w:lang w:val="en-US" w:eastAsia="zh-CN"/>
              </w:rPr>
            </w:pPr>
            <w:r>
              <w:rPr>
                <w:rFonts w:hint="default"/>
                <w:color w:val="auto"/>
                <w:sz w:val="24"/>
                <w:szCs w:val="36"/>
                <w:lang w:val="en-US" w:eastAsia="zh-CN"/>
              </w:rPr>
              <w:t>原项目主要废水为生活污水</w:t>
            </w:r>
            <w:r>
              <w:rPr>
                <w:rFonts w:hint="eastAsia"/>
                <w:color w:val="auto"/>
                <w:sz w:val="24"/>
                <w:szCs w:val="36"/>
                <w:lang w:val="en-US" w:eastAsia="zh-CN"/>
              </w:rPr>
              <w:t>，污水总量12784.8t/a（用水量</w:t>
            </w:r>
            <w:r>
              <w:rPr>
                <w:rFonts w:hint="eastAsia" w:cs="Times New Roman"/>
                <w:color w:val="auto"/>
                <w:kern w:val="2"/>
                <w:sz w:val="24"/>
                <w:szCs w:val="21"/>
                <w:lang w:val="en-US" w:eastAsia="zh-CN" w:bidi="ar-SA"/>
              </w:rPr>
              <w:t>7.0</w:t>
            </w:r>
            <w:r>
              <w:rPr>
                <w:rFonts w:hint="default" w:ascii="Times New Roman" w:hAnsi="Times New Roman" w:eastAsia="宋体" w:cs="Times New Roman"/>
                <w:color w:val="auto"/>
                <w:kern w:val="2"/>
                <w:sz w:val="24"/>
                <w:szCs w:val="21"/>
                <w:lang w:val="en-US" w:eastAsia="zh-CN" w:bidi="ar-SA"/>
              </w:rPr>
              <w:t>m</w:t>
            </w:r>
            <w:r>
              <w:rPr>
                <w:rFonts w:hint="default" w:ascii="Times New Roman" w:hAnsi="Times New Roman" w:eastAsia="宋体" w:cs="Times New Roman"/>
                <w:color w:val="auto"/>
                <w:kern w:val="2"/>
                <w:sz w:val="24"/>
                <w:szCs w:val="21"/>
                <w:vertAlign w:val="superscript"/>
                <w:lang w:val="en-US" w:eastAsia="zh-CN" w:bidi="ar-SA"/>
              </w:rPr>
              <w:t>3</w:t>
            </w:r>
            <w:r>
              <w:rPr>
                <w:rFonts w:hint="default" w:ascii="Times New Roman" w:hAnsi="Times New Roman" w:eastAsia="宋体" w:cs="Times New Roman"/>
                <w:color w:val="auto"/>
                <w:kern w:val="2"/>
                <w:sz w:val="24"/>
                <w:szCs w:val="21"/>
                <w:lang w:val="en-US" w:eastAsia="zh-CN" w:bidi="ar-SA"/>
              </w:rPr>
              <w:t>（p ·a）</w:t>
            </w:r>
            <w:r>
              <w:rPr>
                <w:rFonts w:hint="eastAsia" w:cs="Times New Roman"/>
                <w:color w:val="auto"/>
                <w:kern w:val="2"/>
                <w:sz w:val="24"/>
                <w:szCs w:val="21"/>
                <w:lang w:val="en-US" w:eastAsia="zh-CN" w:bidi="ar-SA"/>
              </w:rPr>
              <w:t>，污水量按照用水量的80%计</w:t>
            </w:r>
            <w:r>
              <w:rPr>
                <w:rFonts w:hint="eastAsia"/>
                <w:color w:val="auto"/>
                <w:sz w:val="24"/>
                <w:szCs w:val="36"/>
                <w:lang w:val="en-US" w:eastAsia="zh-CN"/>
              </w:rPr>
              <w:t>），主要污染因子包括COD</w:t>
            </w:r>
            <w:r>
              <w:rPr>
                <w:rFonts w:hint="eastAsia"/>
                <w:color w:val="auto"/>
                <w:sz w:val="24"/>
                <w:szCs w:val="36"/>
                <w:vertAlign w:val="subscript"/>
                <w:lang w:val="en-US" w:eastAsia="zh-CN"/>
              </w:rPr>
              <w:t>Cr</w:t>
            </w:r>
            <w:r>
              <w:rPr>
                <w:rFonts w:hint="eastAsia"/>
                <w:color w:val="auto"/>
                <w:sz w:val="24"/>
                <w:szCs w:val="36"/>
                <w:lang w:val="en-US" w:eastAsia="zh-CN"/>
              </w:rPr>
              <w:t>、BOD</w:t>
            </w:r>
            <w:r>
              <w:rPr>
                <w:rFonts w:hint="eastAsia"/>
                <w:color w:val="auto"/>
                <w:sz w:val="24"/>
                <w:szCs w:val="36"/>
                <w:vertAlign w:val="subscript"/>
                <w:lang w:val="en-US" w:eastAsia="zh-CN"/>
              </w:rPr>
              <w:t>5</w:t>
            </w:r>
            <w:r>
              <w:rPr>
                <w:rFonts w:hint="eastAsia"/>
                <w:color w:val="auto"/>
                <w:sz w:val="24"/>
                <w:szCs w:val="36"/>
                <w:lang w:val="en-US" w:eastAsia="zh-CN"/>
              </w:rPr>
              <w:t>、SS、NH</w:t>
            </w:r>
            <w:r>
              <w:rPr>
                <w:rFonts w:hint="eastAsia"/>
                <w:color w:val="auto"/>
                <w:sz w:val="24"/>
                <w:szCs w:val="36"/>
                <w:vertAlign w:val="subscript"/>
                <w:lang w:val="en-US" w:eastAsia="zh-CN"/>
              </w:rPr>
              <w:t>3</w:t>
            </w:r>
            <w:r>
              <w:rPr>
                <w:rFonts w:hint="eastAsia"/>
                <w:color w:val="auto"/>
                <w:sz w:val="24"/>
                <w:szCs w:val="36"/>
                <w:lang w:val="en-US" w:eastAsia="zh-CN"/>
              </w:rPr>
              <w:t>-N等。</w:t>
            </w:r>
          </w:p>
          <w:p w14:paraId="7643A0A5">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default"/>
                <w:color w:val="auto"/>
                <w:sz w:val="24"/>
                <w:szCs w:val="36"/>
                <w:lang w:val="en-US" w:eastAsia="zh-CN"/>
              </w:rPr>
            </w:pPr>
            <w:r>
              <w:rPr>
                <w:rFonts w:hint="default"/>
                <w:color w:val="auto"/>
                <w:sz w:val="24"/>
                <w:szCs w:val="36"/>
                <w:lang w:val="en-US" w:eastAsia="zh-CN"/>
              </w:rPr>
              <w:t>生活污水</w:t>
            </w:r>
            <w:r>
              <w:rPr>
                <w:rFonts w:hint="eastAsia"/>
                <w:color w:val="auto"/>
                <w:sz w:val="24"/>
                <w:szCs w:val="36"/>
                <w:lang w:val="en-US" w:eastAsia="zh-CN"/>
              </w:rPr>
              <w:t>排入市政污水管网送</w:t>
            </w:r>
            <w:r>
              <w:rPr>
                <w:rFonts w:hint="eastAsia"/>
                <w:color w:val="auto"/>
                <w:sz w:val="24"/>
                <w:szCs w:val="36"/>
                <w:highlight w:val="none"/>
                <w:lang w:val="en-US" w:eastAsia="zh-CN"/>
              </w:rPr>
              <w:t>屯留县城区污水处理厂处</w:t>
            </w:r>
            <w:r>
              <w:rPr>
                <w:rFonts w:hint="eastAsia"/>
                <w:color w:val="auto"/>
                <w:sz w:val="24"/>
                <w:szCs w:val="36"/>
                <w:lang w:val="en-US" w:eastAsia="zh-CN"/>
              </w:rPr>
              <w:t>理。</w:t>
            </w:r>
          </w:p>
          <w:p w14:paraId="52FED838">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eastAsia"/>
                <w:color w:val="auto"/>
                <w:sz w:val="24"/>
                <w:szCs w:val="36"/>
                <w:lang w:val="en-US" w:eastAsia="zh-CN"/>
              </w:rPr>
            </w:pPr>
            <w:r>
              <w:rPr>
                <w:rFonts w:hint="default"/>
                <w:color w:val="auto"/>
                <w:sz w:val="24"/>
                <w:szCs w:val="36"/>
                <w:lang w:val="en-US" w:eastAsia="zh-CN"/>
              </w:rPr>
              <w:fldChar w:fldCharType="begin"/>
            </w:r>
            <w:r>
              <w:rPr>
                <w:rFonts w:hint="default"/>
                <w:color w:val="auto"/>
                <w:sz w:val="24"/>
                <w:szCs w:val="36"/>
                <w:lang w:val="en-US" w:eastAsia="zh-CN"/>
              </w:rPr>
              <w:instrText xml:space="preserve"> = 2 \* GB3 \* MERGEFORMAT </w:instrText>
            </w:r>
            <w:r>
              <w:rPr>
                <w:rFonts w:hint="default"/>
                <w:color w:val="auto"/>
                <w:sz w:val="24"/>
                <w:szCs w:val="36"/>
                <w:lang w:val="en-US" w:eastAsia="zh-CN"/>
              </w:rPr>
              <w:fldChar w:fldCharType="separate"/>
            </w:r>
            <w:r>
              <w:rPr>
                <w:rFonts w:hint="default"/>
                <w:color w:val="auto"/>
              </w:rPr>
              <w:t>②</w:t>
            </w:r>
            <w:r>
              <w:rPr>
                <w:rFonts w:hint="default"/>
                <w:color w:val="auto"/>
                <w:sz w:val="24"/>
                <w:szCs w:val="36"/>
                <w:lang w:val="en-US" w:eastAsia="zh-CN"/>
              </w:rPr>
              <w:fldChar w:fldCharType="end"/>
            </w:r>
            <w:r>
              <w:rPr>
                <w:rFonts w:hint="eastAsia"/>
                <w:color w:val="auto"/>
                <w:sz w:val="24"/>
                <w:szCs w:val="36"/>
                <w:lang w:val="en-US" w:eastAsia="zh-CN"/>
              </w:rPr>
              <w:t>噪声</w:t>
            </w:r>
          </w:p>
          <w:p w14:paraId="57178D0A">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default"/>
                <w:color w:val="auto"/>
                <w:sz w:val="24"/>
                <w:szCs w:val="36"/>
                <w:lang w:val="en-US" w:eastAsia="zh-CN"/>
              </w:rPr>
            </w:pPr>
            <w:r>
              <w:rPr>
                <w:rFonts w:hint="default"/>
                <w:color w:val="auto"/>
                <w:sz w:val="24"/>
                <w:szCs w:val="36"/>
                <w:lang w:val="en-US" w:eastAsia="zh-CN"/>
              </w:rPr>
              <w:t>原项目营运期主要噪声污染源来自水泵等设备噪声，以及人群活动、校园广播噪声，通过选用低噪声风机；在各声源产生处进行</w:t>
            </w:r>
            <w:r>
              <w:rPr>
                <w:rFonts w:hint="eastAsia"/>
                <w:color w:val="auto"/>
                <w:sz w:val="24"/>
                <w:szCs w:val="36"/>
                <w:lang w:val="en-US" w:eastAsia="zh-CN"/>
              </w:rPr>
              <w:t>减振</w:t>
            </w:r>
            <w:r>
              <w:rPr>
                <w:rFonts w:hint="default"/>
                <w:color w:val="auto"/>
                <w:sz w:val="24"/>
                <w:szCs w:val="36"/>
                <w:lang w:val="en-US" w:eastAsia="zh-CN"/>
              </w:rPr>
              <w:t>处理；设独立水泵房；加强校园管理，规定广播时间等措施对噪声污染进行控制</w:t>
            </w:r>
            <w:r>
              <w:rPr>
                <w:rFonts w:hint="eastAsia"/>
                <w:color w:val="auto"/>
                <w:sz w:val="24"/>
                <w:szCs w:val="36"/>
                <w:lang w:val="en-US" w:eastAsia="zh-CN"/>
              </w:rPr>
              <w:t>。</w:t>
            </w:r>
          </w:p>
          <w:p w14:paraId="67DAD15E">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eastAsia"/>
                <w:color w:val="auto"/>
                <w:sz w:val="24"/>
                <w:szCs w:val="36"/>
                <w:lang w:val="en-US" w:eastAsia="zh-CN"/>
              </w:rPr>
            </w:pPr>
            <w:r>
              <w:rPr>
                <w:rFonts w:hint="default"/>
                <w:color w:val="auto"/>
                <w:sz w:val="24"/>
                <w:szCs w:val="36"/>
                <w:lang w:val="en-US" w:eastAsia="zh-CN"/>
              </w:rPr>
              <w:fldChar w:fldCharType="begin"/>
            </w:r>
            <w:r>
              <w:rPr>
                <w:rFonts w:hint="default"/>
                <w:color w:val="auto"/>
                <w:sz w:val="24"/>
                <w:szCs w:val="36"/>
                <w:lang w:val="en-US" w:eastAsia="zh-CN"/>
              </w:rPr>
              <w:instrText xml:space="preserve"> = 3 \* GB3 \* MERGEFORMAT </w:instrText>
            </w:r>
            <w:r>
              <w:rPr>
                <w:rFonts w:hint="default"/>
                <w:color w:val="auto"/>
                <w:sz w:val="24"/>
                <w:szCs w:val="36"/>
                <w:lang w:val="en-US" w:eastAsia="zh-CN"/>
              </w:rPr>
              <w:fldChar w:fldCharType="separate"/>
            </w:r>
            <w:r>
              <w:rPr>
                <w:rFonts w:hint="default"/>
                <w:color w:val="auto"/>
              </w:rPr>
              <w:t>③</w:t>
            </w:r>
            <w:r>
              <w:rPr>
                <w:rFonts w:hint="default"/>
                <w:color w:val="auto"/>
                <w:sz w:val="24"/>
                <w:szCs w:val="36"/>
                <w:lang w:val="en-US" w:eastAsia="zh-CN"/>
              </w:rPr>
              <w:fldChar w:fldCharType="end"/>
            </w:r>
            <w:r>
              <w:rPr>
                <w:rFonts w:hint="eastAsia"/>
                <w:color w:val="auto"/>
                <w:sz w:val="24"/>
                <w:szCs w:val="36"/>
                <w:lang w:val="en-US" w:eastAsia="zh-CN"/>
              </w:rPr>
              <w:t>固体废物</w:t>
            </w:r>
          </w:p>
          <w:p w14:paraId="5B0F6533">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default"/>
                <w:color w:val="auto"/>
                <w:sz w:val="24"/>
                <w:szCs w:val="36"/>
                <w:lang w:val="en-US" w:eastAsia="zh-CN"/>
              </w:rPr>
            </w:pPr>
            <w:r>
              <w:rPr>
                <w:rFonts w:hint="default"/>
                <w:color w:val="auto"/>
                <w:sz w:val="24"/>
                <w:szCs w:val="36"/>
                <w:lang w:val="en-US" w:eastAsia="zh-CN"/>
              </w:rPr>
              <w:t>原项目产生的固体废物主要为生活垃圾，经分类收集后交由相关单位清运处理。</w:t>
            </w:r>
          </w:p>
          <w:p w14:paraId="49951F6C">
            <w:pPr>
              <w:keepNext w:val="0"/>
              <w:keepLines w:val="0"/>
              <w:widowControl w:val="0"/>
              <w:numPr>
                <w:ilvl w:val="0"/>
                <w:numId w:val="0"/>
              </w:numPr>
              <w:suppressLineNumbers w:val="0"/>
              <w:spacing w:before="0" w:beforeAutospacing="0" w:after="0" w:afterAutospacing="0" w:line="480" w:lineRule="exact"/>
              <w:ind w:left="0" w:right="0" w:rightChars="0" w:firstLine="480" w:firstLineChars="200"/>
              <w:jc w:val="both"/>
              <w:rPr>
                <w:rFonts w:hint="default"/>
                <w:color w:val="auto"/>
                <w:sz w:val="24"/>
                <w:szCs w:val="36"/>
                <w:lang w:val="en-US" w:eastAsia="zh-CN"/>
              </w:rPr>
            </w:pPr>
            <w:r>
              <w:rPr>
                <w:rFonts w:hint="eastAsia"/>
                <w:color w:val="auto"/>
                <w:sz w:val="24"/>
                <w:szCs w:val="36"/>
                <w:lang w:val="en-US" w:eastAsia="zh-CN"/>
              </w:rPr>
              <w:t>（3）原有环境问题</w:t>
            </w:r>
          </w:p>
          <w:p w14:paraId="4CEA6621">
            <w:pPr>
              <w:keepNext w:val="0"/>
              <w:keepLines w:val="0"/>
              <w:suppressLineNumbers w:val="0"/>
              <w:spacing w:before="0" w:beforeAutospacing="0" w:after="0" w:afterAutospacing="0"/>
              <w:ind w:left="0" w:right="0" w:firstLine="480" w:firstLineChars="200"/>
              <w:rPr>
                <w:rFonts w:hint="default"/>
                <w:color w:val="auto"/>
                <w:sz w:val="24"/>
                <w:szCs w:val="36"/>
                <w:lang w:val="en-US" w:eastAsia="zh-CN"/>
              </w:rPr>
            </w:pPr>
            <w:r>
              <w:rPr>
                <w:rFonts w:hint="eastAsia"/>
                <w:color w:val="auto"/>
                <w:sz w:val="24"/>
                <w:szCs w:val="36"/>
                <w:lang w:val="en-US" w:eastAsia="zh-CN"/>
              </w:rPr>
              <w:t>根据现场调查，本扩建项目占地范围存在3处居民废弃屋舍（建筑面积300m</w:t>
            </w:r>
            <w:r>
              <w:rPr>
                <w:rFonts w:hint="eastAsia"/>
                <w:color w:val="auto"/>
                <w:sz w:val="24"/>
                <w:szCs w:val="36"/>
                <w:vertAlign w:val="superscript"/>
                <w:lang w:val="en-US" w:eastAsia="zh-CN"/>
              </w:rPr>
              <w:t>2</w:t>
            </w:r>
            <w:r>
              <w:rPr>
                <w:rFonts w:hint="eastAsia"/>
                <w:color w:val="auto"/>
                <w:sz w:val="24"/>
                <w:szCs w:val="36"/>
                <w:lang w:val="en-US" w:eastAsia="zh-CN"/>
              </w:rPr>
              <w:t>，现已搬迁，相关建筑将陆续拆除）。项目所在地块未进行过工业性生产企业建设，无其他遗留环境污染问题。小学部废水、固废均能够得到合理处置，各产噪环节均采取了相应的控制措施，无需要整改的工程。</w:t>
            </w:r>
          </w:p>
          <w:p w14:paraId="5465962F">
            <w:pPr>
              <w:keepNext w:val="0"/>
              <w:keepLines w:val="0"/>
              <w:suppressLineNumbers w:val="0"/>
              <w:spacing w:before="0" w:beforeAutospacing="0" w:after="0" w:afterAutospacing="0"/>
              <w:ind w:left="0" w:right="0" w:firstLine="480" w:firstLineChars="200"/>
              <w:rPr>
                <w:rFonts w:hint="default"/>
                <w:color w:val="auto"/>
                <w:sz w:val="24"/>
                <w:szCs w:val="36"/>
                <w:lang w:val="en-US" w:eastAsia="zh-CN"/>
              </w:rPr>
            </w:pPr>
            <w:r>
              <w:rPr>
                <w:rFonts w:hint="eastAsia"/>
                <w:color w:val="auto"/>
                <w:sz w:val="24"/>
                <w:szCs w:val="36"/>
                <w:lang w:val="en-US" w:eastAsia="zh-CN"/>
              </w:rPr>
              <w:t>目前，长治市屯留区麟绛小学校已委托相关单位进行地块土壤污染状况初步调查，土壤污染状况初步调查结果符合《土壤环境质量 建设用地土壤污染风险管控标准（试行）》（GB36600-2018）第一类用地筛选值时，方可开工建设。</w:t>
            </w:r>
          </w:p>
          <w:p w14:paraId="2DBC6DC9">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55DA219A">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4AABC275">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08E9B813">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0088A30E">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6512534D">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465002F3">
            <w:pPr>
              <w:keepNext w:val="0"/>
              <w:keepLines w:val="0"/>
              <w:suppressLineNumbers w:val="0"/>
              <w:spacing w:before="0" w:beforeAutospacing="0" w:after="0" w:afterAutospacing="0"/>
              <w:ind w:left="0" w:right="0" w:firstLine="480" w:firstLineChars="200"/>
              <w:rPr>
                <w:rFonts w:hint="eastAsia"/>
                <w:color w:val="auto"/>
                <w:sz w:val="24"/>
                <w:szCs w:val="36"/>
                <w:lang w:val="en-US" w:eastAsia="zh-CN"/>
              </w:rPr>
            </w:pPr>
          </w:p>
          <w:p w14:paraId="440FC381">
            <w:pPr>
              <w:keepNext w:val="0"/>
              <w:keepLines w:val="0"/>
              <w:suppressLineNumbers w:val="0"/>
              <w:spacing w:before="0" w:beforeAutospacing="0" w:after="0" w:afterAutospacing="0"/>
              <w:ind w:left="0" w:right="0"/>
              <w:rPr>
                <w:rFonts w:hint="default"/>
                <w:color w:val="auto"/>
                <w:sz w:val="24"/>
                <w:szCs w:val="36"/>
                <w:lang w:val="en-US" w:eastAsia="zh-CN"/>
              </w:rPr>
            </w:pPr>
          </w:p>
          <w:p w14:paraId="70B3B02B">
            <w:pPr>
              <w:keepNext w:val="0"/>
              <w:keepLines w:val="0"/>
              <w:suppressLineNumbers w:val="0"/>
              <w:spacing w:before="0" w:beforeAutospacing="0" w:after="0" w:afterAutospacing="0"/>
              <w:ind w:left="0" w:right="0"/>
              <w:rPr>
                <w:rFonts w:hint="default"/>
                <w:color w:val="auto"/>
                <w:sz w:val="24"/>
                <w:szCs w:val="36"/>
                <w:lang w:val="en-US" w:eastAsia="zh-CN"/>
              </w:rPr>
            </w:pPr>
          </w:p>
        </w:tc>
      </w:tr>
    </w:tbl>
    <w:p w14:paraId="5C5624D7">
      <w:pPr>
        <w:rPr>
          <w:color w:val="auto"/>
        </w:rPr>
        <w:sectPr>
          <w:pgSz w:w="11906" w:h="16838"/>
          <w:pgMar w:top="1418" w:right="1474" w:bottom="1418" w:left="1474" w:header="851" w:footer="992" w:gutter="0"/>
          <w:pgBorders>
            <w:top w:val="none" w:sz="0" w:space="0"/>
            <w:left w:val="none" w:sz="0" w:space="0"/>
            <w:bottom w:val="none" w:sz="0" w:space="0"/>
            <w:right w:val="none" w:sz="0" w:space="0"/>
          </w:pgBorders>
          <w:cols w:space="425" w:num="1"/>
          <w:docGrid w:type="lines" w:linePitch="326" w:charSpace="0"/>
        </w:sectPr>
      </w:pPr>
    </w:p>
    <w:p w14:paraId="300DE3B6">
      <w:pPr>
        <w:pStyle w:val="2"/>
        <w:numPr>
          <w:ilvl w:val="0"/>
          <w:numId w:val="0"/>
        </w:numPr>
        <w:jc w:val="center"/>
        <w:rPr>
          <w:rFonts w:hint="eastAsia" w:ascii="黑体" w:hAnsi="黑体" w:eastAsia="黑体" w:cs="黑体"/>
          <w:color w:val="auto"/>
        </w:rPr>
      </w:pPr>
      <w:bookmarkStart w:id="4" w:name="_Toc20912"/>
      <w:bookmarkStart w:id="5" w:name="_Hlk145424256"/>
      <w:r>
        <w:rPr>
          <w:rFonts w:hint="eastAsia" w:ascii="黑体" w:hAnsi="黑体" w:eastAsia="黑体" w:cs="黑体"/>
          <w:color w:val="auto"/>
        </w:rPr>
        <w:t>三、区域环境质量现状、环境保护目标及评价标准</w:t>
      </w:r>
      <w:bookmarkEnd w:id="4"/>
    </w:p>
    <w:bookmarkEnd w:id="5"/>
    <w:tbl>
      <w:tblPr>
        <w:tblStyle w:val="25"/>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0"/>
        <w:gridCol w:w="8702"/>
      </w:tblGrid>
      <w:tr w14:paraId="0A8F1B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3" w:hRule="atLeast"/>
          <w:jc w:val="center"/>
        </w:trPr>
        <w:tc>
          <w:tcPr>
            <w:tcW w:w="256" w:type="pct"/>
            <w:tcBorders>
              <w:tl2br w:val="nil"/>
              <w:tr2bl w:val="nil"/>
            </w:tcBorders>
            <w:vAlign w:val="center"/>
          </w:tcPr>
          <w:p w14:paraId="1FE5971C">
            <w:pPr>
              <w:keepNext w:val="0"/>
              <w:keepLines w:val="0"/>
              <w:suppressLineNumbers w:val="0"/>
              <w:spacing w:before="0" w:beforeAutospacing="0" w:after="0" w:afterAutospacing="0"/>
              <w:ind w:left="0" w:right="0"/>
              <w:jc w:val="center"/>
              <w:rPr>
                <w:rFonts w:hint="default"/>
                <w:color w:val="auto"/>
              </w:rPr>
            </w:pPr>
            <w:r>
              <w:rPr>
                <w:rFonts w:hint="eastAsia"/>
                <w:color w:val="auto"/>
                <w:szCs w:val="22"/>
              </w:rPr>
              <w:t>区域环境质量现状</w:t>
            </w:r>
          </w:p>
        </w:tc>
        <w:tc>
          <w:tcPr>
            <w:tcW w:w="4743" w:type="pct"/>
            <w:tcBorders>
              <w:tl2br w:val="nil"/>
              <w:tr2bl w:val="nil"/>
            </w:tcBorders>
          </w:tcPr>
          <w:p w14:paraId="6C3A9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b w:val="0"/>
                <w:bCs w:val="0"/>
                <w:color w:val="auto"/>
                <w:sz w:val="24"/>
                <w:szCs w:val="21"/>
                <w:vertAlign w:val="baseline"/>
                <w:lang w:val="en-US" w:eastAsia="zh-CN"/>
              </w:rPr>
            </w:pPr>
            <w:r>
              <w:rPr>
                <w:rFonts w:hint="eastAsia"/>
                <w:b/>
                <w:bCs/>
                <w:color w:val="auto"/>
                <w:lang w:val="en-US" w:eastAsia="zh-CN"/>
              </w:rPr>
              <w:t>略</w:t>
            </w:r>
          </w:p>
        </w:tc>
      </w:tr>
      <w:tr w14:paraId="3C08B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56" w:type="pct"/>
            <w:tcBorders>
              <w:tl2br w:val="nil"/>
              <w:tr2bl w:val="nil"/>
            </w:tcBorders>
            <w:vAlign w:val="center"/>
          </w:tcPr>
          <w:p w14:paraId="2F1F60D5">
            <w:pPr>
              <w:keepNext w:val="0"/>
              <w:keepLines w:val="0"/>
              <w:suppressLineNumbers w:val="0"/>
              <w:spacing w:before="0" w:beforeAutospacing="0" w:after="0" w:afterAutospacing="0"/>
              <w:ind w:left="0" w:right="0"/>
              <w:jc w:val="center"/>
              <w:rPr>
                <w:rFonts w:hint="default"/>
                <w:color w:val="auto"/>
                <w:szCs w:val="22"/>
              </w:rPr>
            </w:pPr>
            <w:r>
              <w:rPr>
                <w:rFonts w:hint="eastAsia"/>
                <w:color w:val="auto"/>
                <w:szCs w:val="22"/>
              </w:rPr>
              <w:t>环境保护目标</w:t>
            </w:r>
          </w:p>
        </w:tc>
        <w:tc>
          <w:tcPr>
            <w:tcW w:w="4743" w:type="pct"/>
            <w:tcBorders>
              <w:tl2br w:val="nil"/>
              <w:tr2bl w:val="nil"/>
            </w:tcBorders>
          </w:tcPr>
          <w:p w14:paraId="4C5D8D75">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color w:val="auto"/>
              </w:rPr>
            </w:pPr>
            <w:r>
              <w:rPr>
                <w:rFonts w:hint="default"/>
                <w:color w:val="auto"/>
              </w:rPr>
              <w:t>根据《建设项目环境影响报告表编制技术指南（污染影响类）》，大气环境保护目标为厂界外 500m 范围内的自然保护区、风景名胜区、居住区、文化区和农村地区中人群较集中的区域；声环境保护目标为厂界外 50m 范围内声环境保护目标；地下水环境保护目标为厂界外 500m 范围内的地下水集中式饮用水水源和热水、矿泉水、温泉等特殊地下水资源。</w:t>
            </w:r>
          </w:p>
          <w:p w14:paraId="2D2CF36D">
            <w:pPr>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t>本项目环境保护目标见下表3-</w:t>
            </w:r>
            <w:r>
              <w:rPr>
                <w:rFonts w:hint="eastAsia"/>
                <w:color w:val="auto"/>
                <w:lang w:val="en-US" w:eastAsia="zh-CN"/>
              </w:rPr>
              <w:t>3</w:t>
            </w:r>
            <w:r>
              <w:rPr>
                <w:rFonts w:hint="default"/>
                <w:color w:val="auto"/>
              </w:rPr>
              <w:t>，</w:t>
            </w:r>
            <w:r>
              <w:rPr>
                <w:rFonts w:hint="eastAsia"/>
                <w:color w:val="auto"/>
                <w:lang w:val="en-US" w:eastAsia="zh-CN"/>
              </w:rPr>
              <w:t>四邻关系及</w:t>
            </w:r>
            <w:r>
              <w:rPr>
                <w:rFonts w:hint="default"/>
                <w:color w:val="auto"/>
              </w:rPr>
              <w:t>保护目标</w:t>
            </w:r>
            <w:r>
              <w:rPr>
                <w:rFonts w:hint="default"/>
                <w:color w:val="auto"/>
                <w:highlight w:val="none"/>
                <w:shd w:val="clear"/>
              </w:rPr>
              <w:t>图见附图2。</w:t>
            </w:r>
          </w:p>
          <w:p w14:paraId="7AFB408C">
            <w:pPr>
              <w:keepNext w:val="0"/>
              <w:keepLines w:val="0"/>
              <w:suppressLineNumbers w:val="0"/>
              <w:spacing w:before="0" w:beforeAutospacing="0" w:after="0" w:afterAutospacing="0"/>
              <w:ind w:left="0" w:right="0"/>
              <w:jc w:val="center"/>
              <w:rPr>
                <w:rFonts w:hint="eastAsia"/>
                <w:b/>
                <w:bCs/>
                <w:color w:val="auto"/>
                <w:sz w:val="21"/>
                <w:szCs w:val="18"/>
                <w:lang w:val="en-US" w:eastAsia="zh-CN"/>
              </w:rPr>
            </w:pPr>
            <w:r>
              <w:rPr>
                <w:rFonts w:hint="eastAsia"/>
                <w:b/>
                <w:bCs/>
                <w:color w:val="auto"/>
                <w:sz w:val="21"/>
                <w:szCs w:val="18"/>
                <w:lang w:val="en-US" w:eastAsia="zh-CN"/>
              </w:rPr>
              <w:t>表3-3 项目周边敏感保护目标表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6" w:type="dxa"/>
                <w:bottom w:w="0" w:type="dxa"/>
                <w:right w:w="56" w:type="dxa"/>
              </w:tblCellMar>
            </w:tblPr>
            <w:tblGrid>
              <w:gridCol w:w="543"/>
              <w:gridCol w:w="1264"/>
              <w:gridCol w:w="986"/>
              <w:gridCol w:w="700"/>
              <w:gridCol w:w="875"/>
              <w:gridCol w:w="1424"/>
              <w:gridCol w:w="1389"/>
              <w:gridCol w:w="1272"/>
            </w:tblGrid>
            <w:tr w14:paraId="05A97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14" w:hRule="atLeast"/>
                <w:jc w:val="center"/>
              </w:trPr>
              <w:tc>
                <w:tcPr>
                  <w:tcW w:w="321" w:type="pct"/>
                  <w:vMerge w:val="restart"/>
                  <w:tcBorders>
                    <w:tl2br w:val="nil"/>
                    <w:tr2bl w:val="nil"/>
                  </w:tcBorders>
                  <w:vAlign w:val="center"/>
                </w:tcPr>
                <w:p w14:paraId="44F56B39">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747" w:type="pct"/>
                  <w:vMerge w:val="restart"/>
                  <w:tcBorders>
                    <w:tl2br w:val="nil"/>
                    <w:tr2bl w:val="nil"/>
                  </w:tcBorders>
                  <w:vAlign w:val="center"/>
                </w:tcPr>
                <w:p w14:paraId="3FC4AA34">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14:paraId="6F8803BD">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目标</w:t>
                  </w:r>
                </w:p>
              </w:tc>
              <w:tc>
                <w:tcPr>
                  <w:tcW w:w="583" w:type="pct"/>
                  <w:vMerge w:val="restart"/>
                  <w:tcBorders>
                    <w:tl2br w:val="nil"/>
                    <w:tr2bl w:val="nil"/>
                  </w:tcBorders>
                  <w:vAlign w:val="center"/>
                </w:tcPr>
                <w:p w14:paraId="289977BD">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14:paraId="5D17A38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414" w:type="pct"/>
                  <w:vMerge w:val="restart"/>
                  <w:tcBorders>
                    <w:tl2br w:val="nil"/>
                    <w:tr2bl w:val="nil"/>
                  </w:tcBorders>
                  <w:vAlign w:val="center"/>
                </w:tcPr>
                <w:p w14:paraId="7B0773F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相对方位</w:t>
                  </w:r>
                </w:p>
              </w:tc>
              <w:tc>
                <w:tcPr>
                  <w:tcW w:w="517" w:type="pct"/>
                  <w:vMerge w:val="restart"/>
                  <w:tcBorders>
                    <w:tl2br w:val="nil"/>
                    <w:tr2bl w:val="nil"/>
                  </w:tcBorders>
                  <w:vAlign w:val="center"/>
                </w:tcPr>
                <w:p w14:paraId="36457424">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相对距离(m)</w:t>
                  </w:r>
                </w:p>
              </w:tc>
              <w:tc>
                <w:tcPr>
                  <w:tcW w:w="1663" w:type="pct"/>
                  <w:gridSpan w:val="2"/>
                  <w:tcBorders>
                    <w:tl2br w:val="nil"/>
                    <w:tr2bl w:val="nil"/>
                  </w:tcBorders>
                  <w:vAlign w:val="center"/>
                </w:tcPr>
                <w:p w14:paraId="274F0C8F">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坐标/经纬度</w:t>
                  </w:r>
                </w:p>
              </w:tc>
              <w:tc>
                <w:tcPr>
                  <w:tcW w:w="752" w:type="pct"/>
                  <w:vMerge w:val="restart"/>
                  <w:tcBorders>
                    <w:tl2br w:val="nil"/>
                    <w:tr2bl w:val="nil"/>
                  </w:tcBorders>
                  <w:vAlign w:val="center"/>
                </w:tcPr>
                <w:p w14:paraId="6C8CF091">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r>
            <w:tr w14:paraId="52543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74" w:hRule="atLeast"/>
                <w:jc w:val="center"/>
              </w:trPr>
              <w:tc>
                <w:tcPr>
                  <w:tcW w:w="321" w:type="pct"/>
                  <w:vMerge w:val="continue"/>
                  <w:tcBorders>
                    <w:tl2br w:val="nil"/>
                    <w:tr2bl w:val="nil"/>
                  </w:tcBorders>
                  <w:vAlign w:val="center"/>
                </w:tcPr>
                <w:p w14:paraId="347EB50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vMerge w:val="continue"/>
                  <w:tcBorders>
                    <w:tl2br w:val="nil"/>
                    <w:tr2bl w:val="nil"/>
                  </w:tcBorders>
                  <w:vAlign w:val="center"/>
                </w:tcPr>
                <w:p w14:paraId="59EAD961">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583" w:type="pct"/>
                  <w:vMerge w:val="continue"/>
                  <w:tcBorders>
                    <w:tl2br w:val="nil"/>
                    <w:tr2bl w:val="nil"/>
                  </w:tcBorders>
                  <w:vAlign w:val="center"/>
                </w:tcPr>
                <w:p w14:paraId="2F1418E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14:paraId="6EF209C0">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517" w:type="pct"/>
                  <w:vMerge w:val="continue"/>
                  <w:tcBorders>
                    <w:tl2br w:val="nil"/>
                    <w:tr2bl w:val="nil"/>
                  </w:tcBorders>
                  <w:vAlign w:val="center"/>
                </w:tcPr>
                <w:p w14:paraId="29187B5C">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842" w:type="pct"/>
                  <w:tcBorders>
                    <w:tl2br w:val="nil"/>
                    <w:tr2bl w:val="nil"/>
                  </w:tcBorders>
                  <w:vAlign w:val="center"/>
                </w:tcPr>
                <w:p w14:paraId="742E7015">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821" w:type="pct"/>
                  <w:tcBorders>
                    <w:tl2br w:val="nil"/>
                    <w:tr2bl w:val="nil"/>
                  </w:tcBorders>
                  <w:vAlign w:val="center"/>
                </w:tcPr>
                <w:p w14:paraId="7C921D61">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752" w:type="pct"/>
                  <w:vMerge w:val="continue"/>
                  <w:tcBorders>
                    <w:tl2br w:val="nil"/>
                    <w:tr2bl w:val="nil"/>
                  </w:tcBorders>
                  <w:vAlign w:val="center"/>
                </w:tcPr>
                <w:p w14:paraId="7CC3B70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1BFCF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570" w:hRule="atLeast"/>
                <w:jc w:val="center"/>
              </w:trPr>
              <w:tc>
                <w:tcPr>
                  <w:tcW w:w="321" w:type="pct"/>
                  <w:vMerge w:val="restart"/>
                  <w:tcBorders>
                    <w:tl2br w:val="nil"/>
                    <w:tr2bl w:val="nil"/>
                  </w:tcBorders>
                  <w:vAlign w:val="center"/>
                </w:tcPr>
                <w:p w14:paraId="31253B5F">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747" w:type="pct"/>
                  <w:tcBorders>
                    <w:tl2br w:val="nil"/>
                    <w:tr2bl w:val="nil"/>
                  </w:tcBorders>
                  <w:vAlign w:val="center"/>
                </w:tcPr>
                <w:p w14:paraId="5A3D83C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麟绛小学</w:t>
                  </w:r>
                  <w:r>
                    <w:rPr>
                      <w:rFonts w:hint="eastAsia" w:cs="Times New Roman"/>
                      <w:color w:val="auto"/>
                      <w:sz w:val="21"/>
                      <w:szCs w:val="21"/>
                      <w:lang w:val="en-US" w:eastAsia="zh-CN"/>
                    </w:rPr>
                    <w:t>部</w:t>
                  </w:r>
                </w:p>
              </w:tc>
              <w:tc>
                <w:tcPr>
                  <w:tcW w:w="583" w:type="pct"/>
                  <w:tcBorders>
                    <w:tl2br w:val="nil"/>
                    <w:tr2bl w:val="nil"/>
                  </w:tcBorders>
                  <w:vAlign w:val="center"/>
                </w:tcPr>
                <w:p w14:paraId="2B09746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540F383B">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w:t>
                  </w:r>
                </w:p>
              </w:tc>
              <w:tc>
                <w:tcPr>
                  <w:tcW w:w="517" w:type="pct"/>
                  <w:tcBorders>
                    <w:tl2br w:val="nil"/>
                    <w:tr2bl w:val="nil"/>
                  </w:tcBorders>
                  <w:vAlign w:val="center"/>
                </w:tcPr>
                <w:p w14:paraId="076E78E5">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紧邻</w:t>
                  </w:r>
                </w:p>
              </w:tc>
              <w:tc>
                <w:tcPr>
                  <w:tcW w:w="842" w:type="pct"/>
                  <w:tcBorders>
                    <w:tl2br w:val="nil"/>
                    <w:tr2bl w:val="nil"/>
                  </w:tcBorders>
                  <w:vAlign w:val="center"/>
                </w:tcPr>
                <w:p w14:paraId="35E34C55">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36.317755</w:t>
                  </w:r>
                </w:p>
              </w:tc>
              <w:tc>
                <w:tcPr>
                  <w:tcW w:w="821" w:type="pct"/>
                  <w:tcBorders>
                    <w:tl2br w:val="nil"/>
                    <w:tr2bl w:val="nil"/>
                  </w:tcBorders>
                  <w:vAlign w:val="center"/>
                </w:tcPr>
                <w:p w14:paraId="2C1AEE2B">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112.866360</w:t>
                  </w:r>
                </w:p>
              </w:tc>
              <w:tc>
                <w:tcPr>
                  <w:tcW w:w="752" w:type="pct"/>
                  <w:vMerge w:val="restart"/>
                  <w:tcBorders>
                    <w:tl2br w:val="nil"/>
                    <w:tr2bl w:val="nil"/>
                  </w:tcBorders>
                  <w:vAlign w:val="center"/>
                </w:tcPr>
                <w:p w14:paraId="4FBC0F29">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r>
            <w:tr w14:paraId="3540D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396" w:hRule="atLeast"/>
                <w:jc w:val="center"/>
              </w:trPr>
              <w:tc>
                <w:tcPr>
                  <w:tcW w:w="321" w:type="pct"/>
                  <w:vMerge w:val="continue"/>
                  <w:tcBorders>
                    <w:tl2br w:val="nil"/>
                    <w:tr2bl w:val="nil"/>
                  </w:tcBorders>
                  <w:vAlign w:val="center"/>
                </w:tcPr>
                <w:p w14:paraId="30750B33">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tcBorders>
                    <w:tl2br w:val="nil"/>
                    <w:tr2bl w:val="nil"/>
                  </w:tcBorders>
                  <w:vAlign w:val="center"/>
                </w:tcPr>
                <w:p w14:paraId="718055F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麟绛佳园</w:t>
                  </w:r>
                </w:p>
              </w:tc>
              <w:tc>
                <w:tcPr>
                  <w:tcW w:w="583" w:type="pct"/>
                  <w:tcBorders>
                    <w:tl2br w:val="nil"/>
                    <w:tr2bl w:val="nil"/>
                  </w:tcBorders>
                  <w:vAlign w:val="center"/>
                </w:tcPr>
                <w:p w14:paraId="7ECF4A0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414" w:type="pct"/>
                  <w:tcBorders>
                    <w:tl2br w:val="nil"/>
                    <w:tr2bl w:val="nil"/>
                  </w:tcBorders>
                  <w:vAlign w:val="center"/>
                </w:tcPr>
                <w:p w14:paraId="4FFDCDC0">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w:t>
                  </w:r>
                </w:p>
              </w:tc>
              <w:tc>
                <w:tcPr>
                  <w:tcW w:w="517" w:type="pct"/>
                  <w:tcBorders>
                    <w:tl2br w:val="nil"/>
                    <w:tr2bl w:val="nil"/>
                  </w:tcBorders>
                  <w:vAlign w:val="center"/>
                </w:tcPr>
                <w:p w14:paraId="1E84788C">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420</w:t>
                  </w:r>
                </w:p>
              </w:tc>
              <w:tc>
                <w:tcPr>
                  <w:tcW w:w="842" w:type="pct"/>
                  <w:tcBorders>
                    <w:tl2br w:val="nil"/>
                    <w:tr2bl w:val="nil"/>
                  </w:tcBorders>
                  <w:vAlign w:val="center"/>
                </w:tcPr>
                <w:p w14:paraId="132EEAEC">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36.317029</w:t>
                  </w:r>
                </w:p>
              </w:tc>
              <w:tc>
                <w:tcPr>
                  <w:tcW w:w="821" w:type="pct"/>
                  <w:tcBorders>
                    <w:tl2br w:val="nil"/>
                    <w:tr2bl w:val="nil"/>
                  </w:tcBorders>
                  <w:vAlign w:val="center"/>
                </w:tcPr>
                <w:p w14:paraId="7155D626">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112.870855</w:t>
                  </w:r>
                </w:p>
              </w:tc>
              <w:tc>
                <w:tcPr>
                  <w:tcW w:w="752" w:type="pct"/>
                  <w:vMerge w:val="continue"/>
                  <w:tcBorders>
                    <w:tl2br w:val="nil"/>
                    <w:tr2bl w:val="nil"/>
                  </w:tcBorders>
                  <w:vAlign w:val="center"/>
                </w:tcPr>
                <w:p w14:paraId="5F1C9022">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7CC23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46" w:hRule="atLeast"/>
                <w:jc w:val="center"/>
              </w:trPr>
              <w:tc>
                <w:tcPr>
                  <w:tcW w:w="321" w:type="pct"/>
                  <w:vMerge w:val="continue"/>
                  <w:tcBorders>
                    <w:tl2br w:val="nil"/>
                    <w:tr2bl w:val="nil"/>
                  </w:tcBorders>
                  <w:vAlign w:val="center"/>
                </w:tcPr>
                <w:p w14:paraId="6B4963F2">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tcBorders>
                    <w:tl2br w:val="nil"/>
                    <w:tr2bl w:val="nil"/>
                  </w:tcBorders>
                  <w:vAlign w:val="center"/>
                </w:tcPr>
                <w:p w14:paraId="149C5596">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书香华庭</w:t>
                  </w:r>
                </w:p>
              </w:tc>
              <w:tc>
                <w:tcPr>
                  <w:tcW w:w="583" w:type="pct"/>
                  <w:tcBorders>
                    <w:tl2br w:val="nil"/>
                    <w:tr2bl w:val="nil"/>
                  </w:tcBorders>
                  <w:vAlign w:val="center"/>
                </w:tcPr>
                <w:p w14:paraId="176E61B7">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53512B49">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w:t>
                  </w:r>
                </w:p>
              </w:tc>
              <w:tc>
                <w:tcPr>
                  <w:tcW w:w="517" w:type="pct"/>
                  <w:tcBorders>
                    <w:tl2br w:val="nil"/>
                    <w:tr2bl w:val="nil"/>
                  </w:tcBorders>
                  <w:vAlign w:val="center"/>
                </w:tcPr>
                <w:p w14:paraId="19AD66C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842" w:type="pct"/>
                  <w:tcBorders>
                    <w:tl2br w:val="nil"/>
                    <w:tr2bl w:val="nil"/>
                  </w:tcBorders>
                  <w:vAlign w:val="center"/>
                </w:tcPr>
                <w:p w14:paraId="72A40044">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36.319024</w:t>
                  </w:r>
                </w:p>
              </w:tc>
              <w:tc>
                <w:tcPr>
                  <w:tcW w:w="821" w:type="pct"/>
                  <w:tcBorders>
                    <w:tl2br w:val="nil"/>
                    <w:tr2bl w:val="nil"/>
                  </w:tcBorders>
                  <w:vAlign w:val="center"/>
                </w:tcPr>
                <w:p w14:paraId="1BD07EAE">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112.866306</w:t>
                  </w:r>
                </w:p>
              </w:tc>
              <w:tc>
                <w:tcPr>
                  <w:tcW w:w="752" w:type="pct"/>
                  <w:vMerge w:val="continue"/>
                  <w:tcBorders>
                    <w:tl2br w:val="nil"/>
                    <w:tr2bl w:val="nil"/>
                  </w:tcBorders>
                  <w:vAlign w:val="center"/>
                </w:tcPr>
                <w:p w14:paraId="0D1670BB">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26FAA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58" w:hRule="atLeast"/>
                <w:jc w:val="center"/>
              </w:trPr>
              <w:tc>
                <w:tcPr>
                  <w:tcW w:w="321" w:type="pct"/>
                  <w:vMerge w:val="continue"/>
                  <w:tcBorders>
                    <w:tl2br w:val="nil"/>
                    <w:tr2bl w:val="nil"/>
                  </w:tcBorders>
                  <w:vAlign w:val="center"/>
                </w:tcPr>
                <w:p w14:paraId="6280E903">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tcBorders>
                    <w:tl2br w:val="nil"/>
                    <w:tr2bl w:val="nil"/>
                  </w:tcBorders>
                  <w:vAlign w:val="center"/>
                </w:tcPr>
                <w:p w14:paraId="7D63E08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麟绛花园</w:t>
                  </w:r>
                </w:p>
              </w:tc>
              <w:tc>
                <w:tcPr>
                  <w:tcW w:w="583" w:type="pct"/>
                  <w:tcBorders>
                    <w:tl2br w:val="nil"/>
                    <w:tr2bl w:val="nil"/>
                  </w:tcBorders>
                  <w:vAlign w:val="center"/>
                </w:tcPr>
                <w:p w14:paraId="65E0743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5FBF6CA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517" w:type="pct"/>
                  <w:tcBorders>
                    <w:tl2br w:val="nil"/>
                    <w:tr2bl w:val="nil"/>
                  </w:tcBorders>
                  <w:vAlign w:val="center"/>
                </w:tcPr>
                <w:p w14:paraId="6262BA40">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842" w:type="pct"/>
                  <w:tcBorders>
                    <w:tl2br w:val="nil"/>
                    <w:tr2bl w:val="nil"/>
                  </w:tcBorders>
                  <w:vAlign w:val="center"/>
                </w:tcPr>
                <w:p w14:paraId="187A388C">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36.319035</w:t>
                  </w:r>
                </w:p>
              </w:tc>
              <w:tc>
                <w:tcPr>
                  <w:tcW w:w="821" w:type="pct"/>
                  <w:tcBorders>
                    <w:tl2br w:val="nil"/>
                    <w:tr2bl w:val="nil"/>
                  </w:tcBorders>
                  <w:vAlign w:val="center"/>
                </w:tcPr>
                <w:p w14:paraId="78882955">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112.867138</w:t>
                  </w:r>
                </w:p>
              </w:tc>
              <w:tc>
                <w:tcPr>
                  <w:tcW w:w="752" w:type="pct"/>
                  <w:vMerge w:val="continue"/>
                  <w:tcBorders>
                    <w:tl2br w:val="nil"/>
                    <w:tr2bl w:val="nil"/>
                  </w:tcBorders>
                  <w:vAlign w:val="center"/>
                </w:tcPr>
                <w:p w14:paraId="4218FA7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6F870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95" w:hRule="atLeast"/>
                <w:jc w:val="center"/>
              </w:trPr>
              <w:tc>
                <w:tcPr>
                  <w:tcW w:w="321" w:type="pct"/>
                  <w:vMerge w:val="continue"/>
                  <w:tcBorders>
                    <w:tl2br w:val="nil"/>
                    <w:tr2bl w:val="nil"/>
                  </w:tcBorders>
                  <w:vAlign w:val="center"/>
                </w:tcPr>
                <w:p w14:paraId="39D75179">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tcBorders>
                    <w:tl2br w:val="nil"/>
                    <w:tr2bl w:val="nil"/>
                  </w:tcBorders>
                  <w:vAlign w:val="center"/>
                </w:tcPr>
                <w:p w14:paraId="601C6764">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金威家园</w:t>
                  </w:r>
                </w:p>
              </w:tc>
              <w:tc>
                <w:tcPr>
                  <w:tcW w:w="583" w:type="pct"/>
                  <w:tcBorders>
                    <w:tl2br w:val="nil"/>
                    <w:tr2bl w:val="nil"/>
                  </w:tcBorders>
                  <w:vAlign w:val="center"/>
                </w:tcPr>
                <w:p w14:paraId="4BDCBDD5">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74B97BE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w:t>
                  </w:r>
                </w:p>
              </w:tc>
              <w:tc>
                <w:tcPr>
                  <w:tcW w:w="517" w:type="pct"/>
                  <w:tcBorders>
                    <w:tl2br w:val="nil"/>
                    <w:tr2bl w:val="nil"/>
                  </w:tcBorders>
                  <w:vAlign w:val="center"/>
                </w:tcPr>
                <w:p w14:paraId="656A020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842" w:type="pct"/>
                  <w:tcBorders>
                    <w:tl2br w:val="nil"/>
                    <w:tr2bl w:val="nil"/>
                  </w:tcBorders>
                  <w:vAlign w:val="center"/>
                </w:tcPr>
                <w:p w14:paraId="2C84F414">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36.318080</w:t>
                  </w:r>
                </w:p>
              </w:tc>
              <w:tc>
                <w:tcPr>
                  <w:tcW w:w="821" w:type="pct"/>
                  <w:tcBorders>
                    <w:tl2br w:val="nil"/>
                    <w:tr2bl w:val="nil"/>
                  </w:tcBorders>
                  <w:vAlign w:val="center"/>
                </w:tcPr>
                <w:p w14:paraId="3822BFE7">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112.864729</w:t>
                  </w:r>
                </w:p>
              </w:tc>
              <w:tc>
                <w:tcPr>
                  <w:tcW w:w="752" w:type="pct"/>
                  <w:vMerge w:val="continue"/>
                  <w:tcBorders>
                    <w:tl2br w:val="nil"/>
                    <w:tr2bl w:val="nil"/>
                  </w:tcBorders>
                  <w:vAlign w:val="center"/>
                </w:tcPr>
                <w:p w14:paraId="05EDAD95">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1B9F0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95" w:hRule="atLeast"/>
                <w:jc w:val="center"/>
              </w:trPr>
              <w:tc>
                <w:tcPr>
                  <w:tcW w:w="321" w:type="pct"/>
                  <w:vMerge w:val="continue"/>
                  <w:tcBorders>
                    <w:tl2br w:val="nil"/>
                    <w:tr2bl w:val="nil"/>
                  </w:tcBorders>
                  <w:vAlign w:val="center"/>
                </w:tcPr>
                <w:p w14:paraId="08B9CF60">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tcBorders>
                    <w:tl2br w:val="nil"/>
                    <w:tr2bl w:val="nil"/>
                  </w:tcBorders>
                  <w:vAlign w:val="center"/>
                </w:tcPr>
                <w:p w14:paraId="33BEB41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启智幼儿园</w:t>
                  </w:r>
                </w:p>
              </w:tc>
              <w:tc>
                <w:tcPr>
                  <w:tcW w:w="583" w:type="pct"/>
                  <w:tcBorders>
                    <w:tl2br w:val="nil"/>
                    <w:tr2bl w:val="nil"/>
                  </w:tcBorders>
                  <w:vAlign w:val="center"/>
                </w:tcPr>
                <w:p w14:paraId="2F0533B0">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28B11CB7">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SE</w:t>
                  </w:r>
                </w:p>
              </w:tc>
              <w:tc>
                <w:tcPr>
                  <w:tcW w:w="517" w:type="pct"/>
                  <w:tcBorders>
                    <w:tl2br w:val="nil"/>
                    <w:tr2bl w:val="nil"/>
                  </w:tcBorders>
                  <w:vAlign w:val="center"/>
                </w:tcPr>
                <w:p w14:paraId="21B8F01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842" w:type="pct"/>
                  <w:tcBorders>
                    <w:tl2br w:val="nil"/>
                    <w:tr2bl w:val="nil"/>
                  </w:tcBorders>
                  <w:vAlign w:val="center"/>
                </w:tcPr>
                <w:p w14:paraId="7D55E90C">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36.316497</w:t>
                  </w:r>
                </w:p>
              </w:tc>
              <w:tc>
                <w:tcPr>
                  <w:tcW w:w="821" w:type="pct"/>
                  <w:tcBorders>
                    <w:tl2br w:val="nil"/>
                    <w:tr2bl w:val="nil"/>
                  </w:tcBorders>
                  <w:vAlign w:val="center"/>
                </w:tcPr>
                <w:p w14:paraId="2BE49C6A">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112.867052</w:t>
                  </w:r>
                </w:p>
              </w:tc>
              <w:tc>
                <w:tcPr>
                  <w:tcW w:w="752" w:type="pct"/>
                  <w:vMerge w:val="continue"/>
                  <w:tcBorders>
                    <w:tl2br w:val="nil"/>
                    <w:tr2bl w:val="nil"/>
                  </w:tcBorders>
                  <w:vAlign w:val="center"/>
                </w:tcPr>
                <w:p w14:paraId="17F9A606">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49653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95" w:hRule="atLeast"/>
                <w:jc w:val="center"/>
              </w:trPr>
              <w:tc>
                <w:tcPr>
                  <w:tcW w:w="321" w:type="pct"/>
                  <w:vMerge w:val="continue"/>
                  <w:tcBorders>
                    <w:tl2br w:val="nil"/>
                    <w:tr2bl w:val="nil"/>
                  </w:tcBorders>
                  <w:vAlign w:val="center"/>
                </w:tcPr>
                <w:p w14:paraId="5D82789B">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c>
                <w:tcPr>
                  <w:tcW w:w="747" w:type="pct"/>
                  <w:tcBorders>
                    <w:tl2br w:val="nil"/>
                    <w:tr2bl w:val="nil"/>
                  </w:tcBorders>
                  <w:vAlign w:val="center"/>
                </w:tcPr>
                <w:p w14:paraId="47DE6B71">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三建果园世纪城</w:t>
                  </w:r>
                </w:p>
              </w:tc>
              <w:tc>
                <w:tcPr>
                  <w:tcW w:w="583" w:type="pct"/>
                  <w:tcBorders>
                    <w:tl2br w:val="nil"/>
                    <w:tr2bl w:val="nil"/>
                  </w:tcBorders>
                  <w:vAlign w:val="center"/>
                </w:tcPr>
                <w:p w14:paraId="6778704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01C77962">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SE</w:t>
                  </w:r>
                </w:p>
              </w:tc>
              <w:tc>
                <w:tcPr>
                  <w:tcW w:w="517" w:type="pct"/>
                  <w:tcBorders>
                    <w:tl2br w:val="nil"/>
                    <w:tr2bl w:val="nil"/>
                  </w:tcBorders>
                  <w:vAlign w:val="center"/>
                </w:tcPr>
                <w:p w14:paraId="1ADD1D49">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330</w:t>
                  </w:r>
                </w:p>
              </w:tc>
              <w:tc>
                <w:tcPr>
                  <w:tcW w:w="842" w:type="pct"/>
                  <w:tcBorders>
                    <w:tl2br w:val="nil"/>
                    <w:tr2bl w:val="nil"/>
                  </w:tcBorders>
                  <w:vAlign w:val="center"/>
                </w:tcPr>
                <w:p w14:paraId="02CCDA4C">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36.313788</w:t>
                  </w:r>
                </w:p>
              </w:tc>
              <w:tc>
                <w:tcPr>
                  <w:tcW w:w="821" w:type="pct"/>
                  <w:tcBorders>
                    <w:tl2br w:val="nil"/>
                    <w:tr2bl w:val="nil"/>
                  </w:tcBorders>
                  <w:vAlign w:val="center"/>
                </w:tcPr>
                <w:p w14:paraId="5055737A">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112.866891</w:t>
                  </w:r>
                </w:p>
              </w:tc>
              <w:tc>
                <w:tcPr>
                  <w:tcW w:w="752" w:type="pct"/>
                  <w:vMerge w:val="continue"/>
                  <w:tcBorders>
                    <w:tl2br w:val="nil"/>
                    <w:tr2bl w:val="nil"/>
                  </w:tcBorders>
                  <w:vAlign w:val="center"/>
                </w:tcPr>
                <w:p w14:paraId="56DCC0DE">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rPr>
                  </w:pPr>
                </w:p>
              </w:tc>
            </w:tr>
            <w:tr w14:paraId="08BE0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521" w:hRule="atLeast"/>
                <w:jc w:val="center"/>
              </w:trPr>
              <w:tc>
                <w:tcPr>
                  <w:tcW w:w="321" w:type="pct"/>
                  <w:vMerge w:val="restart"/>
                  <w:tcBorders>
                    <w:tl2br w:val="nil"/>
                    <w:tr2bl w:val="nil"/>
                  </w:tcBorders>
                  <w:vAlign w:val="center"/>
                </w:tcPr>
                <w:p w14:paraId="57A118F7">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w:t>
                  </w:r>
                </w:p>
              </w:tc>
              <w:tc>
                <w:tcPr>
                  <w:tcW w:w="747" w:type="pct"/>
                  <w:tcBorders>
                    <w:tl2br w:val="nil"/>
                    <w:tr2bl w:val="nil"/>
                  </w:tcBorders>
                  <w:vAlign w:val="center"/>
                </w:tcPr>
                <w:p w14:paraId="5B0D7FBC">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麟绛小学</w:t>
                  </w:r>
                  <w:r>
                    <w:rPr>
                      <w:rFonts w:hint="eastAsia" w:cs="Times New Roman"/>
                      <w:color w:val="auto"/>
                      <w:sz w:val="21"/>
                      <w:szCs w:val="21"/>
                      <w:lang w:val="en-US" w:eastAsia="zh-CN"/>
                    </w:rPr>
                    <w:t>部</w:t>
                  </w:r>
                </w:p>
              </w:tc>
              <w:tc>
                <w:tcPr>
                  <w:tcW w:w="583" w:type="pct"/>
                  <w:tcBorders>
                    <w:tl2br w:val="nil"/>
                    <w:tr2bl w:val="nil"/>
                  </w:tcBorders>
                  <w:vAlign w:val="center"/>
                </w:tcPr>
                <w:p w14:paraId="6DE1DF4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0574354D">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E</w:t>
                  </w:r>
                </w:p>
              </w:tc>
              <w:tc>
                <w:tcPr>
                  <w:tcW w:w="517" w:type="pct"/>
                  <w:tcBorders>
                    <w:tl2br w:val="nil"/>
                    <w:tr2bl w:val="nil"/>
                  </w:tcBorders>
                  <w:vAlign w:val="center"/>
                </w:tcPr>
                <w:p w14:paraId="28F32E1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紧邻</w:t>
                  </w:r>
                </w:p>
              </w:tc>
              <w:tc>
                <w:tcPr>
                  <w:tcW w:w="842" w:type="pct"/>
                  <w:tcBorders>
                    <w:tl2br w:val="nil"/>
                    <w:tr2bl w:val="nil"/>
                  </w:tcBorders>
                  <w:vAlign w:val="center"/>
                </w:tcPr>
                <w:p w14:paraId="57DADDB5">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36.317755</w:t>
                  </w:r>
                </w:p>
              </w:tc>
              <w:tc>
                <w:tcPr>
                  <w:tcW w:w="821" w:type="pct"/>
                  <w:tcBorders>
                    <w:tl2br w:val="nil"/>
                    <w:tr2bl w:val="nil"/>
                  </w:tcBorders>
                  <w:vAlign w:val="center"/>
                </w:tcPr>
                <w:p w14:paraId="65836C93">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112.866360</w:t>
                  </w:r>
                </w:p>
              </w:tc>
              <w:tc>
                <w:tcPr>
                  <w:tcW w:w="752" w:type="pct"/>
                  <w:tcBorders>
                    <w:tl2br w:val="nil"/>
                    <w:tr2bl w:val="nil"/>
                  </w:tcBorders>
                  <w:vAlign w:val="center"/>
                </w:tcPr>
                <w:p w14:paraId="61B556F5">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声环境1类区</w:t>
                  </w:r>
                </w:p>
              </w:tc>
            </w:tr>
            <w:tr w14:paraId="72CD5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trHeight w:val="405" w:hRule="atLeast"/>
                <w:jc w:val="center"/>
              </w:trPr>
              <w:tc>
                <w:tcPr>
                  <w:tcW w:w="321" w:type="pct"/>
                  <w:vMerge w:val="continue"/>
                  <w:tcBorders>
                    <w:tl2br w:val="nil"/>
                    <w:tr2bl w:val="nil"/>
                  </w:tcBorders>
                  <w:vAlign w:val="center"/>
                </w:tcPr>
                <w:p w14:paraId="04117AF9">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p>
              </w:tc>
              <w:tc>
                <w:tcPr>
                  <w:tcW w:w="747" w:type="pct"/>
                  <w:tcBorders>
                    <w:tl2br w:val="nil"/>
                    <w:tr2bl w:val="nil"/>
                  </w:tcBorders>
                  <w:vAlign w:val="center"/>
                </w:tcPr>
                <w:p w14:paraId="7564B52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书香华庭</w:t>
                  </w:r>
                </w:p>
              </w:tc>
              <w:tc>
                <w:tcPr>
                  <w:tcW w:w="583" w:type="pct"/>
                  <w:tcBorders>
                    <w:tl2br w:val="nil"/>
                    <w:tr2bl w:val="nil"/>
                  </w:tcBorders>
                  <w:vAlign w:val="center"/>
                </w:tcPr>
                <w:p w14:paraId="28A0B52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人群</w:t>
                  </w:r>
                </w:p>
              </w:tc>
              <w:tc>
                <w:tcPr>
                  <w:tcW w:w="414" w:type="pct"/>
                  <w:tcBorders>
                    <w:tl2br w:val="nil"/>
                    <w:tr2bl w:val="nil"/>
                  </w:tcBorders>
                  <w:vAlign w:val="center"/>
                </w:tcPr>
                <w:p w14:paraId="34880C8A">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w:t>
                  </w:r>
                </w:p>
              </w:tc>
              <w:tc>
                <w:tcPr>
                  <w:tcW w:w="517" w:type="pct"/>
                  <w:tcBorders>
                    <w:tl2br w:val="nil"/>
                    <w:tr2bl w:val="nil"/>
                  </w:tcBorders>
                  <w:vAlign w:val="center"/>
                </w:tcPr>
                <w:p w14:paraId="5359A736">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842" w:type="pct"/>
                  <w:tcBorders>
                    <w:tl2br w:val="nil"/>
                    <w:tr2bl w:val="nil"/>
                  </w:tcBorders>
                  <w:vAlign w:val="center"/>
                </w:tcPr>
                <w:p w14:paraId="032CB110">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36.319024</w:t>
                  </w:r>
                </w:p>
              </w:tc>
              <w:tc>
                <w:tcPr>
                  <w:tcW w:w="821" w:type="pct"/>
                  <w:tcBorders>
                    <w:tl2br w:val="nil"/>
                    <w:tr2bl w:val="nil"/>
                  </w:tcBorders>
                  <w:vAlign w:val="center"/>
                </w:tcPr>
                <w:p w14:paraId="7340E28A">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112.866306</w:t>
                  </w:r>
                </w:p>
              </w:tc>
              <w:tc>
                <w:tcPr>
                  <w:tcW w:w="752" w:type="pct"/>
                  <w:tcBorders>
                    <w:tl2br w:val="nil"/>
                    <w:tr2bl w:val="nil"/>
                  </w:tcBorders>
                  <w:vAlign w:val="center"/>
                </w:tcPr>
                <w:p w14:paraId="22602788">
                  <w:pPr>
                    <w:pStyle w:val="76"/>
                    <w:keepNext w:val="0"/>
                    <w:keepLines w:val="0"/>
                    <w:pageBreakBefore w:val="0"/>
                    <w:suppressLineNumbers w:val="0"/>
                    <w:kinsoku/>
                    <w:wordWrap/>
                    <w:overflowPunct/>
                    <w:topLinePunct w:val="0"/>
                    <w:bidi w:val="0"/>
                    <w:adjustRightInd/>
                    <w:spacing w:before="0" w:beforeLines="0" w:beforeAutospacing="0" w:after="0" w:afterLines="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临街第一排声环境4a类，其余1类区</w:t>
                  </w:r>
                </w:p>
              </w:tc>
            </w:tr>
          </w:tbl>
          <w:p w14:paraId="1F32D87B">
            <w:pPr>
              <w:keepNext w:val="0"/>
              <w:keepLines w:val="0"/>
              <w:suppressLineNumbers w:val="0"/>
              <w:spacing w:before="0" w:beforeAutospacing="0" w:after="0" w:afterAutospacing="0"/>
              <w:ind w:left="0" w:right="0"/>
              <w:rPr>
                <w:rFonts w:hint="default"/>
                <w:color w:val="auto"/>
              </w:rPr>
            </w:pPr>
          </w:p>
        </w:tc>
      </w:tr>
      <w:tr w14:paraId="67BB99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56" w:type="pct"/>
            <w:tcBorders>
              <w:tl2br w:val="nil"/>
              <w:tr2bl w:val="nil"/>
            </w:tcBorders>
            <w:vAlign w:val="center"/>
          </w:tcPr>
          <w:p w14:paraId="3494EA1A">
            <w:pPr>
              <w:keepNext w:val="0"/>
              <w:keepLines w:val="0"/>
              <w:suppressLineNumbers w:val="0"/>
              <w:adjustRightInd w:val="0"/>
              <w:snapToGrid w:val="0"/>
              <w:spacing w:before="0" w:beforeAutospacing="0" w:after="0" w:afterAutospacing="0"/>
              <w:ind w:left="0" w:right="0"/>
              <w:jc w:val="center"/>
              <w:rPr>
                <w:rFonts w:hint="eastAsia" w:ascii="宋体" w:hAnsi="宋体"/>
                <w:color w:val="auto"/>
                <w:kern w:val="0"/>
                <w:sz w:val="21"/>
              </w:rPr>
            </w:pPr>
            <w:r>
              <w:rPr>
                <w:rFonts w:hint="eastAsia" w:ascii="宋体" w:hAnsi="宋体"/>
                <w:color w:val="auto"/>
                <w:kern w:val="0"/>
              </w:rPr>
              <w:t>污染</w:t>
            </w:r>
          </w:p>
          <w:p w14:paraId="4FE5C062">
            <w:pPr>
              <w:keepNext w:val="0"/>
              <w:keepLines w:val="0"/>
              <w:suppressLineNumbers w:val="0"/>
              <w:adjustRightInd w:val="0"/>
              <w:snapToGrid w:val="0"/>
              <w:spacing w:before="0" w:beforeAutospacing="0" w:after="0" w:afterAutospacing="0"/>
              <w:ind w:left="0" w:right="0"/>
              <w:jc w:val="center"/>
              <w:rPr>
                <w:rFonts w:hint="eastAsia" w:ascii="宋体" w:hAnsi="宋体"/>
                <w:color w:val="auto"/>
                <w:kern w:val="0"/>
              </w:rPr>
            </w:pPr>
            <w:r>
              <w:rPr>
                <w:rFonts w:hint="eastAsia" w:ascii="宋体" w:hAnsi="宋体"/>
                <w:color w:val="auto"/>
                <w:kern w:val="0"/>
              </w:rPr>
              <w:t>物排</w:t>
            </w:r>
          </w:p>
          <w:p w14:paraId="3C1260BE">
            <w:pPr>
              <w:keepNext w:val="0"/>
              <w:keepLines w:val="0"/>
              <w:suppressLineNumbers w:val="0"/>
              <w:adjustRightInd w:val="0"/>
              <w:snapToGrid w:val="0"/>
              <w:spacing w:before="0" w:beforeAutospacing="0" w:after="0" w:afterAutospacing="0"/>
              <w:ind w:left="0" w:right="0"/>
              <w:jc w:val="center"/>
              <w:rPr>
                <w:rFonts w:hint="eastAsia" w:ascii="宋体" w:hAnsi="宋体"/>
                <w:color w:val="auto"/>
                <w:kern w:val="0"/>
              </w:rPr>
            </w:pPr>
            <w:r>
              <w:rPr>
                <w:rFonts w:hint="eastAsia" w:ascii="宋体" w:hAnsi="宋体"/>
                <w:color w:val="auto"/>
                <w:kern w:val="0"/>
              </w:rPr>
              <w:t>放控</w:t>
            </w:r>
          </w:p>
          <w:p w14:paraId="28163D81">
            <w:pPr>
              <w:keepNext w:val="0"/>
              <w:keepLines w:val="0"/>
              <w:suppressLineNumbers w:val="0"/>
              <w:adjustRightInd w:val="0"/>
              <w:snapToGrid w:val="0"/>
              <w:spacing w:before="0" w:beforeAutospacing="0" w:after="0" w:afterAutospacing="0"/>
              <w:ind w:left="0" w:right="0"/>
              <w:jc w:val="center"/>
              <w:rPr>
                <w:rFonts w:hint="eastAsia" w:ascii="宋体" w:hAnsi="宋体"/>
                <w:color w:val="auto"/>
                <w:kern w:val="0"/>
              </w:rPr>
            </w:pPr>
            <w:r>
              <w:rPr>
                <w:rFonts w:hint="eastAsia" w:ascii="宋体" w:hAnsi="宋体"/>
                <w:color w:val="auto"/>
                <w:kern w:val="0"/>
              </w:rPr>
              <w:t>制标</w:t>
            </w:r>
          </w:p>
          <w:p w14:paraId="78424797">
            <w:pPr>
              <w:keepNext w:val="0"/>
              <w:keepLines w:val="0"/>
              <w:suppressLineNumbers w:val="0"/>
              <w:spacing w:before="0" w:beforeAutospacing="0" w:after="0" w:afterAutospacing="0"/>
              <w:ind w:left="0" w:right="0"/>
              <w:jc w:val="center"/>
              <w:rPr>
                <w:rFonts w:hint="default"/>
                <w:color w:val="auto"/>
                <w:szCs w:val="22"/>
              </w:rPr>
            </w:pPr>
            <w:r>
              <w:rPr>
                <w:rFonts w:hint="eastAsia" w:ascii="宋体" w:hAnsi="宋体"/>
                <w:color w:val="auto"/>
                <w:kern w:val="0"/>
              </w:rPr>
              <w:t>准</w:t>
            </w:r>
          </w:p>
        </w:tc>
        <w:tc>
          <w:tcPr>
            <w:tcW w:w="4743" w:type="pct"/>
            <w:tcBorders>
              <w:tl2br w:val="nil"/>
              <w:tr2bl w:val="nil"/>
            </w:tcBorders>
          </w:tcPr>
          <w:p w14:paraId="7E6AF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val="0"/>
                <w:color w:val="auto"/>
                <w:szCs w:val="24"/>
                <w:lang w:val="en-US" w:eastAsia="zh-CN"/>
              </w:rPr>
            </w:pPr>
            <w:r>
              <w:rPr>
                <w:rFonts w:hint="eastAsia"/>
                <w:b/>
                <w:bCs w:val="0"/>
                <w:color w:val="auto"/>
                <w:szCs w:val="24"/>
                <w:lang w:val="en-US" w:eastAsia="zh-CN"/>
              </w:rPr>
              <w:t>3.6大气污染物排放标准</w:t>
            </w:r>
          </w:p>
          <w:p w14:paraId="7104A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Cs/>
                <w:color w:val="auto"/>
                <w:szCs w:val="24"/>
                <w:lang w:val="en-US" w:eastAsia="zh-CN"/>
              </w:rPr>
            </w:pPr>
            <w:r>
              <w:rPr>
                <w:rFonts w:hint="eastAsia"/>
                <w:bCs/>
                <w:color w:val="auto"/>
                <w:szCs w:val="24"/>
                <w:lang w:val="en-US" w:eastAsia="zh-CN"/>
              </w:rPr>
              <w:t>施工期：项目施工期产生的废气主要为施工扬尘、施工设备如汽车等排放的废气。该废气执行《大气污染物综合排放标准》(GB16297-1996)表2中二级及无组织排放监控浓度限值要求。</w:t>
            </w:r>
          </w:p>
          <w:p w14:paraId="77EC6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auto"/>
                <w:szCs w:val="24"/>
                <w:lang w:val="en-US" w:eastAsia="zh-CN"/>
              </w:rPr>
            </w:pPr>
            <w:r>
              <w:rPr>
                <w:rFonts w:hint="eastAsia"/>
                <w:bCs/>
                <w:color w:val="auto"/>
                <w:szCs w:val="24"/>
                <w:lang w:val="en-US" w:eastAsia="zh-CN"/>
              </w:rPr>
              <w:t>运营期：项目为普通初中学校建设项目，运营期产生的废气主要为师生实验过程中产生的硫酸雾、氯化氢。</w:t>
            </w:r>
          </w:p>
          <w:p w14:paraId="1A385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auto"/>
                <w:szCs w:val="24"/>
                <w:lang w:val="en-US" w:eastAsia="zh-CN"/>
              </w:rPr>
            </w:pPr>
            <w:r>
              <w:rPr>
                <w:rFonts w:hint="eastAsia"/>
                <w:bCs/>
                <w:color w:val="auto"/>
                <w:szCs w:val="24"/>
                <w:lang w:val="en-US" w:eastAsia="zh-CN"/>
              </w:rPr>
              <w:t>厂界无组织硫酸雾、氯化氢，参照执行《大气污染物综合排放标准》（GB16297-1996）表2中排放标准限值。</w:t>
            </w:r>
          </w:p>
          <w:p w14:paraId="00D4D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auto"/>
                <w:szCs w:val="24"/>
                <w:lang w:val="en-US" w:eastAsia="zh-CN"/>
              </w:rPr>
            </w:pPr>
            <w:r>
              <w:rPr>
                <w:rFonts w:hint="eastAsia"/>
                <w:bCs/>
                <w:color w:val="auto"/>
                <w:szCs w:val="24"/>
                <w:lang w:val="en-US" w:eastAsia="zh-CN"/>
              </w:rPr>
              <w:t>具体见表3-4/3-5。</w:t>
            </w:r>
          </w:p>
          <w:p w14:paraId="1A711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val="0"/>
                <w:color w:val="auto"/>
                <w:sz w:val="21"/>
                <w:szCs w:val="21"/>
                <w:lang w:val="en-US" w:eastAsia="zh-CN"/>
              </w:rPr>
            </w:pPr>
            <w:r>
              <w:rPr>
                <w:rFonts w:hint="eastAsia"/>
                <w:b/>
                <w:bCs w:val="0"/>
                <w:color w:val="auto"/>
                <w:sz w:val="21"/>
                <w:szCs w:val="21"/>
                <w:lang w:val="en-US" w:eastAsia="zh-CN"/>
              </w:rPr>
              <w:t>表3-4 施工期废气污染物排放标准限值</w:t>
            </w:r>
          </w:p>
          <w:tbl>
            <w:tblPr>
              <w:tblStyle w:val="81"/>
              <w:tblW w:w="4998"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59"/>
              <w:gridCol w:w="2542"/>
              <w:gridCol w:w="1416"/>
              <w:gridCol w:w="978"/>
              <w:gridCol w:w="839"/>
              <w:gridCol w:w="1619"/>
            </w:tblGrid>
            <w:tr w14:paraId="73A1C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97" w:hRule="atLeast"/>
              </w:trPr>
              <w:tc>
                <w:tcPr>
                  <w:tcW w:w="626" w:type="pct"/>
                  <w:vMerge w:val="restart"/>
                  <w:tcBorders>
                    <w:tl2br w:val="nil"/>
                    <w:tr2bl w:val="nil"/>
                  </w:tcBorders>
                  <w:vAlign w:val="center"/>
                </w:tcPr>
                <w:p w14:paraId="7CBE3424">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1"/>
                      <w:sz w:val="21"/>
                      <w:szCs w:val="21"/>
                    </w:rPr>
                    <w:t>时间</w:t>
                  </w:r>
                </w:p>
              </w:tc>
              <w:tc>
                <w:tcPr>
                  <w:tcW w:w="1503" w:type="pct"/>
                  <w:vMerge w:val="restart"/>
                  <w:tcBorders>
                    <w:tl2br w:val="nil"/>
                    <w:tr2bl w:val="nil"/>
                  </w:tcBorders>
                  <w:vAlign w:val="center"/>
                </w:tcPr>
                <w:p w14:paraId="20ABE57A">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6"/>
                      <w:sz w:val="21"/>
                      <w:szCs w:val="21"/>
                    </w:rPr>
                    <w:t>标准名称及级（类）别</w:t>
                  </w:r>
                </w:p>
              </w:tc>
              <w:tc>
                <w:tcPr>
                  <w:tcW w:w="837" w:type="pct"/>
                  <w:vMerge w:val="restart"/>
                  <w:tcBorders>
                    <w:tl2br w:val="nil"/>
                    <w:tr2bl w:val="nil"/>
                  </w:tcBorders>
                  <w:vAlign w:val="center"/>
                </w:tcPr>
                <w:p w14:paraId="38CE1DB4">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6"/>
                      <w:sz w:val="21"/>
                      <w:szCs w:val="21"/>
                    </w:rPr>
                    <w:t>污染因子</w:t>
                  </w:r>
                </w:p>
              </w:tc>
              <w:tc>
                <w:tcPr>
                  <w:tcW w:w="1074" w:type="pct"/>
                  <w:gridSpan w:val="2"/>
                  <w:tcBorders>
                    <w:tl2br w:val="nil"/>
                    <w:tr2bl w:val="nil"/>
                  </w:tcBorders>
                  <w:vAlign w:val="center"/>
                </w:tcPr>
                <w:p w14:paraId="77FD8016">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5"/>
                      <w:sz w:val="21"/>
                      <w:szCs w:val="21"/>
                    </w:rPr>
                    <w:t>标准值</w:t>
                  </w:r>
                </w:p>
              </w:tc>
              <w:tc>
                <w:tcPr>
                  <w:tcW w:w="957" w:type="pct"/>
                  <w:vMerge w:val="restart"/>
                  <w:tcBorders>
                    <w:tl2br w:val="nil"/>
                    <w:tr2bl w:val="nil"/>
                  </w:tcBorders>
                  <w:vAlign w:val="center"/>
                </w:tcPr>
                <w:p w14:paraId="35F35F3A">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2"/>
                      <w:sz w:val="21"/>
                      <w:szCs w:val="21"/>
                    </w:rPr>
                    <w:t>备注</w:t>
                  </w:r>
                </w:p>
              </w:tc>
            </w:tr>
            <w:tr w14:paraId="02C17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26" w:type="pct"/>
                  <w:vMerge w:val="continue"/>
                  <w:tcBorders>
                    <w:tl2br w:val="nil"/>
                    <w:tr2bl w:val="nil"/>
                  </w:tcBorders>
                  <w:vAlign w:val="center"/>
                </w:tcPr>
                <w:p w14:paraId="6B6FE4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1503" w:type="pct"/>
                  <w:vMerge w:val="continue"/>
                  <w:tcBorders>
                    <w:tl2br w:val="nil"/>
                    <w:tr2bl w:val="nil"/>
                  </w:tcBorders>
                  <w:vAlign w:val="center"/>
                </w:tcPr>
                <w:p w14:paraId="4F58E89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837" w:type="pct"/>
                  <w:vMerge w:val="continue"/>
                  <w:tcBorders>
                    <w:tl2br w:val="nil"/>
                    <w:tr2bl w:val="nil"/>
                  </w:tcBorders>
                  <w:vAlign w:val="center"/>
                </w:tcPr>
                <w:p w14:paraId="42F9FDF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c>
                <w:tcPr>
                  <w:tcW w:w="578" w:type="pct"/>
                  <w:tcBorders>
                    <w:tl2br w:val="nil"/>
                    <w:tr2bl w:val="nil"/>
                  </w:tcBorders>
                  <w:vAlign w:val="center"/>
                </w:tcPr>
                <w:p w14:paraId="2945FCD3">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3"/>
                      <w:sz w:val="21"/>
                      <w:szCs w:val="21"/>
                    </w:rPr>
                    <w:t>单位</w:t>
                  </w:r>
                </w:p>
              </w:tc>
              <w:tc>
                <w:tcPr>
                  <w:tcW w:w="496" w:type="pct"/>
                  <w:tcBorders>
                    <w:tl2br w:val="nil"/>
                    <w:tr2bl w:val="nil"/>
                  </w:tcBorders>
                  <w:vAlign w:val="center"/>
                </w:tcPr>
                <w:p w14:paraId="3E3E2537">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3"/>
                      <w:sz w:val="21"/>
                      <w:szCs w:val="21"/>
                    </w:rPr>
                    <w:t>数值</w:t>
                  </w:r>
                </w:p>
              </w:tc>
              <w:tc>
                <w:tcPr>
                  <w:tcW w:w="957" w:type="pct"/>
                  <w:vMerge w:val="continue"/>
                  <w:tcBorders>
                    <w:tl2br w:val="nil"/>
                    <w:tr2bl w:val="nil"/>
                  </w:tcBorders>
                  <w:vAlign w:val="center"/>
                </w:tcPr>
                <w:p w14:paraId="14960E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p>
              </w:tc>
            </w:tr>
            <w:tr w14:paraId="27B69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626" w:type="pct"/>
                  <w:tcBorders>
                    <w:tl2br w:val="nil"/>
                    <w:tr2bl w:val="nil"/>
                  </w:tcBorders>
                  <w:vAlign w:val="center"/>
                </w:tcPr>
                <w:p w14:paraId="4DB6C8F4">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施工期</w:t>
                  </w:r>
                </w:p>
              </w:tc>
              <w:tc>
                <w:tcPr>
                  <w:tcW w:w="1503" w:type="pct"/>
                  <w:tcBorders>
                    <w:tl2br w:val="nil"/>
                    <w:tr2bl w:val="nil"/>
                  </w:tcBorders>
                  <w:vAlign w:val="center"/>
                </w:tcPr>
                <w:p w14:paraId="42BFCFA1">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《大气污染物综合排</w:t>
                  </w:r>
                  <w:r>
                    <w:rPr>
                      <w:rFonts w:hint="default" w:ascii="Times New Roman" w:hAnsi="Times New Roman" w:cs="Times New Roman"/>
                      <w:color w:val="auto"/>
                      <w:spacing w:val="2"/>
                      <w:sz w:val="21"/>
                      <w:szCs w:val="21"/>
                    </w:rPr>
                    <w:t xml:space="preserve"> </w:t>
                  </w:r>
                  <w:r>
                    <w:rPr>
                      <w:rFonts w:hint="default" w:ascii="Times New Roman" w:hAnsi="Times New Roman" w:cs="Times New Roman"/>
                      <w:color w:val="auto"/>
                      <w:spacing w:val="5"/>
                      <w:sz w:val="21"/>
                      <w:szCs w:val="21"/>
                    </w:rPr>
                    <w:t>放标准》</w:t>
                  </w:r>
                  <w:r>
                    <w:rPr>
                      <w:rFonts w:hint="default" w:ascii="Times New Roman" w:hAnsi="Times New Roman" w:cs="Times New Roman"/>
                      <w:color w:val="auto"/>
                      <w:spacing w:val="4"/>
                      <w:sz w:val="21"/>
                      <w:szCs w:val="21"/>
                    </w:rPr>
                    <w:t>（</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4"/>
                      <w:sz w:val="21"/>
                      <w:szCs w:val="21"/>
                    </w:rPr>
                    <w:t>16297-1996</w:t>
                  </w:r>
                  <w:r>
                    <w:rPr>
                      <w:rFonts w:hint="default" w:ascii="Times New Roman" w:hAnsi="Times New Roman" w:cs="Times New Roman"/>
                      <w:color w:val="auto"/>
                      <w:spacing w:val="4"/>
                      <w:sz w:val="21"/>
                      <w:szCs w:val="21"/>
                    </w:rPr>
                    <w:t>）</w:t>
                  </w:r>
                </w:p>
              </w:tc>
              <w:tc>
                <w:tcPr>
                  <w:tcW w:w="837" w:type="pct"/>
                  <w:tcBorders>
                    <w:tl2br w:val="nil"/>
                    <w:tr2bl w:val="nil"/>
                  </w:tcBorders>
                  <w:vAlign w:val="center"/>
                </w:tcPr>
                <w:p w14:paraId="4064B099">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颗粒物</w:t>
                  </w:r>
                </w:p>
              </w:tc>
              <w:tc>
                <w:tcPr>
                  <w:tcW w:w="578" w:type="pct"/>
                  <w:tcBorders>
                    <w:tl2br w:val="nil"/>
                    <w:tr2bl w:val="nil"/>
                  </w:tcBorders>
                  <w:vAlign w:val="center"/>
                </w:tcPr>
                <w:p w14:paraId="2FC122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z w:val="21"/>
                      <w:szCs w:val="21"/>
                    </w:rPr>
                    <w:t>mg</w:t>
                  </w:r>
                  <w:r>
                    <w:rPr>
                      <w:rFonts w:hint="default" w:ascii="Times New Roman" w:hAnsi="Times New Roman" w:eastAsia="Times New Roman" w:cs="Times New Roman"/>
                      <w:color w:val="auto"/>
                      <w:spacing w:val="8"/>
                      <w:sz w:val="21"/>
                      <w:szCs w:val="21"/>
                    </w:rPr>
                    <w:t>/m</w:t>
                  </w:r>
                  <w:r>
                    <w:rPr>
                      <w:rFonts w:hint="eastAsia" w:ascii="Times New Roman" w:hAnsi="Times New Roman" w:eastAsia="宋体" w:cs="Times New Roman"/>
                      <w:color w:val="auto"/>
                      <w:spacing w:val="8"/>
                      <w:sz w:val="21"/>
                      <w:szCs w:val="21"/>
                      <w:vertAlign w:val="superscript"/>
                      <w:lang w:val="en-US" w:eastAsia="zh-CN"/>
                    </w:rPr>
                    <w:t>3</w:t>
                  </w:r>
                </w:p>
              </w:tc>
              <w:tc>
                <w:tcPr>
                  <w:tcW w:w="496" w:type="pct"/>
                  <w:tcBorders>
                    <w:tl2br w:val="nil"/>
                    <w:tr2bl w:val="nil"/>
                  </w:tcBorders>
                  <w:vAlign w:val="center"/>
                </w:tcPr>
                <w:p w14:paraId="412E7F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1.0</w:t>
                  </w:r>
                </w:p>
              </w:tc>
              <w:tc>
                <w:tcPr>
                  <w:tcW w:w="957" w:type="pct"/>
                  <w:tcBorders>
                    <w:tl2br w:val="nil"/>
                    <w:tr2bl w:val="nil"/>
                  </w:tcBorders>
                  <w:vAlign w:val="center"/>
                </w:tcPr>
                <w:p w14:paraId="33F51EF9">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无组织</w:t>
                  </w:r>
                </w:p>
              </w:tc>
            </w:tr>
          </w:tbl>
          <w:p w14:paraId="7A86A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val="0"/>
                <w:color w:val="auto"/>
                <w:sz w:val="21"/>
                <w:szCs w:val="21"/>
                <w:lang w:val="en-US" w:eastAsia="zh-CN"/>
              </w:rPr>
            </w:pPr>
            <w:r>
              <w:rPr>
                <w:rFonts w:hint="eastAsia"/>
                <w:b/>
                <w:bCs w:val="0"/>
                <w:color w:val="auto"/>
                <w:sz w:val="21"/>
                <w:szCs w:val="21"/>
                <w:lang w:val="en-US" w:eastAsia="zh-CN"/>
              </w:rPr>
              <w:t>表3-5 大气污染物综合排放标准</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1001"/>
              <w:gridCol w:w="1243"/>
              <w:gridCol w:w="793"/>
              <w:gridCol w:w="1077"/>
              <w:gridCol w:w="1044"/>
              <w:gridCol w:w="1413"/>
            </w:tblGrid>
            <w:tr w14:paraId="4C3B3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12" w:type="pct"/>
                  <w:vMerge w:val="restart"/>
                  <w:tcBorders>
                    <w:tl2br w:val="nil"/>
                    <w:tr2bl w:val="nil"/>
                  </w:tcBorders>
                  <w:vAlign w:val="center"/>
                </w:tcPr>
                <w:p w14:paraId="3D476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w:t>
                  </w:r>
                </w:p>
              </w:tc>
              <w:tc>
                <w:tcPr>
                  <w:tcW w:w="592" w:type="pct"/>
                  <w:vMerge w:val="restart"/>
                  <w:tcBorders>
                    <w:tl2br w:val="nil"/>
                    <w:tr2bl w:val="nil"/>
                  </w:tcBorders>
                  <w:vAlign w:val="center"/>
                </w:tcPr>
                <w:p w14:paraId="6B797C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35" w:type="pct"/>
                  <w:vMerge w:val="restart"/>
                  <w:tcBorders>
                    <w:tl2br w:val="nil"/>
                    <w:tr2bl w:val="nil"/>
                  </w:tcBorders>
                  <w:vAlign w:val="center"/>
                </w:tcPr>
                <w:p w14:paraId="48A64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69" w:type="pct"/>
                  <w:vMerge w:val="restart"/>
                  <w:tcBorders>
                    <w:tl2br w:val="nil"/>
                    <w:tr2bl w:val="nil"/>
                  </w:tcBorders>
                  <w:vAlign w:val="center"/>
                </w:tcPr>
                <w:p w14:paraId="4A88D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排气筒（m）</w:t>
                  </w:r>
                </w:p>
              </w:tc>
              <w:tc>
                <w:tcPr>
                  <w:tcW w:w="637" w:type="pct"/>
                  <w:vMerge w:val="restart"/>
                  <w:tcBorders>
                    <w:tl2br w:val="nil"/>
                    <w:tr2bl w:val="nil"/>
                  </w:tcBorders>
                  <w:vAlign w:val="center"/>
                </w:tcPr>
                <w:p w14:paraId="3A2BF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最高允许排放速率(kg/h)</w:t>
                  </w:r>
                </w:p>
              </w:tc>
              <w:tc>
                <w:tcPr>
                  <w:tcW w:w="1453" w:type="pct"/>
                  <w:gridSpan w:val="2"/>
                  <w:tcBorders>
                    <w:tl2br w:val="nil"/>
                    <w:tr2bl w:val="nil"/>
                  </w:tcBorders>
                  <w:vAlign w:val="center"/>
                </w:tcPr>
                <w:p w14:paraId="49BFB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无组织排放监控浓度限值</w:t>
                  </w:r>
                </w:p>
              </w:tc>
            </w:tr>
            <w:tr w14:paraId="3ED7A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12" w:type="pct"/>
                  <w:vMerge w:val="continue"/>
                  <w:tcBorders>
                    <w:tl2br w:val="nil"/>
                    <w:tr2bl w:val="nil"/>
                  </w:tcBorders>
                  <w:vAlign w:val="center"/>
                </w:tcPr>
                <w:p w14:paraId="7ADEF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2" w:type="pct"/>
                  <w:vMerge w:val="continue"/>
                  <w:tcBorders>
                    <w:tl2br w:val="nil"/>
                    <w:tr2bl w:val="nil"/>
                  </w:tcBorders>
                  <w:vAlign w:val="center"/>
                </w:tcPr>
                <w:p w14:paraId="0F949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5" w:type="pct"/>
                  <w:vMerge w:val="continue"/>
                  <w:tcBorders>
                    <w:tl2br w:val="nil"/>
                    <w:tr2bl w:val="nil"/>
                  </w:tcBorders>
                  <w:vAlign w:val="center"/>
                </w:tcPr>
                <w:p w14:paraId="70DE4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69" w:type="pct"/>
                  <w:vMerge w:val="continue"/>
                  <w:tcBorders>
                    <w:tl2br w:val="nil"/>
                    <w:tr2bl w:val="nil"/>
                  </w:tcBorders>
                  <w:vAlign w:val="center"/>
                </w:tcPr>
                <w:p w14:paraId="3BEE8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vAlign w:val="center"/>
                </w:tcPr>
                <w:p w14:paraId="5C87E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7" w:type="pct"/>
                  <w:tcBorders>
                    <w:tl2br w:val="nil"/>
                    <w:tr2bl w:val="nil"/>
                  </w:tcBorders>
                  <w:vAlign w:val="center"/>
                </w:tcPr>
                <w:p w14:paraId="1A98F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p>
              </w:tc>
              <w:tc>
                <w:tcPr>
                  <w:tcW w:w="835" w:type="pct"/>
                  <w:tcBorders>
                    <w:tl2br w:val="nil"/>
                    <w:tr2bl w:val="nil"/>
                  </w:tcBorders>
                  <w:vAlign w:val="center"/>
                </w:tcPr>
                <w:p w14:paraId="7C862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0F7A1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12" w:type="pct"/>
                  <w:vMerge w:val="continue"/>
                  <w:tcBorders>
                    <w:tl2br w:val="nil"/>
                    <w:tr2bl w:val="nil"/>
                  </w:tcBorders>
                  <w:vAlign w:val="center"/>
                </w:tcPr>
                <w:p w14:paraId="56250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2" w:type="pct"/>
                  <w:tcBorders>
                    <w:tl2br w:val="nil"/>
                    <w:tr2bl w:val="nil"/>
                  </w:tcBorders>
                  <w:vAlign w:val="center"/>
                </w:tcPr>
                <w:p w14:paraId="6FA70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val="en-US" w:eastAsia="zh-CN"/>
                    </w:rPr>
                    <w:t>硫酸雾</w:t>
                  </w:r>
                </w:p>
              </w:tc>
              <w:tc>
                <w:tcPr>
                  <w:tcW w:w="735" w:type="pct"/>
                  <w:tcBorders>
                    <w:tl2br w:val="nil"/>
                    <w:tr2bl w:val="nil"/>
                  </w:tcBorders>
                  <w:vAlign w:val="center"/>
                </w:tcPr>
                <w:p w14:paraId="082E9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45</w:t>
                  </w:r>
                </w:p>
              </w:tc>
              <w:tc>
                <w:tcPr>
                  <w:tcW w:w="469" w:type="pct"/>
                  <w:tcBorders>
                    <w:tl2br w:val="nil"/>
                    <w:tr2bl w:val="nil"/>
                  </w:tcBorders>
                  <w:vAlign w:val="center"/>
                </w:tcPr>
                <w:p w14:paraId="73E63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15</w:t>
                  </w:r>
                </w:p>
              </w:tc>
              <w:tc>
                <w:tcPr>
                  <w:tcW w:w="637" w:type="pct"/>
                  <w:tcBorders>
                    <w:tl2br w:val="nil"/>
                    <w:tr2bl w:val="nil"/>
                  </w:tcBorders>
                  <w:vAlign w:val="center"/>
                </w:tcPr>
                <w:p w14:paraId="57C63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1.5</w:t>
                  </w:r>
                </w:p>
              </w:tc>
              <w:tc>
                <w:tcPr>
                  <w:tcW w:w="617" w:type="pct"/>
                  <w:vMerge w:val="restart"/>
                  <w:tcBorders>
                    <w:tl2br w:val="nil"/>
                    <w:tr2bl w:val="nil"/>
                  </w:tcBorders>
                  <w:vAlign w:val="center"/>
                </w:tcPr>
                <w:p w14:paraId="43610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周界外浓度最高点</w:t>
                  </w:r>
                </w:p>
              </w:tc>
              <w:tc>
                <w:tcPr>
                  <w:tcW w:w="835" w:type="pct"/>
                  <w:tcBorders>
                    <w:tl2br w:val="nil"/>
                    <w:tr2bl w:val="nil"/>
                  </w:tcBorders>
                  <w:vAlign w:val="center"/>
                </w:tcPr>
                <w:p w14:paraId="62EAE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1.2</w:t>
                  </w:r>
                </w:p>
              </w:tc>
            </w:tr>
            <w:tr w14:paraId="15CBF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pct"/>
                  <w:vMerge w:val="continue"/>
                  <w:tcBorders>
                    <w:tl2br w:val="nil"/>
                    <w:tr2bl w:val="nil"/>
                  </w:tcBorders>
                  <w:vAlign w:val="center"/>
                </w:tcPr>
                <w:p w14:paraId="5706C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2" w:type="pct"/>
                  <w:tcBorders>
                    <w:tl2br w:val="nil"/>
                    <w:tr2bl w:val="nil"/>
                  </w:tcBorders>
                  <w:vAlign w:val="center"/>
                </w:tcPr>
                <w:p w14:paraId="7634F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氯化氢</w:t>
                  </w:r>
                </w:p>
              </w:tc>
              <w:tc>
                <w:tcPr>
                  <w:tcW w:w="735" w:type="pct"/>
                  <w:tcBorders>
                    <w:tl2br w:val="nil"/>
                    <w:tr2bl w:val="nil"/>
                  </w:tcBorders>
                  <w:vAlign w:val="center"/>
                </w:tcPr>
                <w:p w14:paraId="2759B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100</w:t>
                  </w:r>
                </w:p>
              </w:tc>
              <w:tc>
                <w:tcPr>
                  <w:tcW w:w="469" w:type="pct"/>
                  <w:tcBorders>
                    <w:tl2br w:val="nil"/>
                    <w:tr2bl w:val="nil"/>
                  </w:tcBorders>
                  <w:vAlign w:val="center"/>
                </w:tcPr>
                <w:p w14:paraId="6B9C9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15</w:t>
                  </w:r>
                </w:p>
              </w:tc>
              <w:tc>
                <w:tcPr>
                  <w:tcW w:w="637" w:type="pct"/>
                  <w:tcBorders>
                    <w:tl2br w:val="nil"/>
                    <w:tr2bl w:val="nil"/>
                  </w:tcBorders>
                  <w:vAlign w:val="center"/>
                </w:tcPr>
                <w:p w14:paraId="1FDF9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0.26</w:t>
                  </w:r>
                </w:p>
              </w:tc>
              <w:tc>
                <w:tcPr>
                  <w:tcW w:w="617" w:type="pct"/>
                  <w:vMerge w:val="continue"/>
                  <w:tcBorders>
                    <w:tl2br w:val="nil"/>
                    <w:tr2bl w:val="nil"/>
                  </w:tcBorders>
                  <w:vAlign w:val="center"/>
                </w:tcPr>
                <w:p w14:paraId="3340F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rPr>
                  </w:pPr>
                </w:p>
              </w:tc>
              <w:tc>
                <w:tcPr>
                  <w:tcW w:w="835" w:type="pct"/>
                  <w:tcBorders>
                    <w:tl2br w:val="nil"/>
                    <w:tr2bl w:val="nil"/>
                  </w:tcBorders>
                  <w:vAlign w:val="center"/>
                </w:tcPr>
                <w:p w14:paraId="571B4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0.2</w:t>
                  </w:r>
                </w:p>
              </w:tc>
            </w:tr>
          </w:tbl>
          <w:p w14:paraId="2766A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val="0"/>
                <w:color w:val="auto"/>
                <w:szCs w:val="24"/>
                <w:lang w:val="en-US" w:eastAsia="zh-CN"/>
              </w:rPr>
            </w:pPr>
            <w:r>
              <w:rPr>
                <w:rFonts w:hint="eastAsia"/>
                <w:b/>
                <w:bCs w:val="0"/>
                <w:color w:val="auto"/>
                <w:szCs w:val="24"/>
                <w:lang w:val="en-US" w:eastAsia="zh-CN"/>
              </w:rPr>
              <w:t>3.7水污染物排放标准</w:t>
            </w:r>
          </w:p>
          <w:p w14:paraId="5EDEB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Cs/>
                <w:color w:val="auto"/>
                <w:szCs w:val="24"/>
                <w:lang w:val="en-US" w:eastAsia="zh-CN"/>
              </w:rPr>
            </w:pPr>
            <w:r>
              <w:rPr>
                <w:rFonts w:hint="default"/>
                <w:bCs/>
                <w:color w:val="auto"/>
                <w:szCs w:val="24"/>
                <w:lang w:val="en-US" w:eastAsia="zh-CN"/>
              </w:rPr>
              <w:t>本项目</w:t>
            </w:r>
            <w:r>
              <w:rPr>
                <w:rFonts w:hint="eastAsia"/>
                <w:bCs/>
                <w:color w:val="auto"/>
                <w:szCs w:val="24"/>
                <w:lang w:val="en-US" w:eastAsia="zh-CN"/>
              </w:rPr>
              <w:t>产生的</w:t>
            </w:r>
            <w:r>
              <w:rPr>
                <w:rFonts w:hint="default"/>
                <w:bCs/>
                <w:color w:val="auto"/>
                <w:szCs w:val="24"/>
                <w:lang w:val="en-US" w:eastAsia="zh-CN"/>
              </w:rPr>
              <w:t>实验室器皿清洗废水及师生生活废水排入市政污水管网，最后进入</w:t>
            </w:r>
            <w:r>
              <w:rPr>
                <w:rFonts w:hint="eastAsia"/>
                <w:bCs/>
                <w:color w:val="auto"/>
                <w:szCs w:val="24"/>
                <w:lang w:val="en-US" w:eastAsia="zh-CN"/>
              </w:rPr>
              <w:t>长治市屯留县城区</w:t>
            </w:r>
            <w:r>
              <w:rPr>
                <w:rFonts w:hint="default"/>
                <w:bCs/>
                <w:color w:val="auto"/>
                <w:szCs w:val="24"/>
                <w:lang w:val="en-US" w:eastAsia="zh-CN"/>
              </w:rPr>
              <w:t>污水处理厂处理。</w:t>
            </w:r>
          </w:p>
          <w:p w14:paraId="3DF64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auto"/>
                <w:szCs w:val="24"/>
                <w:lang w:val="en-US" w:eastAsia="zh-CN"/>
              </w:rPr>
            </w:pPr>
            <w:r>
              <w:rPr>
                <w:rFonts w:hint="default"/>
                <w:bCs/>
                <w:color w:val="auto"/>
                <w:szCs w:val="24"/>
                <w:lang w:val="en-US" w:eastAsia="zh-CN"/>
              </w:rPr>
              <w:t>废水排放执行《污水排入城镇下水道水质标准》（GB/T31962-2015）中 A 等级排放标准</w:t>
            </w:r>
            <w:r>
              <w:rPr>
                <w:rFonts w:hint="eastAsia"/>
                <w:bCs/>
                <w:color w:val="auto"/>
                <w:szCs w:val="24"/>
                <w:lang w:val="en-US" w:eastAsia="zh-CN"/>
              </w:rPr>
              <w:t>。具体控制值见表3-6。</w:t>
            </w:r>
          </w:p>
          <w:p w14:paraId="334C5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val="0"/>
                <w:color w:val="auto"/>
                <w:sz w:val="21"/>
                <w:szCs w:val="21"/>
                <w:lang w:val="en-US" w:eastAsia="zh-CN"/>
              </w:rPr>
            </w:pPr>
            <w:r>
              <w:rPr>
                <w:rFonts w:hint="eastAsia"/>
                <w:b/>
                <w:bCs w:val="0"/>
                <w:color w:val="auto"/>
                <w:sz w:val="21"/>
                <w:szCs w:val="21"/>
                <w:lang w:val="en-US" w:eastAsia="zh-CN"/>
              </w:rPr>
              <w:t>表3-6 《污水排入城镇下水道水质标准》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879"/>
              <w:gridCol w:w="879"/>
              <w:gridCol w:w="879"/>
              <w:gridCol w:w="879"/>
              <w:gridCol w:w="879"/>
              <w:gridCol w:w="879"/>
              <w:gridCol w:w="885"/>
            </w:tblGrid>
            <w:tr w14:paraId="4FC0A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58" w:type="pct"/>
                  <w:tcBorders>
                    <w:tl2br w:val="nil"/>
                    <w:tr2bl w:val="nil"/>
                  </w:tcBorders>
                  <w:noWrap/>
                  <w:vAlign w:val="center"/>
                </w:tcPr>
                <w:p w14:paraId="3DC0DE0D">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污染物</w:t>
                  </w:r>
                </w:p>
              </w:tc>
              <w:tc>
                <w:tcPr>
                  <w:tcW w:w="519" w:type="pct"/>
                  <w:tcBorders>
                    <w:tl2br w:val="nil"/>
                    <w:tr2bl w:val="nil"/>
                  </w:tcBorders>
                  <w:noWrap/>
                  <w:vAlign w:val="center"/>
                </w:tcPr>
                <w:p w14:paraId="5614EAC6">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napToGrid w:val="0"/>
                      <w:color w:val="auto"/>
                      <w:sz w:val="21"/>
                      <w:szCs w:val="21"/>
                    </w:rPr>
                  </w:pPr>
                  <w:r>
                    <w:rPr>
                      <w:rFonts w:hint="default"/>
                      <w:snapToGrid w:val="0"/>
                      <w:color w:val="auto"/>
                      <w:sz w:val="21"/>
                      <w:szCs w:val="21"/>
                    </w:rPr>
                    <w:t>pH</w:t>
                  </w:r>
                </w:p>
              </w:tc>
              <w:tc>
                <w:tcPr>
                  <w:tcW w:w="519" w:type="pct"/>
                  <w:tcBorders>
                    <w:tl2br w:val="nil"/>
                    <w:tr2bl w:val="nil"/>
                  </w:tcBorders>
                  <w:noWrap/>
                  <w:vAlign w:val="center"/>
                </w:tcPr>
                <w:p w14:paraId="78180D5F">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napToGrid w:val="0"/>
                      <w:color w:val="auto"/>
                      <w:sz w:val="21"/>
                      <w:szCs w:val="21"/>
                    </w:rPr>
                  </w:pPr>
                  <w:r>
                    <w:rPr>
                      <w:rFonts w:hint="eastAsia"/>
                      <w:snapToGrid w:val="0"/>
                      <w:color w:val="auto"/>
                      <w:sz w:val="21"/>
                      <w:szCs w:val="21"/>
                      <w:lang w:val="en-US" w:eastAsia="zh-CN"/>
                    </w:rPr>
                    <w:t>SS</w:t>
                  </w:r>
                </w:p>
              </w:tc>
              <w:tc>
                <w:tcPr>
                  <w:tcW w:w="519" w:type="pct"/>
                  <w:tcBorders>
                    <w:tl2br w:val="nil"/>
                    <w:tr2bl w:val="nil"/>
                  </w:tcBorders>
                  <w:noWrap/>
                  <w:vAlign w:val="center"/>
                </w:tcPr>
                <w:p w14:paraId="2E0C5578">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pacing w:val="-8"/>
                      <w:sz w:val="21"/>
                      <w:szCs w:val="21"/>
                      <w:lang w:val="en-US" w:eastAsia="zh-CN"/>
                    </w:rPr>
                    <w:t>BOD</w:t>
                  </w:r>
                  <w:r>
                    <w:rPr>
                      <w:rFonts w:hint="eastAsia"/>
                      <w:snapToGrid w:val="0"/>
                      <w:color w:val="auto"/>
                      <w:spacing w:val="-8"/>
                      <w:sz w:val="21"/>
                      <w:szCs w:val="21"/>
                      <w:vertAlign w:val="subscript"/>
                      <w:lang w:val="en-US" w:eastAsia="zh-CN"/>
                    </w:rPr>
                    <w:t>5</w:t>
                  </w:r>
                </w:p>
              </w:tc>
              <w:tc>
                <w:tcPr>
                  <w:tcW w:w="519" w:type="pct"/>
                  <w:tcBorders>
                    <w:tl2br w:val="nil"/>
                    <w:tr2bl w:val="nil"/>
                  </w:tcBorders>
                  <w:noWrap/>
                  <w:vAlign w:val="center"/>
                </w:tcPr>
                <w:p w14:paraId="3766EFF2">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pacing w:val="-8"/>
                      <w:sz w:val="21"/>
                      <w:szCs w:val="21"/>
                      <w:lang w:val="en-US" w:eastAsia="zh-CN"/>
                    </w:rPr>
                  </w:pPr>
                  <w:r>
                    <w:rPr>
                      <w:rFonts w:hint="eastAsia"/>
                      <w:snapToGrid w:val="0"/>
                      <w:color w:val="auto"/>
                      <w:spacing w:val="-8"/>
                      <w:sz w:val="21"/>
                      <w:szCs w:val="21"/>
                      <w:lang w:val="en-US" w:eastAsia="zh-CN"/>
                    </w:rPr>
                    <w:t>COD</w:t>
                  </w:r>
                </w:p>
              </w:tc>
              <w:tc>
                <w:tcPr>
                  <w:tcW w:w="519" w:type="pct"/>
                  <w:tcBorders>
                    <w:tl2br w:val="nil"/>
                    <w:tr2bl w:val="nil"/>
                  </w:tcBorders>
                  <w:noWrap/>
                  <w:vAlign w:val="center"/>
                </w:tcPr>
                <w:p w14:paraId="26A900D2">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pacing w:val="-8"/>
                      <w:sz w:val="21"/>
                      <w:szCs w:val="21"/>
                      <w:lang w:val="en-US" w:eastAsia="zh-CN"/>
                    </w:rPr>
                  </w:pPr>
                  <w:r>
                    <w:rPr>
                      <w:rFonts w:hint="eastAsia"/>
                      <w:snapToGrid w:val="0"/>
                      <w:color w:val="auto"/>
                      <w:spacing w:val="-8"/>
                      <w:sz w:val="21"/>
                      <w:szCs w:val="21"/>
                      <w:lang w:val="en-US" w:eastAsia="zh-CN"/>
                    </w:rPr>
                    <w:t>氨氮</w:t>
                  </w:r>
                </w:p>
              </w:tc>
              <w:tc>
                <w:tcPr>
                  <w:tcW w:w="519" w:type="pct"/>
                  <w:tcBorders>
                    <w:tl2br w:val="nil"/>
                    <w:tr2bl w:val="nil"/>
                  </w:tcBorders>
                  <w:noWrap/>
                  <w:vAlign w:val="center"/>
                </w:tcPr>
                <w:p w14:paraId="644CCAF1">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napToGrid w:val="0"/>
                      <w:color w:val="auto"/>
                      <w:sz w:val="21"/>
                      <w:szCs w:val="21"/>
                      <w:lang w:eastAsia="zh-CN"/>
                    </w:rPr>
                  </w:pPr>
                  <w:r>
                    <w:rPr>
                      <w:rFonts w:hint="eastAsia"/>
                      <w:snapToGrid w:val="0"/>
                      <w:color w:val="auto"/>
                      <w:sz w:val="21"/>
                      <w:szCs w:val="21"/>
                      <w:lang w:val="en-US" w:eastAsia="zh-CN"/>
                    </w:rPr>
                    <w:t>总氮</w:t>
                  </w:r>
                </w:p>
              </w:tc>
              <w:tc>
                <w:tcPr>
                  <w:tcW w:w="523" w:type="pct"/>
                  <w:tcBorders>
                    <w:tl2br w:val="nil"/>
                    <w:tr2bl w:val="nil"/>
                  </w:tcBorders>
                  <w:noWrap/>
                  <w:vAlign w:val="center"/>
                </w:tcPr>
                <w:p w14:paraId="489C87E1">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总磷</w:t>
                  </w:r>
                </w:p>
              </w:tc>
            </w:tr>
            <w:tr w14:paraId="53609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358" w:type="pct"/>
                  <w:tcBorders>
                    <w:tl2br w:val="nil"/>
                    <w:tr2bl w:val="nil"/>
                  </w:tcBorders>
                  <w:noWrap/>
                  <w:vAlign w:val="center"/>
                </w:tcPr>
                <w:p w14:paraId="5A82D588">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《污水排入城镇下水道水质标准》（GB/T31962-2015）</w:t>
                  </w:r>
                </w:p>
              </w:tc>
              <w:tc>
                <w:tcPr>
                  <w:tcW w:w="519" w:type="pct"/>
                  <w:tcBorders>
                    <w:tl2br w:val="nil"/>
                    <w:tr2bl w:val="nil"/>
                  </w:tcBorders>
                  <w:noWrap/>
                  <w:vAlign w:val="center"/>
                </w:tcPr>
                <w:p w14:paraId="28581FDB">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6.5~9.5</w:t>
                  </w:r>
                </w:p>
              </w:tc>
              <w:tc>
                <w:tcPr>
                  <w:tcW w:w="519" w:type="pct"/>
                  <w:tcBorders>
                    <w:tl2br w:val="nil"/>
                    <w:tr2bl w:val="nil"/>
                  </w:tcBorders>
                  <w:noWrap/>
                  <w:vAlign w:val="center"/>
                </w:tcPr>
                <w:p w14:paraId="5275146A">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400</w:t>
                  </w:r>
                </w:p>
              </w:tc>
              <w:tc>
                <w:tcPr>
                  <w:tcW w:w="519" w:type="pct"/>
                  <w:tcBorders>
                    <w:tl2br w:val="nil"/>
                    <w:tr2bl w:val="nil"/>
                  </w:tcBorders>
                  <w:noWrap/>
                  <w:vAlign w:val="center"/>
                </w:tcPr>
                <w:p w14:paraId="2A327E2A">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350</w:t>
                  </w:r>
                </w:p>
              </w:tc>
              <w:tc>
                <w:tcPr>
                  <w:tcW w:w="519" w:type="pct"/>
                  <w:tcBorders>
                    <w:tl2br w:val="nil"/>
                    <w:tr2bl w:val="nil"/>
                  </w:tcBorders>
                  <w:noWrap/>
                  <w:vAlign w:val="center"/>
                </w:tcPr>
                <w:p w14:paraId="4C2AB83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500</w:t>
                  </w:r>
                </w:p>
              </w:tc>
              <w:tc>
                <w:tcPr>
                  <w:tcW w:w="519" w:type="pct"/>
                  <w:tcBorders>
                    <w:tl2br w:val="nil"/>
                    <w:tr2bl w:val="nil"/>
                  </w:tcBorders>
                  <w:noWrap/>
                  <w:vAlign w:val="center"/>
                </w:tcPr>
                <w:p w14:paraId="55500224">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45</w:t>
                  </w:r>
                </w:p>
              </w:tc>
              <w:tc>
                <w:tcPr>
                  <w:tcW w:w="519" w:type="pct"/>
                  <w:tcBorders>
                    <w:tl2br w:val="nil"/>
                    <w:tr2bl w:val="nil"/>
                  </w:tcBorders>
                  <w:noWrap/>
                  <w:vAlign w:val="center"/>
                </w:tcPr>
                <w:p w14:paraId="5F4CA0BA">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70</w:t>
                  </w:r>
                </w:p>
              </w:tc>
              <w:tc>
                <w:tcPr>
                  <w:tcW w:w="523" w:type="pct"/>
                  <w:tcBorders>
                    <w:tl2br w:val="nil"/>
                    <w:tr2bl w:val="nil"/>
                  </w:tcBorders>
                  <w:noWrap/>
                  <w:vAlign w:val="center"/>
                </w:tcPr>
                <w:p w14:paraId="74EF6826">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8</w:t>
                  </w:r>
                </w:p>
              </w:tc>
            </w:tr>
          </w:tbl>
          <w:p w14:paraId="59AAD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val="0"/>
                <w:color w:val="auto"/>
                <w:szCs w:val="24"/>
                <w:lang w:val="en-US" w:eastAsia="zh-CN"/>
              </w:rPr>
            </w:pPr>
            <w:r>
              <w:rPr>
                <w:rFonts w:hint="eastAsia"/>
                <w:b/>
                <w:bCs w:val="0"/>
                <w:color w:val="auto"/>
                <w:szCs w:val="24"/>
                <w:lang w:val="en-US" w:eastAsia="zh-CN"/>
              </w:rPr>
              <w:t>3.8噪声排放标准</w:t>
            </w:r>
          </w:p>
          <w:p w14:paraId="6FF59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auto"/>
                <w:szCs w:val="24"/>
                <w:lang w:val="en-US" w:eastAsia="zh-CN"/>
              </w:rPr>
            </w:pPr>
            <w:r>
              <w:rPr>
                <w:rFonts w:hint="default"/>
                <w:bCs/>
                <w:color w:val="auto"/>
                <w:szCs w:val="24"/>
                <w:lang w:val="en-US" w:eastAsia="zh-CN"/>
              </w:rPr>
              <w:t>施工期噪声执行《建筑施工场界环境噪声排放标准》（GB12523-2011）表 1 规定的排放限值</w:t>
            </w:r>
            <w:r>
              <w:rPr>
                <w:rFonts w:hint="eastAsia"/>
                <w:bCs/>
                <w:color w:val="auto"/>
                <w:szCs w:val="24"/>
                <w:lang w:val="en-US" w:eastAsia="zh-CN"/>
              </w:rPr>
              <w:t>，昼间70dB(A)、夜间55dB(A)。</w:t>
            </w:r>
          </w:p>
          <w:p w14:paraId="5654B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Cs/>
                <w:color w:val="auto"/>
                <w:szCs w:val="24"/>
                <w:highlight w:val="none"/>
                <w:lang w:val="en-US" w:eastAsia="zh-CN"/>
              </w:rPr>
            </w:pPr>
            <w:r>
              <w:rPr>
                <w:rFonts w:hint="eastAsia"/>
                <w:bCs/>
                <w:color w:val="auto"/>
                <w:szCs w:val="24"/>
                <w:lang w:val="en-US" w:eastAsia="zh-CN"/>
              </w:rPr>
              <w:t>根据长治市人民政府办公室关于印发长治市城市区域声环境功能区划分方案的通知（长政办函〔2022〕23号），本项目所在位置属于声环境功能1类区，营运期北边界噪声执行《工业企业厂界环境噪声排放标准》（GB12348-2008）4类标准，其余边界噪声执行《工业企业厂界环境噪声排放标准》（GB12348-2008）1 类标准。具体噪声排放标准见下表。屯留区声环境功能区划结果</w:t>
            </w:r>
            <w:r>
              <w:rPr>
                <w:rFonts w:hint="eastAsia"/>
                <w:bCs/>
                <w:color w:val="auto"/>
                <w:szCs w:val="24"/>
                <w:highlight w:val="none"/>
                <w:lang w:val="en-US" w:eastAsia="zh-CN"/>
              </w:rPr>
              <w:t>见附图7。</w:t>
            </w:r>
          </w:p>
          <w:p w14:paraId="18E5C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val="0"/>
                <w:color w:val="auto"/>
                <w:sz w:val="21"/>
                <w:szCs w:val="21"/>
                <w:lang w:val="en-US" w:eastAsia="zh-CN"/>
              </w:rPr>
            </w:pPr>
            <w:r>
              <w:rPr>
                <w:rFonts w:hint="eastAsia"/>
                <w:b/>
                <w:bCs w:val="0"/>
                <w:color w:val="auto"/>
                <w:sz w:val="21"/>
                <w:szCs w:val="21"/>
                <w:lang w:val="en-US" w:eastAsia="zh-CN"/>
              </w:rPr>
              <w:t>表3-7 《工业企业厂界环境噪声排放标准》  单位：dB（A）</w:t>
            </w:r>
          </w:p>
          <w:tbl>
            <w:tblPr>
              <w:tblStyle w:val="25"/>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28"/>
              <w:gridCol w:w="2829"/>
              <w:gridCol w:w="2829"/>
            </w:tblGrid>
            <w:tr w14:paraId="0EE7F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8" w:type="dxa"/>
                  <w:tcBorders>
                    <w:tl2br w:val="nil"/>
                    <w:tr2bl w:val="nil"/>
                  </w:tcBorders>
                  <w:vAlign w:val="center"/>
                </w:tcPr>
                <w:p w14:paraId="203F4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类别</w:t>
                  </w:r>
                </w:p>
              </w:tc>
              <w:tc>
                <w:tcPr>
                  <w:tcW w:w="2829" w:type="dxa"/>
                  <w:tcBorders>
                    <w:tl2br w:val="nil"/>
                    <w:tr2bl w:val="nil"/>
                  </w:tcBorders>
                  <w:vAlign w:val="center"/>
                </w:tcPr>
                <w:p w14:paraId="2120B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昼间</w:t>
                  </w:r>
                </w:p>
              </w:tc>
              <w:tc>
                <w:tcPr>
                  <w:tcW w:w="2829" w:type="dxa"/>
                  <w:tcBorders>
                    <w:tl2br w:val="nil"/>
                    <w:tr2bl w:val="nil"/>
                  </w:tcBorders>
                  <w:vAlign w:val="center"/>
                </w:tcPr>
                <w:p w14:paraId="5E119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夜间</w:t>
                  </w:r>
                </w:p>
              </w:tc>
            </w:tr>
            <w:tr w14:paraId="60F6A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8" w:type="dxa"/>
                  <w:tcBorders>
                    <w:tl2br w:val="nil"/>
                    <w:tr2bl w:val="nil"/>
                  </w:tcBorders>
                  <w:vAlign w:val="center"/>
                </w:tcPr>
                <w:p w14:paraId="305DF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1类标准</w:t>
                  </w:r>
                </w:p>
              </w:tc>
              <w:tc>
                <w:tcPr>
                  <w:tcW w:w="2829" w:type="dxa"/>
                  <w:tcBorders>
                    <w:tl2br w:val="nil"/>
                    <w:tr2bl w:val="nil"/>
                  </w:tcBorders>
                  <w:vAlign w:val="center"/>
                </w:tcPr>
                <w:p w14:paraId="74050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55</w:t>
                  </w:r>
                </w:p>
              </w:tc>
              <w:tc>
                <w:tcPr>
                  <w:tcW w:w="2829" w:type="dxa"/>
                  <w:tcBorders>
                    <w:tl2br w:val="nil"/>
                    <w:tr2bl w:val="nil"/>
                  </w:tcBorders>
                  <w:vAlign w:val="center"/>
                </w:tcPr>
                <w:p w14:paraId="6D296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45</w:t>
                  </w:r>
                </w:p>
              </w:tc>
            </w:tr>
            <w:tr w14:paraId="127AA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8" w:type="dxa"/>
                  <w:tcBorders>
                    <w:tl2br w:val="nil"/>
                    <w:tr2bl w:val="nil"/>
                  </w:tcBorders>
                  <w:vAlign w:val="center"/>
                </w:tcPr>
                <w:p w14:paraId="78DE3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4类标准</w:t>
                  </w:r>
                </w:p>
              </w:tc>
              <w:tc>
                <w:tcPr>
                  <w:tcW w:w="2829" w:type="dxa"/>
                  <w:tcBorders>
                    <w:tl2br w:val="nil"/>
                    <w:tr2bl w:val="nil"/>
                  </w:tcBorders>
                  <w:vAlign w:val="center"/>
                </w:tcPr>
                <w:p w14:paraId="33329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70</w:t>
                  </w:r>
                </w:p>
              </w:tc>
              <w:tc>
                <w:tcPr>
                  <w:tcW w:w="2829" w:type="dxa"/>
                  <w:tcBorders>
                    <w:tl2br w:val="nil"/>
                    <w:tr2bl w:val="nil"/>
                  </w:tcBorders>
                  <w:vAlign w:val="center"/>
                </w:tcPr>
                <w:p w14:paraId="4AF47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55</w:t>
                  </w:r>
                </w:p>
              </w:tc>
            </w:tr>
          </w:tbl>
          <w:p w14:paraId="18CD2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val="0"/>
                <w:color w:val="auto"/>
                <w:szCs w:val="24"/>
                <w:lang w:val="en-US" w:eastAsia="zh-CN"/>
              </w:rPr>
            </w:pPr>
            <w:r>
              <w:rPr>
                <w:rFonts w:hint="eastAsia"/>
                <w:b/>
                <w:bCs w:val="0"/>
                <w:color w:val="auto"/>
                <w:szCs w:val="24"/>
                <w:lang w:val="en-US" w:eastAsia="zh-CN"/>
              </w:rPr>
              <w:t>3.9固体废物排放标准</w:t>
            </w:r>
          </w:p>
          <w:p w14:paraId="66BE1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Cs/>
                <w:color w:val="auto"/>
                <w:szCs w:val="24"/>
                <w:lang w:val="en-US" w:eastAsia="zh-CN"/>
              </w:rPr>
            </w:pPr>
            <w:r>
              <w:rPr>
                <w:rFonts w:hint="default"/>
                <w:bCs/>
                <w:color w:val="auto"/>
                <w:szCs w:val="24"/>
                <w:lang w:val="en-US" w:eastAsia="zh-CN"/>
              </w:rPr>
              <w:t>一般固体废物执行《一般工业固体废物贮存和填埋污染控制标准》（GB18599-2020）</w:t>
            </w:r>
            <w:r>
              <w:rPr>
                <w:rFonts w:hint="eastAsia"/>
                <w:bCs/>
                <w:color w:val="auto"/>
                <w:szCs w:val="24"/>
                <w:lang w:val="en-US" w:eastAsia="zh-CN"/>
              </w:rPr>
              <w:t>，采用库房、包装工具（罐、桶、包装袋等）贮存一般工业固体废物的，其贮存过程应满足防渗漏、防雨淋、防扬尘等环境保护要求</w:t>
            </w:r>
            <w:r>
              <w:rPr>
                <w:rFonts w:hint="default"/>
                <w:bCs/>
                <w:color w:val="auto"/>
                <w:szCs w:val="24"/>
                <w:lang w:val="en-US" w:eastAsia="zh-CN"/>
              </w:rPr>
              <w:t>；</w:t>
            </w:r>
          </w:p>
          <w:p w14:paraId="7332D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Cs/>
                <w:color w:val="auto"/>
                <w:szCs w:val="24"/>
                <w:lang w:val="en-US" w:eastAsia="zh-CN"/>
              </w:rPr>
            </w:pPr>
            <w:r>
              <w:rPr>
                <w:rFonts w:hint="default"/>
                <w:bCs/>
                <w:color w:val="auto"/>
                <w:szCs w:val="24"/>
                <w:lang w:val="en-US" w:eastAsia="zh-CN"/>
              </w:rPr>
              <w:t>危险废物执行《危险废物贮存污染控制标准》（GB18597-2023）。</w:t>
            </w:r>
          </w:p>
          <w:p w14:paraId="63D37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Cs/>
                <w:color w:val="auto"/>
                <w:szCs w:val="24"/>
                <w:lang w:val="en-US" w:eastAsia="zh-CN"/>
              </w:rPr>
            </w:pPr>
          </w:p>
          <w:p w14:paraId="412026BD">
            <w:pPr>
              <w:keepNext w:val="0"/>
              <w:keepLines w:val="0"/>
              <w:suppressLineNumbers w:val="0"/>
              <w:adjustRightInd w:val="0"/>
              <w:snapToGrid w:val="0"/>
              <w:spacing w:before="0" w:beforeAutospacing="0" w:after="0" w:afterAutospacing="0" w:line="360" w:lineRule="auto"/>
              <w:ind w:left="0" w:right="0"/>
              <w:rPr>
                <w:rFonts w:hint="default"/>
                <w:bCs/>
                <w:color w:val="auto"/>
                <w:szCs w:val="24"/>
                <w:lang w:val="en-US" w:eastAsia="zh-CN"/>
              </w:rPr>
            </w:pPr>
          </w:p>
        </w:tc>
      </w:tr>
      <w:tr w14:paraId="7E706B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96" w:hRule="atLeast"/>
          <w:jc w:val="center"/>
        </w:trPr>
        <w:tc>
          <w:tcPr>
            <w:tcW w:w="256" w:type="pct"/>
            <w:tcBorders>
              <w:tl2br w:val="nil"/>
              <w:tr2bl w:val="nil"/>
            </w:tcBorders>
            <w:vAlign w:val="center"/>
          </w:tcPr>
          <w:p w14:paraId="22F67CF1">
            <w:pPr>
              <w:keepNext w:val="0"/>
              <w:keepLines w:val="0"/>
              <w:suppressLineNumbers w:val="0"/>
              <w:adjustRightInd w:val="0"/>
              <w:snapToGrid w:val="0"/>
              <w:spacing w:before="0" w:beforeAutospacing="0" w:after="0" w:afterAutospacing="0"/>
              <w:ind w:left="0" w:right="0"/>
              <w:jc w:val="center"/>
              <w:rPr>
                <w:rFonts w:hint="eastAsia" w:ascii="宋体" w:hAnsi="宋体"/>
                <w:color w:val="auto"/>
                <w:kern w:val="0"/>
              </w:rPr>
            </w:pPr>
            <w:r>
              <w:rPr>
                <w:rFonts w:hint="eastAsia" w:ascii="宋体" w:hAnsi="宋体"/>
                <w:color w:val="auto"/>
                <w:kern w:val="0"/>
              </w:rPr>
              <w:t>总量控制标准</w:t>
            </w:r>
          </w:p>
        </w:tc>
        <w:tc>
          <w:tcPr>
            <w:tcW w:w="4743" w:type="pct"/>
            <w:tcBorders>
              <w:tl2br w:val="nil"/>
              <w:tr2bl w:val="nil"/>
            </w:tcBorders>
          </w:tcPr>
          <w:p w14:paraId="79266F94">
            <w:pPr>
              <w:keepNext w:val="0"/>
              <w:keepLines w:val="0"/>
              <w:suppressLineNumbers w:val="0"/>
              <w:spacing w:before="0" w:beforeAutospacing="0" w:after="0" w:afterAutospacing="0"/>
              <w:ind w:left="0" w:right="0" w:firstLine="480" w:firstLineChars="200"/>
              <w:rPr>
                <w:rFonts w:hint="default"/>
                <w:bCs/>
                <w:color w:val="auto"/>
                <w:szCs w:val="24"/>
              </w:rPr>
            </w:pPr>
            <w:r>
              <w:rPr>
                <w:rFonts w:hint="default"/>
                <w:bCs/>
                <w:color w:val="auto"/>
                <w:szCs w:val="24"/>
              </w:rPr>
              <w:t>根据山西省环境保护厅关于印发《建设项目主要污染物排放总量指标核定暂行办法》的通知（晋环发〔2023〕1号），建设项目属于第一章第三条的规定“固定污染源排污许可分类管理名录行业范围的建设项目新增主要污染物排放总量指标的”，依照第二章第六、第七条规定，取得相应主要污染物排放总量核定部门的总量指标。</w:t>
            </w:r>
          </w:p>
          <w:p w14:paraId="77006C7A">
            <w:pPr>
              <w:keepNext w:val="0"/>
              <w:keepLines w:val="0"/>
              <w:suppressLineNumbers w:val="0"/>
              <w:spacing w:before="0" w:beforeAutospacing="0" w:after="0" w:afterAutospacing="0"/>
              <w:ind w:left="0" w:right="0" w:firstLine="480" w:firstLineChars="200"/>
              <w:rPr>
                <w:rFonts w:hint="default"/>
                <w:bCs/>
                <w:color w:val="auto"/>
                <w:szCs w:val="24"/>
              </w:rPr>
            </w:pPr>
            <w:r>
              <w:rPr>
                <w:rFonts w:hint="default"/>
                <w:bCs/>
                <w:color w:val="auto"/>
                <w:szCs w:val="24"/>
              </w:rPr>
              <w:t>本项目属于“五十、社会事业与服务业-110 学校、福利院、养老院”，不在固定污染源排污许可分类管理名录行业范围内，无需核定总量指标。</w:t>
            </w:r>
          </w:p>
          <w:p w14:paraId="4D02852D">
            <w:pPr>
              <w:keepNext w:val="0"/>
              <w:keepLines w:val="0"/>
              <w:suppressLineNumbers w:val="0"/>
              <w:spacing w:before="0" w:beforeAutospacing="0" w:after="0" w:afterAutospacing="0"/>
              <w:ind w:left="0" w:right="0" w:firstLine="480" w:firstLineChars="200"/>
              <w:rPr>
                <w:rFonts w:hint="default"/>
                <w:bCs/>
                <w:color w:val="auto"/>
                <w:szCs w:val="24"/>
              </w:rPr>
            </w:pPr>
          </w:p>
          <w:p w14:paraId="2C511083">
            <w:pPr>
              <w:keepNext w:val="0"/>
              <w:keepLines w:val="0"/>
              <w:suppressLineNumbers w:val="0"/>
              <w:spacing w:before="0" w:beforeAutospacing="0" w:after="0" w:afterAutospacing="0"/>
              <w:ind w:left="0" w:right="0" w:firstLine="480" w:firstLineChars="200"/>
              <w:rPr>
                <w:rFonts w:hint="default"/>
                <w:bCs/>
                <w:color w:val="auto"/>
                <w:szCs w:val="24"/>
              </w:rPr>
            </w:pPr>
          </w:p>
          <w:p w14:paraId="11450FD7">
            <w:pPr>
              <w:keepNext w:val="0"/>
              <w:keepLines w:val="0"/>
              <w:suppressLineNumbers w:val="0"/>
              <w:spacing w:before="0" w:beforeAutospacing="0" w:after="0" w:afterAutospacing="0"/>
              <w:ind w:left="0" w:right="0" w:firstLine="480" w:firstLineChars="200"/>
              <w:rPr>
                <w:rFonts w:hint="default"/>
                <w:bCs/>
                <w:color w:val="auto"/>
                <w:szCs w:val="24"/>
              </w:rPr>
            </w:pPr>
          </w:p>
          <w:p w14:paraId="5101A159">
            <w:pPr>
              <w:keepNext w:val="0"/>
              <w:keepLines w:val="0"/>
              <w:suppressLineNumbers w:val="0"/>
              <w:spacing w:before="0" w:beforeAutospacing="0" w:after="0" w:afterAutospacing="0"/>
              <w:ind w:left="0" w:right="0" w:firstLine="480" w:firstLineChars="200"/>
              <w:rPr>
                <w:rFonts w:hint="default"/>
                <w:bCs/>
                <w:color w:val="auto"/>
                <w:szCs w:val="24"/>
              </w:rPr>
            </w:pPr>
            <w:bookmarkStart w:id="15" w:name="_GoBack"/>
            <w:bookmarkEnd w:id="15"/>
          </w:p>
          <w:p w14:paraId="5288BF6B">
            <w:pPr>
              <w:keepNext w:val="0"/>
              <w:keepLines w:val="0"/>
              <w:suppressLineNumbers w:val="0"/>
              <w:spacing w:before="0" w:beforeAutospacing="0" w:after="0" w:afterAutospacing="0"/>
              <w:ind w:left="0" w:right="0"/>
              <w:rPr>
                <w:rFonts w:hint="default"/>
                <w:bCs/>
                <w:color w:val="auto"/>
                <w:szCs w:val="24"/>
              </w:rPr>
            </w:pPr>
          </w:p>
        </w:tc>
      </w:tr>
    </w:tbl>
    <w:p w14:paraId="2FCC5CC9">
      <w:pPr>
        <w:rPr>
          <w:color w:val="auto"/>
        </w:rPr>
        <w:sectPr>
          <w:pgSz w:w="11906" w:h="16838"/>
          <w:pgMar w:top="1418" w:right="1474" w:bottom="1418" w:left="1474" w:header="851" w:footer="992" w:gutter="0"/>
          <w:pgBorders>
            <w:top w:val="none" w:sz="0" w:space="0"/>
            <w:left w:val="none" w:sz="0" w:space="0"/>
            <w:bottom w:val="none" w:sz="0" w:space="0"/>
            <w:right w:val="none" w:sz="0" w:space="0"/>
          </w:pgBorders>
          <w:cols w:space="425" w:num="1"/>
          <w:docGrid w:type="lines" w:linePitch="326" w:charSpace="0"/>
        </w:sectPr>
      </w:pPr>
    </w:p>
    <w:p w14:paraId="46E785D1">
      <w:pPr>
        <w:pStyle w:val="2"/>
        <w:numPr>
          <w:ilvl w:val="0"/>
          <w:numId w:val="9"/>
        </w:numPr>
        <w:spacing w:line="240" w:lineRule="auto"/>
        <w:jc w:val="center"/>
        <w:rPr>
          <w:rFonts w:hint="eastAsia" w:ascii="黑体" w:hAnsi="黑体" w:eastAsia="黑体" w:cs="黑体"/>
          <w:snapToGrid w:val="0"/>
          <w:color w:val="auto"/>
          <w:szCs w:val="30"/>
        </w:rPr>
      </w:pPr>
      <w:bookmarkStart w:id="6" w:name="_Toc3409"/>
      <w:bookmarkStart w:id="7" w:name="_Hlk145430036"/>
      <w:r>
        <w:rPr>
          <w:rFonts w:hint="eastAsia" w:ascii="黑体" w:hAnsi="黑体" w:eastAsia="黑体" w:cs="黑体"/>
          <w:snapToGrid w:val="0"/>
          <w:color w:val="auto"/>
          <w:szCs w:val="30"/>
        </w:rPr>
        <w:t>主要环境影响和保护措施</w:t>
      </w:r>
      <w:bookmarkEnd w:id="6"/>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714"/>
      </w:tblGrid>
      <w:tr w14:paraId="50CC68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21" w:hRule="atLeast"/>
          <w:jc w:val="center"/>
        </w:trPr>
        <w:tc>
          <w:tcPr>
            <w:tcW w:w="248" w:type="pct"/>
            <w:tcBorders>
              <w:tl2br w:val="nil"/>
              <w:tr2bl w:val="nil"/>
            </w:tcBorders>
            <w:vAlign w:val="center"/>
          </w:tcPr>
          <w:p w14:paraId="3808EBFB">
            <w:pPr>
              <w:keepNext w:val="0"/>
              <w:keepLines w:val="0"/>
              <w:suppressLineNumbers w:val="0"/>
              <w:spacing w:before="0" w:beforeAutospacing="0" w:after="0" w:afterAutospacing="0"/>
              <w:ind w:left="0" w:right="0"/>
              <w:rPr>
                <w:rFonts w:hint="default"/>
                <w:color w:val="auto"/>
              </w:rPr>
            </w:pPr>
            <w:r>
              <w:rPr>
                <w:rFonts w:hint="eastAsia"/>
                <w:color w:val="auto"/>
              </w:rPr>
              <w:t>施工期环境保护措施</w:t>
            </w:r>
          </w:p>
        </w:tc>
        <w:tc>
          <w:tcPr>
            <w:tcW w:w="4751" w:type="pct"/>
            <w:tcBorders>
              <w:tl2br w:val="nil"/>
              <w:tr2bl w:val="nil"/>
            </w:tcBorders>
          </w:tcPr>
          <w:p w14:paraId="1FB18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lang w:val="en-US" w:eastAsia="zh-CN"/>
              </w:rPr>
            </w:pPr>
            <w:r>
              <w:rPr>
                <w:rFonts w:hint="eastAsia"/>
                <w:b/>
                <w:bCs/>
                <w:color w:val="auto"/>
                <w:lang w:val="en-US" w:eastAsia="zh-CN"/>
              </w:rPr>
              <w:t>4.1施工期大气环境污染防治措施</w:t>
            </w:r>
          </w:p>
          <w:p w14:paraId="6D149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施工期大气环境影响主要为施工扬尘、施工机械及运输车辆尾气、装修阶段产生的油漆废气及装修材料废气。</w:t>
            </w:r>
          </w:p>
          <w:p w14:paraId="5BF01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lang w:val="en-US" w:eastAsia="zh-CN"/>
              </w:rPr>
            </w:pPr>
            <w:r>
              <w:rPr>
                <w:rFonts w:hint="eastAsia"/>
                <w:b/>
                <w:bCs/>
                <w:color w:val="auto"/>
                <w:lang w:val="en-US" w:eastAsia="zh-CN"/>
              </w:rPr>
              <w:t>（1）施工扬尘</w:t>
            </w:r>
          </w:p>
          <w:p w14:paraId="00793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本项目施工过程中，为了最大限度的减小对附近居民造成的影响，对于施工期扬尘，施工期污染防治措施按照长治市人民政府关于印发长治市落实《空气质量持续改善行动计划》实施方案的通知（长政发【2024】4 号）等相关规定控制施工扬尘，加强施工期扬尘污染治理，以减轻对大气环境的影响。具体要求如下：</w:t>
            </w:r>
          </w:p>
          <w:p w14:paraId="3B2BA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①工地沙土全部使用抑尘网覆盖，实现工地沙土100%覆盖；</w:t>
            </w:r>
          </w:p>
          <w:p w14:paraId="3509D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②施工场地内定期洒水，采用吸尘或水冲洗的方法清洁施工场地道路积尘，保证施工地面湿润，扬尘严重时应加大洒水频率，进一步减少施工过程中的扬尘污染，保证土方施工100%湿法作业；</w:t>
            </w:r>
          </w:p>
          <w:p w14:paraId="28900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③施工过程中产生的建筑垃圾在施工期间应当及时清运，并按照当地政府市容环境卫生主管部门的规定处置，防止污染环境，施工场地四周设有围墙遮挡，可实现施工营地 100%围挡；</w:t>
            </w:r>
          </w:p>
          <w:p w14:paraId="53666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④进出场道路全部进行压实硬化，保证工地路面100%硬化；</w:t>
            </w:r>
          </w:p>
          <w:p w14:paraId="2BDDB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5 \* GB3 \* MERGEFORMAT </w:instrText>
            </w:r>
            <w:r>
              <w:rPr>
                <w:rFonts w:hint="eastAsia"/>
                <w:color w:val="auto"/>
                <w:lang w:val="en-US" w:eastAsia="zh-CN"/>
              </w:rPr>
              <w:fldChar w:fldCharType="separate"/>
            </w:r>
            <w:r>
              <w:rPr>
                <w:rFonts w:hint="default"/>
                <w:color w:val="auto"/>
              </w:rPr>
              <w:t>⑤</w:t>
            </w:r>
            <w:r>
              <w:rPr>
                <w:rFonts w:hint="eastAsia"/>
                <w:color w:val="auto"/>
                <w:lang w:val="en-US" w:eastAsia="zh-CN"/>
              </w:rPr>
              <w:fldChar w:fldCharType="end"/>
            </w:r>
            <w:r>
              <w:rPr>
                <w:rFonts w:hint="eastAsia"/>
                <w:color w:val="auto"/>
                <w:lang w:val="en-US" w:eastAsia="zh-CN"/>
              </w:rPr>
              <w:t>施工中应事先划定施工区范围界限，并设置施工区隔离措施，以减小施工及土方堆存扬尘影响，控制施工区范围、减小占地。同时，施工单位必须做好施工计划，土方开挖、管线敷设、土方回填工作必须分路段连续实施，缩短影响时间，避免出现管道沟渠土方、地基裸土等长时间堆积的现象。</w:t>
            </w:r>
          </w:p>
          <w:p w14:paraId="4B5B3C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b/>
                <w:bCs/>
                <w:color w:val="auto"/>
                <w:lang w:val="en-US" w:eastAsia="zh-CN"/>
              </w:rPr>
            </w:pPr>
            <w:r>
              <w:rPr>
                <w:rFonts w:hint="eastAsia"/>
                <w:b/>
                <w:bCs/>
                <w:color w:val="auto"/>
                <w:lang w:val="en-US" w:eastAsia="zh-CN"/>
              </w:rPr>
              <w:t>（2）运输扬尘措施</w:t>
            </w:r>
          </w:p>
          <w:p w14:paraId="35284F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①在施工场地出入口处设置车辆冲洗平台，对车辆车轮、车身、车槽帮等进行清理或清洗，以保证出工地车辆100%冲洗；</w:t>
            </w:r>
          </w:p>
          <w:p w14:paraId="4220EA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strike w:val="0"/>
                <w:dstrike/>
                <w:color w:val="auto"/>
                <w:sz w:val="24"/>
                <w:lang w:val="en-US" w:eastAsia="zh-CN"/>
              </w:rPr>
            </w:pPr>
            <w:r>
              <w:rPr>
                <w:rFonts w:hint="default"/>
                <w:color w:val="auto"/>
                <w:lang w:val="en-US" w:eastAsia="zh-CN"/>
              </w:rPr>
              <w:t>②进出工地的物料、渣土、垃圾运输车辆，装载的物料、垃圾、渣土高度不得超过车辆槽帮上沿，车斗用苫布遮盖或者采用密闭车斗，实现渣土车辆 100%密闭运输</w:t>
            </w:r>
            <w:r>
              <w:rPr>
                <w:rFonts w:hint="eastAsia"/>
                <w:color w:val="auto"/>
                <w:lang w:val="en-US" w:eastAsia="zh-CN"/>
              </w:rPr>
              <w:t>。</w:t>
            </w:r>
          </w:p>
          <w:p w14:paraId="333B62B0">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b/>
                <w:bCs/>
                <w:color w:val="auto"/>
                <w:lang w:val="en-US" w:eastAsia="zh-CN"/>
              </w:rPr>
            </w:pPr>
            <w:r>
              <w:rPr>
                <w:rFonts w:hint="eastAsia"/>
                <w:b/>
                <w:bCs/>
                <w:color w:val="auto"/>
                <w:lang w:val="en-US" w:eastAsia="zh-CN"/>
              </w:rPr>
              <w:t>施工机械尾气</w:t>
            </w:r>
          </w:p>
          <w:p w14:paraId="625FEE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施工机械和汽车运输时所排放的尾气，主要有CO、NOx、THC等大气污染物，会对作业点周围和运输路线两侧局部范围产生一定影响，但影响范围主要局限于施工区内。预计工程施工作业时对局地区域环境空气影响范围仅限于下风向20-30m范围内，不过这种影响时间短，并随施工的完成而消失。其余地区环境空气质量将维持现有水平，所以施工机械尾气对环境空气影响小。施工车辆必须定期维修保养，施工车辆应达到相关的汽车废气排放标准，采用国</w:t>
            </w:r>
            <w:r>
              <w:rPr>
                <w:rFonts w:hint="eastAsia"/>
                <w:color w:val="auto"/>
                <w:lang w:val="en-US" w:eastAsia="zh-CN"/>
              </w:rPr>
              <w:t>四</w:t>
            </w:r>
            <w:r>
              <w:rPr>
                <w:rFonts w:hint="default"/>
                <w:color w:val="auto"/>
                <w:lang w:val="en-US" w:eastAsia="zh-CN"/>
              </w:rPr>
              <w:t>及以上并有登记编码的非道路移动机械进行施工作业，施工机械亦应达到相关的排放标准。采取以上措施后，可有效控制施工扬尘及机械尾气，使其对周围环境的影响较小</w:t>
            </w:r>
            <w:r>
              <w:rPr>
                <w:rFonts w:hint="eastAsia"/>
                <w:color w:val="auto"/>
                <w:lang w:val="en-US" w:eastAsia="zh-CN"/>
              </w:rPr>
              <w:t>。</w:t>
            </w:r>
          </w:p>
          <w:p w14:paraId="0AA077D6">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装修废气</w:t>
            </w:r>
          </w:p>
          <w:p w14:paraId="13BE7B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highlight w:val="none"/>
                <w:lang w:val="en-US" w:eastAsia="zh-CN"/>
              </w:rPr>
              <w:t>装修期间油漆废气向</w:t>
            </w:r>
            <w:r>
              <w:rPr>
                <w:rFonts w:hint="default"/>
                <w:color w:val="auto"/>
                <w:lang w:val="en-US" w:eastAsia="zh-CN"/>
              </w:rPr>
              <w:t>周围大气环境排放甲苯和二甲苯向周围大气环境排放的VOC等。为减少装修材料排放废气污染物对周围环境</w:t>
            </w:r>
            <w:r>
              <w:rPr>
                <w:rFonts w:hint="eastAsia"/>
                <w:color w:val="auto"/>
                <w:lang w:val="en-US" w:eastAsia="zh-CN"/>
              </w:rPr>
              <w:t>以及师生</w:t>
            </w:r>
            <w:r>
              <w:rPr>
                <w:rFonts w:hint="default"/>
                <w:color w:val="auto"/>
                <w:lang w:val="en-US" w:eastAsia="zh-CN"/>
              </w:rPr>
              <w:t>的</w:t>
            </w:r>
            <w:r>
              <w:rPr>
                <w:rFonts w:hint="eastAsia"/>
                <w:color w:val="auto"/>
                <w:lang w:val="en-US" w:eastAsia="zh-CN"/>
              </w:rPr>
              <w:t>健康</w:t>
            </w:r>
            <w:r>
              <w:rPr>
                <w:rFonts w:hint="default"/>
                <w:color w:val="auto"/>
                <w:lang w:val="en-US" w:eastAsia="zh-CN"/>
              </w:rPr>
              <w:t>影响，</w:t>
            </w:r>
            <w:r>
              <w:rPr>
                <w:rFonts w:hint="eastAsia"/>
                <w:color w:val="auto"/>
                <w:lang w:val="en-US" w:eastAsia="zh-CN"/>
              </w:rPr>
              <w:t>要求</w:t>
            </w:r>
            <w:r>
              <w:rPr>
                <w:rFonts w:hint="default"/>
                <w:color w:val="auto"/>
                <w:lang w:val="en-US" w:eastAsia="zh-CN"/>
              </w:rPr>
              <w:t>装修过程中选用符合国家标准的室内装饰和装修</w:t>
            </w:r>
            <w:r>
              <w:rPr>
                <w:rFonts w:hint="eastAsia"/>
                <w:color w:val="auto"/>
                <w:lang w:val="en-US" w:eastAsia="zh-CN"/>
              </w:rPr>
              <w:t>环保</w:t>
            </w:r>
            <w:r>
              <w:rPr>
                <w:rFonts w:hint="default"/>
                <w:color w:val="auto"/>
                <w:lang w:val="en-US" w:eastAsia="zh-CN"/>
              </w:rPr>
              <w:t>材料，同时装修后的房屋不宜立即投入使用，至少要通风换气30天，</w:t>
            </w:r>
            <w:r>
              <w:rPr>
                <w:rFonts w:hint="eastAsia"/>
                <w:color w:val="auto"/>
                <w:lang w:val="en-US" w:eastAsia="zh-CN"/>
              </w:rPr>
              <w:t>要求</w:t>
            </w:r>
            <w:r>
              <w:rPr>
                <w:rFonts w:hint="default"/>
                <w:color w:val="auto"/>
                <w:lang w:val="en-US" w:eastAsia="zh-CN"/>
              </w:rPr>
              <w:t>请资质单位</w:t>
            </w:r>
            <w:r>
              <w:rPr>
                <w:rFonts w:hint="eastAsia"/>
                <w:color w:val="auto"/>
                <w:lang w:val="en-US" w:eastAsia="zh-CN"/>
              </w:rPr>
              <w:t>进行检测并验收合格后</w:t>
            </w:r>
            <w:r>
              <w:rPr>
                <w:rFonts w:hint="default"/>
                <w:color w:val="auto"/>
                <w:lang w:val="en-US" w:eastAsia="zh-CN"/>
              </w:rPr>
              <w:t>再使用，使用后还应保持室内的空气流通。</w:t>
            </w:r>
          </w:p>
          <w:p w14:paraId="43DF6B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在采取以上防治措施以后，施工期产生的大气污染物对周围环境产生的影响很小</w:t>
            </w:r>
            <w:r>
              <w:rPr>
                <w:rFonts w:hint="eastAsia"/>
                <w:color w:val="auto"/>
                <w:lang w:val="en-US" w:eastAsia="zh-CN"/>
              </w:rPr>
              <w:t>。</w:t>
            </w:r>
          </w:p>
          <w:p w14:paraId="4F2F4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lang w:val="en-US" w:eastAsia="zh-CN"/>
              </w:rPr>
            </w:pPr>
            <w:r>
              <w:rPr>
                <w:rFonts w:hint="eastAsia"/>
                <w:b/>
                <w:bCs/>
                <w:color w:val="auto"/>
                <w:lang w:val="en-US" w:eastAsia="zh-CN"/>
              </w:rPr>
              <w:t>4.2施工期拟采取的水污染防治措施</w:t>
            </w:r>
          </w:p>
          <w:p w14:paraId="6CEB6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eastAsia"/>
                <w:color w:val="auto"/>
                <w:lang w:val="en-US" w:eastAsia="zh-CN"/>
              </w:rPr>
              <w:t>施工期产生的废水主要为施工现场车辆的清洗废水、施工人员的生活污水、施工场地废水和施工雨水。</w:t>
            </w:r>
          </w:p>
          <w:p w14:paraId="385C0FD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对施工期产生的废水可能造成的水环境影响，采取以下防治措施</w:t>
            </w:r>
            <w:r>
              <w:rPr>
                <w:rFonts w:hint="eastAsia"/>
                <w:color w:val="auto"/>
                <w:lang w:val="en-US" w:eastAsia="zh-CN"/>
              </w:rPr>
              <w:t>如下：</w:t>
            </w:r>
          </w:p>
          <w:p w14:paraId="38255E1B">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施工场地应设置临时洗车槽、沉砂池、排水沟等设施，施工期雨污水、泥浆水导流进入场地内的临时沉砂池处理，经沉砂处理后，抽取上清液回用于工地洒水抑尘、清洗设备、混凝土道路的养护等，严禁直接排入周围环境及地表水体；</w:t>
            </w:r>
          </w:p>
          <w:p w14:paraId="0F5D16A0">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挖方时应做好详细计划，尽量做到减少挖方的临时堆放量，临时堆放的土方应做好防治水流出的措施，边挖方边清运；填方时应做好压实覆盖工作，以减少因雨水冲刷浮土造成地表径流中悬浮物的量，避免对市政路面、排水系统等产生不良影响</w:t>
            </w:r>
            <w:r>
              <w:rPr>
                <w:rFonts w:hint="eastAsia"/>
                <w:color w:val="auto"/>
                <w:lang w:val="en-US" w:eastAsia="zh-CN"/>
              </w:rPr>
              <w:t>；</w:t>
            </w:r>
          </w:p>
          <w:p w14:paraId="564F7554">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完善施工期水回用措施，雨天地表径流经沉淀处理后回用</w:t>
            </w:r>
            <w:r>
              <w:rPr>
                <w:rFonts w:hint="eastAsia"/>
                <w:color w:val="auto"/>
                <w:lang w:val="en-US" w:eastAsia="zh-CN"/>
              </w:rPr>
              <w:t>于工地洒水抑尘，不外排；</w:t>
            </w:r>
          </w:p>
          <w:p w14:paraId="54C5984E">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应根据长治市降雨特征，制定雨季、特别是暴雨期的排水应急响应工作方案，避免雨季排水不畅对市政道路和市政污水管网产生不良影响；</w:t>
            </w:r>
          </w:p>
          <w:p w14:paraId="32894B39">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default"/>
                <w:color w:val="auto"/>
                <w:lang w:val="en-US" w:eastAsia="zh-CN"/>
              </w:rPr>
              <w:t>施工场地边界应设置截污渠和拦挡墙，以防止雨天由于雨水冲刷挟带的施工废水或废渣污染市政路面，防止雨天地表径流水流入项目附近市政污水管或污染附近水体</w:t>
            </w:r>
            <w:r>
              <w:rPr>
                <w:rFonts w:hint="eastAsia"/>
                <w:color w:val="auto"/>
                <w:lang w:val="en-US" w:eastAsia="zh-CN"/>
              </w:rPr>
              <w:t>；</w:t>
            </w:r>
          </w:p>
          <w:p w14:paraId="66877B3B">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default"/>
                <w:color w:val="auto"/>
                <w:lang w:val="en-US" w:eastAsia="zh-CN"/>
              </w:rPr>
              <w:t>为了防止施工对周围水体产生的石油类污染，在施工过程中，定时清洁建筑施工机械表面不必要的润滑油及其它油污，加强施工机械设备的维修保养，避免施工机械在施工过程中燃料用油跑、冒、滴、漏现象的发生</w:t>
            </w:r>
            <w:r>
              <w:rPr>
                <w:rFonts w:hint="eastAsia"/>
                <w:color w:val="auto"/>
                <w:lang w:val="en-US" w:eastAsia="zh-CN"/>
              </w:rPr>
              <w:t>。</w:t>
            </w:r>
          </w:p>
          <w:p w14:paraId="7CC4C378">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default"/>
                <w:color w:val="auto"/>
                <w:sz w:val="24"/>
                <w:szCs w:val="24"/>
              </w:rPr>
              <w:t>施工工地设临时工棚，施工人员就餐使用配餐形式，工地不设食堂。</w:t>
            </w:r>
            <w:r>
              <w:rPr>
                <w:rFonts w:hint="eastAsia"/>
                <w:color w:val="auto"/>
                <w:sz w:val="24"/>
                <w:szCs w:val="24"/>
                <w:lang w:val="en-US" w:eastAsia="zh-CN"/>
              </w:rPr>
              <w:t>项目所在地为城镇开发边界范围内，开发程度较高，周边存在公厕，所以施工人员如厕依托公厕。施工场地生活废水主要为洗漱废水，收集后场地内洒水抑尘，不外排。</w:t>
            </w:r>
          </w:p>
          <w:p w14:paraId="140DB86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经落实上述措施后，本项目施工期污水不会对周边地表水环境及纳污水体造成明显不良影响。</w:t>
            </w:r>
          </w:p>
          <w:p w14:paraId="667438F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eastAsia"/>
                <w:b/>
                <w:bCs/>
                <w:color w:val="auto"/>
                <w:lang w:val="en-US" w:eastAsia="zh-CN"/>
              </w:rPr>
            </w:pPr>
            <w:r>
              <w:rPr>
                <w:rFonts w:hint="eastAsia"/>
                <w:b/>
                <w:bCs/>
                <w:color w:val="auto"/>
                <w:lang w:val="en-US" w:eastAsia="zh-CN"/>
              </w:rPr>
              <w:t>4.3固体废物处置措施</w:t>
            </w:r>
          </w:p>
          <w:p w14:paraId="0690C75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本项目施工期固体废物主要为建筑垃圾，包括开挖弃土、施工垃圾和由施工人员产生的生活垃圾两类</w:t>
            </w:r>
            <w:r>
              <w:rPr>
                <w:rFonts w:hint="eastAsia"/>
                <w:color w:val="auto"/>
                <w:lang w:val="en-US" w:eastAsia="zh-CN"/>
              </w:rPr>
              <w:t>。</w:t>
            </w:r>
          </w:p>
          <w:p w14:paraId="4E6BA99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color w:val="auto"/>
                <w:lang w:val="en-US" w:eastAsia="zh-CN"/>
              </w:rPr>
            </w:pPr>
            <w:r>
              <w:rPr>
                <w:rFonts w:hint="eastAsia"/>
                <w:color w:val="auto"/>
                <w:lang w:val="en-US" w:eastAsia="zh-CN"/>
              </w:rPr>
              <w:t>1、基础开挖土方</w:t>
            </w:r>
          </w:p>
          <w:p w14:paraId="05FAA15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建筑工程区土石方量主要以表土剥离、建筑物基坑开挖换填土为主；教学楼、</w:t>
            </w:r>
            <w:r>
              <w:rPr>
                <w:rFonts w:hint="eastAsia"/>
                <w:color w:val="auto"/>
                <w:lang w:val="en-US" w:eastAsia="zh-CN"/>
              </w:rPr>
              <w:t>风雨操场</w:t>
            </w:r>
            <w:r>
              <w:rPr>
                <w:rFonts w:hint="default"/>
                <w:color w:val="auto"/>
                <w:lang w:val="en-US" w:eastAsia="zh-CN"/>
              </w:rPr>
              <w:t>等建筑物及配套区土石方量主要以表土剥离、场地平整及管道沟开挖为主</w:t>
            </w:r>
            <w:r>
              <w:rPr>
                <w:rFonts w:hint="eastAsia"/>
                <w:color w:val="auto"/>
                <w:lang w:val="en-US" w:eastAsia="zh-CN"/>
              </w:rPr>
              <w:t>；地下建筑土石方量主要以表土剥离、基坑开挖为主。</w:t>
            </w:r>
          </w:p>
          <w:p w14:paraId="243AE20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施工期的土方阶段由于地基开挖会产生一定的土方量。本工程的挖方量约为</w:t>
            </w:r>
            <w:r>
              <w:rPr>
                <w:rFonts w:hint="eastAsia"/>
                <w:color w:val="auto"/>
                <w:lang w:val="en-US" w:eastAsia="zh-CN"/>
              </w:rPr>
              <w:t>3.83</w:t>
            </w:r>
            <w:r>
              <w:rPr>
                <w:rFonts w:hint="default"/>
                <w:color w:val="auto"/>
                <w:lang w:val="en-US" w:eastAsia="zh-CN"/>
              </w:rPr>
              <w:t>万m</w:t>
            </w:r>
            <w:r>
              <w:rPr>
                <w:rFonts w:hint="default"/>
                <w:color w:val="auto"/>
                <w:vertAlign w:val="superscript"/>
                <w:lang w:val="en-US" w:eastAsia="zh-CN"/>
              </w:rPr>
              <w:t>3</w:t>
            </w:r>
            <w:r>
              <w:rPr>
                <w:rFonts w:hint="default"/>
                <w:color w:val="auto"/>
                <w:lang w:val="en-US" w:eastAsia="zh-CN"/>
              </w:rPr>
              <w:t>，回填方量约为</w:t>
            </w:r>
            <w:r>
              <w:rPr>
                <w:rFonts w:hint="eastAsia"/>
                <w:color w:val="auto"/>
                <w:lang w:val="en-US" w:eastAsia="zh-CN"/>
              </w:rPr>
              <w:t>2.15</w:t>
            </w:r>
            <w:r>
              <w:rPr>
                <w:rFonts w:hint="default"/>
                <w:color w:val="auto"/>
                <w:lang w:val="en-US" w:eastAsia="zh-CN"/>
              </w:rPr>
              <w:t>万m</w:t>
            </w:r>
            <w:r>
              <w:rPr>
                <w:rFonts w:hint="default"/>
                <w:color w:val="auto"/>
                <w:vertAlign w:val="superscript"/>
                <w:lang w:val="en-US" w:eastAsia="zh-CN"/>
              </w:rPr>
              <w:t>3</w:t>
            </w:r>
            <w:r>
              <w:rPr>
                <w:rFonts w:hint="default"/>
                <w:color w:val="auto"/>
                <w:lang w:val="en-US" w:eastAsia="zh-CN"/>
              </w:rPr>
              <w:t>，基础工程挖土方量与回填土方量工程弃土在场内周转，除就地平衡、用于绿地和道路等建设外，外运弃土方量约为</w:t>
            </w:r>
            <w:r>
              <w:rPr>
                <w:rFonts w:hint="eastAsia"/>
                <w:color w:val="auto"/>
                <w:lang w:val="en-US" w:eastAsia="zh-CN"/>
              </w:rPr>
              <w:t>1.68</w:t>
            </w:r>
            <w:r>
              <w:rPr>
                <w:rFonts w:hint="default"/>
                <w:color w:val="auto"/>
                <w:lang w:val="en-US" w:eastAsia="zh-CN"/>
              </w:rPr>
              <w:t>万m</w:t>
            </w:r>
            <w:r>
              <w:rPr>
                <w:rFonts w:hint="default"/>
                <w:color w:val="auto"/>
                <w:vertAlign w:val="superscript"/>
                <w:lang w:val="en-US" w:eastAsia="zh-CN"/>
              </w:rPr>
              <w:t>3</w:t>
            </w:r>
            <w:r>
              <w:rPr>
                <w:rFonts w:hint="default"/>
                <w:color w:val="auto"/>
                <w:lang w:val="en-US" w:eastAsia="zh-CN"/>
              </w:rPr>
              <w:t>。</w:t>
            </w:r>
            <w:r>
              <w:rPr>
                <w:rFonts w:hint="eastAsia"/>
                <w:color w:val="auto"/>
                <w:lang w:val="en-US" w:eastAsia="zh-CN"/>
              </w:rPr>
              <w:t>对于场内回填剩余土方应优先寻找道路路基铺设，公园建设等进行综合利用，无法综合利用的弃方应运至政府</w:t>
            </w:r>
            <w:r>
              <w:rPr>
                <w:rFonts w:hint="default"/>
                <w:color w:val="auto"/>
                <w:lang w:val="en-US" w:eastAsia="zh-CN"/>
              </w:rPr>
              <w:t>指定的</w:t>
            </w:r>
            <w:r>
              <w:rPr>
                <w:rFonts w:hint="eastAsia"/>
                <w:color w:val="auto"/>
                <w:lang w:val="en-US" w:eastAsia="zh-CN"/>
              </w:rPr>
              <w:t>建筑垃圾填埋场进行</w:t>
            </w:r>
            <w:r>
              <w:rPr>
                <w:rFonts w:hint="default"/>
                <w:color w:val="auto"/>
                <w:lang w:val="en-US" w:eastAsia="zh-CN"/>
              </w:rPr>
              <w:t>处理，项目施工场址内不设取、弃土场。</w:t>
            </w:r>
          </w:p>
          <w:p w14:paraId="60C58E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工程开挖及填筑期间施工管理要求如下：</w:t>
            </w:r>
          </w:p>
          <w:p w14:paraId="03ACD8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（1）施工单位要制定详细可操作的施工组织计划，将水土保持工作列入日常的施工管理中，最好派专人现场监督；</w:t>
            </w:r>
          </w:p>
          <w:p w14:paraId="4914A3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2）施工时要根据项目平面布置和竖向设计合理布置场地，尽量减少工作面，在具体的施工过程中，施工单位要根据主体工程设计的竖向高程进行施工，减少场地超填方量或挖方量，尽量减少土石方的二次开挖和填筑；</w:t>
            </w:r>
          </w:p>
          <w:p w14:paraId="11A5B7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（3）在施工开挖的过程中，产生的临时堆土就近堆放于边侧，方案要求快挖快填，边挖边填，分段施工的原则，尽量减少土石方的裸露时间，减少对征地范围外环境的影响；</w:t>
            </w:r>
          </w:p>
          <w:p w14:paraId="4EA409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（4）土石方禁止分散或乱堆乱放，并一定要有拦挡和苫盖措施。要派专人巡查，时刻关注监测堆放的土石方流失情况，并发现安全隐患后立即采取补救或加强拦挡和遮盖措施，避免降雨的冲蚀和扬尘；</w:t>
            </w:r>
          </w:p>
          <w:p w14:paraId="39A7CD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（5）土石方转运或运输期间，运输车辆密闭运输，控制土方漏、撒污染道路。车辆装载土方严禁超高超载，并应有覆盖物以防止土方在运输中沿途扬撒。</w:t>
            </w:r>
          </w:p>
          <w:p w14:paraId="5D9C216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2、建筑垃圾</w:t>
            </w:r>
          </w:p>
          <w:p w14:paraId="7D639F7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default"/>
                <w:color w:val="auto"/>
                <w:lang w:val="en-US" w:eastAsia="zh-CN"/>
              </w:rPr>
              <w:t>建设单位须严格管理，开挖的土方及其他建筑垃圾由环卫部门的渣土车及时进行清运。渣土运输车辆不得带泥土驶出工地。运输车辆采用密闭车斗运输渣土，并保证物料不遗撒外漏。若无密闭车斗，渣土的装载高度不得超过车辆槽帮上沿，车斗用苫布遮盖严实，保证渣土不泄漏</w:t>
            </w:r>
            <w:r>
              <w:rPr>
                <w:rFonts w:hint="eastAsia"/>
                <w:color w:val="auto"/>
                <w:lang w:val="en-US" w:eastAsia="zh-CN"/>
              </w:rPr>
              <w:t>。</w:t>
            </w:r>
          </w:p>
          <w:p w14:paraId="3E6D3C82">
            <w:pPr>
              <w:keepNext w:val="0"/>
              <w:keepLines w:val="0"/>
              <w:pageBreakBefore w:val="0"/>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生活垃圾</w:t>
            </w:r>
          </w:p>
          <w:p w14:paraId="1E5B873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本项目施工期施工人员主要为专业施工队，施工现场不设生活区，产生的生活垃圾主要为烟头、香烟盒、果皮纸屑等，在施工现场设置垃圾桶，经收集后由当地环卫部门统一处理，对环境影响较小。</w:t>
            </w:r>
          </w:p>
          <w:p w14:paraId="35302D5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采取上述环保措施后，项目施工期产生的固废对周围环境影响较小</w:t>
            </w:r>
            <w:r>
              <w:rPr>
                <w:rFonts w:hint="eastAsia"/>
                <w:color w:val="auto"/>
                <w:lang w:val="en-US" w:eastAsia="zh-CN"/>
              </w:rPr>
              <w:t>。</w:t>
            </w:r>
          </w:p>
          <w:p w14:paraId="57096DE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eastAsia"/>
                <w:b/>
                <w:bCs/>
                <w:color w:val="auto"/>
                <w:lang w:val="en-US" w:eastAsia="zh-CN"/>
              </w:rPr>
            </w:pPr>
            <w:r>
              <w:rPr>
                <w:rFonts w:hint="eastAsia"/>
                <w:b/>
                <w:bCs/>
                <w:color w:val="auto"/>
                <w:lang w:val="en-US" w:eastAsia="zh-CN"/>
              </w:rPr>
              <w:t>4.4声环境污染防治措施</w:t>
            </w:r>
          </w:p>
          <w:p w14:paraId="4F8AEC37">
            <w:pPr>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施工期噪声及源强</w:t>
            </w:r>
          </w:p>
          <w:p w14:paraId="5ECB8FF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default"/>
                <w:color w:val="auto"/>
                <w:lang w:val="en-US" w:eastAsia="zh-CN"/>
              </w:rPr>
              <w:t>施工期噪声主要分为机械噪声、施工作业噪声和施工车辆噪声。机械噪声主要由施工机械所造成，如挖土机械、运输车辆等，多为点源；施工作业噪声主要指一些零星的敲打声、装卸车辆的撞击声、吆喝声、拆装模板的撞击声等，多为瞬间噪声；施工车辆的噪声属于交通噪声。在这些施工噪声中，对环境影响最大的是机械噪声及基础开挖土方外运时的交通噪声。</w:t>
            </w:r>
          </w:p>
          <w:p w14:paraId="5E4E64D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施工现场可能使用的主要施工机械的噪声声压级见表4-1。</w:t>
            </w:r>
          </w:p>
          <w:p w14:paraId="43A3DB3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表4-1 主要施工机械的噪声平均声级</w:t>
            </w:r>
          </w:p>
          <w:tbl>
            <w:tblPr>
              <w:tblStyle w:val="25"/>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64"/>
              <w:gridCol w:w="2866"/>
              <w:gridCol w:w="1694"/>
              <w:gridCol w:w="1694"/>
            </w:tblGrid>
            <w:tr w14:paraId="22556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14:paraId="2A2397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序号</w:t>
                  </w:r>
                </w:p>
              </w:tc>
              <w:tc>
                <w:tcPr>
                  <w:tcW w:w="1364" w:type="dxa"/>
                  <w:tcBorders>
                    <w:tl2br w:val="nil"/>
                    <w:tr2bl w:val="nil"/>
                  </w:tcBorders>
                  <w:vAlign w:val="center"/>
                </w:tcPr>
                <w:p w14:paraId="7751B6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声源名称</w:t>
                  </w:r>
                </w:p>
              </w:tc>
              <w:tc>
                <w:tcPr>
                  <w:tcW w:w="2866" w:type="dxa"/>
                  <w:tcBorders>
                    <w:tl2br w:val="nil"/>
                    <w:tr2bl w:val="nil"/>
                  </w:tcBorders>
                  <w:vAlign w:val="center"/>
                </w:tcPr>
                <w:p w14:paraId="39209D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default"/>
                      <w:color w:val="auto"/>
                      <w:spacing w:val="8"/>
                      <w:sz w:val="20"/>
                      <w:szCs w:val="20"/>
                    </w:rPr>
                    <w:t>类比噪值（</w:t>
                  </w:r>
                  <w:r>
                    <w:rPr>
                      <w:rFonts w:hint="default" w:ascii="Times New Roman" w:hAnsi="Times New Roman" w:eastAsia="Times New Roman" w:cs="Times New Roman"/>
                      <w:color w:val="auto"/>
                      <w:sz w:val="20"/>
                      <w:szCs w:val="20"/>
                    </w:rPr>
                    <w:t>dB</w:t>
                  </w:r>
                  <w:r>
                    <w:rPr>
                      <w:rFonts w:hint="default"/>
                      <w:color w:val="auto"/>
                      <w:spacing w:val="8"/>
                      <w:sz w:val="20"/>
                      <w:szCs w:val="20"/>
                    </w:rPr>
                    <w:t>（</w:t>
                  </w:r>
                  <w:r>
                    <w:rPr>
                      <w:rFonts w:hint="default" w:ascii="Times New Roman" w:hAnsi="Times New Roman" w:eastAsia="Times New Roman" w:cs="Times New Roman"/>
                      <w:color w:val="auto"/>
                      <w:spacing w:val="8"/>
                      <w:sz w:val="20"/>
                      <w:szCs w:val="20"/>
                    </w:rPr>
                    <w:t>A</w:t>
                  </w:r>
                  <w:r>
                    <w:rPr>
                      <w:rFonts w:hint="default"/>
                      <w:color w:val="auto"/>
                      <w:spacing w:val="8"/>
                      <w:sz w:val="20"/>
                      <w:szCs w:val="20"/>
                    </w:rPr>
                    <w:t>）</w:t>
                  </w:r>
                  <w:r>
                    <w:rPr>
                      <w:rFonts w:hint="default" w:ascii="Times New Roman" w:hAnsi="Times New Roman" w:eastAsia="Times New Roman" w:cs="Times New Roman"/>
                      <w:color w:val="auto"/>
                      <w:spacing w:val="8"/>
                      <w:sz w:val="20"/>
                      <w:szCs w:val="20"/>
                    </w:rPr>
                    <w:t>/</w:t>
                  </w:r>
                  <w:r>
                    <w:rPr>
                      <w:rFonts w:hint="default" w:ascii="Times New Roman" w:hAnsi="Times New Roman" w:eastAsia="Times New Roman" w:cs="Times New Roman"/>
                      <w:color w:val="auto"/>
                      <w:spacing w:val="3"/>
                      <w:sz w:val="20"/>
                      <w:szCs w:val="20"/>
                    </w:rPr>
                    <w:t xml:space="preserve"> </w:t>
                  </w:r>
                  <w:r>
                    <w:rPr>
                      <w:rFonts w:hint="default"/>
                      <w:color w:val="auto"/>
                      <w:spacing w:val="-8"/>
                      <w:sz w:val="20"/>
                      <w:szCs w:val="20"/>
                    </w:rPr>
                    <w:t>台）</w:t>
                  </w:r>
                </w:p>
              </w:tc>
              <w:tc>
                <w:tcPr>
                  <w:tcW w:w="1694" w:type="dxa"/>
                  <w:tcBorders>
                    <w:tl2br w:val="nil"/>
                    <w:tr2bl w:val="nil"/>
                  </w:tcBorders>
                  <w:vAlign w:val="center"/>
                </w:tcPr>
                <w:p w14:paraId="360F8C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default"/>
                      <w:color w:val="auto"/>
                      <w:spacing w:val="4"/>
                      <w:sz w:val="20"/>
                      <w:szCs w:val="20"/>
                    </w:rPr>
                    <w:t>套数</w:t>
                  </w:r>
                </w:p>
              </w:tc>
              <w:tc>
                <w:tcPr>
                  <w:tcW w:w="1694" w:type="dxa"/>
                  <w:tcBorders>
                    <w:tl2br w:val="nil"/>
                    <w:tr2bl w:val="nil"/>
                  </w:tcBorders>
                  <w:vAlign w:val="center"/>
                </w:tcPr>
                <w:p w14:paraId="6EAABE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default"/>
                      <w:color w:val="auto"/>
                      <w:spacing w:val="6"/>
                      <w:sz w:val="20"/>
                      <w:szCs w:val="20"/>
                    </w:rPr>
                    <w:t>持续时间</w:t>
                  </w:r>
                </w:p>
              </w:tc>
            </w:tr>
            <w:tr w14:paraId="65973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14:paraId="775F15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1364" w:type="dxa"/>
                  <w:tcBorders>
                    <w:tl2br w:val="nil"/>
                    <w:tr2bl w:val="nil"/>
                  </w:tcBorders>
                  <w:vAlign w:val="center"/>
                </w:tcPr>
                <w:p w14:paraId="061CD3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装载机</w:t>
                  </w:r>
                </w:p>
              </w:tc>
              <w:tc>
                <w:tcPr>
                  <w:tcW w:w="2866" w:type="dxa"/>
                  <w:tcBorders>
                    <w:tl2br w:val="nil"/>
                    <w:tr2bl w:val="nil"/>
                  </w:tcBorders>
                  <w:vAlign w:val="center"/>
                </w:tcPr>
                <w:p w14:paraId="788B46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85</w:t>
                  </w:r>
                </w:p>
              </w:tc>
              <w:tc>
                <w:tcPr>
                  <w:tcW w:w="1694" w:type="dxa"/>
                  <w:tcBorders>
                    <w:tl2br w:val="nil"/>
                    <w:tr2bl w:val="nil"/>
                  </w:tcBorders>
                  <w:vAlign w:val="center"/>
                </w:tcPr>
                <w:p w14:paraId="1EA120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1694" w:type="dxa"/>
                  <w:tcBorders>
                    <w:tl2br w:val="nil"/>
                    <w:tr2bl w:val="nil"/>
                  </w:tcBorders>
                  <w:vAlign w:val="center"/>
                </w:tcPr>
                <w:p w14:paraId="153821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8h</w:t>
                  </w:r>
                </w:p>
              </w:tc>
            </w:tr>
            <w:tr w14:paraId="2ED03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14:paraId="7C4D6C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2</w:t>
                  </w:r>
                </w:p>
              </w:tc>
              <w:tc>
                <w:tcPr>
                  <w:tcW w:w="1364" w:type="dxa"/>
                  <w:tcBorders>
                    <w:tl2br w:val="nil"/>
                    <w:tr2bl w:val="nil"/>
                  </w:tcBorders>
                  <w:vAlign w:val="center"/>
                </w:tcPr>
                <w:p w14:paraId="7C386B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挖掘机</w:t>
                  </w:r>
                </w:p>
              </w:tc>
              <w:tc>
                <w:tcPr>
                  <w:tcW w:w="2866" w:type="dxa"/>
                  <w:tcBorders>
                    <w:tl2br w:val="nil"/>
                    <w:tr2bl w:val="nil"/>
                  </w:tcBorders>
                  <w:vAlign w:val="center"/>
                </w:tcPr>
                <w:p w14:paraId="0EAD41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85</w:t>
                  </w:r>
                </w:p>
              </w:tc>
              <w:tc>
                <w:tcPr>
                  <w:tcW w:w="1694" w:type="dxa"/>
                  <w:tcBorders>
                    <w:tl2br w:val="nil"/>
                    <w:tr2bl w:val="nil"/>
                  </w:tcBorders>
                  <w:vAlign w:val="center"/>
                </w:tcPr>
                <w:p w14:paraId="0E5FF6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1694" w:type="dxa"/>
                  <w:tcBorders>
                    <w:tl2br w:val="nil"/>
                    <w:tr2bl w:val="nil"/>
                  </w:tcBorders>
                  <w:vAlign w:val="center"/>
                </w:tcPr>
                <w:p w14:paraId="2E65C1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8h</w:t>
                  </w:r>
                </w:p>
              </w:tc>
            </w:tr>
            <w:tr w14:paraId="46AB9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14:paraId="4D392D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3</w:t>
                  </w:r>
                </w:p>
              </w:tc>
              <w:tc>
                <w:tcPr>
                  <w:tcW w:w="1364" w:type="dxa"/>
                  <w:tcBorders>
                    <w:tl2br w:val="nil"/>
                    <w:tr2bl w:val="nil"/>
                  </w:tcBorders>
                  <w:vAlign w:val="center"/>
                </w:tcPr>
                <w:p w14:paraId="4DEADC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推土机</w:t>
                  </w:r>
                </w:p>
              </w:tc>
              <w:tc>
                <w:tcPr>
                  <w:tcW w:w="2866" w:type="dxa"/>
                  <w:tcBorders>
                    <w:tl2br w:val="nil"/>
                    <w:tr2bl w:val="nil"/>
                  </w:tcBorders>
                  <w:vAlign w:val="center"/>
                </w:tcPr>
                <w:p w14:paraId="5C3137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80</w:t>
                  </w:r>
                </w:p>
              </w:tc>
              <w:tc>
                <w:tcPr>
                  <w:tcW w:w="1694" w:type="dxa"/>
                  <w:tcBorders>
                    <w:tl2br w:val="nil"/>
                    <w:tr2bl w:val="nil"/>
                  </w:tcBorders>
                  <w:vAlign w:val="center"/>
                </w:tcPr>
                <w:p w14:paraId="42CD7E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1694" w:type="dxa"/>
                  <w:tcBorders>
                    <w:tl2br w:val="nil"/>
                    <w:tr2bl w:val="nil"/>
                  </w:tcBorders>
                  <w:vAlign w:val="center"/>
                </w:tcPr>
                <w:p w14:paraId="359166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8h</w:t>
                  </w:r>
                </w:p>
              </w:tc>
            </w:tr>
            <w:tr w14:paraId="3522C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14:paraId="77269E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4</w:t>
                  </w:r>
                </w:p>
              </w:tc>
              <w:tc>
                <w:tcPr>
                  <w:tcW w:w="1364" w:type="dxa"/>
                  <w:tcBorders>
                    <w:tl2br w:val="nil"/>
                    <w:tr2bl w:val="nil"/>
                  </w:tcBorders>
                  <w:vAlign w:val="center"/>
                </w:tcPr>
                <w:p w14:paraId="2D07DF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运输车辆</w:t>
                  </w:r>
                </w:p>
              </w:tc>
              <w:tc>
                <w:tcPr>
                  <w:tcW w:w="2866" w:type="dxa"/>
                  <w:tcBorders>
                    <w:tl2br w:val="nil"/>
                    <w:tr2bl w:val="nil"/>
                  </w:tcBorders>
                  <w:vAlign w:val="center"/>
                </w:tcPr>
                <w:p w14:paraId="618829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90</w:t>
                  </w:r>
                </w:p>
              </w:tc>
              <w:tc>
                <w:tcPr>
                  <w:tcW w:w="1694" w:type="dxa"/>
                  <w:tcBorders>
                    <w:tl2br w:val="nil"/>
                    <w:tr2bl w:val="nil"/>
                  </w:tcBorders>
                  <w:vAlign w:val="center"/>
                </w:tcPr>
                <w:p w14:paraId="49AE6A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1694" w:type="dxa"/>
                  <w:tcBorders>
                    <w:tl2br w:val="nil"/>
                    <w:tr2bl w:val="nil"/>
                  </w:tcBorders>
                  <w:vAlign w:val="center"/>
                </w:tcPr>
                <w:p w14:paraId="423528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8h</w:t>
                  </w:r>
                </w:p>
              </w:tc>
            </w:tr>
            <w:tr w14:paraId="6AAE4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14:paraId="10E1A0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5</w:t>
                  </w:r>
                </w:p>
              </w:tc>
              <w:tc>
                <w:tcPr>
                  <w:tcW w:w="1364" w:type="dxa"/>
                  <w:tcBorders>
                    <w:tl2br w:val="nil"/>
                    <w:tr2bl w:val="nil"/>
                  </w:tcBorders>
                  <w:vAlign w:val="center"/>
                </w:tcPr>
                <w:p w14:paraId="130823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打桩机</w:t>
                  </w:r>
                </w:p>
              </w:tc>
              <w:tc>
                <w:tcPr>
                  <w:tcW w:w="2866" w:type="dxa"/>
                  <w:tcBorders>
                    <w:tl2br w:val="nil"/>
                    <w:tr2bl w:val="nil"/>
                  </w:tcBorders>
                  <w:vAlign w:val="center"/>
                </w:tcPr>
                <w:p w14:paraId="2BCFF7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75</w:t>
                  </w:r>
                </w:p>
              </w:tc>
              <w:tc>
                <w:tcPr>
                  <w:tcW w:w="1694" w:type="dxa"/>
                  <w:tcBorders>
                    <w:tl2br w:val="nil"/>
                    <w:tr2bl w:val="nil"/>
                  </w:tcBorders>
                  <w:vAlign w:val="center"/>
                </w:tcPr>
                <w:p w14:paraId="0DCF9E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1</w:t>
                  </w:r>
                </w:p>
              </w:tc>
              <w:tc>
                <w:tcPr>
                  <w:tcW w:w="1694" w:type="dxa"/>
                  <w:tcBorders>
                    <w:tl2br w:val="nil"/>
                    <w:tr2bl w:val="nil"/>
                  </w:tcBorders>
                  <w:vAlign w:val="center"/>
                </w:tcPr>
                <w:p w14:paraId="73222F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vertAlign w:val="baseline"/>
                      <w:lang w:val="en-US" w:eastAsia="zh-CN"/>
                    </w:rPr>
                  </w:pPr>
                  <w:r>
                    <w:rPr>
                      <w:rFonts w:hint="eastAsia"/>
                      <w:b w:val="0"/>
                      <w:bCs w:val="0"/>
                      <w:color w:val="auto"/>
                      <w:sz w:val="21"/>
                      <w:szCs w:val="18"/>
                      <w:vertAlign w:val="baseline"/>
                      <w:lang w:val="en-US" w:eastAsia="zh-CN"/>
                    </w:rPr>
                    <w:t>8h</w:t>
                  </w:r>
                </w:p>
              </w:tc>
            </w:tr>
          </w:tbl>
          <w:p w14:paraId="3317915E">
            <w:pPr>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施工噪声防治措施</w:t>
            </w:r>
          </w:p>
          <w:p w14:paraId="3D6B258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本项目东侧紧邻麟绛小学，为减少施工期对敏感点（麟绛小学、金威家园）等的噪声影响，提出以下措施：</w:t>
            </w:r>
          </w:p>
          <w:p w14:paraId="73ED4806">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建设施工围墙。施工场地四周建设施工围墙，高度 2m 以上。并在临近麟绛小学的东侧及临近金威家园的西侧加高围墙高度。</w:t>
            </w:r>
          </w:p>
          <w:p w14:paraId="08B72386">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合理安排施工时间</w:t>
            </w:r>
            <w:r>
              <w:rPr>
                <w:rFonts w:hint="eastAsia"/>
                <w:b w:val="0"/>
                <w:bCs w:val="0"/>
                <w:color w:val="auto"/>
                <w:sz w:val="24"/>
                <w:szCs w:val="21"/>
                <w:lang w:val="en-US" w:eastAsia="zh-CN"/>
              </w:rPr>
              <w:t>，</w:t>
            </w:r>
            <w:r>
              <w:rPr>
                <w:rFonts w:hint="default"/>
                <w:b w:val="0"/>
                <w:bCs w:val="0"/>
                <w:color w:val="auto"/>
                <w:sz w:val="24"/>
                <w:szCs w:val="21"/>
                <w:lang w:val="en-US" w:eastAsia="zh-CN"/>
              </w:rPr>
              <w:t>施工时间应严格按当地相关部门要求执行，场地晚上 22:00 至次日凌晨 6:00 禁止施工</w:t>
            </w:r>
            <w:r>
              <w:rPr>
                <w:rFonts w:hint="eastAsia"/>
                <w:b w:val="0"/>
                <w:bCs w:val="0"/>
                <w:color w:val="auto"/>
                <w:sz w:val="24"/>
                <w:szCs w:val="21"/>
                <w:lang w:val="en-US" w:eastAsia="zh-CN"/>
              </w:rPr>
              <w:t>。</w:t>
            </w:r>
          </w:p>
          <w:p w14:paraId="26A50C4C">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施工设备应选用优质、低噪设备，尽量避免高噪设备同时运转，调整高噪设备同时运行的台数</w:t>
            </w:r>
            <w:r>
              <w:rPr>
                <w:rFonts w:hint="eastAsia"/>
                <w:b w:val="0"/>
                <w:bCs w:val="0"/>
                <w:color w:val="auto"/>
                <w:sz w:val="24"/>
                <w:szCs w:val="21"/>
                <w:lang w:val="en-US" w:eastAsia="zh-CN"/>
              </w:rPr>
              <w:t>。高噪声设备运行安排在周末、节假日、小学放学后及暑假期间，避免对麟绛小学教学产生影响。</w:t>
            </w:r>
          </w:p>
          <w:p w14:paraId="009C0FF5">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合理布局施工场地。制订施工计划时，避免在同一施工地点安排大量动力机械设备，避免局部声级过高；尽量将高噪声设备布置在</w:t>
            </w:r>
            <w:r>
              <w:rPr>
                <w:rFonts w:hint="eastAsia"/>
                <w:b w:val="0"/>
                <w:bCs w:val="0"/>
                <w:color w:val="auto"/>
                <w:sz w:val="24"/>
                <w:szCs w:val="21"/>
                <w:lang w:val="en-US" w:eastAsia="zh-CN"/>
              </w:rPr>
              <w:t>场地南侧，远离敏感点。</w:t>
            </w:r>
          </w:p>
          <w:p w14:paraId="454CC1EE">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降低设备声级，设备选型上尽量采用低噪声设备，如以液压机械代替燃油机械，振捣器采用高频振捣器等；对动力机械设备进行定期的维修、养护；设备常因松动部件的振动或消声器的损坏而增加其工作时的噪声级；暂不使用的设备应立即关闭；基础打桩应采用静压桩，不得使用冲击式打桩机</w:t>
            </w:r>
            <w:r>
              <w:rPr>
                <w:rFonts w:hint="eastAsia"/>
                <w:b w:val="0"/>
                <w:bCs w:val="0"/>
                <w:color w:val="auto"/>
                <w:sz w:val="24"/>
                <w:szCs w:val="21"/>
                <w:lang w:val="en-US" w:eastAsia="zh-CN"/>
              </w:rPr>
              <w:t>。</w:t>
            </w:r>
          </w:p>
          <w:p w14:paraId="5E50B27E">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施工车辆进入施工场地应减速行驶，禁止鸣笛</w:t>
            </w:r>
            <w:r>
              <w:rPr>
                <w:rFonts w:hint="eastAsia"/>
                <w:b w:val="0"/>
                <w:bCs w:val="0"/>
                <w:color w:val="auto"/>
                <w:sz w:val="24"/>
                <w:szCs w:val="21"/>
                <w:lang w:val="en-US" w:eastAsia="zh-CN"/>
              </w:rPr>
              <w:t>。</w:t>
            </w:r>
          </w:p>
          <w:p w14:paraId="71B64E79">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提倡文明施工，加强施工人员管理，少用哨子、喇叭等指挥作业，尽量减少人为原因产生的高噪声，在模板、支架的拆卸过程中应遵守作业规定，轻拿轻放，减少碰撞噪声</w:t>
            </w:r>
            <w:r>
              <w:rPr>
                <w:rFonts w:hint="eastAsia"/>
                <w:b w:val="0"/>
                <w:bCs w:val="0"/>
                <w:color w:val="auto"/>
                <w:sz w:val="24"/>
                <w:szCs w:val="21"/>
                <w:lang w:val="en-US" w:eastAsia="zh-CN"/>
              </w:rPr>
              <w:t>。</w:t>
            </w:r>
          </w:p>
          <w:p w14:paraId="372E601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eastAsia"/>
                <w:b w:val="0"/>
                <w:bCs w:val="0"/>
                <w:color w:val="auto"/>
                <w:sz w:val="24"/>
                <w:szCs w:val="21"/>
                <w:lang w:val="en-US" w:eastAsia="zh-CN"/>
              </w:rPr>
              <w:t>（8）禁止夜间进行产生噪声的建筑施工作业，因特殊需要必须连续施工作业的，应当取得地方人民政府住房和城乡建设、生态环境主管部门或者地方人民政府指定的部门的证明，并在施工现场显著位置公示或者以其他方式公告附近居民。</w:t>
            </w:r>
          </w:p>
          <w:p w14:paraId="31F33B2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在采取上述防治措施后，可有效降低施工噪声对周围环境的影响，项目施工期产生的噪声对周围环境产生的影响是暂时的，随着工程施工期的结束，其影响也随之消失。</w:t>
            </w:r>
          </w:p>
          <w:p w14:paraId="70C47CD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7CB7F38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4726A35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228F150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156C148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4A3AD39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0019C74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66839CB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11BD8E1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541A977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79AA783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405EDBD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6AC000F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3E26D23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25F457C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08DE0A6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624D446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1CF23CE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b w:val="0"/>
                <w:bCs w:val="0"/>
                <w:color w:val="auto"/>
                <w:sz w:val="24"/>
                <w:szCs w:val="21"/>
                <w:lang w:val="en-US" w:eastAsia="zh-CN"/>
              </w:rPr>
            </w:pPr>
          </w:p>
          <w:p w14:paraId="557390E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default"/>
                <w:b w:val="0"/>
                <w:bCs w:val="0"/>
                <w:color w:val="auto"/>
                <w:sz w:val="24"/>
                <w:szCs w:val="21"/>
                <w:lang w:val="en-US" w:eastAsia="zh-CN"/>
              </w:rPr>
            </w:pPr>
          </w:p>
        </w:tc>
      </w:tr>
    </w:tbl>
    <w:p w14:paraId="4B9985A7">
      <w:pPr>
        <w:rPr>
          <w:rFonts w:hint="eastAsia"/>
          <w:color w:val="auto"/>
        </w:rPr>
        <w:sectPr>
          <w:pgSz w:w="11906" w:h="16838"/>
          <w:pgMar w:top="1418" w:right="1474" w:bottom="1418" w:left="1474" w:header="851" w:footer="992" w:gutter="0"/>
          <w:pgBorders>
            <w:top w:val="none" w:sz="0" w:space="0"/>
            <w:left w:val="none" w:sz="0" w:space="0"/>
            <w:bottom w:val="none" w:sz="0" w:space="0"/>
            <w:right w:val="none" w:sz="0" w:space="0"/>
          </w:pgBorders>
          <w:cols w:space="425" w:num="1"/>
          <w:docGrid w:type="lines" w:linePitch="326" w:charSpace="0"/>
        </w:sectPr>
      </w:pPr>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35"/>
        <w:gridCol w:w="8739"/>
      </w:tblGrid>
      <w:tr w14:paraId="13695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50" w:hRule="atLeast"/>
          <w:jc w:val="center"/>
        </w:trPr>
        <w:tc>
          <w:tcPr>
            <w:tcW w:w="248" w:type="pct"/>
            <w:tcBorders>
              <w:tl2br w:val="nil"/>
              <w:tr2bl w:val="nil"/>
            </w:tcBorders>
            <w:vAlign w:val="center"/>
          </w:tcPr>
          <w:p w14:paraId="4190719F">
            <w:pPr>
              <w:keepNext w:val="0"/>
              <w:keepLines w:val="0"/>
              <w:suppressLineNumbers w:val="0"/>
              <w:spacing w:before="0" w:beforeAutospacing="0" w:after="0" w:afterAutospacing="0"/>
              <w:ind w:left="0" w:right="0"/>
              <w:rPr>
                <w:rFonts w:hint="default"/>
                <w:color w:val="auto"/>
              </w:rPr>
            </w:pPr>
            <w:r>
              <w:rPr>
                <w:rFonts w:hint="eastAsia"/>
                <w:color w:val="auto"/>
              </w:rPr>
              <w:t>运营期环境影响和保护措施</w:t>
            </w:r>
          </w:p>
        </w:tc>
        <w:tc>
          <w:tcPr>
            <w:tcW w:w="4751" w:type="pct"/>
            <w:tcBorders>
              <w:tl2br w:val="nil"/>
              <w:tr2bl w:val="nil"/>
            </w:tcBorders>
          </w:tcPr>
          <w:p w14:paraId="5EBCD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b/>
                <w:bCs/>
                <w:color w:val="auto"/>
                <w:lang w:val="en-US" w:eastAsia="zh-CN"/>
              </w:rPr>
            </w:pPr>
            <w:r>
              <w:rPr>
                <w:rFonts w:hint="eastAsia"/>
                <w:b/>
                <w:bCs/>
                <w:color w:val="auto"/>
                <w:lang w:val="en-US" w:eastAsia="zh-CN"/>
              </w:rPr>
              <w:t>4.5废气</w:t>
            </w:r>
          </w:p>
          <w:p w14:paraId="4DCEC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olor w:val="auto"/>
                <w:lang w:val="en-US" w:eastAsia="zh-CN"/>
              </w:rPr>
            </w:pPr>
            <w:r>
              <w:rPr>
                <w:rFonts w:hint="eastAsia"/>
                <w:color w:val="auto"/>
                <w:lang w:val="en-US" w:eastAsia="zh-CN"/>
              </w:rPr>
              <w:t>4.5.1污染物产生情况</w:t>
            </w:r>
          </w:p>
          <w:p w14:paraId="5F63C9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olor w:val="auto"/>
                <w:lang w:val="en-US" w:eastAsia="zh-CN"/>
              </w:rPr>
            </w:pPr>
            <w:r>
              <w:rPr>
                <w:rFonts w:hint="default"/>
                <w:color w:val="auto"/>
                <w:lang w:val="en-US" w:eastAsia="zh-CN"/>
              </w:rPr>
              <w:t>本项目营运期废气污染源主要为实验废气</w:t>
            </w:r>
            <w:r>
              <w:rPr>
                <w:rFonts w:hint="eastAsia"/>
                <w:color w:val="auto"/>
                <w:lang w:val="en-US" w:eastAsia="zh-CN"/>
              </w:rPr>
              <w:t>。</w:t>
            </w:r>
          </w:p>
          <w:p w14:paraId="55641A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rFonts w:hint="default"/>
                <w:color w:val="auto"/>
              </w:rPr>
              <w:t>①</w:t>
            </w:r>
            <w:r>
              <w:rPr>
                <w:rFonts w:hint="eastAsia"/>
                <w:color w:val="auto"/>
                <w:lang w:val="en-US" w:eastAsia="zh-CN"/>
              </w:rPr>
              <w:fldChar w:fldCharType="end"/>
            </w:r>
            <w:r>
              <w:rPr>
                <w:rFonts w:hint="eastAsia"/>
                <w:color w:val="auto"/>
                <w:lang w:val="en-US" w:eastAsia="zh-CN"/>
              </w:rPr>
              <w:t>实验准备室废气</w:t>
            </w:r>
          </w:p>
          <w:p w14:paraId="2D1E3D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本项目实验课程使用的化学药品主要以常见的酸、碱、盐为主，如硫酸、盐酸等，实验废气主要为化学反应产生的CO</w:t>
            </w:r>
            <w:r>
              <w:rPr>
                <w:rFonts w:hint="eastAsia"/>
                <w:color w:val="auto"/>
                <w:vertAlign w:val="subscript"/>
                <w:lang w:val="en-US" w:eastAsia="zh-CN"/>
              </w:rPr>
              <w:t>2</w:t>
            </w:r>
            <w:r>
              <w:rPr>
                <w:rFonts w:hint="eastAsia"/>
                <w:color w:val="auto"/>
                <w:lang w:val="en-US" w:eastAsia="zh-CN"/>
              </w:rPr>
              <w:t>、挥发的酸雾（硫酸雾、HCl）等无机废气，属于间歇性排放。</w:t>
            </w:r>
            <w:r>
              <w:rPr>
                <w:rFonts w:hint="eastAsia"/>
                <w:color w:val="auto"/>
                <w:highlight w:val="none"/>
                <w:lang w:val="en-US" w:eastAsia="zh-CN"/>
              </w:rPr>
              <w:t>类比同类型的初中学校，各类化合物挥发系数约为用量的10%，项目实验所用浓盐酸总用量5L/a（6.0kg/a），浓硫酸总用量2L/a（3.68kg/a），则盐酸雾产生量约为0.6kg/a ，硫酸雾产生量约为0.37kg/a。</w:t>
            </w:r>
          </w:p>
          <w:p w14:paraId="4FC286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default"/>
                <w:color w:val="auto"/>
                <w:lang w:val="en-US" w:eastAsia="zh-CN"/>
              </w:rPr>
              <w:t>项目实验试剂</w:t>
            </w:r>
            <w:r>
              <w:rPr>
                <w:rFonts w:hint="eastAsia"/>
                <w:color w:val="auto"/>
                <w:lang w:val="en-US" w:eastAsia="zh-CN"/>
              </w:rPr>
              <w:t>均</w:t>
            </w:r>
            <w:r>
              <w:rPr>
                <w:rFonts w:hint="default"/>
                <w:color w:val="auto"/>
                <w:lang w:val="en-US" w:eastAsia="zh-CN"/>
              </w:rPr>
              <w:t>存放于</w:t>
            </w:r>
            <w:r>
              <w:rPr>
                <w:rFonts w:hint="eastAsia"/>
                <w:color w:val="auto"/>
                <w:lang w:val="en-US" w:eastAsia="zh-CN"/>
              </w:rPr>
              <w:t>药品室化学品柜内</w:t>
            </w:r>
            <w:r>
              <w:rPr>
                <w:rFonts w:hint="default"/>
                <w:color w:val="auto"/>
                <w:lang w:val="en-US" w:eastAsia="zh-CN"/>
              </w:rPr>
              <w:t>，采用封闭试剂瓶储存，实验之前调取备用，不会挥发</w:t>
            </w:r>
            <w:r>
              <w:rPr>
                <w:rFonts w:hint="eastAsia"/>
                <w:color w:val="auto"/>
                <w:lang w:val="en-US" w:eastAsia="zh-CN"/>
              </w:rPr>
              <w:t>。对当天授课所需的物料由专门人员提前在药品室提取后置于准备室内。对于浓酸、浓碱的稀释，大包装试剂的分装均在准备室内进行。实验准备过程（</w:t>
            </w:r>
            <w:r>
              <w:rPr>
                <w:rFonts w:hint="eastAsia"/>
                <w:b w:val="0"/>
                <w:bCs/>
                <w:color w:val="auto"/>
                <w:sz w:val="24"/>
                <w:szCs w:val="24"/>
                <w:highlight w:val="none"/>
                <w:lang w:val="en-US" w:eastAsia="zh-CN"/>
              </w:rPr>
              <w:t>每次15~30min，本次以20min计</w:t>
            </w:r>
            <w:r>
              <w:rPr>
                <w:rFonts w:hint="eastAsia"/>
                <w:color w:val="auto"/>
                <w:lang w:val="en-US" w:eastAsia="zh-CN"/>
              </w:rPr>
              <w:t>）会产生酸雾，因此要求该过程在准备室的通风橱内进行，通风橱顶自带通风抽排口，集气部分三面围闭，操作过程中通风橱呈负压状态，挥发出来的气体可及时引入风管内。</w:t>
            </w:r>
          </w:p>
          <w:p w14:paraId="2FDEEC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t>本项目共设4个化学实验室，每个化学实验室配套1个准备室，则共配置4个通风橱。根据资料，橱体尺寸约为1.8m×0.9m×2.35m，移门尺寸取1.4m×1m，则单个通风橱柜风量为2772m</w:t>
            </w:r>
            <w:r>
              <w:rPr>
                <w:rFonts w:hint="eastAsia"/>
                <w:color w:val="auto"/>
                <w:vertAlign w:val="superscript"/>
                <w:lang w:val="en-US" w:eastAsia="zh-CN"/>
              </w:rPr>
              <w:t>3</w:t>
            </w:r>
            <w:r>
              <w:rPr>
                <w:rFonts w:hint="eastAsia"/>
                <w:color w:val="auto"/>
                <w:lang w:val="en-US" w:eastAsia="zh-CN"/>
              </w:rPr>
              <w:t>/h，总风量为2772m</w:t>
            </w:r>
            <w:r>
              <w:rPr>
                <w:rFonts w:hint="eastAsia"/>
                <w:color w:val="auto"/>
                <w:vertAlign w:val="superscript"/>
                <w:lang w:val="en-US" w:eastAsia="zh-CN"/>
              </w:rPr>
              <w:t>3</w:t>
            </w:r>
            <w:r>
              <w:rPr>
                <w:rFonts w:hint="eastAsia"/>
                <w:color w:val="auto"/>
                <w:lang w:val="en-US" w:eastAsia="zh-CN"/>
              </w:rPr>
              <w:t>/h×4=11088m</w:t>
            </w:r>
            <w:r>
              <w:rPr>
                <w:rFonts w:hint="eastAsia"/>
                <w:color w:val="auto"/>
                <w:vertAlign w:val="superscript"/>
                <w:lang w:val="en-US" w:eastAsia="zh-CN"/>
              </w:rPr>
              <w:t>3</w:t>
            </w:r>
            <w:r>
              <w:rPr>
                <w:rFonts w:hint="eastAsia"/>
                <w:color w:val="auto"/>
                <w:lang w:val="en-US" w:eastAsia="zh-CN"/>
              </w:rPr>
              <w:t>/h，考虑设备风阻等系数后取整，项目通风橱总风量12000m</w:t>
            </w:r>
            <w:r>
              <w:rPr>
                <w:rFonts w:hint="eastAsia"/>
                <w:color w:val="auto"/>
                <w:vertAlign w:val="superscript"/>
                <w:lang w:val="en-US" w:eastAsia="zh-CN"/>
              </w:rPr>
              <w:t>3</w:t>
            </w:r>
            <w:r>
              <w:rPr>
                <w:rFonts w:hint="eastAsia"/>
                <w:color w:val="auto"/>
                <w:lang w:val="en-US" w:eastAsia="zh-CN"/>
              </w:rPr>
              <w:t>/h。废气经通风橱收集后统一由管道引至室外排放。</w:t>
            </w:r>
          </w:p>
          <w:p w14:paraId="63D02D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rFonts w:hint="default"/>
                <w:color w:val="auto"/>
              </w:rPr>
              <w:t>②</w:t>
            </w:r>
            <w:r>
              <w:rPr>
                <w:rFonts w:hint="eastAsia"/>
                <w:color w:val="auto"/>
                <w:lang w:val="en-US" w:eastAsia="zh-CN"/>
              </w:rPr>
              <w:fldChar w:fldCharType="end"/>
            </w:r>
            <w:r>
              <w:rPr>
                <w:rFonts w:hint="eastAsia"/>
                <w:color w:val="auto"/>
                <w:lang w:val="en-US" w:eastAsia="zh-CN"/>
              </w:rPr>
              <w:t>实验室废气</w:t>
            </w:r>
          </w:p>
          <w:p w14:paraId="6A50B0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学生实验过程中试剂均为准备室配置完成的稀溶液，使用时短时间打开瓶子，使用后立即盖封。实验室设置全面排风系统，主风管敷设吊顶内，每张实验台都设计吸风罩抽走可能产生的实验废气，以保障操作人员的安全，吸风罩抽走的废气引至实验室外排放。</w:t>
            </w:r>
          </w:p>
          <w:p w14:paraId="5BC643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根据《中小学校设计规范》（GB 50099 - 2011），实验室换气次数最小为3次/h，单个实验室尺寸为12m×8.4m×3.9m，则单个实验室风机风量为1179.36m</w:t>
            </w:r>
            <w:r>
              <w:rPr>
                <w:rFonts w:hint="eastAsia"/>
                <w:color w:val="auto"/>
                <w:vertAlign w:val="superscript"/>
                <w:lang w:val="en-US" w:eastAsia="zh-CN"/>
              </w:rPr>
              <w:t>3</w:t>
            </w:r>
            <w:r>
              <w:rPr>
                <w:rFonts w:hint="eastAsia"/>
                <w:color w:val="auto"/>
                <w:lang w:val="en-US" w:eastAsia="zh-CN"/>
              </w:rPr>
              <w:t>/h，4个实验室总风量为4717.44m</w:t>
            </w:r>
            <w:r>
              <w:rPr>
                <w:rFonts w:hint="eastAsia"/>
                <w:color w:val="auto"/>
                <w:vertAlign w:val="superscript"/>
                <w:lang w:val="en-US" w:eastAsia="zh-CN"/>
              </w:rPr>
              <w:t>3</w:t>
            </w:r>
            <w:r>
              <w:rPr>
                <w:rFonts w:hint="eastAsia"/>
                <w:color w:val="auto"/>
                <w:lang w:val="en-US" w:eastAsia="zh-CN"/>
              </w:rPr>
              <w:t>/h，考虑设备风阻等系数后取整，项目实验室风机总风量5000m</w:t>
            </w:r>
            <w:r>
              <w:rPr>
                <w:rFonts w:hint="eastAsia"/>
                <w:color w:val="auto"/>
                <w:vertAlign w:val="superscript"/>
                <w:lang w:val="en-US" w:eastAsia="zh-CN"/>
              </w:rPr>
              <w:t>3</w:t>
            </w:r>
            <w:r>
              <w:rPr>
                <w:rFonts w:hint="eastAsia"/>
                <w:color w:val="auto"/>
                <w:lang w:val="en-US" w:eastAsia="zh-CN"/>
              </w:rPr>
              <w:t>/h。</w:t>
            </w:r>
          </w:p>
          <w:p w14:paraId="3B906A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4.5.2污染物排放情况</w:t>
            </w:r>
          </w:p>
          <w:p w14:paraId="7C309B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olor w:val="auto"/>
                <w:highlight w:val="none"/>
                <w:lang w:val="en-US" w:eastAsia="zh-CN"/>
              </w:rPr>
            </w:pPr>
            <w:r>
              <w:rPr>
                <w:rFonts w:hint="eastAsia"/>
                <w:color w:val="auto"/>
                <w:highlight w:val="none"/>
                <w:lang w:val="en-US" w:eastAsia="zh-CN"/>
              </w:rPr>
              <w:t>污染物排放情况见下表。</w:t>
            </w:r>
          </w:p>
          <w:p w14:paraId="7D5D95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highlight w:val="none"/>
                <w:lang w:val="en-US" w:eastAsia="zh-CN"/>
              </w:rPr>
            </w:pPr>
            <w:r>
              <w:rPr>
                <w:rFonts w:hint="eastAsia"/>
                <w:b/>
                <w:bCs/>
                <w:color w:val="auto"/>
                <w:sz w:val="21"/>
                <w:szCs w:val="18"/>
                <w:highlight w:val="none"/>
                <w:lang w:val="en-US" w:eastAsia="zh-CN"/>
              </w:rPr>
              <w:t>表4-2 本项目废气污染物产生及排放情况一览表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505"/>
              <w:gridCol w:w="658"/>
              <w:gridCol w:w="660"/>
              <w:gridCol w:w="371"/>
              <w:gridCol w:w="1786"/>
              <w:gridCol w:w="657"/>
              <w:gridCol w:w="514"/>
              <w:gridCol w:w="551"/>
              <w:gridCol w:w="500"/>
              <w:gridCol w:w="1800"/>
            </w:tblGrid>
            <w:tr w14:paraId="32922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321" w:type="pct"/>
                  <w:vMerge w:val="restart"/>
                  <w:tcBorders>
                    <w:tl2br w:val="nil"/>
                    <w:tr2bl w:val="nil"/>
                  </w:tcBorders>
                  <w:vAlign w:val="center"/>
                </w:tcPr>
                <w:p w14:paraId="5F243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产排污环节</w:t>
                  </w:r>
                </w:p>
              </w:tc>
              <w:tc>
                <w:tcPr>
                  <w:tcW w:w="331" w:type="pct"/>
                  <w:vMerge w:val="restart"/>
                  <w:tcBorders>
                    <w:tl2br w:val="nil"/>
                    <w:tr2bl w:val="nil"/>
                  </w:tcBorders>
                  <w:vAlign w:val="center"/>
                </w:tcPr>
                <w:p w14:paraId="1CAA6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843" w:type="pct"/>
                  <w:gridSpan w:val="2"/>
                  <w:tcBorders>
                    <w:tl2br w:val="nil"/>
                    <w:tr2bl w:val="nil"/>
                  </w:tcBorders>
                  <w:vAlign w:val="center"/>
                </w:tcPr>
                <w:p w14:paraId="4F219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w:t>
                  </w:r>
                </w:p>
              </w:tc>
              <w:tc>
                <w:tcPr>
                  <w:tcW w:w="252" w:type="pct"/>
                  <w:vMerge w:val="restart"/>
                  <w:tcBorders>
                    <w:tl2br w:val="nil"/>
                    <w:tr2bl w:val="nil"/>
                  </w:tcBorders>
                  <w:vAlign w:val="center"/>
                </w:tcPr>
                <w:p w14:paraId="3023D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排放形式</w:t>
                  </w:r>
                </w:p>
              </w:tc>
              <w:tc>
                <w:tcPr>
                  <w:tcW w:w="1085" w:type="pct"/>
                  <w:vMerge w:val="restart"/>
                  <w:tcBorders>
                    <w:tl2br w:val="nil"/>
                    <w:tr2bl w:val="nil"/>
                  </w:tcBorders>
                  <w:vAlign w:val="center"/>
                </w:tcPr>
                <w:p w14:paraId="12EE8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113" w:type="pct"/>
                  <w:gridSpan w:val="3"/>
                  <w:tcBorders>
                    <w:tl2br w:val="nil"/>
                    <w:tr2bl w:val="nil"/>
                  </w:tcBorders>
                  <w:vAlign w:val="center"/>
                </w:tcPr>
                <w:p w14:paraId="7E649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tc>
              <w:tc>
                <w:tcPr>
                  <w:tcW w:w="327" w:type="pct"/>
                  <w:vMerge w:val="restart"/>
                  <w:tcBorders>
                    <w:tl2br w:val="nil"/>
                    <w:tr2bl w:val="nil"/>
                  </w:tcBorders>
                  <w:vAlign w:val="center"/>
                </w:tcPr>
                <w:p w14:paraId="14586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时间h</w:t>
                  </w:r>
                </w:p>
              </w:tc>
              <w:tc>
                <w:tcPr>
                  <w:tcW w:w="725" w:type="pct"/>
                  <w:vMerge w:val="restart"/>
                  <w:tcBorders>
                    <w:tl2br w:val="nil"/>
                    <w:tr2bl w:val="nil"/>
                  </w:tcBorders>
                  <w:vAlign w:val="center"/>
                </w:tcPr>
                <w:p w14:paraId="1AE2D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排放标准mg/m</w:t>
                  </w:r>
                  <w:r>
                    <w:rPr>
                      <w:rFonts w:hint="default" w:ascii="Times New Roman" w:hAnsi="Times New Roman" w:eastAsia="宋体" w:cs="Times New Roman"/>
                      <w:color w:val="auto"/>
                      <w:sz w:val="21"/>
                      <w:szCs w:val="21"/>
                      <w:vertAlign w:val="superscript"/>
                    </w:rPr>
                    <w:t>3</w:t>
                  </w:r>
                </w:p>
              </w:tc>
            </w:tr>
            <w:tr w14:paraId="06F8A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321" w:type="pct"/>
                  <w:vMerge w:val="continue"/>
                  <w:tcBorders>
                    <w:tl2br w:val="nil"/>
                    <w:tr2bl w:val="nil"/>
                  </w:tcBorders>
                  <w:vAlign w:val="center"/>
                </w:tcPr>
                <w:p w14:paraId="59B5A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331" w:type="pct"/>
                  <w:vMerge w:val="continue"/>
                  <w:tcBorders>
                    <w:tl2br w:val="nil"/>
                    <w:tr2bl w:val="nil"/>
                  </w:tcBorders>
                  <w:vAlign w:val="center"/>
                </w:tcPr>
                <w:p w14:paraId="58020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421" w:type="pct"/>
                  <w:tcBorders>
                    <w:tl2br w:val="nil"/>
                    <w:tr2bl w:val="nil"/>
                  </w:tcBorders>
                  <w:vAlign w:val="center"/>
                </w:tcPr>
                <w:p w14:paraId="5A919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421" w:type="pct"/>
                  <w:tcBorders>
                    <w:tl2br w:val="nil"/>
                    <w:tr2bl w:val="nil"/>
                  </w:tcBorders>
                  <w:vAlign w:val="center"/>
                </w:tcPr>
                <w:p w14:paraId="40E3E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p w14:paraId="0538A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kg</w:t>
                  </w:r>
                  <w:r>
                    <w:rPr>
                      <w:rFonts w:hint="default" w:ascii="Times New Roman" w:hAnsi="Times New Roman" w:eastAsia="宋体" w:cs="Times New Roman"/>
                      <w:color w:val="auto"/>
                      <w:sz w:val="21"/>
                      <w:szCs w:val="21"/>
                    </w:rPr>
                    <w:t>/a</w:t>
                  </w:r>
                </w:p>
              </w:tc>
              <w:tc>
                <w:tcPr>
                  <w:tcW w:w="252" w:type="pct"/>
                  <w:vMerge w:val="continue"/>
                  <w:tcBorders>
                    <w:tl2br w:val="nil"/>
                    <w:tr2bl w:val="nil"/>
                  </w:tcBorders>
                  <w:vAlign w:val="center"/>
                </w:tcPr>
                <w:p w14:paraId="5A0CA2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1085" w:type="pct"/>
                  <w:vMerge w:val="continue"/>
                  <w:tcBorders>
                    <w:tl2br w:val="nil"/>
                    <w:tr2bl w:val="nil"/>
                  </w:tcBorders>
                  <w:vAlign w:val="center"/>
                </w:tcPr>
                <w:p w14:paraId="4FE9D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420" w:type="pct"/>
                  <w:tcBorders>
                    <w:tl2br w:val="nil"/>
                    <w:tr2bl w:val="nil"/>
                  </w:tcBorders>
                  <w:vAlign w:val="center"/>
                </w:tcPr>
                <w:p w14:paraId="4314C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336" w:type="pct"/>
                  <w:tcBorders>
                    <w:tl2br w:val="nil"/>
                    <w:tr2bl w:val="nil"/>
                  </w:tcBorders>
                  <w:vAlign w:val="center"/>
                </w:tcPr>
                <w:p w14:paraId="2528C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355" w:type="pct"/>
                  <w:tcBorders>
                    <w:tl2br w:val="nil"/>
                    <w:tr2bl w:val="nil"/>
                  </w:tcBorders>
                  <w:vAlign w:val="center"/>
                </w:tcPr>
                <w:p w14:paraId="0FC9B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r>
                    <w:rPr>
                      <w:rFonts w:hint="default" w:ascii="Times New Roman" w:hAnsi="Times New Roman" w:eastAsia="宋体" w:cs="Times New Roman"/>
                      <w:color w:val="auto"/>
                      <w:sz w:val="21"/>
                      <w:szCs w:val="21"/>
                      <w:lang w:val="en-US" w:eastAsia="zh-CN"/>
                    </w:rPr>
                    <w:t>kg</w:t>
                  </w:r>
                  <w:r>
                    <w:rPr>
                      <w:rFonts w:hint="default" w:ascii="Times New Roman" w:hAnsi="Times New Roman" w:eastAsia="宋体" w:cs="Times New Roman"/>
                      <w:color w:val="auto"/>
                      <w:sz w:val="21"/>
                      <w:szCs w:val="21"/>
                    </w:rPr>
                    <w:t>/a</w:t>
                  </w:r>
                </w:p>
              </w:tc>
              <w:tc>
                <w:tcPr>
                  <w:tcW w:w="327" w:type="pct"/>
                  <w:vMerge w:val="continue"/>
                  <w:tcBorders>
                    <w:tl2br w:val="nil"/>
                    <w:tr2bl w:val="nil"/>
                  </w:tcBorders>
                  <w:vAlign w:val="center"/>
                </w:tcPr>
                <w:p w14:paraId="22C10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725" w:type="pct"/>
                  <w:vMerge w:val="continue"/>
                  <w:tcBorders>
                    <w:tl2br w:val="nil"/>
                    <w:tr2bl w:val="nil"/>
                  </w:tcBorders>
                  <w:vAlign w:val="center"/>
                </w:tcPr>
                <w:p w14:paraId="22385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rPr>
                  </w:pPr>
                </w:p>
              </w:tc>
            </w:tr>
            <w:tr w14:paraId="18E3F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321" w:type="pct"/>
                  <w:vMerge w:val="restart"/>
                  <w:tcBorders>
                    <w:tl2br w:val="nil"/>
                    <w:tr2bl w:val="nil"/>
                  </w:tcBorders>
                  <w:vAlign w:val="center"/>
                </w:tcPr>
                <w:p w14:paraId="1D7EA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实验准备室</w:t>
                  </w:r>
                </w:p>
              </w:tc>
              <w:tc>
                <w:tcPr>
                  <w:tcW w:w="331" w:type="pct"/>
                  <w:tcBorders>
                    <w:tl2br w:val="nil"/>
                    <w:tr2bl w:val="nil"/>
                  </w:tcBorders>
                  <w:vAlign w:val="center"/>
                </w:tcPr>
                <w:p w14:paraId="33B60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盐酸雾</w:t>
                  </w:r>
                </w:p>
              </w:tc>
              <w:tc>
                <w:tcPr>
                  <w:tcW w:w="421" w:type="pct"/>
                  <w:tcBorders>
                    <w:tl2br w:val="nil"/>
                    <w:tr2bl w:val="nil"/>
                  </w:tcBorders>
                  <w:vAlign w:val="center"/>
                </w:tcPr>
                <w:p w14:paraId="4A920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1" w:type="pct"/>
                  <w:tcBorders>
                    <w:tl2br w:val="nil"/>
                    <w:tr2bl w:val="nil"/>
                  </w:tcBorders>
                  <w:vAlign w:val="center"/>
                </w:tcPr>
                <w:p w14:paraId="19472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w:t>
                  </w:r>
                </w:p>
              </w:tc>
              <w:tc>
                <w:tcPr>
                  <w:tcW w:w="252" w:type="pct"/>
                  <w:vMerge w:val="restart"/>
                  <w:tcBorders>
                    <w:tl2br w:val="nil"/>
                    <w:tr2bl w:val="nil"/>
                  </w:tcBorders>
                  <w:vAlign w:val="center"/>
                </w:tcPr>
                <w:p w14:paraId="0674E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085" w:type="pct"/>
                  <w:vMerge w:val="restart"/>
                  <w:tcBorders>
                    <w:tl2br w:val="nil"/>
                    <w:tr2bl w:val="nil"/>
                  </w:tcBorders>
                  <w:vAlign w:val="center"/>
                </w:tcPr>
                <w:p w14:paraId="71808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化学实验准备室设通风橱，</w:t>
                  </w:r>
                  <w:r>
                    <w:rPr>
                      <w:rFonts w:hint="default" w:ascii="Times New Roman" w:hAnsi="Times New Roman" w:eastAsia="宋体" w:cs="Times New Roman"/>
                      <w:color w:val="auto"/>
                      <w:sz w:val="21"/>
                      <w:szCs w:val="21"/>
                      <w:lang w:val="en-US" w:eastAsia="zh-CN"/>
                    </w:rPr>
                    <w:t>通风橱</w:t>
                  </w:r>
                  <w:r>
                    <w:rPr>
                      <w:rFonts w:hint="eastAsia" w:ascii="Times New Roman" w:hAnsi="Times New Roman" w:eastAsia="宋体" w:cs="Times New Roman"/>
                      <w:color w:val="auto"/>
                      <w:sz w:val="21"/>
                      <w:szCs w:val="21"/>
                      <w:lang w:val="en-US" w:eastAsia="zh-CN"/>
                    </w:rPr>
                    <w:t>内挥发</w:t>
                  </w:r>
                  <w:r>
                    <w:rPr>
                      <w:rFonts w:hint="default" w:ascii="Times New Roman" w:hAnsi="Times New Roman" w:eastAsia="宋体"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收集后引至室外排放</w:t>
                  </w:r>
                </w:p>
              </w:tc>
              <w:tc>
                <w:tcPr>
                  <w:tcW w:w="420" w:type="pct"/>
                  <w:tcBorders>
                    <w:tl2br w:val="nil"/>
                    <w:tr2bl w:val="nil"/>
                  </w:tcBorders>
                  <w:vAlign w:val="center"/>
                </w:tcPr>
                <w:p w14:paraId="5C1F5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6" w:type="pct"/>
                  <w:tcBorders>
                    <w:tl2br w:val="nil"/>
                    <w:tr2bl w:val="nil"/>
                  </w:tcBorders>
                  <w:vAlign w:val="center"/>
                </w:tcPr>
                <w:p w14:paraId="69594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55" w:type="pct"/>
                  <w:tcBorders>
                    <w:tl2br w:val="nil"/>
                    <w:tr2bl w:val="nil"/>
                  </w:tcBorders>
                  <w:vAlign w:val="center"/>
                </w:tcPr>
                <w:p w14:paraId="419F2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w:t>
                  </w:r>
                </w:p>
              </w:tc>
              <w:tc>
                <w:tcPr>
                  <w:tcW w:w="327" w:type="pct"/>
                  <w:vMerge w:val="restart"/>
                  <w:tcBorders>
                    <w:tl2br w:val="nil"/>
                    <w:tr2bl w:val="nil"/>
                  </w:tcBorders>
                  <w:vAlign w:val="center"/>
                </w:tcPr>
                <w:p w14:paraId="0D945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w:t>
                  </w:r>
                </w:p>
              </w:tc>
              <w:tc>
                <w:tcPr>
                  <w:tcW w:w="725" w:type="pct"/>
                  <w:vMerge w:val="restart"/>
                  <w:tcBorders>
                    <w:tl2br w:val="nil"/>
                    <w:tr2bl w:val="nil"/>
                  </w:tcBorders>
                  <w:vAlign w:val="center"/>
                </w:tcPr>
                <w:p w14:paraId="2BBF5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w:t>
                  </w:r>
                </w:p>
                <w:p w14:paraId="576A1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排放标准》（GB16297-1996）表2中二级标准</w:t>
                  </w:r>
                </w:p>
              </w:tc>
            </w:tr>
            <w:tr w14:paraId="5C748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21" w:type="pct"/>
                  <w:vMerge w:val="continue"/>
                  <w:tcBorders>
                    <w:tl2br w:val="nil"/>
                    <w:tr2bl w:val="nil"/>
                  </w:tcBorders>
                  <w:vAlign w:val="center"/>
                </w:tcPr>
                <w:p w14:paraId="477FD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p>
              </w:tc>
              <w:tc>
                <w:tcPr>
                  <w:tcW w:w="331" w:type="pct"/>
                  <w:tcBorders>
                    <w:tl2br w:val="nil"/>
                    <w:tr2bl w:val="nil"/>
                  </w:tcBorders>
                  <w:vAlign w:val="center"/>
                </w:tcPr>
                <w:p w14:paraId="7FA59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421" w:type="pct"/>
                  <w:tcBorders>
                    <w:tl2br w:val="nil"/>
                    <w:tr2bl w:val="nil"/>
                  </w:tcBorders>
                  <w:vAlign w:val="center"/>
                </w:tcPr>
                <w:p w14:paraId="29DBA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1" w:type="pct"/>
                  <w:tcBorders>
                    <w:tl2br w:val="nil"/>
                    <w:tr2bl w:val="nil"/>
                  </w:tcBorders>
                  <w:vAlign w:val="center"/>
                </w:tcPr>
                <w:p w14:paraId="2688D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w:t>
                  </w:r>
                </w:p>
              </w:tc>
              <w:tc>
                <w:tcPr>
                  <w:tcW w:w="252" w:type="pct"/>
                  <w:vMerge w:val="continue"/>
                  <w:tcBorders>
                    <w:tl2br w:val="nil"/>
                    <w:tr2bl w:val="nil"/>
                  </w:tcBorders>
                  <w:vAlign w:val="center"/>
                </w:tcPr>
                <w:p w14:paraId="6D55C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p>
              </w:tc>
              <w:tc>
                <w:tcPr>
                  <w:tcW w:w="1085" w:type="pct"/>
                  <w:vMerge w:val="continue"/>
                  <w:tcBorders>
                    <w:tl2br w:val="nil"/>
                    <w:tr2bl w:val="nil"/>
                  </w:tcBorders>
                  <w:vAlign w:val="center"/>
                </w:tcPr>
                <w:p w14:paraId="742DF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p>
              </w:tc>
              <w:tc>
                <w:tcPr>
                  <w:tcW w:w="420" w:type="pct"/>
                  <w:tcBorders>
                    <w:tl2br w:val="nil"/>
                    <w:tr2bl w:val="nil"/>
                  </w:tcBorders>
                  <w:vAlign w:val="center"/>
                </w:tcPr>
                <w:p w14:paraId="7B3C3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6" w:type="pct"/>
                  <w:tcBorders>
                    <w:tl2br w:val="nil"/>
                    <w:tr2bl w:val="nil"/>
                  </w:tcBorders>
                  <w:vAlign w:val="center"/>
                </w:tcPr>
                <w:p w14:paraId="4DD42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55" w:type="pct"/>
                  <w:tcBorders>
                    <w:tl2br w:val="nil"/>
                    <w:tr2bl w:val="nil"/>
                  </w:tcBorders>
                  <w:vAlign w:val="center"/>
                </w:tcPr>
                <w:p w14:paraId="52362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w:t>
                  </w:r>
                </w:p>
              </w:tc>
              <w:tc>
                <w:tcPr>
                  <w:tcW w:w="327" w:type="pct"/>
                  <w:vMerge w:val="continue"/>
                  <w:tcBorders>
                    <w:tl2br w:val="nil"/>
                    <w:tr2bl w:val="nil"/>
                  </w:tcBorders>
                  <w:vAlign w:val="center"/>
                </w:tcPr>
                <w:p w14:paraId="61E66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725" w:type="pct"/>
                  <w:vMerge w:val="continue"/>
                  <w:tcBorders>
                    <w:tl2br w:val="nil"/>
                    <w:tr2bl w:val="nil"/>
                  </w:tcBorders>
                  <w:vAlign w:val="center"/>
                </w:tcPr>
                <w:p w14:paraId="287E2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rPr>
                  </w:pPr>
                </w:p>
              </w:tc>
            </w:tr>
            <w:tr w14:paraId="220C6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98" w:hRule="atLeast"/>
                <w:jc w:val="center"/>
              </w:trPr>
              <w:tc>
                <w:tcPr>
                  <w:tcW w:w="321" w:type="pct"/>
                  <w:tcBorders>
                    <w:tl2br w:val="nil"/>
                    <w:tr2bl w:val="nil"/>
                  </w:tcBorders>
                  <w:vAlign w:val="center"/>
                </w:tcPr>
                <w:p w14:paraId="55A19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331" w:type="pct"/>
                  <w:tcBorders>
                    <w:tl2br w:val="nil"/>
                    <w:tr2bl w:val="nil"/>
                  </w:tcBorders>
                  <w:vAlign w:val="center"/>
                </w:tcPr>
                <w:p w14:paraId="3AD1C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盐酸雾、硫酸雾</w:t>
                  </w:r>
                </w:p>
              </w:tc>
              <w:tc>
                <w:tcPr>
                  <w:tcW w:w="843" w:type="pct"/>
                  <w:gridSpan w:val="2"/>
                  <w:tcBorders>
                    <w:tl2br w:val="nil"/>
                    <w:tr2bl w:val="nil"/>
                  </w:tcBorders>
                  <w:vAlign w:val="center"/>
                </w:tcPr>
                <w:p w14:paraId="4083F9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252" w:type="pct"/>
                  <w:tcBorders>
                    <w:tl2br w:val="nil"/>
                    <w:tr2bl w:val="nil"/>
                  </w:tcBorders>
                  <w:vAlign w:val="center"/>
                </w:tcPr>
                <w:p w14:paraId="0DFCB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085" w:type="pct"/>
                  <w:tcBorders>
                    <w:tl2br w:val="nil"/>
                    <w:tr2bl w:val="nil"/>
                  </w:tcBorders>
                  <w:vAlign w:val="center"/>
                </w:tcPr>
                <w:p w14:paraId="6A479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实验室设置全面排风系统，每个试验台设集气罩，废气收集后引至室外排放</w:t>
                  </w:r>
                </w:p>
              </w:tc>
              <w:tc>
                <w:tcPr>
                  <w:tcW w:w="1113" w:type="pct"/>
                  <w:gridSpan w:val="3"/>
                  <w:tcBorders>
                    <w:tl2br w:val="nil"/>
                    <w:tr2bl w:val="nil"/>
                  </w:tcBorders>
                  <w:vAlign w:val="center"/>
                </w:tcPr>
                <w:p w14:paraId="421B4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327" w:type="pct"/>
                  <w:vMerge w:val="continue"/>
                  <w:tcBorders>
                    <w:tl2br w:val="nil"/>
                    <w:tr2bl w:val="nil"/>
                  </w:tcBorders>
                  <w:vAlign w:val="center"/>
                </w:tcPr>
                <w:p w14:paraId="77F89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rPr>
                  </w:pPr>
                </w:p>
              </w:tc>
              <w:tc>
                <w:tcPr>
                  <w:tcW w:w="725" w:type="pct"/>
                  <w:vMerge w:val="continue"/>
                  <w:tcBorders>
                    <w:tl2br w:val="nil"/>
                    <w:tr2bl w:val="nil"/>
                  </w:tcBorders>
                  <w:vAlign w:val="center"/>
                </w:tcPr>
                <w:p w14:paraId="12C1F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72" w:leftChars="-30" w:right="-72" w:rightChars="-30"/>
                    <w:jc w:val="center"/>
                    <w:textAlignment w:val="auto"/>
                    <w:rPr>
                      <w:rFonts w:hint="default" w:ascii="Times New Roman" w:hAnsi="Times New Roman" w:eastAsia="宋体" w:cs="Times New Roman"/>
                      <w:color w:val="auto"/>
                      <w:sz w:val="21"/>
                      <w:szCs w:val="21"/>
                    </w:rPr>
                  </w:pPr>
                </w:p>
              </w:tc>
            </w:tr>
          </w:tbl>
          <w:p w14:paraId="380C3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b/>
                <w:bCs/>
                <w:color w:val="auto"/>
                <w:lang w:val="en-US" w:eastAsia="zh-CN"/>
              </w:rPr>
            </w:pPr>
            <w:r>
              <w:rPr>
                <w:rFonts w:hint="eastAsia"/>
                <w:b/>
                <w:bCs/>
                <w:color w:val="auto"/>
                <w:lang w:val="en-US" w:eastAsia="zh-CN"/>
              </w:rPr>
              <w:t>4.6废水</w:t>
            </w:r>
          </w:p>
          <w:p w14:paraId="0BBD97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eastAsia"/>
                <w:color w:val="auto"/>
                <w:lang w:val="en-US" w:eastAsia="zh-CN"/>
              </w:rPr>
              <w:t>4.6.1废水污染源</w:t>
            </w:r>
          </w:p>
          <w:p w14:paraId="541810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lang w:val="en-US" w:eastAsia="zh-CN"/>
              </w:rPr>
            </w:pPr>
            <w:r>
              <w:rPr>
                <w:rFonts w:hint="default"/>
                <w:color w:val="auto"/>
                <w:lang w:val="en-US" w:eastAsia="zh-CN"/>
              </w:rPr>
              <w:t>本项目产生的废水主要为生活污水和实验废水。</w:t>
            </w:r>
          </w:p>
          <w:p w14:paraId="528059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lang w:val="en-US" w:eastAsia="zh-CN"/>
              </w:rPr>
            </w:pPr>
            <w:r>
              <w:rPr>
                <w:rFonts w:hint="eastAsia"/>
                <w:color w:val="auto"/>
                <w:lang w:val="en-US" w:eastAsia="zh-CN"/>
              </w:rPr>
              <w:t>（1）生活污水</w:t>
            </w:r>
          </w:p>
          <w:p w14:paraId="74D3F0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highlight w:val="none"/>
                <w:lang w:val="en-US" w:eastAsia="zh-CN"/>
              </w:rPr>
            </w:pPr>
            <w:r>
              <w:rPr>
                <w:rFonts w:hint="default"/>
                <w:color w:val="auto"/>
                <w:lang w:val="en-US" w:eastAsia="zh-CN"/>
              </w:rPr>
              <w:t>生活污水的产生量按用水量的 80%计算，则生活污水排放量为</w:t>
            </w:r>
            <w:r>
              <w:rPr>
                <w:rFonts w:hint="eastAsia"/>
                <w:color w:val="auto"/>
                <w:lang w:val="en-US" w:eastAsia="zh-CN"/>
              </w:rPr>
              <w:t>41.66t/</w:t>
            </w:r>
            <w:r>
              <w:rPr>
                <w:rFonts w:hint="default"/>
                <w:color w:val="auto"/>
                <w:lang w:val="en-US" w:eastAsia="zh-CN"/>
              </w:rPr>
              <w:t>d（</w:t>
            </w:r>
            <w:r>
              <w:rPr>
                <w:rFonts w:hint="eastAsia"/>
                <w:color w:val="auto"/>
                <w:lang w:val="en-US" w:eastAsia="zh-CN"/>
              </w:rPr>
              <w:t>8249.6t</w:t>
            </w:r>
            <w:r>
              <w:rPr>
                <w:rFonts w:hint="default"/>
                <w:color w:val="auto"/>
                <w:lang w:val="en-US" w:eastAsia="zh-CN"/>
              </w:rPr>
              <w:t>/a），通过市政管网进入</w:t>
            </w:r>
            <w:r>
              <w:rPr>
                <w:rFonts w:hint="default"/>
                <w:color w:val="auto"/>
                <w:highlight w:val="none"/>
                <w:lang w:val="en-US" w:eastAsia="zh-CN"/>
              </w:rPr>
              <w:t>长治市</w:t>
            </w:r>
            <w:r>
              <w:rPr>
                <w:rFonts w:hint="eastAsia"/>
                <w:color w:val="auto"/>
                <w:highlight w:val="none"/>
                <w:lang w:val="en-US" w:eastAsia="zh-CN"/>
              </w:rPr>
              <w:t>屯留县城区污水处理厂</w:t>
            </w:r>
            <w:r>
              <w:rPr>
                <w:rFonts w:hint="default"/>
                <w:color w:val="auto"/>
                <w:highlight w:val="none"/>
                <w:lang w:val="en-US" w:eastAsia="zh-CN"/>
              </w:rPr>
              <w:t>处理。</w:t>
            </w:r>
          </w:p>
          <w:p w14:paraId="7698EC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lang w:val="en-US" w:eastAsia="zh-CN"/>
              </w:rPr>
            </w:pPr>
            <w:r>
              <w:rPr>
                <w:rFonts w:hint="default"/>
                <w:color w:val="auto"/>
                <w:lang w:val="en-US" w:eastAsia="zh-CN"/>
              </w:rPr>
              <w:t>参考环境保护部环境工程技术评估中心编制《环境影响评价（社会区域类）》教材并结合本项目实际情况，生活污水污染物浓度和污染负荷见下表</w:t>
            </w:r>
            <w:r>
              <w:rPr>
                <w:rFonts w:hint="eastAsia"/>
                <w:color w:val="auto"/>
                <w:lang w:val="en-US" w:eastAsia="zh-CN"/>
              </w:rPr>
              <w:t>。</w:t>
            </w:r>
          </w:p>
          <w:p w14:paraId="19AB40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表4-3 生活污水产排情况一览表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1429"/>
              <w:gridCol w:w="1003"/>
              <w:gridCol w:w="1464"/>
              <w:gridCol w:w="1003"/>
              <w:gridCol w:w="1536"/>
            </w:tblGrid>
            <w:tr w14:paraId="50D25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211" w:type="pct"/>
                  <w:tcBorders>
                    <w:tl2br w:val="nil"/>
                    <w:tr2bl w:val="nil"/>
                  </w:tcBorders>
                  <w:noWrap/>
                  <w:vAlign w:val="center"/>
                </w:tcPr>
                <w:p w14:paraId="7C4C9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项目</w:t>
                  </w:r>
                </w:p>
              </w:tc>
              <w:tc>
                <w:tcPr>
                  <w:tcW w:w="841" w:type="pct"/>
                  <w:tcBorders>
                    <w:tl2br w:val="nil"/>
                    <w:tr2bl w:val="nil"/>
                  </w:tcBorders>
                  <w:noWrap/>
                  <w:vAlign w:val="center"/>
                </w:tcPr>
                <w:p w14:paraId="3C7ED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指标</w:t>
                  </w:r>
                </w:p>
              </w:tc>
              <w:tc>
                <w:tcPr>
                  <w:tcW w:w="590" w:type="pct"/>
                  <w:tcBorders>
                    <w:tl2br w:val="nil"/>
                    <w:tr2bl w:val="nil"/>
                  </w:tcBorders>
                  <w:noWrap/>
                  <w:vAlign w:val="center"/>
                </w:tcPr>
                <w:p w14:paraId="0FA5D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14:paraId="3FDE6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861" w:type="pct"/>
                  <w:tcBorders>
                    <w:tl2br w:val="nil"/>
                    <w:tr2bl w:val="nil"/>
                  </w:tcBorders>
                  <w:noWrap/>
                  <w:vAlign w:val="center"/>
                </w:tcPr>
                <w:p w14:paraId="48399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（mg/L）</w:t>
                  </w:r>
                </w:p>
              </w:tc>
              <w:tc>
                <w:tcPr>
                  <w:tcW w:w="590" w:type="pct"/>
                  <w:tcBorders>
                    <w:tl2br w:val="nil"/>
                    <w:tr2bl w:val="nil"/>
                  </w:tcBorders>
                  <w:noWrap/>
                  <w:vAlign w:val="center"/>
                </w:tcPr>
                <w:p w14:paraId="73CD7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14:paraId="40A56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04" w:type="pct"/>
                  <w:tcBorders>
                    <w:tl2br w:val="nil"/>
                    <w:tr2bl w:val="nil"/>
                  </w:tcBorders>
                  <w:noWrap/>
                  <w:vAlign w:val="center"/>
                </w:tcPr>
                <w:p w14:paraId="06EB5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-N（mg/L）</w:t>
                  </w:r>
                </w:p>
              </w:tc>
            </w:tr>
            <w:tr w14:paraId="5202C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211" w:type="pct"/>
                  <w:vMerge w:val="restart"/>
                  <w:tcBorders>
                    <w:tl2br w:val="nil"/>
                    <w:tr2bl w:val="nil"/>
                  </w:tcBorders>
                  <w:noWrap/>
                  <w:vAlign w:val="center"/>
                </w:tcPr>
                <w:p w14:paraId="02380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8249.6</w:t>
                  </w:r>
                  <w:r>
                    <w:rPr>
                      <w:rFonts w:hint="default" w:ascii="Times New Roman" w:hAnsi="Times New Roman" w:eastAsia="宋体" w:cs="Times New Roman"/>
                      <w:color w:val="auto"/>
                      <w:sz w:val="21"/>
                      <w:szCs w:val="21"/>
                      <w:lang w:val="en-US" w:eastAsia="zh-CN"/>
                    </w:rPr>
                    <w:t>t/a）</w:t>
                  </w:r>
                </w:p>
              </w:tc>
              <w:tc>
                <w:tcPr>
                  <w:tcW w:w="841" w:type="pct"/>
                  <w:tcBorders>
                    <w:tl2br w:val="nil"/>
                    <w:tr2bl w:val="nil"/>
                  </w:tcBorders>
                  <w:noWrap/>
                  <w:vAlign w:val="center"/>
                </w:tcPr>
                <w:p w14:paraId="297D3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产生浓度mg/L</w:t>
                  </w:r>
                </w:p>
              </w:tc>
              <w:tc>
                <w:tcPr>
                  <w:tcW w:w="590" w:type="pct"/>
                  <w:tcBorders>
                    <w:tl2br w:val="nil"/>
                    <w:tr2bl w:val="nil"/>
                  </w:tcBorders>
                  <w:noWrap/>
                  <w:vAlign w:val="center"/>
                </w:tcPr>
                <w:p w14:paraId="56F26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861" w:type="pct"/>
                  <w:tcBorders>
                    <w:tl2br w:val="nil"/>
                    <w:tr2bl w:val="nil"/>
                  </w:tcBorders>
                  <w:noWrap/>
                  <w:vAlign w:val="center"/>
                </w:tcPr>
                <w:p w14:paraId="1885E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590" w:type="pct"/>
                  <w:tcBorders>
                    <w:tl2br w:val="nil"/>
                    <w:tr2bl w:val="nil"/>
                  </w:tcBorders>
                  <w:noWrap/>
                  <w:vAlign w:val="center"/>
                </w:tcPr>
                <w:p w14:paraId="7453D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904" w:type="pct"/>
                  <w:tcBorders>
                    <w:tl2br w:val="nil"/>
                    <w:tr2bl w:val="nil"/>
                  </w:tcBorders>
                  <w:noWrap/>
                  <w:vAlign w:val="center"/>
                </w:tcPr>
                <w:p w14:paraId="06078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r w14:paraId="0D3AB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1211" w:type="pct"/>
                  <w:vMerge w:val="continue"/>
                  <w:tcBorders>
                    <w:tl2br w:val="nil"/>
                    <w:tr2bl w:val="nil"/>
                  </w:tcBorders>
                  <w:noWrap/>
                  <w:vAlign w:val="center"/>
                </w:tcPr>
                <w:p w14:paraId="496F4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841" w:type="pct"/>
                  <w:tcBorders>
                    <w:tl2br w:val="nil"/>
                    <w:tr2bl w:val="nil"/>
                  </w:tcBorders>
                  <w:noWrap/>
                  <w:vAlign w:val="center"/>
                </w:tcPr>
                <w:p w14:paraId="13936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产生量t/a</w:t>
                  </w:r>
                </w:p>
              </w:tc>
              <w:tc>
                <w:tcPr>
                  <w:tcW w:w="590" w:type="pct"/>
                  <w:tcBorders>
                    <w:tl2br w:val="nil"/>
                    <w:tr2bl w:val="nil"/>
                  </w:tcBorders>
                  <w:noWrap/>
                  <w:vAlign w:val="center"/>
                </w:tcPr>
                <w:p w14:paraId="0E149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2.475</w:t>
                  </w:r>
                </w:p>
              </w:tc>
              <w:tc>
                <w:tcPr>
                  <w:tcW w:w="861" w:type="pct"/>
                  <w:tcBorders>
                    <w:tl2br w:val="nil"/>
                    <w:tr2bl w:val="nil"/>
                  </w:tcBorders>
                  <w:noWrap/>
                  <w:vAlign w:val="center"/>
                </w:tcPr>
                <w:p w14:paraId="6CCFA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1.650</w:t>
                  </w:r>
                </w:p>
              </w:tc>
              <w:tc>
                <w:tcPr>
                  <w:tcW w:w="590" w:type="pct"/>
                  <w:tcBorders>
                    <w:tl2br w:val="nil"/>
                    <w:tr2bl w:val="nil"/>
                  </w:tcBorders>
                  <w:noWrap/>
                  <w:vAlign w:val="center"/>
                </w:tcPr>
                <w:p w14:paraId="011A8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2.062</w:t>
                  </w:r>
                </w:p>
              </w:tc>
              <w:tc>
                <w:tcPr>
                  <w:tcW w:w="904" w:type="pct"/>
                  <w:tcBorders>
                    <w:tl2br w:val="nil"/>
                    <w:tr2bl w:val="nil"/>
                  </w:tcBorders>
                  <w:noWrap/>
                  <w:vAlign w:val="center"/>
                </w:tcPr>
                <w:p w14:paraId="1E67C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0.206</w:t>
                  </w:r>
                </w:p>
              </w:tc>
            </w:tr>
          </w:tbl>
          <w:p w14:paraId="7DEF6F9B">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lang w:val="en-US" w:eastAsia="zh-CN"/>
              </w:rPr>
            </w:pPr>
            <w:r>
              <w:rPr>
                <w:rFonts w:hint="eastAsia"/>
                <w:color w:val="auto"/>
                <w:lang w:val="en-US" w:eastAsia="zh-CN"/>
              </w:rPr>
              <w:t>本项目建成后，全校（含麟绛小学部）总计生活污水产生量21034.4t/a，其中COD 6.310t/a，BOD</w:t>
            </w:r>
            <w:r>
              <w:rPr>
                <w:rFonts w:hint="eastAsia"/>
                <w:color w:val="auto"/>
                <w:vertAlign w:val="subscript"/>
                <w:lang w:val="en-US" w:eastAsia="zh-CN"/>
              </w:rPr>
              <w:t>5</w:t>
            </w:r>
            <w:r>
              <w:rPr>
                <w:rFonts w:hint="eastAsia"/>
                <w:color w:val="auto"/>
                <w:lang w:val="en-US" w:eastAsia="zh-CN"/>
              </w:rPr>
              <w:t xml:space="preserve"> 4.207t/a，SS 5.259t/a，氨氮0.526t/a。</w:t>
            </w:r>
          </w:p>
          <w:p w14:paraId="0A37F53A">
            <w:pPr>
              <w:keepNext w:val="0"/>
              <w:keepLines w:val="0"/>
              <w:numPr>
                <w:ilvl w:val="0"/>
                <w:numId w:val="0"/>
              </w:numPr>
              <w:suppressLineNumbers w:val="0"/>
              <w:spacing w:before="0" w:beforeAutospacing="0" w:after="0" w:afterAutospacing="0" w:line="360" w:lineRule="auto"/>
              <w:ind w:left="480" w:leftChars="200" w:right="0" w:rightChars="0"/>
              <w:rPr>
                <w:rFonts w:hint="eastAsia"/>
                <w:color w:val="auto"/>
                <w:lang w:val="en-US" w:eastAsia="zh-CN"/>
              </w:rPr>
            </w:pPr>
            <w:r>
              <w:rPr>
                <w:rFonts w:hint="eastAsia"/>
                <w:color w:val="auto"/>
                <w:lang w:val="en-US" w:eastAsia="zh-CN"/>
              </w:rPr>
              <w:t>（2）实验废水</w:t>
            </w:r>
          </w:p>
          <w:p w14:paraId="554F8FBD">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lang w:val="en-US" w:eastAsia="zh-CN"/>
              </w:rPr>
            </w:pPr>
            <w:r>
              <w:rPr>
                <w:rFonts w:hint="default"/>
                <w:color w:val="auto"/>
                <w:lang w:val="en-US" w:eastAsia="zh-CN"/>
              </w:rPr>
              <w:t>在进行实验前后，需要对实验器皿进行清洗，会产生实验废水，实验废水产生量按用水量的90%计，则实验废水产生量为</w:t>
            </w:r>
            <w:r>
              <w:rPr>
                <w:rFonts w:hint="eastAsia"/>
                <w:color w:val="auto"/>
                <w:lang w:val="en-US" w:eastAsia="zh-CN"/>
              </w:rPr>
              <w:t>518.4t</w:t>
            </w:r>
            <w:r>
              <w:rPr>
                <w:rFonts w:hint="default"/>
                <w:color w:val="auto"/>
                <w:lang w:val="en-US" w:eastAsia="zh-CN"/>
              </w:rPr>
              <w:t>/a，</w:t>
            </w:r>
            <w:r>
              <w:rPr>
                <w:rFonts w:hint="eastAsia"/>
                <w:color w:val="auto"/>
                <w:lang w:val="en-US" w:eastAsia="zh-CN"/>
              </w:rPr>
              <w:t>3.24t</w:t>
            </w:r>
            <w:r>
              <w:rPr>
                <w:rFonts w:hint="default"/>
                <w:color w:val="auto"/>
                <w:lang w:val="en-US" w:eastAsia="zh-CN"/>
              </w:rPr>
              <w:t>/d。</w:t>
            </w:r>
          </w:p>
          <w:p w14:paraId="5D1E344A">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olor w:val="auto"/>
                <w:highlight w:val="none"/>
                <w:lang w:val="en-US" w:eastAsia="zh-CN"/>
              </w:rPr>
            </w:pPr>
            <w:r>
              <w:rPr>
                <w:rFonts w:hint="default"/>
                <w:color w:val="auto"/>
                <w:lang w:val="en-US" w:eastAsia="zh-CN"/>
              </w:rPr>
              <w:t>实验操作使用试剂后产生的实验废液全部用桶收集</w:t>
            </w:r>
            <w:r>
              <w:rPr>
                <w:rFonts w:hint="eastAsia"/>
                <w:color w:val="auto"/>
                <w:lang w:val="en-US" w:eastAsia="zh-CN"/>
              </w:rPr>
              <w:t>暂存于危废贮存点</w:t>
            </w:r>
            <w:r>
              <w:rPr>
                <w:rFonts w:hint="default"/>
                <w:color w:val="auto"/>
                <w:lang w:val="en-US" w:eastAsia="zh-CN"/>
              </w:rPr>
              <w:t>，定期交有资质单位回收处理，因此实验室废水主要来自实验操作、实验设备及器皿的清洗；实验设备及器皿在倾倒废液时</w:t>
            </w:r>
            <w:r>
              <w:rPr>
                <w:rFonts w:hint="eastAsia"/>
                <w:color w:val="auto"/>
                <w:lang w:val="en-US" w:eastAsia="zh-CN"/>
              </w:rPr>
              <w:t>经过冲洗</w:t>
            </w:r>
            <w:r>
              <w:rPr>
                <w:rFonts w:hint="default"/>
                <w:color w:val="auto"/>
                <w:lang w:val="en-US" w:eastAsia="zh-CN"/>
              </w:rPr>
              <w:t>已基本将仪器中的酸、碱或重金属等污染物洗入废液中，所以清洗废水中主要含有的污染物为 COD</w:t>
            </w:r>
            <w:r>
              <w:rPr>
                <w:rFonts w:hint="default"/>
                <w:color w:val="auto"/>
                <w:vertAlign w:val="subscript"/>
                <w:lang w:val="en-US" w:eastAsia="zh-CN"/>
              </w:rPr>
              <w:t>C</w:t>
            </w:r>
            <w:r>
              <w:rPr>
                <w:rFonts w:hint="default"/>
                <w:color w:val="auto"/>
                <w:highlight w:val="none"/>
                <w:vertAlign w:val="subscript"/>
                <w:lang w:val="en-US" w:eastAsia="zh-CN"/>
              </w:rPr>
              <w:t>r</w:t>
            </w:r>
            <w:r>
              <w:rPr>
                <w:rFonts w:hint="default"/>
                <w:color w:val="auto"/>
                <w:highlight w:val="none"/>
                <w:lang w:val="en-US" w:eastAsia="zh-CN"/>
              </w:rPr>
              <w:t>、BOD</w:t>
            </w:r>
            <w:r>
              <w:rPr>
                <w:rFonts w:hint="default"/>
                <w:color w:val="auto"/>
                <w:highlight w:val="none"/>
                <w:vertAlign w:val="subscript"/>
                <w:lang w:val="en-US" w:eastAsia="zh-CN"/>
              </w:rPr>
              <w:t>5</w:t>
            </w:r>
            <w:r>
              <w:rPr>
                <w:rFonts w:hint="default"/>
                <w:color w:val="auto"/>
                <w:highlight w:val="none"/>
                <w:lang w:val="en-US" w:eastAsia="zh-CN"/>
              </w:rPr>
              <w:t>、SS等</w:t>
            </w:r>
            <w:r>
              <w:rPr>
                <w:rFonts w:hint="eastAsia"/>
                <w:color w:val="auto"/>
                <w:highlight w:val="none"/>
                <w:lang w:val="en-US" w:eastAsia="zh-CN"/>
              </w:rPr>
              <w:t>，浓度均较低。</w:t>
            </w:r>
            <w:r>
              <w:rPr>
                <w:rFonts w:hint="default"/>
                <w:color w:val="auto"/>
                <w:highlight w:val="none"/>
                <w:lang w:val="en-US" w:eastAsia="zh-CN"/>
              </w:rPr>
              <w:t>实验室废水</w:t>
            </w:r>
            <w:r>
              <w:rPr>
                <w:rFonts w:hint="eastAsia"/>
                <w:color w:val="auto"/>
                <w:highlight w:val="none"/>
                <w:lang w:val="en-US" w:eastAsia="zh-CN"/>
              </w:rPr>
              <w:t>和生活污水一起</w:t>
            </w:r>
            <w:r>
              <w:rPr>
                <w:rFonts w:hint="default"/>
                <w:color w:val="auto"/>
                <w:highlight w:val="none"/>
                <w:lang w:val="en-US" w:eastAsia="zh-CN"/>
              </w:rPr>
              <w:t>排至校区污水管网，最终进入长治市</w:t>
            </w:r>
            <w:r>
              <w:rPr>
                <w:rFonts w:hint="eastAsia"/>
                <w:color w:val="auto"/>
                <w:highlight w:val="none"/>
                <w:lang w:val="en-US" w:eastAsia="zh-CN"/>
              </w:rPr>
              <w:t>屯留县城区污水处理厂。</w:t>
            </w:r>
          </w:p>
          <w:p w14:paraId="4413DD28">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olor w:val="auto"/>
                <w:highlight w:val="none"/>
                <w:lang w:val="en-US" w:eastAsia="zh-CN"/>
              </w:rPr>
            </w:pPr>
            <w:r>
              <w:rPr>
                <w:rFonts w:hint="default"/>
                <w:color w:val="auto"/>
                <w:highlight w:val="none"/>
                <w:lang w:val="en-US" w:eastAsia="zh-CN"/>
              </w:rPr>
              <w:t>参考环境保护部环境工程技术评估中心编制《环境影响评价（社会区域类）》教材并结合本项目实际情况，实验室废水中污染物浓度和污染负荷见下表</w:t>
            </w:r>
            <w:r>
              <w:rPr>
                <w:rFonts w:hint="eastAsia"/>
                <w:color w:val="auto"/>
                <w:highlight w:val="none"/>
                <w:lang w:val="en-US" w:eastAsia="zh-CN"/>
              </w:rPr>
              <w:t>。</w:t>
            </w:r>
          </w:p>
          <w:p w14:paraId="6F8BCF6D">
            <w:pPr>
              <w:keepNext w:val="0"/>
              <w:keepLines w:val="0"/>
              <w:numPr>
                <w:ilvl w:val="0"/>
                <w:numId w:val="0"/>
              </w:numPr>
              <w:suppressLineNumbers w:val="0"/>
              <w:spacing w:before="0" w:beforeAutospacing="0" w:after="0" w:afterAutospacing="0" w:line="240" w:lineRule="auto"/>
              <w:ind w:left="0" w:right="0" w:rightChars="0"/>
              <w:jc w:val="center"/>
              <w:rPr>
                <w:rFonts w:hint="eastAsia"/>
                <w:b/>
                <w:bCs/>
                <w:color w:val="auto"/>
                <w:sz w:val="21"/>
                <w:szCs w:val="18"/>
                <w:highlight w:val="none"/>
                <w:lang w:val="en-US" w:eastAsia="zh-CN"/>
              </w:rPr>
            </w:pPr>
            <w:r>
              <w:rPr>
                <w:rFonts w:hint="eastAsia"/>
                <w:b/>
                <w:bCs/>
                <w:color w:val="auto"/>
                <w:sz w:val="21"/>
                <w:szCs w:val="18"/>
                <w:highlight w:val="none"/>
                <w:lang w:val="en-US" w:eastAsia="zh-CN"/>
              </w:rPr>
              <w:t>表4-4 实验室废水产排情况一览表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760"/>
              <w:gridCol w:w="1091"/>
              <w:gridCol w:w="1091"/>
              <w:gridCol w:w="1091"/>
              <w:gridCol w:w="1091"/>
            </w:tblGrid>
            <w:tr w14:paraId="0CE73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tblHeader/>
                <w:jc w:val="center"/>
              </w:trPr>
              <w:tc>
                <w:tcPr>
                  <w:tcW w:w="1394" w:type="pct"/>
                  <w:tcBorders>
                    <w:tl2br w:val="nil"/>
                    <w:tr2bl w:val="nil"/>
                  </w:tcBorders>
                  <w:noWrap/>
                  <w:vAlign w:val="center"/>
                </w:tcPr>
                <w:p w14:paraId="00D79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项目</w:t>
                  </w:r>
                </w:p>
              </w:tc>
              <w:tc>
                <w:tcPr>
                  <w:tcW w:w="1036" w:type="pct"/>
                  <w:tcBorders>
                    <w:tl2br w:val="nil"/>
                    <w:tr2bl w:val="nil"/>
                  </w:tcBorders>
                  <w:noWrap/>
                  <w:vAlign w:val="center"/>
                </w:tcPr>
                <w:p w14:paraId="7ACA8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指标</w:t>
                  </w:r>
                </w:p>
              </w:tc>
              <w:tc>
                <w:tcPr>
                  <w:tcW w:w="642" w:type="pct"/>
                  <w:tcBorders>
                    <w:tl2br w:val="nil"/>
                    <w:tr2bl w:val="nil"/>
                  </w:tcBorders>
                  <w:noWrap/>
                  <w:vAlign w:val="center"/>
                </w:tcPr>
                <w:p w14:paraId="36103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14:paraId="21131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42" w:type="pct"/>
                  <w:tcBorders>
                    <w:tl2br w:val="nil"/>
                    <w:tr2bl w:val="nil"/>
                  </w:tcBorders>
                  <w:noWrap/>
                  <w:vAlign w:val="center"/>
                </w:tcPr>
                <w:p w14:paraId="0C3D5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14:paraId="2FD6F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42" w:type="pct"/>
                  <w:tcBorders>
                    <w:tl2br w:val="nil"/>
                    <w:tr2bl w:val="nil"/>
                  </w:tcBorders>
                  <w:noWrap/>
                  <w:vAlign w:val="center"/>
                </w:tcPr>
                <w:p w14:paraId="3616D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14:paraId="087BA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42" w:type="pct"/>
                  <w:tcBorders>
                    <w:tl2br w:val="nil"/>
                    <w:tr2bl w:val="nil"/>
                  </w:tcBorders>
                  <w:noWrap/>
                  <w:vAlign w:val="center"/>
                </w:tcPr>
                <w:p w14:paraId="75B83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p w14:paraId="5D495D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7D212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8" w:hRule="atLeast"/>
                <w:tblHeader/>
                <w:jc w:val="center"/>
              </w:trPr>
              <w:tc>
                <w:tcPr>
                  <w:tcW w:w="1394" w:type="pct"/>
                  <w:vMerge w:val="restart"/>
                  <w:tcBorders>
                    <w:tl2br w:val="nil"/>
                    <w:tr2bl w:val="nil"/>
                  </w:tcBorders>
                  <w:noWrap/>
                  <w:vAlign w:val="center"/>
                </w:tcPr>
                <w:p w14:paraId="1E8E9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实验室废水（</w:t>
                  </w:r>
                  <w:r>
                    <w:rPr>
                      <w:rFonts w:hint="eastAsia" w:ascii="Times New Roman" w:hAnsi="Times New Roman" w:eastAsia="宋体" w:cs="Times New Roman"/>
                      <w:color w:val="auto"/>
                      <w:sz w:val="21"/>
                      <w:szCs w:val="21"/>
                      <w:lang w:val="en-US" w:eastAsia="zh-CN"/>
                    </w:rPr>
                    <w:t>518.4t</w:t>
                  </w:r>
                  <w:r>
                    <w:rPr>
                      <w:rFonts w:hint="default" w:ascii="Times New Roman" w:hAnsi="Times New Roman" w:eastAsia="宋体" w:cs="Times New Roman"/>
                      <w:color w:val="auto"/>
                      <w:sz w:val="21"/>
                      <w:szCs w:val="21"/>
                      <w:lang w:val="en-US" w:eastAsia="zh-CN"/>
                    </w:rPr>
                    <w:t>/a）</w:t>
                  </w:r>
                </w:p>
              </w:tc>
              <w:tc>
                <w:tcPr>
                  <w:tcW w:w="1036" w:type="pct"/>
                  <w:tcBorders>
                    <w:tl2br w:val="nil"/>
                    <w:tr2bl w:val="nil"/>
                  </w:tcBorders>
                  <w:noWrap/>
                  <w:vAlign w:val="center"/>
                </w:tcPr>
                <w:p w14:paraId="17E50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产生浓度mg/L</w:t>
                  </w:r>
                </w:p>
              </w:tc>
              <w:tc>
                <w:tcPr>
                  <w:tcW w:w="642" w:type="pct"/>
                  <w:tcBorders>
                    <w:tl2br w:val="nil"/>
                    <w:tr2bl w:val="nil"/>
                  </w:tcBorders>
                  <w:noWrap/>
                  <w:vAlign w:val="center"/>
                </w:tcPr>
                <w:p w14:paraId="02D98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642" w:type="pct"/>
                  <w:tcBorders>
                    <w:tl2br w:val="nil"/>
                    <w:tr2bl w:val="nil"/>
                  </w:tcBorders>
                  <w:noWrap/>
                  <w:vAlign w:val="center"/>
                </w:tcPr>
                <w:p w14:paraId="69E6E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642" w:type="pct"/>
                  <w:tcBorders>
                    <w:tl2br w:val="nil"/>
                    <w:tr2bl w:val="nil"/>
                  </w:tcBorders>
                  <w:noWrap/>
                  <w:vAlign w:val="center"/>
                </w:tcPr>
                <w:p w14:paraId="01C95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642" w:type="pct"/>
                  <w:tcBorders>
                    <w:tl2br w:val="nil"/>
                    <w:tr2bl w:val="nil"/>
                  </w:tcBorders>
                  <w:noWrap/>
                  <w:vAlign w:val="center"/>
                </w:tcPr>
                <w:p w14:paraId="1BFAE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r w14:paraId="04B5D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tblHeader/>
                <w:jc w:val="center"/>
              </w:trPr>
              <w:tc>
                <w:tcPr>
                  <w:tcW w:w="1394" w:type="pct"/>
                  <w:vMerge w:val="continue"/>
                  <w:tcBorders>
                    <w:tl2br w:val="nil"/>
                    <w:tr2bl w:val="nil"/>
                  </w:tcBorders>
                  <w:noWrap/>
                  <w:vAlign w:val="center"/>
                </w:tcPr>
                <w:p w14:paraId="0CF17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036" w:type="pct"/>
                  <w:tcBorders>
                    <w:tl2br w:val="nil"/>
                    <w:tr2bl w:val="nil"/>
                  </w:tcBorders>
                  <w:noWrap/>
                  <w:vAlign w:val="center"/>
                </w:tcPr>
                <w:p w14:paraId="2E0DC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产生量t/a</w:t>
                  </w:r>
                </w:p>
              </w:tc>
              <w:tc>
                <w:tcPr>
                  <w:tcW w:w="642" w:type="pct"/>
                  <w:tcBorders>
                    <w:tl2br w:val="nil"/>
                    <w:tr2bl w:val="nil"/>
                  </w:tcBorders>
                  <w:noWrap/>
                  <w:vAlign w:val="center"/>
                </w:tcPr>
                <w:p w14:paraId="40D34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c>
                <w:tcPr>
                  <w:tcW w:w="642" w:type="pct"/>
                  <w:tcBorders>
                    <w:tl2br w:val="nil"/>
                    <w:tr2bl w:val="nil"/>
                  </w:tcBorders>
                  <w:noWrap/>
                  <w:vAlign w:val="center"/>
                </w:tcPr>
                <w:p w14:paraId="22452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0.026</w:t>
                  </w:r>
                </w:p>
              </w:tc>
              <w:tc>
                <w:tcPr>
                  <w:tcW w:w="642" w:type="pct"/>
                  <w:tcBorders>
                    <w:tl2br w:val="nil"/>
                    <w:tr2bl w:val="nil"/>
                  </w:tcBorders>
                  <w:noWrap/>
                  <w:vAlign w:val="center"/>
                </w:tcPr>
                <w:p w14:paraId="1A0BD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642" w:type="pct"/>
                  <w:tcBorders>
                    <w:tl2br w:val="nil"/>
                    <w:tr2bl w:val="nil"/>
                  </w:tcBorders>
                  <w:noWrap/>
                  <w:vAlign w:val="center"/>
                </w:tcPr>
                <w:p w14:paraId="30213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r>
          </w:tbl>
          <w:p w14:paraId="62E08F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highlight w:val="none"/>
                <w:lang w:val="en-US" w:eastAsia="zh-CN"/>
              </w:rPr>
            </w:pPr>
            <w:r>
              <w:rPr>
                <w:rFonts w:hint="eastAsia"/>
                <w:color w:val="auto"/>
                <w:highlight w:val="none"/>
                <w:lang w:val="en-US" w:eastAsia="zh-CN"/>
              </w:rPr>
              <w:t>4.6.2污水处理厂依托可行性分析</w:t>
            </w:r>
          </w:p>
          <w:p w14:paraId="41CFC3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highlight w:val="none"/>
                <w:lang w:val="en-US" w:eastAsia="zh-CN"/>
              </w:rPr>
            </w:pPr>
            <w:r>
              <w:rPr>
                <w:rFonts w:hint="eastAsia"/>
                <w:color w:val="auto"/>
                <w:highlight w:val="none"/>
                <w:lang w:val="en-US" w:eastAsia="zh-CN"/>
              </w:rPr>
              <w:t>屯留区有比较完备的配套污水管网。其污水管网沿地形自西北向东南敷设，污水收集最后汇入县城东南侧李高乡北宋村北500m的屯留区城区污水处理厂进行处理。</w:t>
            </w:r>
          </w:p>
          <w:p w14:paraId="66350E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highlight w:val="none"/>
                <w:lang w:val="en-US" w:eastAsia="zh-CN"/>
              </w:rPr>
            </w:pPr>
            <w:r>
              <w:rPr>
                <w:rFonts w:hint="eastAsia"/>
                <w:color w:val="auto"/>
                <w:highlight w:val="none"/>
                <w:lang w:val="en-US" w:eastAsia="zh-CN"/>
              </w:rPr>
              <w:t>根据资料，项目外排废水管网接入道路市政污水管网，最终排至长治市屯留县城区污水处理厂处理。该公司于2018年建设，采用较为先进的污水处理工艺活性污泥法A/A/O工艺+滤布过滤方法，其设计规模为2万立方米/日，先期日处理规模达到2万立方米/日，出水水质达到《城镇污水处理厂污染物排放标准》(GB18918-2002)中的一级A标准和部分水质(COD、NH</w:t>
            </w:r>
            <w:r>
              <w:rPr>
                <w:rFonts w:hint="eastAsia"/>
                <w:color w:val="auto"/>
                <w:highlight w:val="none"/>
                <w:vertAlign w:val="subscript"/>
                <w:lang w:val="en-US" w:eastAsia="zh-CN"/>
              </w:rPr>
              <w:t>3</w:t>
            </w:r>
            <w:r>
              <w:rPr>
                <w:rFonts w:hint="eastAsia"/>
                <w:color w:val="auto"/>
                <w:highlight w:val="none"/>
                <w:lang w:val="en-US" w:eastAsia="zh-CN"/>
              </w:rPr>
              <w:t>、TP)地表五类标准，处理后的废水外排至鸡鸣水河。目前城区污水处理厂目前实际处理废水量为0.8万吨/天，本项目进入管网的废水量65.74t/d，废水量很小，且对污水处理厂的水质冲击不大。因此，污水处理厂余量完全可以接纳本项目产生的废水量。</w:t>
            </w:r>
          </w:p>
          <w:p w14:paraId="2F52B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highlight w:val="none"/>
                <w:lang w:val="en-US" w:eastAsia="zh-CN"/>
              </w:rPr>
            </w:pPr>
            <w:r>
              <w:rPr>
                <w:rFonts w:hint="eastAsia"/>
                <w:color w:val="auto"/>
                <w:highlight w:val="none"/>
                <w:lang w:val="en-US" w:eastAsia="zh-CN"/>
              </w:rPr>
              <w:t>4.6.3环境影响分析</w:t>
            </w:r>
          </w:p>
          <w:p w14:paraId="64610A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color w:val="auto"/>
                <w:highlight w:val="none"/>
                <w:lang w:val="en-US" w:eastAsia="zh-CN"/>
              </w:rPr>
            </w:pPr>
            <w:r>
              <w:rPr>
                <w:rFonts w:hint="default"/>
                <w:color w:val="auto"/>
                <w:highlight w:val="none"/>
                <w:lang w:val="en-US" w:eastAsia="zh-CN"/>
              </w:rPr>
              <w:t>本项目生活污水和实验废水</w:t>
            </w:r>
            <w:r>
              <w:rPr>
                <w:rFonts w:hint="eastAsia"/>
                <w:color w:val="auto"/>
                <w:highlight w:val="none"/>
                <w:lang w:val="en-US" w:eastAsia="zh-CN"/>
              </w:rPr>
              <w:t>均</w:t>
            </w:r>
            <w:r>
              <w:rPr>
                <w:rFonts w:hint="default"/>
                <w:color w:val="auto"/>
                <w:highlight w:val="none"/>
                <w:lang w:val="en-US" w:eastAsia="zh-CN"/>
              </w:rPr>
              <w:t>排放至市政污水管网，</w:t>
            </w:r>
            <w:r>
              <w:rPr>
                <w:rFonts w:hint="eastAsia"/>
                <w:color w:val="auto"/>
                <w:highlight w:val="none"/>
                <w:lang w:val="en-US" w:eastAsia="zh-CN"/>
              </w:rPr>
              <w:t>不直接外排地表水体，</w:t>
            </w:r>
            <w:r>
              <w:rPr>
                <w:rFonts w:hint="default"/>
                <w:color w:val="auto"/>
                <w:highlight w:val="none"/>
                <w:lang w:val="en-US" w:eastAsia="zh-CN"/>
              </w:rPr>
              <w:t>项目建设完成后，项目废水排放对周边环境影响不大</w:t>
            </w:r>
            <w:r>
              <w:rPr>
                <w:rFonts w:hint="eastAsia"/>
                <w:color w:val="auto"/>
                <w:highlight w:val="none"/>
                <w:lang w:val="en-US" w:eastAsia="zh-CN"/>
              </w:rPr>
              <w:t>。</w:t>
            </w:r>
          </w:p>
          <w:p w14:paraId="1FC7FA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4.7噪声环境影响分析</w:t>
            </w:r>
          </w:p>
          <w:p w14:paraId="2F03A09B">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olor w:val="auto"/>
                <w:highlight w:val="none"/>
                <w:lang w:val="en-US" w:eastAsia="zh-CN"/>
              </w:rPr>
            </w:pPr>
            <w:r>
              <w:rPr>
                <w:rFonts w:hint="eastAsia"/>
                <w:color w:val="auto"/>
                <w:highlight w:val="none"/>
                <w:lang w:val="en-US" w:eastAsia="zh-CN"/>
              </w:rPr>
              <w:t>4.7.1噪声污染源</w:t>
            </w:r>
          </w:p>
          <w:p w14:paraId="1B43553C">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highlight w:val="none"/>
                <w:lang w:val="en-US" w:eastAsia="zh-CN"/>
              </w:rPr>
            </w:pPr>
            <w:r>
              <w:rPr>
                <w:rFonts w:hint="eastAsia"/>
                <w:color w:val="auto"/>
                <w:highlight w:val="none"/>
                <w:lang w:val="en-US" w:eastAsia="zh-CN"/>
              </w:rPr>
              <w:t>本项目噪声源主要为风机及泵类运行产生的噪声，其中水泵位于地下室。</w:t>
            </w:r>
          </w:p>
          <w:p w14:paraId="73CF42E0">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olor w:val="auto"/>
                <w:highlight w:val="none"/>
                <w:lang w:val="en-US" w:eastAsia="zh-CN"/>
              </w:rPr>
            </w:pPr>
            <w:r>
              <w:rPr>
                <w:rFonts w:hint="eastAsia"/>
                <w:color w:val="auto"/>
                <w:highlight w:val="none"/>
                <w:lang w:val="en-US" w:eastAsia="zh-CN"/>
              </w:rPr>
              <w:t>主要设备噪声及治理措施情况如下：</w:t>
            </w:r>
          </w:p>
          <w:p w14:paraId="21D42F88">
            <w:pPr>
              <w:keepNext w:val="0"/>
              <w:keepLines w:val="0"/>
              <w:numPr>
                <w:ilvl w:val="0"/>
                <w:numId w:val="0"/>
              </w:numPr>
              <w:suppressLineNumbers w:val="0"/>
              <w:spacing w:before="0" w:beforeAutospacing="0" w:after="0" w:afterAutospacing="0" w:line="240" w:lineRule="auto"/>
              <w:ind w:left="0" w:right="0" w:rightChars="0"/>
              <w:jc w:val="center"/>
              <w:rPr>
                <w:rFonts w:hint="eastAsia"/>
                <w:b/>
                <w:bCs/>
                <w:color w:val="auto"/>
                <w:sz w:val="21"/>
                <w:szCs w:val="18"/>
                <w:highlight w:val="none"/>
                <w:lang w:val="en-US" w:eastAsia="zh-CN"/>
              </w:rPr>
            </w:pPr>
            <w:r>
              <w:rPr>
                <w:rFonts w:hint="eastAsia"/>
                <w:b/>
                <w:bCs/>
                <w:color w:val="auto"/>
                <w:sz w:val="21"/>
                <w:szCs w:val="18"/>
                <w:highlight w:val="none"/>
                <w:lang w:val="en-US" w:eastAsia="zh-CN"/>
              </w:rPr>
              <w:t>表4-5 噪声污染源源强核算结果及相关参数一览表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519"/>
              <w:gridCol w:w="1067"/>
              <w:gridCol w:w="1118"/>
              <w:gridCol w:w="1317"/>
              <w:gridCol w:w="1318"/>
              <w:gridCol w:w="950"/>
            </w:tblGrid>
            <w:tr w14:paraId="76A84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7" w:type="pct"/>
                  <w:vMerge w:val="restart"/>
                  <w:tcBorders>
                    <w:tl2br w:val="nil"/>
                    <w:tr2bl w:val="nil"/>
                  </w:tcBorders>
                  <w:vAlign w:val="center"/>
                </w:tcPr>
                <w:p w14:paraId="39CA52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噪声源</w:t>
                  </w:r>
                </w:p>
              </w:tc>
              <w:tc>
                <w:tcPr>
                  <w:tcW w:w="894" w:type="pct"/>
                  <w:vMerge w:val="restart"/>
                  <w:tcBorders>
                    <w:tl2br w:val="nil"/>
                    <w:tr2bl w:val="nil"/>
                  </w:tcBorders>
                  <w:vAlign w:val="center"/>
                </w:tcPr>
                <w:p w14:paraId="072288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声源位置</w:t>
                  </w:r>
                </w:p>
              </w:tc>
              <w:tc>
                <w:tcPr>
                  <w:tcW w:w="628" w:type="pct"/>
                  <w:vMerge w:val="restart"/>
                  <w:tcBorders>
                    <w:tl2br w:val="nil"/>
                    <w:tr2bl w:val="nil"/>
                  </w:tcBorders>
                  <w:vAlign w:val="center"/>
                </w:tcPr>
                <w:p w14:paraId="12556D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声源类别（频发、偶发）</w:t>
                  </w:r>
                </w:p>
              </w:tc>
              <w:tc>
                <w:tcPr>
                  <w:tcW w:w="658" w:type="pct"/>
                  <w:tcBorders>
                    <w:tl2br w:val="nil"/>
                    <w:tr2bl w:val="nil"/>
                  </w:tcBorders>
                  <w:vAlign w:val="center"/>
                </w:tcPr>
                <w:p w14:paraId="03F886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噪声源强</w:t>
                  </w:r>
                </w:p>
              </w:tc>
              <w:tc>
                <w:tcPr>
                  <w:tcW w:w="1551" w:type="pct"/>
                  <w:gridSpan w:val="2"/>
                  <w:tcBorders>
                    <w:tl2br w:val="nil"/>
                    <w:tr2bl w:val="nil"/>
                  </w:tcBorders>
                  <w:vAlign w:val="center"/>
                </w:tcPr>
                <w:p w14:paraId="257EFA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排放强度</w:t>
                  </w:r>
                </w:p>
              </w:tc>
              <w:tc>
                <w:tcPr>
                  <w:tcW w:w="559" w:type="pct"/>
                  <w:vMerge w:val="restart"/>
                  <w:tcBorders>
                    <w:tl2br w:val="nil"/>
                    <w:tr2bl w:val="nil"/>
                  </w:tcBorders>
                  <w:vAlign w:val="center"/>
                </w:tcPr>
                <w:p w14:paraId="644B07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排放</w:t>
                  </w:r>
                </w:p>
                <w:p w14:paraId="240A40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时间/h</w:t>
                  </w:r>
                </w:p>
              </w:tc>
            </w:tr>
            <w:tr w14:paraId="2DD0D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7" w:type="pct"/>
                  <w:vMerge w:val="continue"/>
                  <w:tcBorders>
                    <w:tl2br w:val="nil"/>
                    <w:tr2bl w:val="nil"/>
                  </w:tcBorders>
                  <w:vAlign w:val="center"/>
                </w:tcPr>
                <w:p w14:paraId="64F2AF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p>
              </w:tc>
              <w:tc>
                <w:tcPr>
                  <w:tcW w:w="894" w:type="pct"/>
                  <w:vMerge w:val="continue"/>
                  <w:tcBorders>
                    <w:tl2br w:val="nil"/>
                    <w:tr2bl w:val="nil"/>
                  </w:tcBorders>
                  <w:vAlign w:val="center"/>
                </w:tcPr>
                <w:p w14:paraId="0E14B5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p>
              </w:tc>
              <w:tc>
                <w:tcPr>
                  <w:tcW w:w="628" w:type="pct"/>
                  <w:vMerge w:val="continue"/>
                  <w:tcBorders>
                    <w:tl2br w:val="nil"/>
                    <w:tr2bl w:val="nil"/>
                  </w:tcBorders>
                  <w:vAlign w:val="center"/>
                </w:tcPr>
                <w:p w14:paraId="7B2CB2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p>
              </w:tc>
              <w:tc>
                <w:tcPr>
                  <w:tcW w:w="658" w:type="pct"/>
                  <w:tcBorders>
                    <w:tl2br w:val="nil"/>
                    <w:tr2bl w:val="nil"/>
                  </w:tcBorders>
                  <w:vAlign w:val="center"/>
                </w:tcPr>
                <w:p w14:paraId="3DC452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噪声值</w:t>
                  </w:r>
                </w:p>
                <w:p w14:paraId="1CD27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dB（A）</w:t>
                  </w:r>
                </w:p>
              </w:tc>
              <w:tc>
                <w:tcPr>
                  <w:tcW w:w="775" w:type="pct"/>
                  <w:tcBorders>
                    <w:tl2br w:val="nil"/>
                    <w:tr2bl w:val="nil"/>
                  </w:tcBorders>
                  <w:vAlign w:val="center"/>
                </w:tcPr>
                <w:p w14:paraId="213F7C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降噪措施</w:t>
                  </w:r>
                </w:p>
              </w:tc>
              <w:tc>
                <w:tcPr>
                  <w:tcW w:w="776" w:type="pct"/>
                  <w:tcBorders>
                    <w:tl2br w:val="nil"/>
                    <w:tr2bl w:val="nil"/>
                  </w:tcBorders>
                  <w:shd w:val="clear" w:color="auto" w:fill="auto"/>
                  <w:vAlign w:val="center"/>
                </w:tcPr>
                <w:p w14:paraId="792268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噪声值</w:t>
                  </w:r>
                </w:p>
                <w:p w14:paraId="44A86A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18"/>
                      <w:highlight w:val="none"/>
                      <w:vertAlign w:val="baseline"/>
                      <w:lang w:val="en-US" w:eastAsia="zh-CN" w:bidi="ar-SA"/>
                    </w:rPr>
                  </w:pPr>
                  <w:r>
                    <w:rPr>
                      <w:rFonts w:hint="eastAsia"/>
                      <w:b w:val="0"/>
                      <w:bCs w:val="0"/>
                      <w:color w:val="auto"/>
                      <w:sz w:val="21"/>
                      <w:szCs w:val="18"/>
                      <w:highlight w:val="none"/>
                      <w:vertAlign w:val="baseline"/>
                      <w:lang w:val="en-US" w:eastAsia="zh-CN"/>
                    </w:rPr>
                    <w:t>dB（A）</w:t>
                  </w:r>
                </w:p>
              </w:tc>
              <w:tc>
                <w:tcPr>
                  <w:tcW w:w="559" w:type="pct"/>
                  <w:vMerge w:val="continue"/>
                  <w:tcBorders>
                    <w:tl2br w:val="nil"/>
                    <w:tr2bl w:val="nil"/>
                  </w:tcBorders>
                  <w:vAlign w:val="center"/>
                </w:tcPr>
                <w:p w14:paraId="4C2E5B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p>
              </w:tc>
            </w:tr>
            <w:tr w14:paraId="06066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7" w:type="pct"/>
                  <w:tcBorders>
                    <w:tl2br w:val="nil"/>
                    <w:tr2bl w:val="nil"/>
                  </w:tcBorders>
                  <w:vAlign w:val="center"/>
                </w:tcPr>
                <w:p w14:paraId="50A6F7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抽排风机</w:t>
                  </w:r>
                </w:p>
              </w:tc>
              <w:tc>
                <w:tcPr>
                  <w:tcW w:w="894" w:type="pct"/>
                  <w:tcBorders>
                    <w:tl2br w:val="nil"/>
                    <w:tr2bl w:val="nil"/>
                  </w:tcBorders>
                  <w:vAlign w:val="center"/>
                </w:tcPr>
                <w:p w14:paraId="18BA74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实验室楼顶</w:t>
                  </w:r>
                </w:p>
              </w:tc>
              <w:tc>
                <w:tcPr>
                  <w:tcW w:w="628" w:type="pct"/>
                  <w:tcBorders>
                    <w:tl2br w:val="nil"/>
                    <w:tr2bl w:val="nil"/>
                  </w:tcBorders>
                  <w:vAlign w:val="center"/>
                </w:tcPr>
                <w:p w14:paraId="2D66E7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频发</w:t>
                  </w:r>
                </w:p>
              </w:tc>
              <w:tc>
                <w:tcPr>
                  <w:tcW w:w="658" w:type="pct"/>
                  <w:tcBorders>
                    <w:tl2br w:val="nil"/>
                    <w:tr2bl w:val="nil"/>
                  </w:tcBorders>
                  <w:vAlign w:val="center"/>
                </w:tcPr>
                <w:p w14:paraId="776CE2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75~90</w:t>
                  </w:r>
                </w:p>
              </w:tc>
              <w:tc>
                <w:tcPr>
                  <w:tcW w:w="775" w:type="pct"/>
                  <w:tcBorders>
                    <w:tl2br w:val="nil"/>
                    <w:tr2bl w:val="nil"/>
                  </w:tcBorders>
                  <w:vAlign w:val="center"/>
                </w:tcPr>
                <w:p w14:paraId="53A238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减振、隔音</w:t>
                  </w:r>
                </w:p>
              </w:tc>
              <w:tc>
                <w:tcPr>
                  <w:tcW w:w="776" w:type="pct"/>
                  <w:tcBorders>
                    <w:tl2br w:val="nil"/>
                    <w:tr2bl w:val="nil"/>
                  </w:tcBorders>
                  <w:shd w:val="clear" w:color="auto" w:fill="auto"/>
                  <w:vAlign w:val="center"/>
                </w:tcPr>
                <w:p w14:paraId="0B8D62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18"/>
                      <w:highlight w:val="none"/>
                      <w:vertAlign w:val="baseline"/>
                      <w:lang w:val="en-US" w:eastAsia="zh-CN" w:bidi="ar-SA"/>
                    </w:rPr>
                  </w:pPr>
                  <w:r>
                    <w:rPr>
                      <w:rFonts w:hint="eastAsia"/>
                      <w:b w:val="0"/>
                      <w:bCs w:val="0"/>
                      <w:color w:val="auto"/>
                      <w:sz w:val="21"/>
                      <w:szCs w:val="18"/>
                      <w:highlight w:val="none"/>
                      <w:vertAlign w:val="baseline"/>
                      <w:lang w:val="en-US" w:eastAsia="zh-CN"/>
                    </w:rPr>
                    <w:t>55~70</w:t>
                  </w:r>
                </w:p>
              </w:tc>
              <w:tc>
                <w:tcPr>
                  <w:tcW w:w="559" w:type="pct"/>
                  <w:vMerge w:val="restart"/>
                  <w:tcBorders>
                    <w:tl2br w:val="nil"/>
                    <w:tr2bl w:val="nil"/>
                  </w:tcBorders>
                  <w:vAlign w:val="center"/>
                </w:tcPr>
                <w:p w14:paraId="5C6272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1584</w:t>
                  </w:r>
                </w:p>
              </w:tc>
            </w:tr>
            <w:tr w14:paraId="5DDBC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7" w:type="pct"/>
                  <w:tcBorders>
                    <w:tl2br w:val="nil"/>
                    <w:tr2bl w:val="nil"/>
                  </w:tcBorders>
                  <w:vAlign w:val="center"/>
                </w:tcPr>
                <w:p w14:paraId="628504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空调外机</w:t>
                  </w:r>
                </w:p>
              </w:tc>
              <w:tc>
                <w:tcPr>
                  <w:tcW w:w="894" w:type="pct"/>
                  <w:tcBorders>
                    <w:tl2br w:val="nil"/>
                    <w:tr2bl w:val="nil"/>
                  </w:tcBorders>
                  <w:vAlign w:val="center"/>
                </w:tcPr>
                <w:p w14:paraId="46BECE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风雨操场楼顶</w:t>
                  </w:r>
                </w:p>
              </w:tc>
              <w:tc>
                <w:tcPr>
                  <w:tcW w:w="628" w:type="pct"/>
                  <w:tcBorders>
                    <w:tl2br w:val="nil"/>
                    <w:tr2bl w:val="nil"/>
                  </w:tcBorders>
                  <w:vAlign w:val="center"/>
                </w:tcPr>
                <w:p w14:paraId="4716A0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频发</w:t>
                  </w:r>
                </w:p>
              </w:tc>
              <w:tc>
                <w:tcPr>
                  <w:tcW w:w="658" w:type="pct"/>
                  <w:tcBorders>
                    <w:tl2br w:val="nil"/>
                    <w:tr2bl w:val="nil"/>
                  </w:tcBorders>
                  <w:vAlign w:val="center"/>
                </w:tcPr>
                <w:p w14:paraId="38A2CA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75~95</w:t>
                  </w:r>
                </w:p>
              </w:tc>
              <w:tc>
                <w:tcPr>
                  <w:tcW w:w="775" w:type="pct"/>
                  <w:tcBorders>
                    <w:tl2br w:val="nil"/>
                    <w:tr2bl w:val="nil"/>
                  </w:tcBorders>
                  <w:shd w:val="clear" w:color="auto" w:fill="auto"/>
                  <w:vAlign w:val="center"/>
                </w:tcPr>
                <w:p w14:paraId="165473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highlight w:val="none"/>
                      <w:vertAlign w:val="baseline"/>
                      <w:lang w:val="en-US" w:eastAsia="zh-CN" w:bidi="ar-SA"/>
                    </w:rPr>
                  </w:pPr>
                  <w:r>
                    <w:rPr>
                      <w:rFonts w:hint="eastAsia"/>
                      <w:b w:val="0"/>
                      <w:bCs w:val="0"/>
                      <w:color w:val="auto"/>
                      <w:sz w:val="21"/>
                      <w:szCs w:val="18"/>
                      <w:highlight w:val="none"/>
                      <w:vertAlign w:val="baseline"/>
                      <w:lang w:val="en-US" w:eastAsia="zh-CN"/>
                    </w:rPr>
                    <w:t>减振、隔音</w:t>
                  </w:r>
                </w:p>
              </w:tc>
              <w:tc>
                <w:tcPr>
                  <w:tcW w:w="776" w:type="pct"/>
                  <w:tcBorders>
                    <w:tl2br w:val="nil"/>
                    <w:tr2bl w:val="nil"/>
                  </w:tcBorders>
                  <w:shd w:val="clear" w:color="auto" w:fill="auto"/>
                  <w:vAlign w:val="center"/>
                </w:tcPr>
                <w:p w14:paraId="5812AB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18"/>
                      <w:highlight w:val="none"/>
                      <w:vertAlign w:val="baseline"/>
                      <w:lang w:val="en-US" w:eastAsia="zh-CN" w:bidi="ar-SA"/>
                    </w:rPr>
                  </w:pPr>
                  <w:r>
                    <w:rPr>
                      <w:rFonts w:hint="eastAsia"/>
                      <w:b w:val="0"/>
                      <w:bCs w:val="0"/>
                      <w:color w:val="auto"/>
                      <w:sz w:val="21"/>
                      <w:szCs w:val="18"/>
                      <w:highlight w:val="none"/>
                      <w:vertAlign w:val="baseline"/>
                      <w:lang w:val="en-US" w:eastAsia="zh-CN"/>
                    </w:rPr>
                    <w:t>55~75</w:t>
                  </w:r>
                </w:p>
              </w:tc>
              <w:tc>
                <w:tcPr>
                  <w:tcW w:w="559" w:type="pct"/>
                  <w:vMerge w:val="continue"/>
                  <w:tcBorders>
                    <w:tl2br w:val="nil"/>
                    <w:tr2bl w:val="nil"/>
                  </w:tcBorders>
                  <w:vAlign w:val="center"/>
                </w:tcPr>
                <w:p w14:paraId="7BE19D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p>
              </w:tc>
            </w:tr>
            <w:tr w14:paraId="0F103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7" w:type="pct"/>
                  <w:tcBorders>
                    <w:tl2br w:val="nil"/>
                    <w:tr2bl w:val="nil"/>
                  </w:tcBorders>
                  <w:vAlign w:val="center"/>
                </w:tcPr>
                <w:p w14:paraId="35C3D3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水泵</w:t>
                  </w:r>
                </w:p>
              </w:tc>
              <w:tc>
                <w:tcPr>
                  <w:tcW w:w="894" w:type="pct"/>
                  <w:tcBorders>
                    <w:tl2br w:val="nil"/>
                    <w:tr2bl w:val="nil"/>
                  </w:tcBorders>
                  <w:vAlign w:val="center"/>
                </w:tcPr>
                <w:p w14:paraId="7F6469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地下室</w:t>
                  </w:r>
                </w:p>
              </w:tc>
              <w:tc>
                <w:tcPr>
                  <w:tcW w:w="628" w:type="pct"/>
                  <w:tcBorders>
                    <w:tl2br w:val="nil"/>
                    <w:tr2bl w:val="nil"/>
                  </w:tcBorders>
                  <w:vAlign w:val="center"/>
                </w:tcPr>
                <w:p w14:paraId="26310F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频发</w:t>
                  </w:r>
                </w:p>
              </w:tc>
              <w:tc>
                <w:tcPr>
                  <w:tcW w:w="658" w:type="pct"/>
                  <w:tcBorders>
                    <w:tl2br w:val="nil"/>
                    <w:tr2bl w:val="nil"/>
                  </w:tcBorders>
                  <w:vAlign w:val="center"/>
                </w:tcPr>
                <w:p w14:paraId="7E72A6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70~80</w:t>
                  </w:r>
                </w:p>
              </w:tc>
              <w:tc>
                <w:tcPr>
                  <w:tcW w:w="775" w:type="pct"/>
                  <w:tcBorders>
                    <w:tl2br w:val="nil"/>
                    <w:tr2bl w:val="nil"/>
                  </w:tcBorders>
                  <w:shd w:val="clear" w:color="auto" w:fill="auto"/>
                  <w:vAlign w:val="center"/>
                </w:tcPr>
                <w:p w14:paraId="11DE9D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18"/>
                      <w:highlight w:val="none"/>
                      <w:vertAlign w:val="baseline"/>
                      <w:lang w:val="en-US" w:eastAsia="zh-CN" w:bidi="ar-SA"/>
                    </w:rPr>
                  </w:pPr>
                  <w:r>
                    <w:rPr>
                      <w:rFonts w:hint="eastAsia"/>
                      <w:b w:val="0"/>
                      <w:bCs w:val="0"/>
                      <w:color w:val="auto"/>
                      <w:sz w:val="21"/>
                      <w:szCs w:val="18"/>
                      <w:highlight w:val="none"/>
                      <w:vertAlign w:val="baseline"/>
                      <w:lang w:val="en-US" w:eastAsia="zh-CN"/>
                    </w:rPr>
                    <w:t>减振、隔音</w:t>
                  </w:r>
                </w:p>
              </w:tc>
              <w:tc>
                <w:tcPr>
                  <w:tcW w:w="776" w:type="pct"/>
                  <w:tcBorders>
                    <w:tl2br w:val="nil"/>
                    <w:tr2bl w:val="nil"/>
                  </w:tcBorders>
                  <w:vAlign w:val="center"/>
                </w:tcPr>
                <w:p w14:paraId="06A048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r>
                    <w:rPr>
                      <w:rFonts w:hint="eastAsia"/>
                      <w:b w:val="0"/>
                      <w:bCs w:val="0"/>
                      <w:color w:val="auto"/>
                      <w:sz w:val="21"/>
                      <w:szCs w:val="18"/>
                      <w:highlight w:val="none"/>
                      <w:vertAlign w:val="baseline"/>
                      <w:lang w:val="en-US" w:eastAsia="zh-CN"/>
                    </w:rPr>
                    <w:t>50~60</w:t>
                  </w:r>
                </w:p>
              </w:tc>
              <w:tc>
                <w:tcPr>
                  <w:tcW w:w="559" w:type="pct"/>
                  <w:vMerge w:val="continue"/>
                  <w:tcBorders>
                    <w:tl2br w:val="nil"/>
                    <w:tr2bl w:val="nil"/>
                  </w:tcBorders>
                  <w:vAlign w:val="center"/>
                </w:tcPr>
                <w:p w14:paraId="697711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auto"/>
                      <w:sz w:val="21"/>
                      <w:szCs w:val="18"/>
                      <w:highlight w:val="none"/>
                      <w:vertAlign w:val="baseline"/>
                      <w:lang w:val="en-US" w:eastAsia="zh-CN"/>
                    </w:rPr>
                  </w:pPr>
                </w:p>
              </w:tc>
            </w:tr>
          </w:tbl>
          <w:p w14:paraId="641F21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highlight w:val="none"/>
                <w:lang w:val="en-US" w:eastAsia="zh-CN"/>
              </w:rPr>
            </w:pPr>
            <w:r>
              <w:rPr>
                <w:rFonts w:hint="eastAsia"/>
                <w:b w:val="0"/>
                <w:bCs w:val="0"/>
                <w:color w:val="auto"/>
                <w:sz w:val="24"/>
                <w:szCs w:val="21"/>
                <w:highlight w:val="none"/>
                <w:lang w:val="en-US" w:eastAsia="zh-CN"/>
              </w:rPr>
              <w:t>4.7.2噪声污染防治措施</w:t>
            </w:r>
          </w:p>
          <w:p w14:paraId="2111E5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highlight w:val="none"/>
                <w:lang w:val="en-US" w:eastAsia="zh-CN"/>
              </w:rPr>
            </w:pPr>
            <w:r>
              <w:rPr>
                <w:rFonts w:hint="default"/>
                <w:b w:val="0"/>
                <w:bCs w:val="0"/>
                <w:color w:val="auto"/>
                <w:sz w:val="24"/>
                <w:szCs w:val="21"/>
                <w:highlight w:val="none"/>
                <w:lang w:val="en-US" w:eastAsia="zh-CN"/>
              </w:rPr>
              <w:fldChar w:fldCharType="begin"/>
            </w:r>
            <w:r>
              <w:rPr>
                <w:rFonts w:hint="default"/>
                <w:b w:val="0"/>
                <w:bCs w:val="0"/>
                <w:color w:val="auto"/>
                <w:sz w:val="24"/>
                <w:szCs w:val="21"/>
                <w:highlight w:val="none"/>
                <w:lang w:val="en-US" w:eastAsia="zh-CN"/>
              </w:rPr>
              <w:instrText xml:space="preserve"> = 1 \* GB3 \* MERGEFORMAT </w:instrText>
            </w:r>
            <w:r>
              <w:rPr>
                <w:rFonts w:hint="default"/>
                <w:b w:val="0"/>
                <w:bCs w:val="0"/>
                <w:color w:val="auto"/>
                <w:sz w:val="24"/>
                <w:szCs w:val="21"/>
                <w:highlight w:val="none"/>
                <w:lang w:val="en-US" w:eastAsia="zh-CN"/>
              </w:rPr>
              <w:fldChar w:fldCharType="separate"/>
            </w:r>
            <w:r>
              <w:rPr>
                <w:rFonts w:hint="default"/>
                <w:color w:val="auto"/>
              </w:rPr>
              <w:t>①</w:t>
            </w:r>
            <w:r>
              <w:rPr>
                <w:rFonts w:hint="default"/>
                <w:b w:val="0"/>
                <w:bCs w:val="0"/>
                <w:color w:val="auto"/>
                <w:sz w:val="24"/>
                <w:szCs w:val="21"/>
                <w:highlight w:val="none"/>
                <w:lang w:val="en-US" w:eastAsia="zh-CN"/>
              </w:rPr>
              <w:fldChar w:fldCharType="end"/>
            </w:r>
            <w:r>
              <w:rPr>
                <w:rFonts w:hint="default"/>
                <w:b w:val="0"/>
                <w:bCs w:val="0"/>
                <w:color w:val="auto"/>
                <w:sz w:val="24"/>
                <w:szCs w:val="21"/>
                <w:highlight w:val="none"/>
                <w:lang w:val="en-US" w:eastAsia="zh-CN"/>
              </w:rPr>
              <w:t>在满足功能要求前提下，风机</w:t>
            </w:r>
            <w:r>
              <w:rPr>
                <w:rFonts w:hint="eastAsia"/>
                <w:b w:val="0"/>
                <w:bCs w:val="0"/>
                <w:color w:val="auto"/>
                <w:sz w:val="24"/>
                <w:szCs w:val="21"/>
                <w:highlight w:val="none"/>
                <w:lang w:val="en-US" w:eastAsia="zh-CN"/>
              </w:rPr>
              <w:t>、水泵</w:t>
            </w:r>
            <w:r>
              <w:rPr>
                <w:rFonts w:hint="default"/>
                <w:b w:val="0"/>
                <w:bCs w:val="0"/>
                <w:color w:val="auto"/>
                <w:sz w:val="24"/>
                <w:szCs w:val="21"/>
                <w:highlight w:val="none"/>
                <w:lang w:val="en-US" w:eastAsia="zh-CN"/>
              </w:rPr>
              <w:t>等设备选用加工精度高、装配质量好、低噪设备；所有固定设备均应安装在加有减振垫的隔声基础上。</w:t>
            </w:r>
          </w:p>
          <w:p w14:paraId="0D883C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eastAsia="宋体"/>
                <w:b w:val="0"/>
                <w:bCs w:val="0"/>
                <w:color w:val="auto"/>
                <w:sz w:val="24"/>
                <w:szCs w:val="21"/>
                <w:highlight w:val="none"/>
                <w:lang w:val="en-US" w:eastAsia="zh-CN"/>
              </w:rPr>
            </w:pPr>
            <w:r>
              <w:rPr>
                <w:rFonts w:hint="default"/>
                <w:b w:val="0"/>
                <w:bCs w:val="0"/>
                <w:color w:val="auto"/>
                <w:sz w:val="24"/>
                <w:szCs w:val="21"/>
                <w:highlight w:val="none"/>
                <w:lang w:val="en-US" w:eastAsia="zh-CN"/>
              </w:rPr>
              <w:fldChar w:fldCharType="begin"/>
            </w:r>
            <w:r>
              <w:rPr>
                <w:rFonts w:hint="default"/>
                <w:b w:val="0"/>
                <w:bCs w:val="0"/>
                <w:color w:val="auto"/>
                <w:sz w:val="24"/>
                <w:szCs w:val="21"/>
                <w:highlight w:val="none"/>
                <w:lang w:val="en-US" w:eastAsia="zh-CN"/>
              </w:rPr>
              <w:instrText xml:space="preserve"> = 2 \* GB3 \* MERGEFORMAT </w:instrText>
            </w:r>
            <w:r>
              <w:rPr>
                <w:rFonts w:hint="default"/>
                <w:b w:val="0"/>
                <w:bCs w:val="0"/>
                <w:color w:val="auto"/>
                <w:sz w:val="24"/>
                <w:szCs w:val="21"/>
                <w:highlight w:val="none"/>
                <w:lang w:val="en-US" w:eastAsia="zh-CN"/>
              </w:rPr>
              <w:fldChar w:fldCharType="separate"/>
            </w:r>
            <w:r>
              <w:rPr>
                <w:rFonts w:hint="default"/>
                <w:color w:val="auto"/>
              </w:rPr>
              <w:t>②</w:t>
            </w:r>
            <w:r>
              <w:rPr>
                <w:rFonts w:hint="default"/>
                <w:b w:val="0"/>
                <w:bCs w:val="0"/>
                <w:color w:val="auto"/>
                <w:sz w:val="24"/>
                <w:szCs w:val="21"/>
                <w:highlight w:val="none"/>
                <w:lang w:val="en-US" w:eastAsia="zh-CN"/>
              </w:rPr>
              <w:fldChar w:fldCharType="end"/>
            </w:r>
            <w:r>
              <w:rPr>
                <w:rFonts w:hint="default"/>
                <w:b w:val="0"/>
                <w:bCs w:val="0"/>
                <w:color w:val="auto"/>
                <w:sz w:val="24"/>
                <w:szCs w:val="21"/>
                <w:highlight w:val="none"/>
                <w:lang w:val="en-US" w:eastAsia="zh-CN"/>
              </w:rPr>
              <w:t>合理摆放排气风机的位置</w:t>
            </w:r>
            <w:r>
              <w:rPr>
                <w:rFonts w:hint="eastAsia"/>
                <w:color w:val="auto"/>
                <w:lang w:eastAsia="zh-CN"/>
              </w:rPr>
              <w:t>，</w:t>
            </w:r>
            <w:r>
              <w:rPr>
                <w:rFonts w:hint="eastAsia"/>
                <w:color w:val="auto"/>
                <w:lang w:val="en-US" w:eastAsia="zh-CN"/>
              </w:rPr>
              <w:t>布置应远离小学部的教学楼；水泵布置在地下。</w:t>
            </w:r>
          </w:p>
          <w:p w14:paraId="4BD44D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highlight w:val="none"/>
                <w:lang w:val="en-US" w:eastAsia="zh-CN"/>
              </w:rPr>
            </w:pPr>
            <w:r>
              <w:rPr>
                <w:rFonts w:hint="default"/>
                <w:b w:val="0"/>
                <w:bCs w:val="0"/>
                <w:color w:val="auto"/>
                <w:sz w:val="24"/>
                <w:szCs w:val="21"/>
                <w:highlight w:val="none"/>
                <w:lang w:val="en-US" w:eastAsia="zh-CN"/>
              </w:rPr>
              <w:fldChar w:fldCharType="begin"/>
            </w:r>
            <w:r>
              <w:rPr>
                <w:rFonts w:hint="default"/>
                <w:b w:val="0"/>
                <w:bCs w:val="0"/>
                <w:color w:val="auto"/>
                <w:sz w:val="24"/>
                <w:szCs w:val="21"/>
                <w:highlight w:val="none"/>
                <w:lang w:val="en-US" w:eastAsia="zh-CN"/>
              </w:rPr>
              <w:instrText xml:space="preserve"> = 3 \* GB3 \* MERGEFORMAT </w:instrText>
            </w:r>
            <w:r>
              <w:rPr>
                <w:rFonts w:hint="default"/>
                <w:b w:val="0"/>
                <w:bCs w:val="0"/>
                <w:color w:val="auto"/>
                <w:sz w:val="24"/>
                <w:szCs w:val="21"/>
                <w:highlight w:val="none"/>
                <w:lang w:val="en-US" w:eastAsia="zh-CN"/>
              </w:rPr>
              <w:fldChar w:fldCharType="separate"/>
            </w:r>
            <w:r>
              <w:rPr>
                <w:rFonts w:hint="default"/>
                <w:color w:val="auto"/>
              </w:rPr>
              <w:t>③</w:t>
            </w:r>
            <w:r>
              <w:rPr>
                <w:rFonts w:hint="default"/>
                <w:b w:val="0"/>
                <w:bCs w:val="0"/>
                <w:color w:val="auto"/>
                <w:sz w:val="24"/>
                <w:szCs w:val="21"/>
                <w:highlight w:val="none"/>
                <w:lang w:val="en-US" w:eastAsia="zh-CN"/>
              </w:rPr>
              <w:fldChar w:fldCharType="end"/>
            </w:r>
            <w:r>
              <w:rPr>
                <w:rFonts w:hint="default"/>
                <w:b w:val="0"/>
                <w:bCs w:val="0"/>
                <w:color w:val="auto"/>
                <w:sz w:val="24"/>
                <w:szCs w:val="21"/>
                <w:highlight w:val="none"/>
                <w:lang w:val="en-US" w:eastAsia="zh-CN"/>
              </w:rPr>
              <w:t>建议配电房房顶铺设吸声结构，减小低频空气沿墙体传播的结构噪声；对墙壁进行吸声、隔声处理。</w:t>
            </w:r>
          </w:p>
          <w:p w14:paraId="351846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highlight w:val="none"/>
                <w:lang w:val="en-US" w:eastAsia="zh-CN"/>
              </w:rPr>
            </w:pPr>
            <w:r>
              <w:rPr>
                <w:rFonts w:hint="eastAsia"/>
                <w:b w:val="0"/>
                <w:bCs w:val="0"/>
                <w:color w:val="auto"/>
                <w:sz w:val="24"/>
                <w:szCs w:val="21"/>
                <w:highlight w:val="none"/>
                <w:lang w:val="en-US" w:eastAsia="zh-CN"/>
              </w:rPr>
              <w:fldChar w:fldCharType="begin"/>
            </w:r>
            <w:r>
              <w:rPr>
                <w:rFonts w:hint="eastAsia"/>
                <w:b w:val="0"/>
                <w:bCs w:val="0"/>
                <w:color w:val="auto"/>
                <w:sz w:val="24"/>
                <w:szCs w:val="21"/>
                <w:highlight w:val="none"/>
                <w:lang w:val="en-US" w:eastAsia="zh-CN"/>
              </w:rPr>
              <w:instrText xml:space="preserve"> = 4 \* GB3 \* MERGEFORMAT </w:instrText>
            </w:r>
            <w:r>
              <w:rPr>
                <w:rFonts w:hint="eastAsia"/>
                <w:b w:val="0"/>
                <w:bCs w:val="0"/>
                <w:color w:val="auto"/>
                <w:sz w:val="24"/>
                <w:szCs w:val="21"/>
                <w:highlight w:val="none"/>
                <w:lang w:val="en-US" w:eastAsia="zh-CN"/>
              </w:rPr>
              <w:fldChar w:fldCharType="separate"/>
            </w:r>
            <w:r>
              <w:rPr>
                <w:rFonts w:hint="default"/>
                <w:color w:val="auto"/>
              </w:rPr>
              <w:t>④</w:t>
            </w:r>
            <w:r>
              <w:rPr>
                <w:rFonts w:hint="eastAsia"/>
                <w:b w:val="0"/>
                <w:bCs w:val="0"/>
                <w:color w:val="auto"/>
                <w:sz w:val="24"/>
                <w:szCs w:val="21"/>
                <w:highlight w:val="none"/>
                <w:lang w:val="en-US" w:eastAsia="zh-CN"/>
              </w:rPr>
              <w:fldChar w:fldCharType="end"/>
            </w:r>
            <w:r>
              <w:rPr>
                <w:rFonts w:hint="eastAsia"/>
                <w:b w:val="0"/>
                <w:bCs w:val="0"/>
                <w:color w:val="auto"/>
                <w:sz w:val="24"/>
                <w:szCs w:val="21"/>
                <w:highlight w:val="none"/>
                <w:lang w:val="en-US" w:eastAsia="zh-CN"/>
              </w:rPr>
              <w:t>风雨操场中央</w:t>
            </w:r>
            <w:r>
              <w:rPr>
                <w:rFonts w:hint="default"/>
                <w:b w:val="0"/>
                <w:bCs w:val="0"/>
                <w:color w:val="auto"/>
                <w:sz w:val="24"/>
                <w:szCs w:val="21"/>
                <w:highlight w:val="none"/>
                <w:lang w:val="en-US" w:eastAsia="zh-CN"/>
              </w:rPr>
              <w:t>空调外机等应合理选择机位，</w:t>
            </w:r>
            <w:r>
              <w:rPr>
                <w:rFonts w:hint="eastAsia"/>
                <w:b w:val="0"/>
                <w:bCs w:val="0"/>
                <w:color w:val="auto"/>
                <w:sz w:val="24"/>
                <w:szCs w:val="21"/>
                <w:highlight w:val="none"/>
                <w:lang w:val="en-US" w:eastAsia="zh-CN"/>
              </w:rPr>
              <w:t>布置在远离小学部教学楼的西侧</w:t>
            </w:r>
            <w:r>
              <w:rPr>
                <w:rFonts w:hint="default"/>
                <w:b w:val="0"/>
                <w:bCs w:val="0"/>
                <w:color w:val="auto"/>
                <w:sz w:val="24"/>
                <w:szCs w:val="21"/>
                <w:highlight w:val="none"/>
                <w:lang w:val="en-US" w:eastAsia="zh-CN"/>
              </w:rPr>
              <w:t>，同时采取必要的防噪措施，防止噪声影响学生上课。</w:t>
            </w:r>
          </w:p>
          <w:p w14:paraId="155E32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highlight w:val="none"/>
                <w:lang w:val="en-US" w:eastAsia="zh-CN"/>
              </w:rPr>
            </w:pPr>
            <w:r>
              <w:rPr>
                <w:rFonts w:hint="default"/>
                <w:b w:val="0"/>
                <w:bCs w:val="0"/>
                <w:color w:val="auto"/>
                <w:sz w:val="24"/>
                <w:szCs w:val="21"/>
                <w:highlight w:val="none"/>
                <w:lang w:val="en-US" w:eastAsia="zh-CN"/>
              </w:rPr>
              <w:fldChar w:fldCharType="begin"/>
            </w:r>
            <w:r>
              <w:rPr>
                <w:rFonts w:hint="default"/>
                <w:b w:val="0"/>
                <w:bCs w:val="0"/>
                <w:color w:val="auto"/>
                <w:sz w:val="24"/>
                <w:szCs w:val="21"/>
                <w:highlight w:val="none"/>
                <w:lang w:val="en-US" w:eastAsia="zh-CN"/>
              </w:rPr>
              <w:instrText xml:space="preserve"> = 5 \* GB3 \* MERGEFORMAT </w:instrText>
            </w:r>
            <w:r>
              <w:rPr>
                <w:rFonts w:hint="default"/>
                <w:b w:val="0"/>
                <w:bCs w:val="0"/>
                <w:color w:val="auto"/>
                <w:sz w:val="24"/>
                <w:szCs w:val="21"/>
                <w:highlight w:val="none"/>
                <w:lang w:val="en-US" w:eastAsia="zh-CN"/>
              </w:rPr>
              <w:fldChar w:fldCharType="separate"/>
            </w:r>
            <w:r>
              <w:rPr>
                <w:rFonts w:hint="default"/>
                <w:color w:val="auto"/>
              </w:rPr>
              <w:t>⑤</w:t>
            </w:r>
            <w:r>
              <w:rPr>
                <w:rFonts w:hint="default"/>
                <w:b w:val="0"/>
                <w:bCs w:val="0"/>
                <w:color w:val="auto"/>
                <w:sz w:val="24"/>
                <w:szCs w:val="21"/>
                <w:highlight w:val="none"/>
                <w:lang w:val="en-US" w:eastAsia="zh-CN"/>
              </w:rPr>
              <w:fldChar w:fldCharType="end"/>
            </w:r>
            <w:r>
              <w:rPr>
                <w:rFonts w:hint="default"/>
                <w:b w:val="0"/>
                <w:bCs w:val="0"/>
                <w:color w:val="auto"/>
                <w:sz w:val="24"/>
                <w:szCs w:val="21"/>
                <w:highlight w:val="none"/>
                <w:lang w:val="en-US" w:eastAsia="zh-CN"/>
              </w:rPr>
              <w:t>沿</w:t>
            </w:r>
            <w:r>
              <w:rPr>
                <w:rFonts w:hint="eastAsia"/>
                <w:b w:val="0"/>
                <w:bCs w:val="0"/>
                <w:color w:val="auto"/>
                <w:sz w:val="24"/>
                <w:szCs w:val="21"/>
                <w:highlight w:val="none"/>
                <w:lang w:val="en-US" w:eastAsia="zh-CN"/>
              </w:rPr>
              <w:t>校园西侧</w:t>
            </w:r>
            <w:r>
              <w:rPr>
                <w:rFonts w:hint="default"/>
                <w:b w:val="0"/>
                <w:bCs w:val="0"/>
                <w:color w:val="auto"/>
                <w:sz w:val="24"/>
                <w:szCs w:val="21"/>
                <w:highlight w:val="none"/>
                <w:lang w:val="en-US" w:eastAsia="zh-CN"/>
              </w:rPr>
              <w:t>路侧设置绿化屏障。</w:t>
            </w:r>
          </w:p>
          <w:p w14:paraId="05856B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highlight w:val="none"/>
                <w:lang w:val="en-US" w:eastAsia="zh-CN"/>
              </w:rPr>
            </w:pPr>
            <w:r>
              <w:rPr>
                <w:rFonts w:hint="default"/>
                <w:b w:val="0"/>
                <w:bCs w:val="0"/>
                <w:color w:val="auto"/>
                <w:sz w:val="24"/>
                <w:szCs w:val="21"/>
                <w:highlight w:val="none"/>
                <w:lang w:val="en-US" w:eastAsia="zh-CN"/>
              </w:rPr>
              <w:t>为减少运营期</w:t>
            </w:r>
            <w:r>
              <w:rPr>
                <w:rFonts w:hint="eastAsia"/>
                <w:b w:val="0"/>
                <w:bCs w:val="0"/>
                <w:color w:val="auto"/>
                <w:sz w:val="24"/>
                <w:szCs w:val="21"/>
                <w:highlight w:val="none"/>
                <w:lang w:val="en-US" w:eastAsia="zh-CN"/>
              </w:rPr>
              <w:t>外界</w:t>
            </w:r>
            <w:r>
              <w:rPr>
                <w:rFonts w:hint="default"/>
                <w:b w:val="0"/>
                <w:bCs w:val="0"/>
                <w:color w:val="auto"/>
                <w:sz w:val="24"/>
                <w:szCs w:val="21"/>
                <w:highlight w:val="none"/>
                <w:lang w:val="en-US" w:eastAsia="zh-CN"/>
              </w:rPr>
              <w:t>车辆</w:t>
            </w:r>
            <w:r>
              <w:rPr>
                <w:rFonts w:hint="eastAsia"/>
                <w:b w:val="0"/>
                <w:bCs w:val="0"/>
                <w:color w:val="auto"/>
                <w:sz w:val="24"/>
                <w:szCs w:val="21"/>
                <w:highlight w:val="none"/>
                <w:lang w:val="en-US" w:eastAsia="zh-CN"/>
              </w:rPr>
              <w:t>的</w:t>
            </w:r>
            <w:r>
              <w:rPr>
                <w:rFonts w:hint="default"/>
                <w:b w:val="0"/>
                <w:bCs w:val="0"/>
                <w:color w:val="auto"/>
                <w:sz w:val="24"/>
                <w:szCs w:val="21"/>
                <w:highlight w:val="none"/>
                <w:lang w:val="en-US" w:eastAsia="zh-CN"/>
              </w:rPr>
              <w:t>噪声影响，应加强车辆管理，设置减速带、禁止鸣笛标示牌等措施。</w:t>
            </w:r>
            <w:r>
              <w:rPr>
                <w:rFonts w:hint="eastAsia"/>
                <w:b w:val="0"/>
                <w:bCs w:val="0"/>
                <w:color w:val="auto"/>
                <w:sz w:val="24"/>
                <w:szCs w:val="21"/>
                <w:highlight w:val="none"/>
                <w:lang w:val="en-US" w:eastAsia="zh-CN"/>
              </w:rPr>
              <w:t>此外，为减少麟绛西大街道路交通噪声对教学活动的影响，应在校园北边界设置绿化带做为屏障减少噪声。</w:t>
            </w:r>
          </w:p>
          <w:p w14:paraId="5C6CAC73">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highlight w:val="none"/>
                <w:lang w:val="en-US" w:eastAsia="zh-CN"/>
              </w:rPr>
            </w:pPr>
            <w:r>
              <w:rPr>
                <w:rFonts w:hint="eastAsia"/>
                <w:color w:val="auto"/>
                <w:highlight w:val="none"/>
                <w:lang w:val="en-US" w:eastAsia="zh-CN"/>
              </w:rPr>
              <w:t>4.7.3声环境影响分析</w:t>
            </w:r>
          </w:p>
          <w:p w14:paraId="4BA2E81E">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highlight w:val="none"/>
                <w:lang w:val="en-US" w:eastAsia="zh-CN"/>
              </w:rPr>
            </w:pPr>
            <w:r>
              <w:rPr>
                <w:rFonts w:hint="default"/>
                <w:color w:val="auto"/>
                <w:highlight w:val="none"/>
                <w:lang w:val="en-US" w:eastAsia="zh-CN"/>
              </w:rPr>
              <w:t>根据</w:t>
            </w:r>
            <w:r>
              <w:rPr>
                <w:rFonts w:hint="eastAsia"/>
                <w:color w:val="auto"/>
                <w:highlight w:val="none"/>
                <w:lang w:val="en-US" w:eastAsia="zh-CN"/>
              </w:rPr>
              <w:t>建设项目环境影响报告表编制技术指南（污染影响类）（试行）中的要求分析厂界和环境敏感保护目标达标情况，具体如下：</w:t>
            </w:r>
          </w:p>
          <w:p w14:paraId="3999BB81">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color w:val="auto"/>
                <w:highlight w:val="none"/>
                <w:lang w:val="en-US" w:eastAsia="zh-CN"/>
              </w:rPr>
            </w:pPr>
            <w:r>
              <w:rPr>
                <w:rFonts w:hint="default"/>
                <w:color w:val="auto"/>
                <w:highlight w:val="none"/>
                <w:lang w:val="en-US" w:eastAsia="zh-CN"/>
              </w:rPr>
              <w:t>本项目运营期夜间设备不运行，《环境影响评价技术导则声环境》（HJ2.4-2021）推荐的公式进行噪声预测</w:t>
            </w:r>
            <w:r>
              <w:rPr>
                <w:rFonts w:hint="eastAsia"/>
                <w:color w:val="auto"/>
                <w:highlight w:val="none"/>
                <w:lang w:val="en-US" w:eastAsia="zh-CN"/>
              </w:rPr>
              <w:t>，</w:t>
            </w:r>
            <w:r>
              <w:rPr>
                <w:rFonts w:hint="default"/>
                <w:color w:val="auto"/>
                <w:highlight w:val="none"/>
                <w:lang w:val="en-US" w:eastAsia="zh-CN"/>
              </w:rPr>
              <w:t>昼间噪声预测结果见表</w:t>
            </w:r>
            <w:r>
              <w:rPr>
                <w:rFonts w:hint="eastAsia"/>
                <w:color w:val="auto"/>
                <w:highlight w:val="none"/>
                <w:lang w:val="en-US" w:eastAsia="zh-CN"/>
              </w:rPr>
              <w:t>4-6</w:t>
            </w:r>
            <w:r>
              <w:rPr>
                <w:rFonts w:hint="default"/>
                <w:color w:val="auto"/>
                <w:highlight w:val="none"/>
                <w:lang w:val="en-US" w:eastAsia="zh-CN"/>
              </w:rPr>
              <w:t>。</w:t>
            </w:r>
          </w:p>
          <w:p w14:paraId="7DDD9106">
            <w:pPr>
              <w:keepNext w:val="0"/>
              <w:keepLines w:val="0"/>
              <w:numPr>
                <w:ilvl w:val="0"/>
                <w:numId w:val="0"/>
              </w:numPr>
              <w:suppressLineNumbers w:val="0"/>
              <w:spacing w:before="0" w:beforeAutospacing="0" w:after="0" w:afterAutospacing="0" w:line="240" w:lineRule="auto"/>
              <w:ind w:left="0" w:right="0" w:rightChars="0"/>
              <w:jc w:val="center"/>
              <w:rPr>
                <w:rFonts w:hint="eastAsia"/>
                <w:b/>
                <w:bCs/>
                <w:color w:val="auto"/>
                <w:sz w:val="21"/>
                <w:szCs w:val="18"/>
                <w:highlight w:val="none"/>
                <w:lang w:val="en-US" w:eastAsia="zh-CN"/>
              </w:rPr>
            </w:pPr>
          </w:p>
          <w:p w14:paraId="7E6D6DC8">
            <w:pPr>
              <w:keepNext w:val="0"/>
              <w:keepLines w:val="0"/>
              <w:numPr>
                <w:ilvl w:val="0"/>
                <w:numId w:val="0"/>
              </w:numPr>
              <w:suppressLineNumbers w:val="0"/>
              <w:spacing w:before="0" w:beforeAutospacing="0" w:after="0" w:afterAutospacing="0" w:line="240" w:lineRule="auto"/>
              <w:ind w:left="0" w:right="0" w:rightChars="0"/>
              <w:jc w:val="center"/>
              <w:rPr>
                <w:rFonts w:hint="eastAsia"/>
                <w:b/>
                <w:bCs/>
                <w:color w:val="auto"/>
                <w:sz w:val="21"/>
                <w:szCs w:val="18"/>
                <w:highlight w:val="none"/>
                <w:lang w:val="en-US" w:eastAsia="zh-CN"/>
              </w:rPr>
            </w:pPr>
          </w:p>
          <w:p w14:paraId="2F383C83">
            <w:pPr>
              <w:keepNext w:val="0"/>
              <w:keepLines w:val="0"/>
              <w:numPr>
                <w:ilvl w:val="0"/>
                <w:numId w:val="0"/>
              </w:numPr>
              <w:suppressLineNumbers w:val="0"/>
              <w:spacing w:before="0" w:beforeAutospacing="0" w:after="0" w:afterAutospacing="0" w:line="240" w:lineRule="auto"/>
              <w:ind w:left="0" w:right="0" w:rightChars="0"/>
              <w:jc w:val="center"/>
              <w:rPr>
                <w:rFonts w:hint="eastAsia"/>
                <w:b/>
                <w:bCs/>
                <w:color w:val="auto"/>
                <w:sz w:val="21"/>
                <w:szCs w:val="18"/>
                <w:highlight w:val="none"/>
                <w:lang w:val="en-US" w:eastAsia="zh-CN"/>
              </w:rPr>
            </w:pPr>
            <w:r>
              <w:rPr>
                <w:rFonts w:hint="eastAsia"/>
                <w:b/>
                <w:bCs/>
                <w:color w:val="auto"/>
                <w:sz w:val="21"/>
                <w:szCs w:val="18"/>
                <w:highlight w:val="none"/>
                <w:lang w:val="en-US" w:eastAsia="zh-CN"/>
              </w:rPr>
              <w:t>表4-6 校园边界四周及敏感点噪声预测结果达标分析表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479"/>
              <w:gridCol w:w="1479"/>
              <w:gridCol w:w="1479"/>
              <w:gridCol w:w="1479"/>
              <w:gridCol w:w="1292"/>
            </w:tblGrid>
            <w:tr w14:paraId="5EB73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54" w:type="pct"/>
                  <w:vMerge w:val="restart"/>
                  <w:tcBorders>
                    <w:tl2br w:val="nil"/>
                    <w:tr2bl w:val="nil"/>
                  </w:tcBorders>
                  <w:vAlign w:val="center"/>
                </w:tcPr>
                <w:p w14:paraId="020F4D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预测</w:t>
                  </w:r>
                </w:p>
                <w:p w14:paraId="5484B3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方位</w:t>
                  </w:r>
                </w:p>
              </w:tc>
              <w:tc>
                <w:tcPr>
                  <w:tcW w:w="871" w:type="pct"/>
                  <w:tcBorders>
                    <w:tl2br w:val="nil"/>
                    <w:tr2bl w:val="nil"/>
                  </w:tcBorders>
                  <w:vAlign w:val="center"/>
                </w:tcPr>
                <w:p w14:paraId="6ACB7D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背景值</w:t>
                  </w:r>
                  <w:r>
                    <w:rPr>
                      <w:rFonts w:hint="default"/>
                      <w:color w:val="auto"/>
                      <w:sz w:val="21"/>
                      <w:szCs w:val="21"/>
                      <w:highlight w:val="none"/>
                      <w:vertAlign w:val="baseline"/>
                      <w:lang w:val="en-US" w:eastAsia="zh-CN"/>
                    </w:rPr>
                    <w:t xml:space="preserve">  （dB(A)）</w:t>
                  </w:r>
                </w:p>
              </w:tc>
              <w:tc>
                <w:tcPr>
                  <w:tcW w:w="871" w:type="pct"/>
                  <w:tcBorders>
                    <w:tl2br w:val="nil"/>
                    <w:tr2bl w:val="nil"/>
                  </w:tcBorders>
                  <w:vAlign w:val="center"/>
                </w:tcPr>
                <w:p w14:paraId="66E96C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贡献值</w:t>
                  </w:r>
                </w:p>
                <w:p w14:paraId="424507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（dB(A)）</w:t>
                  </w:r>
                </w:p>
              </w:tc>
              <w:tc>
                <w:tcPr>
                  <w:tcW w:w="871" w:type="pct"/>
                  <w:tcBorders>
                    <w:tl2br w:val="nil"/>
                    <w:tr2bl w:val="nil"/>
                  </w:tcBorders>
                  <w:vAlign w:val="center"/>
                </w:tcPr>
                <w:p w14:paraId="11CF3A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预测值</w:t>
                  </w:r>
                </w:p>
                <w:p w14:paraId="5E1EB6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（dB(A)）</w:t>
                  </w:r>
                </w:p>
              </w:tc>
              <w:tc>
                <w:tcPr>
                  <w:tcW w:w="871" w:type="pct"/>
                  <w:tcBorders>
                    <w:tl2br w:val="nil"/>
                    <w:tr2bl w:val="nil"/>
                  </w:tcBorders>
                  <w:vAlign w:val="center"/>
                </w:tcPr>
                <w:p w14:paraId="274042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标准限值 （dB(A)）</w:t>
                  </w:r>
                </w:p>
              </w:tc>
              <w:tc>
                <w:tcPr>
                  <w:tcW w:w="761" w:type="pct"/>
                  <w:tcBorders>
                    <w:tl2br w:val="nil"/>
                    <w:tr2bl w:val="nil"/>
                  </w:tcBorders>
                  <w:vAlign w:val="center"/>
                </w:tcPr>
                <w:p w14:paraId="250FF0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p w14:paraId="35566A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情况</w:t>
                  </w:r>
                </w:p>
              </w:tc>
            </w:tr>
            <w:tr w14:paraId="1CF2A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pct"/>
                  <w:tcBorders>
                    <w:tl2br w:val="nil"/>
                    <w:tr2bl w:val="nil"/>
                  </w:tcBorders>
                  <w:vAlign w:val="center"/>
                </w:tcPr>
                <w:p w14:paraId="499C7A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1#北界</w:t>
                  </w:r>
                </w:p>
              </w:tc>
              <w:tc>
                <w:tcPr>
                  <w:tcW w:w="871" w:type="pct"/>
                  <w:tcBorders>
                    <w:tl2br w:val="nil"/>
                    <w:tr2bl w:val="nil"/>
                  </w:tcBorders>
                  <w:vAlign w:val="center"/>
                </w:tcPr>
                <w:p w14:paraId="7B02FF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56.3</w:t>
                  </w:r>
                </w:p>
              </w:tc>
              <w:tc>
                <w:tcPr>
                  <w:tcW w:w="871" w:type="pct"/>
                  <w:tcBorders>
                    <w:tl2br w:val="nil"/>
                    <w:tr2bl w:val="nil"/>
                  </w:tcBorders>
                  <w:vAlign w:val="center"/>
                </w:tcPr>
                <w:p w14:paraId="113BB2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38.2</w:t>
                  </w:r>
                </w:p>
              </w:tc>
              <w:tc>
                <w:tcPr>
                  <w:tcW w:w="871" w:type="pct"/>
                  <w:tcBorders>
                    <w:tl2br w:val="nil"/>
                    <w:tr2bl w:val="nil"/>
                  </w:tcBorders>
                  <w:vAlign w:val="center"/>
                </w:tcPr>
                <w:p w14:paraId="423814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871" w:type="pct"/>
                  <w:tcBorders>
                    <w:tl2br w:val="nil"/>
                    <w:tr2bl w:val="nil"/>
                  </w:tcBorders>
                  <w:vAlign w:val="center"/>
                </w:tcPr>
                <w:p w14:paraId="3A26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70</w:t>
                  </w:r>
                </w:p>
              </w:tc>
              <w:tc>
                <w:tcPr>
                  <w:tcW w:w="761" w:type="pct"/>
                  <w:tcBorders>
                    <w:tl2br w:val="nil"/>
                    <w:tr2bl w:val="nil"/>
                  </w:tcBorders>
                  <w:vAlign w:val="center"/>
                </w:tcPr>
                <w:p w14:paraId="4F6E3C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3D481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pct"/>
                  <w:tcBorders>
                    <w:tl2br w:val="nil"/>
                    <w:tr2bl w:val="nil"/>
                  </w:tcBorders>
                  <w:vAlign w:val="center"/>
                </w:tcPr>
                <w:p w14:paraId="43B8D9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2#南界</w:t>
                  </w:r>
                </w:p>
              </w:tc>
              <w:tc>
                <w:tcPr>
                  <w:tcW w:w="871" w:type="pct"/>
                  <w:tcBorders>
                    <w:tl2br w:val="nil"/>
                    <w:tr2bl w:val="nil"/>
                  </w:tcBorders>
                  <w:vAlign w:val="center"/>
                </w:tcPr>
                <w:p w14:paraId="0A972B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47.2</w:t>
                  </w:r>
                </w:p>
              </w:tc>
              <w:tc>
                <w:tcPr>
                  <w:tcW w:w="871" w:type="pct"/>
                  <w:tcBorders>
                    <w:tl2br w:val="nil"/>
                    <w:tr2bl w:val="nil"/>
                  </w:tcBorders>
                  <w:vAlign w:val="center"/>
                </w:tcPr>
                <w:p w14:paraId="642F6C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41.9</w:t>
                  </w:r>
                </w:p>
              </w:tc>
              <w:tc>
                <w:tcPr>
                  <w:tcW w:w="871" w:type="pct"/>
                  <w:tcBorders>
                    <w:tl2br w:val="nil"/>
                    <w:tr2bl w:val="nil"/>
                  </w:tcBorders>
                  <w:vAlign w:val="center"/>
                </w:tcPr>
                <w:p w14:paraId="30AE82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871" w:type="pct"/>
                  <w:tcBorders>
                    <w:tl2br w:val="nil"/>
                    <w:tr2bl w:val="nil"/>
                  </w:tcBorders>
                  <w:vAlign w:val="center"/>
                </w:tcPr>
                <w:p w14:paraId="3BEA76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55</w:t>
                  </w:r>
                </w:p>
              </w:tc>
              <w:tc>
                <w:tcPr>
                  <w:tcW w:w="761" w:type="pct"/>
                  <w:tcBorders>
                    <w:tl2br w:val="nil"/>
                    <w:tr2bl w:val="nil"/>
                  </w:tcBorders>
                  <w:vAlign w:val="center"/>
                </w:tcPr>
                <w:p w14:paraId="1FBD39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03F99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pct"/>
                  <w:tcBorders>
                    <w:tl2br w:val="nil"/>
                    <w:tr2bl w:val="nil"/>
                  </w:tcBorders>
                  <w:vAlign w:val="center"/>
                </w:tcPr>
                <w:p w14:paraId="5D3B6B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3#西界</w:t>
                  </w:r>
                </w:p>
              </w:tc>
              <w:tc>
                <w:tcPr>
                  <w:tcW w:w="871" w:type="pct"/>
                  <w:tcBorders>
                    <w:tl2br w:val="nil"/>
                    <w:tr2bl w:val="nil"/>
                  </w:tcBorders>
                  <w:vAlign w:val="center"/>
                </w:tcPr>
                <w:p w14:paraId="59D818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53.8</w:t>
                  </w:r>
                </w:p>
              </w:tc>
              <w:tc>
                <w:tcPr>
                  <w:tcW w:w="871" w:type="pct"/>
                  <w:tcBorders>
                    <w:tl2br w:val="nil"/>
                    <w:tr2bl w:val="nil"/>
                  </w:tcBorders>
                  <w:vAlign w:val="center"/>
                </w:tcPr>
                <w:p w14:paraId="710CD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36.8</w:t>
                  </w:r>
                </w:p>
              </w:tc>
              <w:tc>
                <w:tcPr>
                  <w:tcW w:w="871" w:type="pct"/>
                  <w:tcBorders>
                    <w:tl2br w:val="nil"/>
                    <w:tr2bl w:val="nil"/>
                  </w:tcBorders>
                  <w:vAlign w:val="center"/>
                </w:tcPr>
                <w:p w14:paraId="430C58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871" w:type="pct"/>
                  <w:tcBorders>
                    <w:tl2br w:val="nil"/>
                    <w:tr2bl w:val="nil"/>
                  </w:tcBorders>
                  <w:vAlign w:val="center"/>
                </w:tcPr>
                <w:p w14:paraId="179F01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55</w:t>
                  </w:r>
                </w:p>
              </w:tc>
              <w:tc>
                <w:tcPr>
                  <w:tcW w:w="761" w:type="pct"/>
                  <w:tcBorders>
                    <w:tl2br w:val="nil"/>
                    <w:tr2bl w:val="nil"/>
                  </w:tcBorders>
                  <w:vAlign w:val="center"/>
                </w:tcPr>
                <w:p w14:paraId="782B36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3303F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pct"/>
                  <w:tcBorders>
                    <w:tl2br w:val="nil"/>
                    <w:tr2bl w:val="nil"/>
                  </w:tcBorders>
                  <w:vAlign w:val="center"/>
                </w:tcPr>
                <w:p w14:paraId="5A8BFC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麟绛小学校</w:t>
                  </w:r>
                </w:p>
              </w:tc>
              <w:tc>
                <w:tcPr>
                  <w:tcW w:w="871" w:type="pct"/>
                  <w:tcBorders>
                    <w:tl2br w:val="nil"/>
                    <w:tr2bl w:val="nil"/>
                  </w:tcBorders>
                  <w:vAlign w:val="center"/>
                </w:tcPr>
                <w:p w14:paraId="53F470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54.5</w:t>
                  </w:r>
                </w:p>
              </w:tc>
              <w:tc>
                <w:tcPr>
                  <w:tcW w:w="871" w:type="pct"/>
                  <w:tcBorders>
                    <w:tl2br w:val="nil"/>
                    <w:tr2bl w:val="nil"/>
                  </w:tcBorders>
                  <w:vAlign w:val="center"/>
                </w:tcPr>
                <w:p w14:paraId="235113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34.6</w:t>
                  </w:r>
                </w:p>
              </w:tc>
              <w:tc>
                <w:tcPr>
                  <w:tcW w:w="871" w:type="pct"/>
                  <w:tcBorders>
                    <w:tl2br w:val="nil"/>
                    <w:tr2bl w:val="nil"/>
                  </w:tcBorders>
                  <w:vAlign w:val="center"/>
                </w:tcPr>
                <w:p w14:paraId="48D1E3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54.5</w:t>
                  </w:r>
                </w:p>
              </w:tc>
              <w:tc>
                <w:tcPr>
                  <w:tcW w:w="871" w:type="pct"/>
                  <w:tcBorders>
                    <w:tl2br w:val="nil"/>
                    <w:tr2bl w:val="nil"/>
                  </w:tcBorders>
                  <w:vAlign w:val="center"/>
                </w:tcPr>
                <w:p w14:paraId="135742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55</w:t>
                  </w:r>
                </w:p>
              </w:tc>
              <w:tc>
                <w:tcPr>
                  <w:tcW w:w="761" w:type="pct"/>
                  <w:tcBorders>
                    <w:tl2br w:val="nil"/>
                    <w:tr2bl w:val="nil"/>
                  </w:tcBorders>
                  <w:vAlign w:val="center"/>
                </w:tcPr>
                <w:p w14:paraId="1CEDB6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2A44A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pct"/>
                  <w:tcBorders>
                    <w:tl2br w:val="nil"/>
                    <w:tr2bl w:val="nil"/>
                  </w:tcBorders>
                  <w:vAlign w:val="center"/>
                </w:tcPr>
                <w:p w14:paraId="0EFDD1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书香华庭</w:t>
                  </w:r>
                </w:p>
              </w:tc>
              <w:tc>
                <w:tcPr>
                  <w:tcW w:w="871" w:type="pct"/>
                  <w:tcBorders>
                    <w:tl2br w:val="nil"/>
                    <w:tr2bl w:val="nil"/>
                  </w:tcBorders>
                  <w:vAlign w:val="center"/>
                </w:tcPr>
                <w:p w14:paraId="1B9909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56.6</w:t>
                  </w:r>
                </w:p>
              </w:tc>
              <w:tc>
                <w:tcPr>
                  <w:tcW w:w="871" w:type="pct"/>
                  <w:tcBorders>
                    <w:tl2br w:val="nil"/>
                    <w:tr2bl w:val="nil"/>
                  </w:tcBorders>
                  <w:vAlign w:val="center"/>
                </w:tcPr>
                <w:p w14:paraId="603292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32.3</w:t>
                  </w:r>
                </w:p>
              </w:tc>
              <w:tc>
                <w:tcPr>
                  <w:tcW w:w="871" w:type="pct"/>
                  <w:tcBorders>
                    <w:tl2br w:val="nil"/>
                    <w:tr2bl w:val="nil"/>
                  </w:tcBorders>
                  <w:vAlign w:val="center"/>
                </w:tcPr>
                <w:p w14:paraId="78475D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56.6</w:t>
                  </w:r>
                </w:p>
              </w:tc>
              <w:tc>
                <w:tcPr>
                  <w:tcW w:w="871" w:type="pct"/>
                  <w:tcBorders>
                    <w:tl2br w:val="nil"/>
                    <w:tr2bl w:val="nil"/>
                  </w:tcBorders>
                  <w:vAlign w:val="center"/>
                </w:tcPr>
                <w:p w14:paraId="5A768B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70</w:t>
                  </w:r>
                </w:p>
              </w:tc>
              <w:tc>
                <w:tcPr>
                  <w:tcW w:w="761" w:type="pct"/>
                  <w:tcBorders>
                    <w:tl2br w:val="nil"/>
                    <w:tr2bl w:val="nil"/>
                  </w:tcBorders>
                  <w:vAlign w:val="center"/>
                </w:tcPr>
                <w:p w14:paraId="4C2C71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5E559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pct"/>
                  <w:tcBorders>
                    <w:tl2br w:val="nil"/>
                    <w:tr2bl w:val="nil"/>
                  </w:tcBorders>
                  <w:vAlign w:val="center"/>
                </w:tcPr>
                <w:p w14:paraId="119A7F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金威家园</w:t>
                  </w:r>
                </w:p>
              </w:tc>
              <w:tc>
                <w:tcPr>
                  <w:tcW w:w="871" w:type="pct"/>
                  <w:tcBorders>
                    <w:tl2br w:val="nil"/>
                    <w:tr2bl w:val="nil"/>
                  </w:tcBorders>
                  <w:vAlign w:val="center"/>
                </w:tcPr>
                <w:p w14:paraId="16983A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52.5</w:t>
                  </w:r>
                </w:p>
              </w:tc>
              <w:tc>
                <w:tcPr>
                  <w:tcW w:w="871" w:type="pct"/>
                  <w:tcBorders>
                    <w:tl2br w:val="nil"/>
                    <w:tr2bl w:val="nil"/>
                  </w:tcBorders>
                  <w:vAlign w:val="center"/>
                </w:tcPr>
                <w:p w14:paraId="61451D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27.9</w:t>
                  </w:r>
                </w:p>
              </w:tc>
              <w:tc>
                <w:tcPr>
                  <w:tcW w:w="871" w:type="pct"/>
                  <w:tcBorders>
                    <w:tl2br w:val="nil"/>
                    <w:tr2bl w:val="nil"/>
                  </w:tcBorders>
                  <w:vAlign w:val="center"/>
                </w:tcPr>
                <w:p w14:paraId="5866B5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52.5</w:t>
                  </w:r>
                </w:p>
              </w:tc>
              <w:tc>
                <w:tcPr>
                  <w:tcW w:w="871" w:type="pct"/>
                  <w:tcBorders>
                    <w:tl2br w:val="nil"/>
                    <w:tr2bl w:val="nil"/>
                  </w:tcBorders>
                  <w:vAlign w:val="center"/>
                </w:tcPr>
                <w:p w14:paraId="59728B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55</w:t>
                  </w:r>
                </w:p>
              </w:tc>
              <w:tc>
                <w:tcPr>
                  <w:tcW w:w="761" w:type="pct"/>
                  <w:tcBorders>
                    <w:tl2br w:val="nil"/>
                    <w:tr2bl w:val="nil"/>
                  </w:tcBorders>
                  <w:vAlign w:val="center"/>
                </w:tcPr>
                <w:p w14:paraId="19C383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bl>
          <w:p w14:paraId="0A115CD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项目建成运行后，</w:t>
            </w:r>
            <w:r>
              <w:rPr>
                <w:rFonts w:hint="eastAsia"/>
                <w:b w:val="0"/>
                <w:bCs w:val="0"/>
                <w:color w:val="auto"/>
                <w:sz w:val="24"/>
                <w:szCs w:val="21"/>
                <w:lang w:val="en-US" w:eastAsia="zh-CN"/>
              </w:rPr>
              <w:t>仅昼间运营，</w:t>
            </w:r>
            <w:r>
              <w:rPr>
                <w:rFonts w:hint="default"/>
                <w:b w:val="0"/>
                <w:bCs w:val="0"/>
                <w:color w:val="auto"/>
                <w:sz w:val="24"/>
                <w:szCs w:val="21"/>
                <w:lang w:val="en-US" w:eastAsia="zh-CN"/>
              </w:rPr>
              <w:t>噪声源经过采取降噪措施后，项目</w:t>
            </w:r>
            <w:r>
              <w:rPr>
                <w:rFonts w:hint="eastAsia"/>
                <w:b w:val="0"/>
                <w:bCs w:val="0"/>
                <w:color w:val="auto"/>
                <w:sz w:val="24"/>
                <w:szCs w:val="21"/>
                <w:lang w:val="en-US" w:eastAsia="zh-CN"/>
              </w:rPr>
              <w:t>东（麟绛小学校）、南、西边界</w:t>
            </w:r>
            <w:r>
              <w:rPr>
                <w:rFonts w:hint="default"/>
                <w:b w:val="0"/>
                <w:bCs w:val="0"/>
                <w:color w:val="auto"/>
                <w:sz w:val="24"/>
                <w:szCs w:val="21"/>
                <w:lang w:val="en-US" w:eastAsia="zh-CN"/>
              </w:rPr>
              <w:t>昼间噪声贡献值满足《工业企业厂界环境噪声排放标准》（GB12348-2008）</w:t>
            </w:r>
            <w:r>
              <w:rPr>
                <w:rFonts w:hint="eastAsia"/>
                <w:b w:val="0"/>
                <w:bCs w:val="0"/>
                <w:color w:val="auto"/>
                <w:sz w:val="24"/>
                <w:szCs w:val="21"/>
                <w:lang w:val="en-US" w:eastAsia="zh-CN"/>
              </w:rPr>
              <w:t>1</w:t>
            </w:r>
            <w:r>
              <w:rPr>
                <w:rFonts w:hint="default"/>
                <w:b w:val="0"/>
                <w:bCs w:val="0"/>
                <w:color w:val="auto"/>
                <w:sz w:val="24"/>
                <w:szCs w:val="21"/>
                <w:lang w:val="en-US" w:eastAsia="zh-CN"/>
              </w:rPr>
              <w:t xml:space="preserve"> 类标准要求，</w:t>
            </w:r>
            <w:r>
              <w:rPr>
                <w:rFonts w:hint="eastAsia"/>
                <w:b w:val="0"/>
                <w:bCs w:val="0"/>
                <w:color w:val="auto"/>
                <w:sz w:val="24"/>
                <w:szCs w:val="21"/>
                <w:lang w:val="en-US" w:eastAsia="zh-CN"/>
              </w:rPr>
              <w:t>北边界昼间噪声贡献值满足</w:t>
            </w:r>
            <w:r>
              <w:rPr>
                <w:rFonts w:hint="default"/>
                <w:b w:val="0"/>
                <w:bCs w:val="0"/>
                <w:color w:val="auto"/>
                <w:sz w:val="24"/>
                <w:szCs w:val="21"/>
                <w:lang w:val="en-US" w:eastAsia="zh-CN"/>
              </w:rPr>
              <w:t>《工业企业厂界环境噪声排放标准》（GB12348-2008）</w:t>
            </w:r>
            <w:r>
              <w:rPr>
                <w:rFonts w:hint="eastAsia"/>
                <w:b w:val="0"/>
                <w:bCs w:val="0"/>
                <w:color w:val="auto"/>
                <w:sz w:val="24"/>
                <w:szCs w:val="21"/>
                <w:lang w:val="en-US" w:eastAsia="zh-CN"/>
              </w:rPr>
              <w:t>4</w:t>
            </w:r>
            <w:r>
              <w:rPr>
                <w:rFonts w:hint="default"/>
                <w:b w:val="0"/>
                <w:bCs w:val="0"/>
                <w:color w:val="auto"/>
                <w:sz w:val="24"/>
                <w:szCs w:val="21"/>
                <w:lang w:val="en-US" w:eastAsia="zh-CN"/>
              </w:rPr>
              <w:t>类标准要求</w:t>
            </w:r>
            <w:r>
              <w:rPr>
                <w:rFonts w:hint="eastAsia"/>
                <w:b w:val="0"/>
                <w:bCs w:val="0"/>
                <w:color w:val="auto"/>
                <w:sz w:val="24"/>
                <w:szCs w:val="21"/>
                <w:lang w:val="en-US" w:eastAsia="zh-CN"/>
              </w:rPr>
              <w:t>；</w:t>
            </w:r>
            <w:r>
              <w:rPr>
                <w:rFonts w:hint="default"/>
                <w:b w:val="0"/>
                <w:bCs w:val="0"/>
                <w:color w:val="auto"/>
                <w:sz w:val="24"/>
                <w:szCs w:val="21"/>
                <w:lang w:val="en-US" w:eastAsia="zh-CN"/>
              </w:rPr>
              <w:t>敏感点</w:t>
            </w:r>
            <w:r>
              <w:rPr>
                <w:rFonts w:hint="eastAsia"/>
                <w:b w:val="0"/>
                <w:bCs w:val="0"/>
                <w:color w:val="auto"/>
                <w:sz w:val="24"/>
                <w:szCs w:val="21"/>
                <w:lang w:val="en-US" w:eastAsia="zh-CN"/>
              </w:rPr>
              <w:t>（麟绛小学校、金威家园）</w:t>
            </w:r>
            <w:r>
              <w:rPr>
                <w:rFonts w:hint="default"/>
                <w:b w:val="0"/>
                <w:bCs w:val="0"/>
                <w:color w:val="auto"/>
                <w:sz w:val="24"/>
                <w:szCs w:val="21"/>
                <w:lang w:val="en-US" w:eastAsia="zh-CN"/>
              </w:rPr>
              <w:t>噪声预测值满足《声环境质量标准》（GB3096-2008）</w:t>
            </w:r>
            <w:r>
              <w:rPr>
                <w:rFonts w:hint="eastAsia"/>
                <w:b w:val="0"/>
                <w:bCs w:val="0"/>
                <w:color w:val="auto"/>
                <w:sz w:val="24"/>
                <w:szCs w:val="21"/>
                <w:lang w:val="en-US" w:eastAsia="zh-CN"/>
              </w:rPr>
              <w:t>1</w:t>
            </w:r>
            <w:r>
              <w:rPr>
                <w:rFonts w:hint="default"/>
                <w:b w:val="0"/>
                <w:bCs w:val="0"/>
                <w:color w:val="auto"/>
                <w:sz w:val="24"/>
                <w:szCs w:val="21"/>
                <w:lang w:val="en-US" w:eastAsia="zh-CN"/>
              </w:rPr>
              <w:t>类标准</w:t>
            </w:r>
            <w:r>
              <w:rPr>
                <w:rFonts w:hint="eastAsia"/>
                <w:b w:val="0"/>
                <w:bCs w:val="0"/>
                <w:color w:val="auto"/>
                <w:sz w:val="24"/>
                <w:szCs w:val="21"/>
                <w:lang w:val="en-US" w:eastAsia="zh-CN"/>
              </w:rPr>
              <w:t>，书香华庭小区临路建筑处</w:t>
            </w:r>
            <w:r>
              <w:rPr>
                <w:rFonts w:hint="default"/>
                <w:b w:val="0"/>
                <w:bCs w:val="0"/>
                <w:color w:val="auto"/>
                <w:sz w:val="24"/>
                <w:szCs w:val="21"/>
                <w:lang w:val="en-US" w:eastAsia="zh-CN"/>
              </w:rPr>
              <w:t>噪声预测值满足《声环境质量标准》（GB3096-2008）</w:t>
            </w:r>
            <w:r>
              <w:rPr>
                <w:rFonts w:hint="eastAsia"/>
                <w:b w:val="0"/>
                <w:bCs w:val="0"/>
                <w:color w:val="auto"/>
                <w:sz w:val="24"/>
                <w:szCs w:val="21"/>
                <w:lang w:val="en-US" w:eastAsia="zh-CN"/>
              </w:rPr>
              <w:t>4a</w:t>
            </w:r>
            <w:r>
              <w:rPr>
                <w:rFonts w:hint="default"/>
                <w:b w:val="0"/>
                <w:bCs w:val="0"/>
                <w:color w:val="auto"/>
                <w:sz w:val="24"/>
                <w:szCs w:val="21"/>
                <w:lang w:val="en-US" w:eastAsia="zh-CN"/>
              </w:rPr>
              <w:t>类标准</w:t>
            </w:r>
            <w:r>
              <w:rPr>
                <w:rFonts w:hint="eastAsia"/>
                <w:b w:val="0"/>
                <w:bCs w:val="0"/>
                <w:color w:val="auto"/>
                <w:sz w:val="24"/>
                <w:szCs w:val="21"/>
                <w:lang w:val="en-US" w:eastAsia="zh-CN"/>
              </w:rPr>
              <w:t>。</w:t>
            </w:r>
          </w:p>
          <w:p w14:paraId="7D8B6C8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4.7.4外环境对本项目的影响</w:t>
            </w:r>
          </w:p>
          <w:p w14:paraId="4985989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本项目属于学校建设项目</w:t>
            </w:r>
            <w:r>
              <w:rPr>
                <w:rFonts w:hint="eastAsia"/>
                <w:b w:val="0"/>
                <w:bCs w:val="0"/>
                <w:color w:val="auto"/>
                <w:sz w:val="24"/>
                <w:szCs w:val="21"/>
                <w:lang w:val="en-US" w:eastAsia="zh-CN"/>
              </w:rPr>
              <w:t>，周围无工业企业</w:t>
            </w:r>
            <w:r>
              <w:rPr>
                <w:rFonts w:hint="default"/>
                <w:b w:val="0"/>
                <w:bCs w:val="0"/>
                <w:color w:val="auto"/>
                <w:sz w:val="24"/>
                <w:szCs w:val="21"/>
                <w:lang w:val="en-US" w:eastAsia="zh-CN"/>
              </w:rPr>
              <w:t>。本次环评要求在校区</w:t>
            </w:r>
            <w:r>
              <w:rPr>
                <w:rFonts w:hint="eastAsia"/>
                <w:b w:val="0"/>
                <w:bCs w:val="0"/>
                <w:color w:val="auto"/>
                <w:sz w:val="24"/>
                <w:szCs w:val="21"/>
                <w:lang w:val="en-US" w:eastAsia="zh-CN"/>
              </w:rPr>
              <w:t>北侧麟绛西大街</w:t>
            </w:r>
            <w:r>
              <w:rPr>
                <w:rFonts w:hint="default"/>
                <w:b w:val="0"/>
                <w:bCs w:val="0"/>
                <w:color w:val="auto"/>
                <w:sz w:val="24"/>
                <w:szCs w:val="21"/>
                <w:lang w:val="en-US" w:eastAsia="zh-CN"/>
              </w:rPr>
              <w:t>上设置减速带，设置减速慢行、禁止鸣笛、限速 30km/h 等标志牌，同时校区周边种植防护带，采取以上措施后对外环境对本项目产生的影响较小</w:t>
            </w:r>
            <w:r>
              <w:rPr>
                <w:rFonts w:hint="eastAsia"/>
                <w:b w:val="0"/>
                <w:bCs w:val="0"/>
                <w:color w:val="auto"/>
                <w:sz w:val="24"/>
                <w:szCs w:val="21"/>
                <w:lang w:val="en-US" w:eastAsia="zh-CN"/>
              </w:rPr>
              <w:t>。</w:t>
            </w:r>
          </w:p>
          <w:p w14:paraId="03A786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b/>
                <w:bCs/>
                <w:color w:val="auto"/>
                <w:sz w:val="24"/>
                <w:szCs w:val="21"/>
                <w:lang w:val="en-US" w:eastAsia="zh-CN"/>
              </w:rPr>
            </w:pPr>
            <w:r>
              <w:rPr>
                <w:rFonts w:hint="eastAsia"/>
                <w:b/>
                <w:bCs/>
                <w:color w:val="auto"/>
                <w:sz w:val="24"/>
                <w:szCs w:val="21"/>
                <w:lang w:val="en-US" w:eastAsia="zh-CN"/>
              </w:rPr>
              <w:t>4.8固体废物</w:t>
            </w:r>
          </w:p>
          <w:p w14:paraId="179E87D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4.8.1污染源源强分析</w:t>
            </w:r>
          </w:p>
          <w:p w14:paraId="3705EF7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本项目产生的固体废物主要为实验废液、废实验用品（废弃药品、废试剂、废试纸、沾染酸碱等化学品的破损实验仪器（试管、载玻片等））</w:t>
            </w:r>
            <w:r>
              <w:rPr>
                <w:rFonts w:hint="eastAsia"/>
                <w:b w:val="0"/>
                <w:bCs w:val="0"/>
                <w:color w:val="auto"/>
                <w:sz w:val="24"/>
                <w:szCs w:val="21"/>
                <w:lang w:val="en-US" w:eastAsia="zh-CN"/>
              </w:rPr>
              <w:t>、</w:t>
            </w:r>
            <w:r>
              <w:rPr>
                <w:rFonts w:hint="default"/>
                <w:b w:val="0"/>
                <w:bCs w:val="0"/>
                <w:color w:val="auto"/>
                <w:sz w:val="24"/>
                <w:szCs w:val="21"/>
                <w:lang w:val="en-US" w:eastAsia="zh-CN"/>
              </w:rPr>
              <w:t>生活垃圾</w:t>
            </w:r>
            <w:r>
              <w:rPr>
                <w:rFonts w:hint="eastAsia"/>
                <w:b w:val="0"/>
                <w:bCs w:val="0"/>
                <w:color w:val="auto"/>
                <w:sz w:val="24"/>
                <w:szCs w:val="21"/>
                <w:highlight w:val="none"/>
                <w:lang w:val="en-US" w:eastAsia="zh-CN"/>
              </w:rPr>
              <w:t>。</w:t>
            </w:r>
          </w:p>
          <w:p w14:paraId="3C643D6E">
            <w:pPr>
              <w:keepNext w:val="0"/>
              <w:keepLines w:val="0"/>
              <w:pageBreakBefore w:val="0"/>
              <w:widowControl w:val="0"/>
              <w:numPr>
                <w:ilvl w:val="0"/>
                <w:numId w:val="14"/>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实验室固废</w:t>
            </w:r>
          </w:p>
          <w:p w14:paraId="2E15D90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实验室产生的一般固废主要有废纸箱、废弃或破损玻璃仪器、废纸等，产生量约</w:t>
            </w:r>
            <w:r>
              <w:rPr>
                <w:rFonts w:hint="eastAsia"/>
                <w:b w:val="0"/>
                <w:bCs w:val="0"/>
                <w:color w:val="auto"/>
                <w:sz w:val="24"/>
                <w:szCs w:val="21"/>
                <w:lang w:val="en-US" w:eastAsia="zh-CN"/>
              </w:rPr>
              <w:t>0.5</w:t>
            </w:r>
            <w:r>
              <w:rPr>
                <w:rFonts w:hint="default"/>
                <w:b w:val="0"/>
                <w:bCs w:val="0"/>
                <w:color w:val="auto"/>
                <w:sz w:val="24"/>
                <w:szCs w:val="21"/>
                <w:lang w:val="en-US" w:eastAsia="zh-CN"/>
              </w:rPr>
              <w:t>t/a ，集中收集后交环卫部门统一处理，不外排</w:t>
            </w:r>
            <w:r>
              <w:rPr>
                <w:rFonts w:hint="eastAsia"/>
                <w:b w:val="0"/>
                <w:bCs w:val="0"/>
                <w:color w:val="auto"/>
                <w:sz w:val="24"/>
                <w:szCs w:val="21"/>
                <w:lang w:val="en-US" w:eastAsia="zh-CN"/>
              </w:rPr>
              <w:t>。</w:t>
            </w:r>
          </w:p>
          <w:p w14:paraId="28B8E41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实验室产生的危险废物包括实验废液和废实验用品</w:t>
            </w:r>
            <w:r>
              <w:rPr>
                <w:rFonts w:hint="eastAsia"/>
                <w:b w:val="0"/>
                <w:bCs w:val="0"/>
                <w:color w:val="auto"/>
                <w:sz w:val="24"/>
                <w:szCs w:val="21"/>
                <w:lang w:val="en-US" w:eastAsia="zh-CN"/>
              </w:rPr>
              <w:t>：</w:t>
            </w:r>
          </w:p>
          <w:p w14:paraId="1022DF7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1 \* GB3 \* MERGEFORMAT </w:instrText>
            </w:r>
            <w:r>
              <w:rPr>
                <w:rFonts w:hint="default"/>
                <w:b w:val="0"/>
                <w:bCs w:val="0"/>
                <w:color w:val="auto"/>
                <w:sz w:val="24"/>
                <w:szCs w:val="21"/>
                <w:lang w:val="en-US" w:eastAsia="zh-CN"/>
              </w:rPr>
              <w:fldChar w:fldCharType="separate"/>
            </w:r>
            <w:r>
              <w:rPr>
                <w:rFonts w:hint="default"/>
                <w:color w:val="auto"/>
              </w:rPr>
              <w:t>①</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实验废液</w:t>
            </w:r>
          </w:p>
          <w:p w14:paraId="42C4FD3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highlight w:val="none"/>
                <w:lang w:val="en-US" w:eastAsia="zh-CN"/>
              </w:rPr>
            </w:pPr>
            <w:r>
              <w:rPr>
                <w:rFonts w:hint="eastAsia"/>
                <w:b w:val="0"/>
                <w:bCs w:val="0"/>
                <w:color w:val="auto"/>
                <w:sz w:val="24"/>
                <w:szCs w:val="21"/>
                <w:lang w:val="en-US" w:eastAsia="zh-CN"/>
              </w:rPr>
              <w:t>根据教学课程计划，实验废液主要来源于化学实验过程中溶液配制、溶液稀释、试剂添加及反应等。实验课结束后，所用试剂全部倾倒在指定的容器内，作为实验废液处理。废液中主要是酸、碱、</w:t>
            </w:r>
            <w:r>
              <w:rPr>
                <w:rFonts w:hint="eastAsia"/>
                <w:b w:val="0"/>
                <w:bCs w:val="0"/>
                <w:color w:val="auto"/>
                <w:sz w:val="24"/>
                <w:szCs w:val="21"/>
                <w:highlight w:val="none"/>
                <w:lang w:val="en-US" w:eastAsia="zh-CN"/>
              </w:rPr>
              <w:t>金属盐等常见化合物。</w:t>
            </w:r>
          </w:p>
          <w:p w14:paraId="279D4D2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highlight w:val="none"/>
                <w:lang w:val="en-US" w:eastAsia="zh-CN"/>
              </w:rPr>
              <w:t>根据实验室规模及建设单位提供的资料，实验试剂年用量约0.050t/a，</w:t>
            </w:r>
            <w:r>
              <w:rPr>
                <w:rFonts w:hint="eastAsia"/>
                <w:b w:val="0"/>
                <w:bCs w:val="0"/>
                <w:color w:val="auto"/>
                <w:sz w:val="24"/>
                <w:szCs w:val="21"/>
                <w:lang w:val="en-US" w:eastAsia="zh-CN"/>
              </w:rPr>
              <w:t>实验废液产生量约0.020t/a。根据《国家危险废物名录（2025年版）》，属于危险废物，危废类别为HW49，危废代码为900-047-49，分类收集后暂存于实验楼内设置的危废贮存点后，委托有资质处置单位处理转运。</w:t>
            </w:r>
          </w:p>
          <w:p w14:paraId="10F4B74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2 \* GB3 \* MERGEFORMAT </w:instrText>
            </w:r>
            <w:r>
              <w:rPr>
                <w:rFonts w:hint="default"/>
                <w:b w:val="0"/>
                <w:bCs w:val="0"/>
                <w:color w:val="auto"/>
                <w:sz w:val="24"/>
                <w:szCs w:val="21"/>
                <w:lang w:val="en-US" w:eastAsia="zh-CN"/>
              </w:rPr>
              <w:fldChar w:fldCharType="separate"/>
            </w:r>
            <w:r>
              <w:rPr>
                <w:rFonts w:hint="default"/>
                <w:color w:val="auto"/>
              </w:rPr>
              <w:t>②</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废实验用品</w:t>
            </w:r>
          </w:p>
          <w:p w14:paraId="06B2B5F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在进行化学实验及准备过程中，还会产生废实验用品，主要有：废弃药品、废试剂、废试纸、沾染酸碱等化学品的破损实验仪器（试管、载玻片等）等。经与建设单位确认，项目废实验用品产生量约为</w:t>
            </w:r>
            <w:r>
              <w:rPr>
                <w:rFonts w:hint="eastAsia"/>
                <w:b w:val="0"/>
                <w:bCs w:val="0"/>
                <w:color w:val="auto"/>
                <w:sz w:val="24"/>
                <w:szCs w:val="21"/>
                <w:lang w:val="en-US" w:eastAsia="zh-CN"/>
              </w:rPr>
              <w:t>0.01</w:t>
            </w:r>
            <w:r>
              <w:rPr>
                <w:rFonts w:hint="default"/>
                <w:b w:val="0"/>
                <w:bCs w:val="0"/>
                <w:color w:val="auto"/>
                <w:sz w:val="24"/>
                <w:szCs w:val="21"/>
                <w:lang w:val="en-US" w:eastAsia="zh-CN"/>
              </w:rPr>
              <w:t>t/a</w:t>
            </w:r>
            <w:r>
              <w:rPr>
                <w:rFonts w:hint="eastAsia"/>
                <w:b w:val="0"/>
                <w:bCs w:val="0"/>
                <w:color w:val="auto"/>
                <w:sz w:val="24"/>
                <w:szCs w:val="21"/>
                <w:lang w:val="en-US" w:eastAsia="zh-CN"/>
              </w:rPr>
              <w:t>。根据《国家危险废物名录（2025年版）》，属于危险废物，危废类别为HW49，危废代码为900-047-49，分类收集后暂存于实验楼内设置的危废贮存点后，委托有资质处置单位处理转运。</w:t>
            </w:r>
          </w:p>
          <w:p w14:paraId="5AC07F1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480" w:leftChars="200" w:right="0" w:rightChars="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（2）生活垃圾</w:t>
            </w:r>
          </w:p>
          <w:p w14:paraId="44064BD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本项目有学生和教职工</w:t>
            </w:r>
            <w:r>
              <w:rPr>
                <w:rFonts w:hint="eastAsia"/>
                <w:b w:val="0"/>
                <w:bCs w:val="0"/>
                <w:color w:val="auto"/>
                <w:sz w:val="24"/>
                <w:szCs w:val="21"/>
                <w:lang w:val="en-US" w:eastAsia="zh-CN"/>
              </w:rPr>
              <w:t>1289</w:t>
            </w:r>
            <w:r>
              <w:rPr>
                <w:rFonts w:hint="default"/>
                <w:b w:val="0"/>
                <w:bCs w:val="0"/>
                <w:color w:val="auto"/>
                <w:sz w:val="24"/>
                <w:szCs w:val="21"/>
                <w:lang w:val="en-US" w:eastAsia="zh-CN"/>
              </w:rPr>
              <w:t xml:space="preserve"> 人，生活垃圾产生量按0.5kg/（人·d）计，则生活垃圾产生量为</w:t>
            </w:r>
            <w:r>
              <w:rPr>
                <w:rFonts w:hint="eastAsia"/>
                <w:b w:val="0"/>
                <w:bCs w:val="0"/>
                <w:color w:val="auto"/>
                <w:sz w:val="24"/>
                <w:szCs w:val="21"/>
                <w:lang w:val="en-US" w:eastAsia="zh-CN"/>
              </w:rPr>
              <w:t>0.64</w:t>
            </w:r>
            <w:r>
              <w:rPr>
                <w:rFonts w:hint="default"/>
                <w:b w:val="0"/>
                <w:bCs w:val="0"/>
                <w:color w:val="auto"/>
                <w:sz w:val="24"/>
                <w:szCs w:val="21"/>
                <w:lang w:val="en-US" w:eastAsia="zh-CN"/>
              </w:rPr>
              <w:t>t/d，</w:t>
            </w:r>
            <w:r>
              <w:rPr>
                <w:rFonts w:hint="eastAsia"/>
                <w:b w:val="0"/>
                <w:bCs w:val="0"/>
                <w:color w:val="auto"/>
                <w:sz w:val="24"/>
                <w:szCs w:val="21"/>
                <w:lang w:val="en-US" w:eastAsia="zh-CN"/>
              </w:rPr>
              <w:t>126.74</w:t>
            </w:r>
            <w:r>
              <w:rPr>
                <w:rFonts w:hint="default"/>
                <w:b w:val="0"/>
                <w:bCs w:val="0"/>
                <w:color w:val="auto"/>
                <w:sz w:val="24"/>
                <w:szCs w:val="21"/>
                <w:lang w:val="en-US" w:eastAsia="zh-CN"/>
              </w:rPr>
              <w:t>t/a。生活垃圾分类、定点堆放，收集后交由环卫部门统一清运</w:t>
            </w:r>
            <w:r>
              <w:rPr>
                <w:rFonts w:hint="eastAsia"/>
                <w:b w:val="0"/>
                <w:bCs w:val="0"/>
                <w:color w:val="auto"/>
                <w:sz w:val="24"/>
                <w:szCs w:val="21"/>
                <w:lang w:val="en-US" w:eastAsia="zh-CN"/>
              </w:rPr>
              <w:t>。</w:t>
            </w:r>
          </w:p>
          <w:p w14:paraId="545E256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eastAsia"/>
                <w:b w:val="0"/>
                <w:bCs w:val="0"/>
                <w:color w:val="auto"/>
                <w:sz w:val="24"/>
                <w:szCs w:val="21"/>
                <w:lang w:val="en-US" w:eastAsia="zh-CN"/>
              </w:rPr>
              <w:t>项目建设完成后，全校（包括麟绛小学部）生活垃圾产生量总计337.55t/a。</w:t>
            </w:r>
          </w:p>
          <w:p w14:paraId="324AFEC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本项目固体废物污染源源强核算结果及相关参数汇总见下表。</w:t>
            </w:r>
          </w:p>
          <w:p w14:paraId="7102071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表4-7  项目固体废物产生情况一览表</w:t>
            </w:r>
          </w:p>
          <w:tbl>
            <w:tblPr>
              <w:tblStyle w:val="25"/>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279"/>
              <w:gridCol w:w="1252"/>
              <w:gridCol w:w="700"/>
              <w:gridCol w:w="1065"/>
              <w:gridCol w:w="498"/>
              <w:gridCol w:w="1011"/>
              <w:gridCol w:w="1896"/>
            </w:tblGrid>
            <w:tr w14:paraId="321A1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65" w:type="pct"/>
                  <w:vMerge w:val="restart"/>
                  <w:tcBorders>
                    <w:tl2br w:val="nil"/>
                    <w:tr2bl w:val="nil"/>
                  </w:tcBorders>
                  <w:vAlign w:val="center"/>
                </w:tcPr>
                <w:p w14:paraId="20DCA84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工段</w:t>
                  </w:r>
                </w:p>
              </w:tc>
              <w:tc>
                <w:tcPr>
                  <w:tcW w:w="1490" w:type="pct"/>
                  <w:gridSpan w:val="2"/>
                  <w:tcBorders>
                    <w:tl2br w:val="nil"/>
                    <w:tr2bl w:val="nil"/>
                  </w:tcBorders>
                  <w:vAlign w:val="center"/>
                </w:tcPr>
                <w:p w14:paraId="68920E6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039" w:type="pct"/>
                  <w:gridSpan w:val="2"/>
                  <w:tcBorders>
                    <w:tl2br w:val="nil"/>
                    <w:tr2bl w:val="nil"/>
                  </w:tcBorders>
                  <w:vAlign w:val="center"/>
                </w:tcPr>
                <w:p w14:paraId="207824E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产生情况</w:t>
                  </w:r>
                </w:p>
              </w:tc>
              <w:tc>
                <w:tcPr>
                  <w:tcW w:w="888" w:type="pct"/>
                  <w:gridSpan w:val="2"/>
                  <w:tcBorders>
                    <w:tl2br w:val="nil"/>
                    <w:tr2bl w:val="nil"/>
                  </w:tcBorders>
                  <w:vAlign w:val="center"/>
                </w:tcPr>
                <w:p w14:paraId="3F385DC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处置措施</w:t>
                  </w:r>
                </w:p>
              </w:tc>
              <w:tc>
                <w:tcPr>
                  <w:tcW w:w="1116" w:type="pct"/>
                  <w:vMerge w:val="restart"/>
                  <w:tcBorders>
                    <w:tl2br w:val="nil"/>
                    <w:tr2bl w:val="nil"/>
                  </w:tcBorders>
                  <w:vAlign w:val="center"/>
                </w:tcPr>
                <w:p w14:paraId="0069260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最终去向</w:t>
                  </w:r>
                </w:p>
              </w:tc>
            </w:tr>
            <w:tr w14:paraId="12FF1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65" w:type="pct"/>
                  <w:vMerge w:val="continue"/>
                  <w:tcBorders>
                    <w:tl2br w:val="nil"/>
                    <w:tr2bl w:val="nil"/>
                  </w:tcBorders>
                  <w:vAlign w:val="center"/>
                </w:tcPr>
                <w:p w14:paraId="3BEEF84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753" w:type="pct"/>
                  <w:tcBorders>
                    <w:tl2br w:val="nil"/>
                    <w:tr2bl w:val="nil"/>
                  </w:tcBorders>
                  <w:vAlign w:val="center"/>
                </w:tcPr>
                <w:p w14:paraId="02072B2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737" w:type="pct"/>
                  <w:tcBorders>
                    <w:tl2br w:val="nil"/>
                    <w:tr2bl w:val="nil"/>
                  </w:tcBorders>
                  <w:vAlign w:val="center"/>
                </w:tcPr>
                <w:p w14:paraId="67CFFB6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412" w:type="pct"/>
                  <w:tcBorders>
                    <w:tl2br w:val="nil"/>
                    <w:tr2bl w:val="nil"/>
                  </w:tcBorders>
                  <w:vAlign w:val="center"/>
                </w:tcPr>
                <w:p w14:paraId="03DC77A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核算方法</w:t>
                  </w:r>
                </w:p>
              </w:tc>
              <w:tc>
                <w:tcPr>
                  <w:tcW w:w="626" w:type="pct"/>
                  <w:tcBorders>
                    <w:tl2br w:val="nil"/>
                    <w:tr2bl w:val="nil"/>
                  </w:tcBorders>
                  <w:vAlign w:val="center"/>
                </w:tcPr>
                <w:p w14:paraId="5BFEFDB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tc>
              <w:tc>
                <w:tcPr>
                  <w:tcW w:w="293" w:type="pct"/>
                  <w:tcBorders>
                    <w:tl2br w:val="nil"/>
                    <w:tr2bl w:val="nil"/>
                  </w:tcBorders>
                  <w:vAlign w:val="center"/>
                </w:tcPr>
                <w:p w14:paraId="5EB9031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工艺</w:t>
                  </w:r>
                </w:p>
              </w:tc>
              <w:tc>
                <w:tcPr>
                  <w:tcW w:w="594" w:type="pct"/>
                  <w:tcBorders>
                    <w:tl2br w:val="nil"/>
                    <w:tr2bl w:val="nil"/>
                  </w:tcBorders>
                  <w:vAlign w:val="center"/>
                </w:tcPr>
                <w:p w14:paraId="18E0CBD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处置量</w:t>
                  </w:r>
                </w:p>
              </w:tc>
              <w:tc>
                <w:tcPr>
                  <w:tcW w:w="1116" w:type="pct"/>
                  <w:vMerge w:val="continue"/>
                  <w:tcBorders>
                    <w:tl2br w:val="nil"/>
                    <w:tr2bl w:val="nil"/>
                  </w:tcBorders>
                  <w:vAlign w:val="center"/>
                </w:tcPr>
                <w:p w14:paraId="655D02A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r>
            <w:tr w14:paraId="7972A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65" w:type="pct"/>
                  <w:tcBorders>
                    <w:tl2br w:val="nil"/>
                    <w:tr2bl w:val="nil"/>
                  </w:tcBorders>
                  <w:vAlign w:val="center"/>
                </w:tcPr>
                <w:p w14:paraId="6826BA9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师生</w:t>
                  </w:r>
                </w:p>
                <w:p w14:paraId="4BC5DCD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w:t>
                  </w:r>
                </w:p>
              </w:tc>
              <w:tc>
                <w:tcPr>
                  <w:tcW w:w="753" w:type="pct"/>
                  <w:tcBorders>
                    <w:tl2br w:val="nil"/>
                    <w:tr2bl w:val="nil"/>
                  </w:tcBorders>
                  <w:vAlign w:val="center"/>
                </w:tcPr>
                <w:p w14:paraId="2C0F836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737" w:type="pct"/>
                  <w:tcBorders>
                    <w:tl2br w:val="nil"/>
                    <w:tr2bl w:val="nil"/>
                  </w:tcBorders>
                  <w:vAlign w:val="center"/>
                </w:tcPr>
                <w:p w14:paraId="5C5A42E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883-006-99</w:t>
                  </w:r>
                </w:p>
              </w:tc>
              <w:tc>
                <w:tcPr>
                  <w:tcW w:w="412" w:type="pct"/>
                  <w:tcBorders>
                    <w:tl2br w:val="nil"/>
                    <w:tr2bl w:val="nil"/>
                  </w:tcBorders>
                  <w:vAlign w:val="center"/>
                </w:tcPr>
                <w:p w14:paraId="4EC3695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6" w:type="pct"/>
                  <w:tcBorders>
                    <w:tl2br w:val="nil"/>
                    <w:tr2bl w:val="nil"/>
                  </w:tcBorders>
                  <w:vAlign w:val="center"/>
                </w:tcPr>
                <w:p w14:paraId="37B0AAA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126.74</w:t>
                  </w:r>
                  <w:r>
                    <w:rPr>
                      <w:rFonts w:hint="default" w:ascii="Times New Roman" w:hAnsi="Times New Roman" w:eastAsia="宋体" w:cs="Times New Roman"/>
                      <w:color w:val="auto"/>
                      <w:sz w:val="21"/>
                      <w:szCs w:val="21"/>
                      <w:lang w:val="en-US" w:eastAsia="zh-CN"/>
                    </w:rPr>
                    <w:t>t/a</w:t>
                  </w:r>
                </w:p>
              </w:tc>
              <w:tc>
                <w:tcPr>
                  <w:tcW w:w="293" w:type="pct"/>
                  <w:tcBorders>
                    <w:tl2br w:val="nil"/>
                    <w:tr2bl w:val="nil"/>
                  </w:tcBorders>
                  <w:vAlign w:val="center"/>
                </w:tcPr>
                <w:p w14:paraId="3576FC9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594" w:type="pct"/>
                  <w:tcBorders>
                    <w:tl2br w:val="nil"/>
                    <w:tr2bl w:val="nil"/>
                  </w:tcBorders>
                  <w:vAlign w:val="center"/>
                </w:tcPr>
                <w:p w14:paraId="46D72E8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126.74</w:t>
                  </w:r>
                  <w:r>
                    <w:rPr>
                      <w:rFonts w:hint="default" w:ascii="Times New Roman" w:hAnsi="Times New Roman" w:eastAsia="宋体" w:cs="Times New Roman"/>
                      <w:color w:val="auto"/>
                      <w:sz w:val="21"/>
                      <w:szCs w:val="21"/>
                      <w:lang w:val="en-US" w:eastAsia="zh-CN"/>
                    </w:rPr>
                    <w:t>t/a</w:t>
                  </w:r>
                </w:p>
              </w:tc>
              <w:tc>
                <w:tcPr>
                  <w:tcW w:w="1116" w:type="pct"/>
                  <w:tcBorders>
                    <w:tl2br w:val="nil"/>
                    <w:tr2bl w:val="nil"/>
                  </w:tcBorders>
                  <w:vAlign w:val="center"/>
                </w:tcPr>
                <w:p w14:paraId="6E702C7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由环卫部门统一处置</w:t>
                  </w:r>
                </w:p>
              </w:tc>
            </w:tr>
            <w:tr w14:paraId="08A57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65" w:type="pct"/>
                  <w:tcBorders>
                    <w:tl2br w:val="nil"/>
                    <w:tr2bl w:val="nil"/>
                  </w:tcBorders>
                  <w:vAlign w:val="center"/>
                </w:tcPr>
                <w:p w14:paraId="08EBDE7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教学实验活动</w:t>
                  </w:r>
                </w:p>
              </w:tc>
              <w:tc>
                <w:tcPr>
                  <w:tcW w:w="753" w:type="pct"/>
                  <w:tcBorders>
                    <w:tl2br w:val="nil"/>
                    <w:tr2bl w:val="nil"/>
                  </w:tcBorders>
                  <w:vAlign w:val="center"/>
                </w:tcPr>
                <w:p w14:paraId="3719D90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废纸箱废弃或破损玻璃仪器、废纸</w:t>
                  </w:r>
                </w:p>
              </w:tc>
              <w:tc>
                <w:tcPr>
                  <w:tcW w:w="737" w:type="pct"/>
                  <w:tcBorders>
                    <w:tl2br w:val="nil"/>
                    <w:tr2bl w:val="nil"/>
                  </w:tcBorders>
                  <w:vAlign w:val="center"/>
                </w:tcPr>
                <w:p w14:paraId="6D37D4A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883-006-07</w:t>
                  </w:r>
                </w:p>
              </w:tc>
              <w:tc>
                <w:tcPr>
                  <w:tcW w:w="412" w:type="pct"/>
                  <w:tcBorders>
                    <w:tl2br w:val="nil"/>
                    <w:tr2bl w:val="nil"/>
                  </w:tcBorders>
                  <w:vAlign w:val="center"/>
                </w:tcPr>
                <w:p w14:paraId="416BAEA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类比</w:t>
                  </w:r>
                </w:p>
              </w:tc>
              <w:tc>
                <w:tcPr>
                  <w:tcW w:w="626" w:type="pct"/>
                  <w:tcBorders>
                    <w:tl2br w:val="nil"/>
                    <w:tr2bl w:val="nil"/>
                  </w:tcBorders>
                  <w:vAlign w:val="center"/>
                </w:tcPr>
                <w:p w14:paraId="14C9D8B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t/a</w:t>
                  </w:r>
                </w:p>
              </w:tc>
              <w:tc>
                <w:tcPr>
                  <w:tcW w:w="293" w:type="pct"/>
                  <w:tcBorders>
                    <w:tl2br w:val="nil"/>
                    <w:tr2bl w:val="nil"/>
                  </w:tcBorders>
                  <w:vAlign w:val="center"/>
                </w:tcPr>
                <w:p w14:paraId="213A573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yellow"/>
                    </w:rPr>
                  </w:pPr>
                </w:p>
              </w:tc>
              <w:tc>
                <w:tcPr>
                  <w:tcW w:w="594" w:type="pct"/>
                  <w:tcBorders>
                    <w:tl2br w:val="nil"/>
                    <w:tr2bl w:val="nil"/>
                  </w:tcBorders>
                  <w:vAlign w:val="center"/>
                </w:tcPr>
                <w:p w14:paraId="3F2899B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t/a</w:t>
                  </w:r>
                </w:p>
              </w:tc>
              <w:tc>
                <w:tcPr>
                  <w:tcW w:w="1116" w:type="pct"/>
                  <w:tcBorders>
                    <w:tl2br w:val="nil"/>
                    <w:tr2bl w:val="nil"/>
                  </w:tcBorders>
                  <w:vAlign w:val="center"/>
                </w:tcPr>
                <w:p w14:paraId="6A790EC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集中收集后交环卫部门统一处理。</w:t>
                  </w:r>
                </w:p>
              </w:tc>
            </w:tr>
          </w:tbl>
          <w:p w14:paraId="0BFE123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表4-8 危险废物汇总表</w:t>
            </w:r>
          </w:p>
          <w:tbl>
            <w:tblPr>
              <w:tblStyle w:val="2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778"/>
              <w:gridCol w:w="902"/>
              <w:gridCol w:w="739"/>
              <w:gridCol w:w="1170"/>
              <w:gridCol w:w="616"/>
              <w:gridCol w:w="764"/>
              <w:gridCol w:w="601"/>
              <w:gridCol w:w="569"/>
              <w:gridCol w:w="1104"/>
              <w:gridCol w:w="826"/>
            </w:tblGrid>
            <w:tr w14:paraId="5757D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244" w:type="pct"/>
                  <w:tcBorders>
                    <w:tl2br w:val="nil"/>
                    <w:tr2bl w:val="nil"/>
                  </w:tcBorders>
                  <w:vAlign w:val="center"/>
                </w:tcPr>
                <w:p w14:paraId="3BF13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58" w:type="pct"/>
                  <w:tcBorders>
                    <w:tl2br w:val="nil"/>
                    <w:tr2bl w:val="nil"/>
                  </w:tcBorders>
                  <w:vAlign w:val="center"/>
                </w:tcPr>
                <w:p w14:paraId="30410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贮存场所（设施）名称</w:t>
                  </w:r>
                </w:p>
              </w:tc>
              <w:tc>
                <w:tcPr>
                  <w:tcW w:w="531" w:type="pct"/>
                  <w:tcBorders>
                    <w:tl2br w:val="nil"/>
                    <w:tr2bl w:val="nil"/>
                  </w:tcBorders>
                  <w:vAlign w:val="center"/>
                </w:tcPr>
                <w:p w14:paraId="617ED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危险废物名称</w:t>
                  </w:r>
                </w:p>
              </w:tc>
              <w:tc>
                <w:tcPr>
                  <w:tcW w:w="435" w:type="pct"/>
                  <w:tcBorders>
                    <w:tl2br w:val="nil"/>
                    <w:tr2bl w:val="nil"/>
                  </w:tcBorders>
                  <w:vAlign w:val="center"/>
                </w:tcPr>
                <w:p w14:paraId="59262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危险废物类别</w:t>
                  </w:r>
                </w:p>
              </w:tc>
              <w:tc>
                <w:tcPr>
                  <w:tcW w:w="689" w:type="pct"/>
                  <w:tcBorders>
                    <w:tl2br w:val="nil"/>
                    <w:tr2bl w:val="nil"/>
                  </w:tcBorders>
                  <w:vAlign w:val="center"/>
                </w:tcPr>
                <w:p w14:paraId="10085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危险废物代码</w:t>
                  </w:r>
                </w:p>
              </w:tc>
              <w:tc>
                <w:tcPr>
                  <w:tcW w:w="363" w:type="pct"/>
                  <w:tcBorders>
                    <w:tl2br w:val="nil"/>
                    <w:tr2bl w:val="nil"/>
                  </w:tcBorders>
                  <w:vAlign w:val="center"/>
                </w:tcPr>
                <w:p w14:paraId="543C2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450" w:type="pct"/>
                  <w:tcBorders>
                    <w:tl2br w:val="nil"/>
                    <w:tr2bl w:val="nil"/>
                  </w:tcBorders>
                  <w:vAlign w:val="center"/>
                </w:tcPr>
                <w:p w14:paraId="41233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产生工序及装置</w:t>
                  </w:r>
                </w:p>
              </w:tc>
              <w:tc>
                <w:tcPr>
                  <w:tcW w:w="354" w:type="pct"/>
                  <w:tcBorders>
                    <w:tl2br w:val="nil"/>
                    <w:tr2bl w:val="nil"/>
                  </w:tcBorders>
                  <w:vAlign w:val="center"/>
                </w:tcPr>
                <w:p w14:paraId="2B51F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335" w:type="pct"/>
                  <w:tcBorders>
                    <w:tl2br w:val="nil"/>
                    <w:tr2bl w:val="nil"/>
                  </w:tcBorders>
                  <w:vAlign w:val="center"/>
                </w:tcPr>
                <w:p w14:paraId="61696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有害成份</w:t>
                  </w:r>
                </w:p>
              </w:tc>
              <w:tc>
                <w:tcPr>
                  <w:tcW w:w="650" w:type="pct"/>
                  <w:tcBorders>
                    <w:tl2br w:val="nil"/>
                    <w:tr2bl w:val="nil"/>
                  </w:tcBorders>
                  <w:vAlign w:val="center"/>
                </w:tcPr>
                <w:p w14:paraId="323CC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486" w:type="pct"/>
                  <w:tcBorders>
                    <w:tl2br w:val="nil"/>
                    <w:tr2bl w:val="nil"/>
                  </w:tcBorders>
                  <w:vAlign w:val="center"/>
                </w:tcPr>
                <w:p w14:paraId="39FD5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14:paraId="181EE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特性</w:t>
                  </w:r>
                </w:p>
              </w:tc>
            </w:tr>
            <w:tr w14:paraId="333BA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44" w:type="pct"/>
                  <w:tcBorders>
                    <w:tl2br w:val="nil"/>
                    <w:tr2bl w:val="nil"/>
                  </w:tcBorders>
                  <w:vAlign w:val="center"/>
                </w:tcPr>
                <w:p w14:paraId="3D5BC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8" w:type="pct"/>
                  <w:vMerge w:val="restart"/>
                  <w:tcBorders>
                    <w:tl2br w:val="nil"/>
                    <w:tr2bl w:val="nil"/>
                  </w:tcBorders>
                  <w:vAlign w:val="center"/>
                </w:tcPr>
                <w:p w14:paraId="2290D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危废</w:t>
                  </w:r>
                  <w:r>
                    <w:rPr>
                      <w:rFonts w:hint="eastAsia" w:cs="Times New Roman"/>
                      <w:color w:val="auto"/>
                      <w:sz w:val="21"/>
                      <w:szCs w:val="21"/>
                      <w:lang w:val="en-US" w:eastAsia="zh-CN"/>
                    </w:rPr>
                    <w:t>贮存点</w:t>
                  </w:r>
                </w:p>
              </w:tc>
              <w:tc>
                <w:tcPr>
                  <w:tcW w:w="531" w:type="pct"/>
                  <w:tcBorders>
                    <w:tl2br w:val="nil"/>
                    <w:tr2bl w:val="nil"/>
                  </w:tcBorders>
                  <w:vAlign w:val="center"/>
                </w:tcPr>
                <w:p w14:paraId="032CB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w:t>
                  </w:r>
                </w:p>
                <w:p w14:paraId="2AF5C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废液</w:t>
                  </w:r>
                </w:p>
              </w:tc>
              <w:tc>
                <w:tcPr>
                  <w:tcW w:w="435" w:type="pct"/>
                  <w:tcBorders>
                    <w:tl2br w:val="nil"/>
                    <w:tr2bl w:val="nil"/>
                  </w:tcBorders>
                  <w:vAlign w:val="center"/>
                </w:tcPr>
                <w:p w14:paraId="25144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689" w:type="pct"/>
                  <w:tcBorders>
                    <w:tl2br w:val="nil"/>
                    <w:tr2bl w:val="nil"/>
                  </w:tcBorders>
                  <w:vAlign w:val="center"/>
                </w:tcPr>
                <w:p w14:paraId="42110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900-047-49</w:t>
                  </w:r>
                </w:p>
              </w:tc>
              <w:tc>
                <w:tcPr>
                  <w:tcW w:w="363" w:type="pct"/>
                  <w:tcBorders>
                    <w:tl2br w:val="nil"/>
                    <w:tr2bl w:val="nil"/>
                  </w:tcBorders>
                  <w:vAlign w:val="center"/>
                </w:tcPr>
                <w:p w14:paraId="509BE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0.020</w:t>
                  </w:r>
                </w:p>
              </w:tc>
              <w:tc>
                <w:tcPr>
                  <w:tcW w:w="450" w:type="pct"/>
                  <w:vMerge w:val="restart"/>
                  <w:tcBorders>
                    <w:tl2br w:val="nil"/>
                    <w:tr2bl w:val="nil"/>
                  </w:tcBorders>
                  <w:vAlign w:val="center"/>
                </w:tcPr>
                <w:p w14:paraId="38EEF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学生</w:t>
                  </w:r>
                </w:p>
                <w:p w14:paraId="50AB9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实验</w:t>
                  </w:r>
                </w:p>
              </w:tc>
              <w:tc>
                <w:tcPr>
                  <w:tcW w:w="354" w:type="pct"/>
                  <w:tcBorders>
                    <w:tl2br w:val="nil"/>
                    <w:tr2bl w:val="nil"/>
                  </w:tcBorders>
                  <w:vAlign w:val="center"/>
                </w:tcPr>
                <w:p w14:paraId="3E8CE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液态</w:t>
                  </w:r>
                </w:p>
              </w:tc>
              <w:tc>
                <w:tcPr>
                  <w:tcW w:w="335" w:type="pct"/>
                  <w:vMerge w:val="restart"/>
                  <w:tcBorders>
                    <w:tl2br w:val="nil"/>
                    <w:tr2bl w:val="nil"/>
                  </w:tcBorders>
                  <w:vAlign w:val="center"/>
                </w:tcPr>
                <w:p w14:paraId="75829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酸碱等</w:t>
                  </w:r>
                </w:p>
              </w:tc>
              <w:tc>
                <w:tcPr>
                  <w:tcW w:w="650" w:type="pct"/>
                  <w:vMerge w:val="restart"/>
                  <w:tcBorders>
                    <w:tl2br w:val="nil"/>
                    <w:tr2bl w:val="nil"/>
                  </w:tcBorders>
                  <w:vAlign w:val="center"/>
                </w:tcPr>
                <w:p w14:paraId="33037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分类收集，专用容器包装，暂存于危废</w:t>
                  </w:r>
                  <w:r>
                    <w:rPr>
                      <w:rFonts w:hint="eastAsia" w:cs="Times New Roman"/>
                      <w:color w:val="auto"/>
                      <w:sz w:val="21"/>
                      <w:szCs w:val="21"/>
                      <w:lang w:val="en-US" w:eastAsia="zh-CN"/>
                    </w:rPr>
                    <w:t>点</w:t>
                  </w:r>
                </w:p>
              </w:tc>
              <w:tc>
                <w:tcPr>
                  <w:tcW w:w="486" w:type="pct"/>
                  <w:tcBorders>
                    <w:tl2br w:val="nil"/>
                    <w:tr2bl w:val="nil"/>
                  </w:tcBorders>
                  <w:vAlign w:val="center"/>
                </w:tcPr>
                <w:p w14:paraId="3D972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T/C/I/R</w:t>
                  </w:r>
                </w:p>
              </w:tc>
            </w:tr>
            <w:tr w14:paraId="5A7E6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4" w:type="pct"/>
                  <w:tcBorders>
                    <w:tl2br w:val="nil"/>
                    <w:tr2bl w:val="nil"/>
                  </w:tcBorders>
                  <w:vAlign w:val="center"/>
                </w:tcPr>
                <w:p w14:paraId="64889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58" w:type="pct"/>
                  <w:vMerge w:val="continue"/>
                  <w:tcBorders>
                    <w:tl2br w:val="nil"/>
                    <w:tr2bl w:val="nil"/>
                  </w:tcBorders>
                  <w:vAlign w:val="center"/>
                </w:tcPr>
                <w:p w14:paraId="06A21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p>
              </w:tc>
              <w:tc>
                <w:tcPr>
                  <w:tcW w:w="531" w:type="pct"/>
                  <w:tcBorders>
                    <w:tl2br w:val="nil"/>
                    <w:tr2bl w:val="nil"/>
                  </w:tcBorders>
                  <w:vAlign w:val="center"/>
                </w:tcPr>
                <w:p w14:paraId="4C520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废实验用品</w:t>
                  </w:r>
                </w:p>
              </w:tc>
              <w:tc>
                <w:tcPr>
                  <w:tcW w:w="435" w:type="pct"/>
                  <w:tcBorders>
                    <w:tl2br w:val="nil"/>
                    <w:tr2bl w:val="nil"/>
                  </w:tcBorders>
                  <w:vAlign w:val="center"/>
                </w:tcPr>
                <w:p w14:paraId="57A8E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49</w:t>
                  </w:r>
                </w:p>
              </w:tc>
              <w:tc>
                <w:tcPr>
                  <w:tcW w:w="689" w:type="pct"/>
                  <w:tcBorders>
                    <w:tl2br w:val="nil"/>
                    <w:tr2bl w:val="nil"/>
                  </w:tcBorders>
                  <w:vAlign w:val="center"/>
                </w:tcPr>
                <w:p w14:paraId="29AAD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900-047-49</w:t>
                  </w:r>
                </w:p>
              </w:tc>
              <w:tc>
                <w:tcPr>
                  <w:tcW w:w="363" w:type="pct"/>
                  <w:tcBorders>
                    <w:tl2br w:val="nil"/>
                    <w:tr2bl w:val="nil"/>
                  </w:tcBorders>
                  <w:vAlign w:val="center"/>
                </w:tcPr>
                <w:p w14:paraId="2DBC0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450" w:type="pct"/>
                  <w:vMerge w:val="continue"/>
                  <w:tcBorders>
                    <w:tl2br w:val="nil"/>
                    <w:tr2bl w:val="nil"/>
                  </w:tcBorders>
                  <w:vAlign w:val="center"/>
                </w:tcPr>
                <w:p w14:paraId="41300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highlight w:val="yellow"/>
                    </w:rPr>
                  </w:pPr>
                </w:p>
              </w:tc>
              <w:tc>
                <w:tcPr>
                  <w:tcW w:w="354" w:type="pct"/>
                  <w:tcBorders>
                    <w:tl2br w:val="nil"/>
                    <w:tr2bl w:val="nil"/>
                  </w:tcBorders>
                  <w:vAlign w:val="center"/>
                </w:tcPr>
                <w:p w14:paraId="0F284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固态</w:t>
                  </w:r>
                </w:p>
              </w:tc>
              <w:tc>
                <w:tcPr>
                  <w:tcW w:w="335" w:type="pct"/>
                  <w:vMerge w:val="continue"/>
                  <w:tcBorders>
                    <w:tl2br w:val="nil"/>
                    <w:tr2bl w:val="nil"/>
                  </w:tcBorders>
                  <w:vAlign w:val="center"/>
                </w:tcPr>
                <w:p w14:paraId="1D132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highlight w:val="yellow"/>
                    </w:rPr>
                  </w:pPr>
                </w:p>
              </w:tc>
              <w:tc>
                <w:tcPr>
                  <w:tcW w:w="650" w:type="pct"/>
                  <w:vMerge w:val="continue"/>
                  <w:tcBorders>
                    <w:tl2br w:val="nil"/>
                    <w:tr2bl w:val="nil"/>
                  </w:tcBorders>
                  <w:vAlign w:val="center"/>
                </w:tcPr>
                <w:p w14:paraId="6E223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rPr>
                  </w:pPr>
                </w:p>
              </w:tc>
              <w:tc>
                <w:tcPr>
                  <w:tcW w:w="486" w:type="pct"/>
                  <w:tcBorders>
                    <w:tl2br w:val="nil"/>
                    <w:tr2bl w:val="nil"/>
                  </w:tcBorders>
                  <w:vAlign w:val="center"/>
                </w:tcPr>
                <w:p w14:paraId="5FF5C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48" w:rightChars="-2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/In</w:t>
                  </w:r>
                </w:p>
              </w:tc>
            </w:tr>
          </w:tbl>
          <w:p w14:paraId="26E85AE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4.8.2环境管理要求</w:t>
            </w:r>
          </w:p>
          <w:p w14:paraId="0CD2DC2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 xml:space="preserve">本项目产生的危险废物分类暂存于危废贮存点内，危废贮存点设计面积为 </w:t>
            </w:r>
            <w:r>
              <w:rPr>
                <w:rFonts w:hint="eastAsia"/>
                <w:b w:val="0"/>
                <w:bCs w:val="0"/>
                <w:color w:val="auto"/>
                <w:sz w:val="24"/>
                <w:szCs w:val="21"/>
                <w:highlight w:val="none"/>
                <w:lang w:val="en-US" w:eastAsia="zh-CN"/>
              </w:rPr>
              <w:t>5</w:t>
            </w:r>
            <w:r>
              <w:rPr>
                <w:rFonts w:hint="default"/>
                <w:b w:val="0"/>
                <w:bCs w:val="0"/>
                <w:color w:val="auto"/>
                <w:sz w:val="24"/>
                <w:szCs w:val="21"/>
                <w:highlight w:val="none"/>
                <w:lang w:val="en-US" w:eastAsia="zh-CN"/>
              </w:rPr>
              <w:t>m</w:t>
            </w:r>
            <w:r>
              <w:rPr>
                <w:rFonts w:hint="default"/>
                <w:b w:val="0"/>
                <w:bCs w:val="0"/>
                <w:color w:val="auto"/>
                <w:sz w:val="24"/>
                <w:szCs w:val="21"/>
                <w:highlight w:val="none"/>
                <w:vertAlign w:val="superscript"/>
                <w:lang w:val="en-US" w:eastAsia="zh-CN"/>
              </w:rPr>
              <w:t>2</w:t>
            </w:r>
            <w:r>
              <w:rPr>
                <w:rFonts w:hint="default"/>
                <w:b w:val="0"/>
                <w:bCs w:val="0"/>
                <w:color w:val="auto"/>
                <w:sz w:val="24"/>
                <w:szCs w:val="21"/>
                <w:highlight w:val="none"/>
                <w:lang w:val="en-US" w:eastAsia="zh-CN"/>
              </w:rPr>
              <w:t xml:space="preserve"> ，位于</w:t>
            </w:r>
            <w:r>
              <w:rPr>
                <w:rFonts w:hint="eastAsia"/>
                <w:b w:val="0"/>
                <w:bCs w:val="0"/>
                <w:color w:val="auto"/>
                <w:sz w:val="24"/>
                <w:szCs w:val="21"/>
                <w:highlight w:val="none"/>
                <w:lang w:val="en-US" w:eastAsia="zh-CN"/>
              </w:rPr>
              <w:t>实验</w:t>
            </w:r>
            <w:r>
              <w:rPr>
                <w:rFonts w:hint="default"/>
                <w:b w:val="0"/>
                <w:bCs w:val="0"/>
                <w:color w:val="auto"/>
                <w:sz w:val="24"/>
                <w:szCs w:val="21"/>
                <w:highlight w:val="none"/>
                <w:lang w:val="en-US" w:eastAsia="zh-CN"/>
              </w:rPr>
              <w:t>楼一层</w:t>
            </w:r>
            <w:r>
              <w:rPr>
                <w:rFonts w:hint="eastAsia"/>
                <w:b w:val="0"/>
                <w:bCs w:val="0"/>
                <w:color w:val="auto"/>
                <w:sz w:val="24"/>
                <w:szCs w:val="21"/>
                <w:highlight w:val="none"/>
                <w:lang w:val="en-US" w:eastAsia="zh-CN"/>
              </w:rPr>
              <w:t>楼梯间（具体见附图3）</w:t>
            </w:r>
            <w:r>
              <w:rPr>
                <w:rFonts w:hint="default"/>
                <w:b w:val="0"/>
                <w:bCs w:val="0"/>
                <w:color w:val="auto"/>
                <w:sz w:val="24"/>
                <w:szCs w:val="21"/>
                <w:highlight w:val="none"/>
                <w:lang w:val="en-US" w:eastAsia="zh-CN"/>
              </w:rPr>
              <w:t>，定期交由具有危险废物处置资质的单位处置。</w:t>
            </w:r>
          </w:p>
          <w:p w14:paraId="1C61C79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危险废物贮存按危险废物收集、贮存及运输过程，执行《危险废物收集、贮存、运输过程的技术规范》（HJ2025-2012）及《危险废物贮存污染控制标准》（GB18597-2023）中的相关规定执行。另据《危险废物贮存污染控制标准》（GB18597-2023）中的规定，结合《实验室废弃化学品收集技术规范》（GB/T31190-2014），要求本项目危险废物按照以下要求暂存</w:t>
            </w:r>
            <w:r>
              <w:rPr>
                <w:rFonts w:hint="eastAsia"/>
                <w:b w:val="0"/>
                <w:bCs w:val="0"/>
                <w:color w:val="auto"/>
                <w:sz w:val="24"/>
                <w:szCs w:val="21"/>
                <w:lang w:val="en-US" w:eastAsia="zh-CN"/>
              </w:rPr>
              <w:t>。</w:t>
            </w:r>
          </w:p>
          <w:p w14:paraId="72C8E5F5">
            <w:pPr>
              <w:keepNext w:val="0"/>
              <w:keepLines w:val="0"/>
              <w:pageBreakBefore w:val="0"/>
              <w:widowControl w:val="0"/>
              <w:numPr>
                <w:ilvl w:val="0"/>
                <w:numId w:val="15"/>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2" w:firstLineChars="200"/>
              <w:jc w:val="both"/>
              <w:textAlignment w:val="auto"/>
              <w:rPr>
                <w:rFonts w:hint="eastAsia"/>
                <w:b/>
                <w:bCs/>
                <w:color w:val="auto"/>
                <w:sz w:val="24"/>
                <w:szCs w:val="21"/>
                <w:highlight w:val="none"/>
                <w:lang w:val="en-US" w:eastAsia="zh-CN"/>
              </w:rPr>
            </w:pPr>
            <w:r>
              <w:rPr>
                <w:rFonts w:hint="eastAsia"/>
                <w:b/>
                <w:bCs/>
                <w:color w:val="auto"/>
                <w:sz w:val="24"/>
                <w:szCs w:val="21"/>
                <w:highlight w:val="none"/>
                <w:lang w:val="en-US" w:eastAsia="zh-CN"/>
              </w:rPr>
              <w:t>危废贮存点建设要求</w:t>
            </w:r>
          </w:p>
          <w:p w14:paraId="7657294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1 \* GB3 \* MERGEFORMAT </w:instrText>
            </w:r>
            <w:r>
              <w:rPr>
                <w:rFonts w:hint="default"/>
                <w:b w:val="0"/>
                <w:bCs w:val="0"/>
                <w:color w:val="auto"/>
                <w:sz w:val="24"/>
                <w:szCs w:val="21"/>
                <w:lang w:val="en-US" w:eastAsia="zh-CN"/>
              </w:rPr>
              <w:fldChar w:fldCharType="separate"/>
            </w:r>
            <w:r>
              <w:rPr>
                <w:rFonts w:hint="default"/>
                <w:color w:val="auto"/>
              </w:rPr>
              <w:t>①</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贮存点应具有固定的区域边界，并应采取与其他区域进行隔离的措施</w:t>
            </w:r>
            <w:r>
              <w:rPr>
                <w:rFonts w:hint="eastAsia"/>
                <w:b w:val="0"/>
                <w:bCs w:val="0"/>
                <w:color w:val="auto"/>
                <w:sz w:val="24"/>
                <w:szCs w:val="21"/>
                <w:lang w:val="en-US" w:eastAsia="zh-CN"/>
              </w:rPr>
              <w:t>。</w:t>
            </w:r>
          </w:p>
          <w:p w14:paraId="5DB35FE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2 \* GB3 \* MERGEFORMAT </w:instrText>
            </w:r>
            <w:r>
              <w:rPr>
                <w:rFonts w:hint="default"/>
                <w:b w:val="0"/>
                <w:bCs w:val="0"/>
                <w:color w:val="auto"/>
                <w:sz w:val="24"/>
                <w:szCs w:val="21"/>
                <w:lang w:val="en-US" w:eastAsia="zh-CN"/>
              </w:rPr>
              <w:fldChar w:fldCharType="separate"/>
            </w:r>
            <w:r>
              <w:rPr>
                <w:rFonts w:hint="default"/>
                <w:color w:val="auto"/>
              </w:rPr>
              <w:t>②</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贮存点应采取防风、防雨、防晒和防止危险废物流失、扬散等措施</w:t>
            </w:r>
            <w:r>
              <w:rPr>
                <w:rFonts w:hint="eastAsia"/>
                <w:b w:val="0"/>
                <w:bCs w:val="0"/>
                <w:color w:val="auto"/>
                <w:sz w:val="24"/>
                <w:szCs w:val="21"/>
                <w:lang w:val="en-US" w:eastAsia="zh-CN"/>
              </w:rPr>
              <w:t>。</w:t>
            </w:r>
          </w:p>
          <w:p w14:paraId="6AEB42B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3 \* GB3 \* MERGEFORMAT </w:instrText>
            </w:r>
            <w:r>
              <w:rPr>
                <w:rFonts w:hint="default"/>
                <w:b w:val="0"/>
                <w:bCs w:val="0"/>
                <w:color w:val="auto"/>
                <w:sz w:val="24"/>
                <w:szCs w:val="21"/>
                <w:lang w:val="en-US" w:eastAsia="zh-CN"/>
              </w:rPr>
              <w:fldChar w:fldCharType="separate"/>
            </w:r>
            <w:r>
              <w:rPr>
                <w:rFonts w:hint="default"/>
                <w:color w:val="auto"/>
              </w:rPr>
              <w:t>③</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贮存点贮存的危险废物</w:t>
            </w:r>
            <w:r>
              <w:rPr>
                <w:rFonts w:hint="eastAsia"/>
                <w:b w:val="0"/>
                <w:bCs w:val="0"/>
                <w:color w:val="auto"/>
                <w:sz w:val="24"/>
                <w:szCs w:val="21"/>
                <w:lang w:val="en-US" w:eastAsia="zh-CN"/>
              </w:rPr>
              <w:t>如实验废液、废实验用品</w:t>
            </w:r>
            <w:r>
              <w:rPr>
                <w:rFonts w:hint="default"/>
                <w:b w:val="0"/>
                <w:bCs w:val="0"/>
                <w:color w:val="auto"/>
                <w:sz w:val="24"/>
                <w:szCs w:val="21"/>
                <w:lang w:val="en-US" w:eastAsia="zh-CN"/>
              </w:rPr>
              <w:t>应置于容器或包装物中，不应直接散堆</w:t>
            </w:r>
            <w:r>
              <w:rPr>
                <w:rFonts w:hint="eastAsia"/>
                <w:b w:val="0"/>
                <w:bCs w:val="0"/>
                <w:color w:val="auto"/>
                <w:sz w:val="24"/>
                <w:szCs w:val="21"/>
                <w:lang w:val="en-US" w:eastAsia="zh-CN"/>
              </w:rPr>
              <w:t>。</w:t>
            </w:r>
          </w:p>
          <w:p w14:paraId="165189B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4 \* GB3 \* MERGEFORMAT </w:instrText>
            </w:r>
            <w:r>
              <w:rPr>
                <w:rFonts w:hint="default"/>
                <w:b w:val="0"/>
                <w:bCs w:val="0"/>
                <w:color w:val="auto"/>
                <w:sz w:val="24"/>
                <w:szCs w:val="21"/>
                <w:lang w:val="en-US" w:eastAsia="zh-CN"/>
              </w:rPr>
              <w:fldChar w:fldCharType="separate"/>
            </w:r>
            <w:r>
              <w:rPr>
                <w:rFonts w:hint="default"/>
                <w:color w:val="auto"/>
              </w:rPr>
              <w:t>④</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采取防渗、防漏等污染防治措施或采用具有相应功能的装置</w:t>
            </w:r>
            <w:r>
              <w:rPr>
                <w:rFonts w:hint="eastAsia"/>
                <w:b w:val="0"/>
                <w:bCs w:val="0"/>
                <w:color w:val="auto"/>
                <w:sz w:val="24"/>
                <w:szCs w:val="21"/>
                <w:lang w:val="en-US" w:eastAsia="zh-CN"/>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b w:val="0"/>
                <w:bCs w:val="0"/>
                <w:color w:val="auto"/>
                <w:sz w:val="24"/>
                <w:szCs w:val="21"/>
                <w:vertAlign w:val="superscript"/>
                <w:lang w:val="en-US" w:eastAsia="zh-CN"/>
              </w:rPr>
              <w:t>-7</w:t>
            </w:r>
            <w:r>
              <w:rPr>
                <w:rFonts w:hint="eastAsia"/>
                <w:b w:val="0"/>
                <w:bCs w:val="0"/>
                <w:color w:val="auto"/>
                <w:sz w:val="24"/>
                <w:szCs w:val="21"/>
                <w:lang w:val="en-US" w:eastAsia="zh-CN"/>
              </w:rPr>
              <w:t>cm/s），或至少2 mm厚高密度聚乙烯膜等人工防渗材料（渗透系数不大于10</w:t>
            </w:r>
            <w:r>
              <w:rPr>
                <w:rFonts w:hint="eastAsia"/>
                <w:b w:val="0"/>
                <w:bCs w:val="0"/>
                <w:color w:val="auto"/>
                <w:sz w:val="24"/>
                <w:szCs w:val="21"/>
                <w:vertAlign w:val="superscript"/>
                <w:lang w:val="en-US" w:eastAsia="zh-CN"/>
              </w:rPr>
              <w:t>-10</w:t>
            </w:r>
            <w:r>
              <w:rPr>
                <w:rFonts w:hint="eastAsia"/>
                <w:b w:val="0"/>
                <w:bCs w:val="0"/>
                <w:color w:val="auto"/>
                <w:sz w:val="24"/>
                <w:szCs w:val="21"/>
                <w:lang w:val="en-US" w:eastAsia="zh-CN"/>
              </w:rPr>
              <w:t>cm/s），或其他防渗性能等效的材料。</w:t>
            </w:r>
          </w:p>
          <w:p w14:paraId="2633A0D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fldChar w:fldCharType="begin"/>
            </w:r>
            <w:r>
              <w:rPr>
                <w:rFonts w:hint="eastAsia"/>
                <w:b w:val="0"/>
                <w:bCs w:val="0"/>
                <w:color w:val="auto"/>
                <w:sz w:val="24"/>
                <w:szCs w:val="21"/>
                <w:lang w:val="en-US" w:eastAsia="zh-CN"/>
              </w:rPr>
              <w:instrText xml:space="preserve"> = 5 \* GB3 \* MERGEFORMAT </w:instrText>
            </w:r>
            <w:r>
              <w:rPr>
                <w:rFonts w:hint="eastAsia"/>
                <w:b w:val="0"/>
                <w:bCs w:val="0"/>
                <w:color w:val="auto"/>
                <w:sz w:val="24"/>
                <w:szCs w:val="21"/>
                <w:lang w:val="en-US" w:eastAsia="zh-CN"/>
              </w:rPr>
              <w:fldChar w:fldCharType="separate"/>
            </w:r>
            <w:r>
              <w:rPr>
                <w:rFonts w:hint="default"/>
                <w:color w:val="auto"/>
              </w:rPr>
              <w:t>⑤</w:t>
            </w:r>
            <w:r>
              <w:rPr>
                <w:rFonts w:hint="eastAsia"/>
                <w:b w:val="0"/>
                <w:bCs w:val="0"/>
                <w:color w:val="auto"/>
                <w:sz w:val="24"/>
                <w:szCs w:val="21"/>
                <w:lang w:val="en-US" w:eastAsia="zh-CN"/>
              </w:rPr>
              <w:fldChar w:fldCharType="end"/>
            </w:r>
            <w:r>
              <w:rPr>
                <w:rFonts w:hint="eastAsia"/>
                <w:b w:val="0"/>
                <w:bCs w:val="0"/>
                <w:color w:val="auto"/>
                <w:sz w:val="24"/>
                <w:szCs w:val="21"/>
                <w:lang w:val="en-US" w:eastAsia="zh-CN"/>
              </w:rPr>
              <w:t>危险废物应根据种类进行分区贮存，不同贮存分区之间应采取隔离措施。</w:t>
            </w:r>
          </w:p>
          <w:p w14:paraId="1132646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6 \* GB3 \* MERGEFORMAT </w:instrText>
            </w:r>
            <w:r>
              <w:rPr>
                <w:rFonts w:hint="default"/>
                <w:b w:val="0"/>
                <w:bCs w:val="0"/>
                <w:color w:val="auto"/>
                <w:sz w:val="24"/>
                <w:szCs w:val="21"/>
                <w:lang w:val="en-US" w:eastAsia="zh-CN"/>
              </w:rPr>
              <w:fldChar w:fldCharType="separate"/>
            </w:r>
            <w:r>
              <w:rPr>
                <w:rFonts w:hint="default"/>
                <w:color w:val="auto"/>
              </w:rPr>
              <w:t>⑥</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贮存液态危险废物的，应具有液体泄漏堵截设施，堵截设施最小容积不应低于对应贮存区域最大液态废物容器容积或液态废物总储量1/10（二者取较大者）</w:t>
            </w:r>
            <w:r>
              <w:rPr>
                <w:rFonts w:hint="eastAsia"/>
                <w:b w:val="0"/>
                <w:bCs w:val="0"/>
                <w:color w:val="auto"/>
                <w:sz w:val="24"/>
                <w:szCs w:val="21"/>
                <w:lang w:val="en-US" w:eastAsia="zh-CN"/>
              </w:rPr>
              <w:t>。</w:t>
            </w:r>
          </w:p>
          <w:p w14:paraId="0C366DB9">
            <w:pPr>
              <w:keepNext w:val="0"/>
              <w:keepLines w:val="0"/>
              <w:pageBreakBefore w:val="0"/>
              <w:widowControl w:val="0"/>
              <w:numPr>
                <w:ilvl w:val="0"/>
                <w:numId w:val="15"/>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b/>
                <w:bCs/>
                <w:color w:val="auto"/>
                <w:sz w:val="24"/>
                <w:szCs w:val="21"/>
                <w:lang w:val="en-US" w:eastAsia="zh-CN"/>
              </w:rPr>
            </w:pPr>
            <w:r>
              <w:rPr>
                <w:rFonts w:hint="eastAsia"/>
                <w:b/>
                <w:bCs/>
                <w:color w:val="auto"/>
                <w:sz w:val="24"/>
                <w:szCs w:val="21"/>
                <w:lang w:val="en-US" w:eastAsia="zh-CN"/>
              </w:rPr>
              <w:t>危废贮存点的管理要求</w:t>
            </w:r>
          </w:p>
          <w:p w14:paraId="21FDFFA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1 \* GB3 \* MERGEFORMAT </w:instrText>
            </w:r>
            <w:r>
              <w:rPr>
                <w:rFonts w:hint="default"/>
                <w:b w:val="0"/>
                <w:bCs w:val="0"/>
                <w:color w:val="auto"/>
                <w:sz w:val="24"/>
                <w:szCs w:val="21"/>
                <w:lang w:val="en-US" w:eastAsia="zh-CN"/>
              </w:rPr>
              <w:fldChar w:fldCharType="separate"/>
            </w:r>
            <w:r>
              <w:rPr>
                <w:rFonts w:hint="default"/>
                <w:color w:val="auto"/>
              </w:rPr>
              <w:t>①</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w:t>
            </w:r>
            <w:r>
              <w:rPr>
                <w:rFonts w:hint="eastAsia"/>
                <w:b w:val="0"/>
                <w:bCs w:val="0"/>
                <w:color w:val="auto"/>
                <w:sz w:val="24"/>
                <w:szCs w:val="21"/>
                <w:lang w:val="en-US" w:eastAsia="zh-CN"/>
              </w:rPr>
              <w:t>点</w:t>
            </w:r>
            <w:r>
              <w:rPr>
                <w:rFonts w:hint="default"/>
                <w:b w:val="0"/>
                <w:bCs w:val="0"/>
                <w:color w:val="auto"/>
                <w:sz w:val="24"/>
                <w:szCs w:val="21"/>
                <w:lang w:val="en-US" w:eastAsia="zh-CN"/>
              </w:rPr>
              <w:t>、容器和包装物应按HJ1276要求设置危险废物贮存</w:t>
            </w:r>
            <w:r>
              <w:rPr>
                <w:rFonts w:hint="eastAsia"/>
                <w:b w:val="0"/>
                <w:bCs w:val="0"/>
                <w:color w:val="auto"/>
                <w:sz w:val="24"/>
                <w:szCs w:val="21"/>
                <w:lang w:val="en-US" w:eastAsia="zh-CN"/>
              </w:rPr>
              <w:t>点</w:t>
            </w:r>
            <w:r>
              <w:rPr>
                <w:rFonts w:hint="default"/>
                <w:b w:val="0"/>
                <w:bCs w:val="0"/>
                <w:color w:val="auto"/>
                <w:sz w:val="24"/>
                <w:szCs w:val="21"/>
                <w:lang w:val="en-US" w:eastAsia="zh-CN"/>
              </w:rPr>
              <w:t>标志、危险废物贮存分区标志和危险废物标签等危险废物识别标志</w:t>
            </w:r>
            <w:r>
              <w:rPr>
                <w:rFonts w:hint="eastAsia"/>
                <w:b w:val="0"/>
                <w:bCs w:val="0"/>
                <w:color w:val="auto"/>
                <w:sz w:val="24"/>
                <w:szCs w:val="21"/>
                <w:lang w:val="en-US" w:eastAsia="zh-CN"/>
              </w:rPr>
              <w:t>。</w:t>
            </w:r>
          </w:p>
          <w:p w14:paraId="3099BE5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2 \* GB3 \* MERGEFORMAT </w:instrText>
            </w:r>
            <w:r>
              <w:rPr>
                <w:rFonts w:hint="default"/>
                <w:b w:val="0"/>
                <w:bCs w:val="0"/>
                <w:color w:val="auto"/>
                <w:sz w:val="24"/>
                <w:szCs w:val="21"/>
                <w:lang w:val="en-US" w:eastAsia="zh-CN"/>
              </w:rPr>
              <w:fldChar w:fldCharType="separate"/>
            </w:r>
            <w:r>
              <w:rPr>
                <w:rFonts w:hint="default"/>
                <w:color w:val="auto"/>
              </w:rPr>
              <w:t>②</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w:t>
            </w:r>
            <w:r>
              <w:rPr>
                <w:rFonts w:hint="eastAsia"/>
                <w:b w:val="0"/>
                <w:bCs w:val="0"/>
                <w:color w:val="auto"/>
                <w:sz w:val="24"/>
                <w:szCs w:val="21"/>
                <w:lang w:val="en-US" w:eastAsia="zh-CN"/>
              </w:rPr>
              <w:t>点</w:t>
            </w:r>
            <w:r>
              <w:rPr>
                <w:rFonts w:hint="default"/>
                <w:b w:val="0"/>
                <w:bCs w:val="0"/>
                <w:color w:val="auto"/>
                <w:sz w:val="24"/>
                <w:szCs w:val="21"/>
                <w:lang w:val="en-US" w:eastAsia="zh-CN"/>
              </w:rPr>
              <w:t>应采取技术和管理措施防止无关人员进入</w:t>
            </w:r>
            <w:r>
              <w:rPr>
                <w:rFonts w:hint="eastAsia"/>
                <w:b w:val="0"/>
                <w:bCs w:val="0"/>
                <w:color w:val="auto"/>
                <w:sz w:val="24"/>
                <w:szCs w:val="21"/>
                <w:lang w:val="en-US" w:eastAsia="zh-CN"/>
              </w:rPr>
              <w:t>，禁止学生进入。</w:t>
            </w:r>
          </w:p>
          <w:p w14:paraId="08DDAF3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3 \* GB3 \* MERGEFORMAT </w:instrText>
            </w:r>
            <w:r>
              <w:rPr>
                <w:rFonts w:hint="default"/>
                <w:b w:val="0"/>
                <w:bCs w:val="0"/>
                <w:color w:val="auto"/>
                <w:sz w:val="24"/>
                <w:szCs w:val="21"/>
                <w:lang w:val="en-US" w:eastAsia="zh-CN"/>
              </w:rPr>
              <w:fldChar w:fldCharType="separate"/>
            </w:r>
            <w:r>
              <w:rPr>
                <w:rFonts w:hint="default"/>
                <w:color w:val="auto"/>
              </w:rPr>
              <w:t>③</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应及时清运贮存的危险废物，</w:t>
            </w:r>
            <w:r>
              <w:rPr>
                <w:rFonts w:hint="eastAsia"/>
                <w:b w:val="0"/>
                <w:bCs w:val="0"/>
                <w:color w:val="auto"/>
                <w:sz w:val="24"/>
                <w:szCs w:val="21"/>
                <w:lang w:val="en-US" w:eastAsia="zh-CN"/>
              </w:rPr>
              <w:t>周转周期1年。</w:t>
            </w:r>
          </w:p>
          <w:p w14:paraId="39B397F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4 \* GB3 \* MERGEFORMAT </w:instrText>
            </w:r>
            <w:r>
              <w:rPr>
                <w:rFonts w:hint="default"/>
                <w:b w:val="0"/>
                <w:bCs w:val="0"/>
                <w:color w:val="auto"/>
                <w:sz w:val="24"/>
                <w:szCs w:val="21"/>
                <w:lang w:val="en-US" w:eastAsia="zh-CN"/>
              </w:rPr>
              <w:fldChar w:fldCharType="separate"/>
            </w:r>
            <w:r>
              <w:rPr>
                <w:rFonts w:hint="default"/>
                <w:color w:val="auto"/>
              </w:rPr>
              <w:t>④</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应定期检查危险废物的贮存状况，及时清理贮存设施地面，更换破损泄漏的危险废物贮存容器和包装物，保证堆存危险废物的防雨、防风、防扬尘等设施功能完好</w:t>
            </w:r>
            <w:r>
              <w:rPr>
                <w:rFonts w:hint="eastAsia"/>
                <w:b w:val="0"/>
                <w:bCs w:val="0"/>
                <w:color w:val="auto"/>
                <w:sz w:val="24"/>
                <w:szCs w:val="21"/>
                <w:lang w:val="en-US" w:eastAsia="zh-CN"/>
              </w:rPr>
              <w:t>。</w:t>
            </w:r>
          </w:p>
          <w:p w14:paraId="6A4AA53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5 \* GB3 \* MERGEFORMAT </w:instrText>
            </w:r>
            <w:r>
              <w:rPr>
                <w:rFonts w:hint="default"/>
                <w:b w:val="0"/>
                <w:bCs w:val="0"/>
                <w:color w:val="auto"/>
                <w:sz w:val="24"/>
                <w:szCs w:val="21"/>
                <w:lang w:val="en-US" w:eastAsia="zh-CN"/>
              </w:rPr>
              <w:fldChar w:fldCharType="separate"/>
            </w:r>
            <w:r>
              <w:rPr>
                <w:rFonts w:hint="default"/>
                <w:color w:val="auto"/>
              </w:rPr>
              <w:t>⑤</w:t>
            </w:r>
            <w:r>
              <w:rPr>
                <w:rFonts w:hint="default"/>
                <w:b w:val="0"/>
                <w:bCs w:val="0"/>
                <w:color w:val="auto"/>
                <w:sz w:val="24"/>
                <w:szCs w:val="21"/>
                <w:lang w:val="en-US" w:eastAsia="zh-CN"/>
              </w:rPr>
              <w:fldChar w:fldCharType="end"/>
            </w:r>
            <w:r>
              <w:rPr>
                <w:rFonts w:hint="default"/>
                <w:b w:val="0"/>
                <w:bCs w:val="0"/>
                <w:color w:val="auto"/>
                <w:sz w:val="24"/>
                <w:szCs w:val="21"/>
                <w:lang w:val="en-US" w:eastAsia="zh-CN"/>
              </w:rPr>
              <w:t>贮存设施运行期间，应按国家有关标准和规定建立危险废物管理台账并保存</w:t>
            </w:r>
            <w:r>
              <w:rPr>
                <w:rFonts w:hint="eastAsia"/>
                <w:b w:val="0"/>
                <w:bCs w:val="0"/>
                <w:color w:val="auto"/>
                <w:sz w:val="24"/>
                <w:szCs w:val="21"/>
                <w:lang w:val="en-US" w:eastAsia="zh-CN"/>
              </w:rPr>
              <w:t>。</w:t>
            </w:r>
          </w:p>
          <w:p w14:paraId="03FEE52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6 \* GB3 \* MERGEFORMAT </w:instrText>
            </w:r>
            <w:r>
              <w:rPr>
                <w:rFonts w:hint="default"/>
                <w:b w:val="0"/>
                <w:bCs w:val="0"/>
                <w:color w:val="auto"/>
                <w:sz w:val="24"/>
                <w:szCs w:val="21"/>
                <w:lang w:val="en-US" w:eastAsia="zh-CN"/>
              </w:rPr>
              <w:fldChar w:fldCharType="separate"/>
            </w:r>
            <w:r>
              <w:rPr>
                <w:rFonts w:hint="default"/>
                <w:color w:val="auto"/>
              </w:rPr>
              <w:t>⑥</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应建立贮存点的施全部档案，包括设计、施工、验收、运行、监测和环境应急等，应按国家有关档案管理的法律法规进行整理和归档。</w:t>
            </w:r>
          </w:p>
          <w:p w14:paraId="476E834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危险废物标签按照《危险废物识别标志设置技术规范》（ HJ1276-2022）设置</w:t>
            </w:r>
            <w:r>
              <w:rPr>
                <w:rFonts w:hint="eastAsia"/>
                <w:b w:val="0"/>
                <w:bCs w:val="0"/>
                <w:color w:val="auto"/>
                <w:sz w:val="24"/>
                <w:szCs w:val="21"/>
                <w:lang w:val="en-US" w:eastAsia="zh-CN"/>
              </w:rPr>
              <w:t>。</w:t>
            </w:r>
          </w:p>
          <w:tbl>
            <w:tblPr>
              <w:tblStyle w:val="25"/>
              <w:tblW w:w="861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3"/>
              <w:gridCol w:w="4304"/>
              <w:gridCol w:w="5"/>
            </w:tblGrid>
            <w:tr w14:paraId="55A93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Pr>
              <w:tc>
                <w:tcPr>
                  <w:tcW w:w="4303" w:type="dxa"/>
                </w:tcPr>
                <w:p w14:paraId="523DF37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jc w:val="center"/>
                    <w:textAlignment w:val="auto"/>
                    <w:rPr>
                      <w:rFonts w:hint="default"/>
                      <w:b w:val="0"/>
                      <w:bCs w:val="0"/>
                      <w:color w:val="auto"/>
                      <w:sz w:val="24"/>
                      <w:szCs w:val="21"/>
                      <w:vertAlign w:val="baseline"/>
                      <w:lang w:val="en-US" w:eastAsia="zh-CN"/>
                    </w:rPr>
                  </w:pPr>
                  <w:r>
                    <w:rPr>
                      <w:rFonts w:hint="default"/>
                      <w:color w:val="auto"/>
                      <w:sz w:val="24"/>
                      <w:szCs w:val="24"/>
                    </w:rPr>
                    <w:drawing>
                      <wp:inline distT="0" distB="0" distL="114300" distR="114300">
                        <wp:extent cx="1979930" cy="1440180"/>
                        <wp:effectExtent l="0" t="0" r="1270" b="7620"/>
                        <wp:docPr id="65" name="图片 13"/>
                        <wp:cNvGraphicFramePr/>
                        <a:graphic xmlns:a="http://schemas.openxmlformats.org/drawingml/2006/main">
                          <a:graphicData uri="http://schemas.openxmlformats.org/drawingml/2006/picture">
                            <pic:pic xmlns:pic="http://schemas.openxmlformats.org/drawingml/2006/picture">
                              <pic:nvPicPr>
                                <pic:cNvPr id="65" name="图片 13"/>
                                <pic:cNvPicPr/>
                              </pic:nvPicPr>
                              <pic:blipFill>
                                <a:blip r:embed="rId30"/>
                                <a:stretch>
                                  <a:fillRect/>
                                </a:stretch>
                              </pic:blipFill>
                              <pic:spPr>
                                <a:xfrm>
                                  <a:off x="0" y="0"/>
                                  <a:ext cx="1979930" cy="1440180"/>
                                </a:xfrm>
                                <a:prstGeom prst="rect">
                                  <a:avLst/>
                                </a:prstGeom>
                                <a:noFill/>
                                <a:ln>
                                  <a:noFill/>
                                </a:ln>
                              </pic:spPr>
                            </pic:pic>
                          </a:graphicData>
                        </a:graphic>
                      </wp:inline>
                    </w:drawing>
                  </w:r>
                </w:p>
              </w:tc>
              <w:tc>
                <w:tcPr>
                  <w:tcW w:w="4304" w:type="dxa"/>
                </w:tcPr>
                <w:p w14:paraId="506EDBF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jc w:val="center"/>
                    <w:textAlignment w:val="auto"/>
                    <w:rPr>
                      <w:rFonts w:hint="default"/>
                      <w:color w:val="auto"/>
                      <w:position w:val="-83"/>
                    </w:rPr>
                  </w:pPr>
                  <w:r>
                    <w:rPr>
                      <w:rFonts w:hint="default"/>
                      <w:color w:val="auto"/>
                      <w:position w:val="-66"/>
                    </w:rPr>
                    <w:drawing>
                      <wp:inline distT="0" distB="0" distL="0" distR="0">
                        <wp:extent cx="2266950" cy="1402715"/>
                        <wp:effectExtent l="0" t="0" r="0" b="698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1"/>
                                <a:stretch>
                                  <a:fillRect/>
                                </a:stretch>
                              </pic:blipFill>
                              <pic:spPr>
                                <a:xfrm>
                                  <a:off x="0" y="0"/>
                                  <a:ext cx="2266950" cy="1402715"/>
                                </a:xfrm>
                                <a:prstGeom prst="rect">
                                  <a:avLst/>
                                </a:prstGeom>
                              </pic:spPr>
                            </pic:pic>
                          </a:graphicData>
                        </a:graphic>
                      </wp:inline>
                    </w:drawing>
                  </w:r>
                </w:p>
              </w:tc>
            </w:tr>
            <w:tr w14:paraId="331EC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Pr>
              <w:tc>
                <w:tcPr>
                  <w:tcW w:w="8607" w:type="dxa"/>
                  <w:gridSpan w:val="2"/>
                </w:tcPr>
                <w:p w14:paraId="2E99628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图4-1 危险废物贮存设施标志</w:t>
                  </w:r>
                </w:p>
              </w:tc>
            </w:tr>
            <w:tr w14:paraId="3EE4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2" w:type="dxa"/>
                  <w:gridSpan w:val="3"/>
                  <w:tcBorders>
                    <w:top w:val="nil"/>
                    <w:left w:val="nil"/>
                    <w:bottom w:val="nil"/>
                    <w:right w:val="nil"/>
                  </w:tcBorders>
                </w:tcPr>
                <w:p w14:paraId="4021F60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jc w:val="center"/>
                    <w:textAlignment w:val="auto"/>
                    <w:rPr>
                      <w:rFonts w:hint="default"/>
                      <w:b w:val="0"/>
                      <w:bCs w:val="0"/>
                      <w:color w:val="auto"/>
                      <w:sz w:val="24"/>
                      <w:szCs w:val="21"/>
                      <w:vertAlign w:val="baseline"/>
                      <w:lang w:val="en-US" w:eastAsia="zh-CN"/>
                    </w:rPr>
                  </w:pPr>
                  <w:r>
                    <w:rPr>
                      <w:rFonts w:hint="default"/>
                      <w:color w:val="auto"/>
                      <w:sz w:val="24"/>
                      <w:szCs w:val="24"/>
                    </w:rPr>
                    <w:drawing>
                      <wp:inline distT="0" distB="0" distL="114300" distR="114300">
                        <wp:extent cx="1979930" cy="1440180"/>
                        <wp:effectExtent l="9525" t="9525" r="10795" b="17145"/>
                        <wp:docPr id="68" name="图片 15"/>
                        <wp:cNvGraphicFramePr/>
                        <a:graphic xmlns:a="http://schemas.openxmlformats.org/drawingml/2006/main">
                          <a:graphicData uri="http://schemas.openxmlformats.org/drawingml/2006/picture">
                            <pic:pic xmlns:pic="http://schemas.openxmlformats.org/drawingml/2006/picture">
                              <pic:nvPicPr>
                                <pic:cNvPr id="68" name="图片 15"/>
                                <pic:cNvPicPr/>
                              </pic:nvPicPr>
                              <pic:blipFill>
                                <a:blip r:embed="rId32"/>
                                <a:stretch>
                                  <a:fillRect/>
                                </a:stretch>
                              </pic:blipFill>
                              <pic:spPr>
                                <a:xfrm>
                                  <a:off x="0" y="0"/>
                                  <a:ext cx="1979930" cy="1440180"/>
                                </a:xfrm>
                                <a:prstGeom prst="rect">
                                  <a:avLst/>
                                </a:prstGeom>
                                <a:noFill/>
                                <a:ln>
                                  <a:solidFill>
                                    <a:schemeClr val="tx1"/>
                                  </a:solidFill>
                                </a:ln>
                              </pic:spPr>
                            </pic:pic>
                          </a:graphicData>
                        </a:graphic>
                      </wp:inline>
                    </w:drawing>
                  </w:r>
                </w:p>
              </w:tc>
            </w:tr>
            <w:tr w14:paraId="7C01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2" w:type="dxa"/>
                  <w:gridSpan w:val="3"/>
                  <w:tcBorders>
                    <w:top w:val="nil"/>
                    <w:left w:val="nil"/>
                    <w:bottom w:val="nil"/>
                    <w:right w:val="nil"/>
                  </w:tcBorders>
                </w:tcPr>
                <w:p w14:paraId="0F46D8F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jc w:val="center"/>
                    <w:textAlignment w:val="auto"/>
                    <w:rPr>
                      <w:rFonts w:hint="default"/>
                      <w:b w:val="0"/>
                      <w:bCs w:val="0"/>
                      <w:color w:val="auto"/>
                      <w:sz w:val="24"/>
                      <w:szCs w:val="21"/>
                      <w:vertAlign w:val="baseline"/>
                      <w:lang w:val="en-US" w:eastAsia="zh-CN"/>
                    </w:rPr>
                  </w:pPr>
                  <w:r>
                    <w:rPr>
                      <w:rFonts w:hint="eastAsia"/>
                      <w:b/>
                      <w:bCs/>
                      <w:color w:val="auto"/>
                      <w:sz w:val="21"/>
                      <w:szCs w:val="18"/>
                      <w:vertAlign w:val="baseline"/>
                      <w:lang w:val="en-US" w:eastAsia="zh-CN"/>
                    </w:rPr>
                    <w:t>图4-2 危险废物分区标识</w:t>
                  </w:r>
                </w:p>
              </w:tc>
            </w:tr>
          </w:tbl>
          <w:p w14:paraId="58AB372B">
            <w:pPr>
              <w:keepNext w:val="0"/>
              <w:keepLines w:val="0"/>
              <w:pageBreakBefore w:val="0"/>
              <w:widowControl w:val="0"/>
              <w:numPr>
                <w:ilvl w:val="0"/>
                <w:numId w:val="15"/>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b/>
                <w:bCs/>
                <w:color w:val="auto"/>
                <w:sz w:val="24"/>
                <w:szCs w:val="21"/>
                <w:lang w:val="en-US" w:eastAsia="zh-CN"/>
              </w:rPr>
            </w:pPr>
            <w:r>
              <w:rPr>
                <w:rFonts w:hint="eastAsia"/>
                <w:b/>
                <w:bCs/>
                <w:color w:val="auto"/>
                <w:sz w:val="24"/>
                <w:szCs w:val="21"/>
                <w:lang w:val="en-US" w:eastAsia="zh-CN"/>
              </w:rPr>
              <w:t>危险废物的收集、转运</w:t>
            </w:r>
          </w:p>
          <w:p w14:paraId="3553234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危险废物贮存点设置在实验</w:t>
            </w:r>
            <w:r>
              <w:rPr>
                <w:rFonts w:hint="eastAsia"/>
                <w:b w:val="0"/>
                <w:bCs w:val="0"/>
                <w:color w:val="auto"/>
                <w:sz w:val="24"/>
                <w:szCs w:val="21"/>
                <w:highlight w:val="none"/>
                <w:lang w:val="en-US" w:eastAsia="zh-CN"/>
              </w:rPr>
              <w:t>楼一层楼梯间，</w:t>
            </w:r>
            <w:r>
              <w:rPr>
                <w:rFonts w:hint="eastAsia"/>
                <w:b w:val="0"/>
                <w:bCs w:val="0"/>
                <w:color w:val="auto"/>
                <w:sz w:val="24"/>
                <w:szCs w:val="21"/>
                <w:lang w:val="en-US" w:eastAsia="zh-CN"/>
              </w:rPr>
              <w:t>与化学实验室距离较近。实验结束产生的废液等应装入容器中，由实验老师负责运至危废贮存点，此过程应采取跑冒漏滴防治措施，避免泄漏形成二次污染。装有危险废物的容器必须贴有标签， 在标签上详细标明危险废物的名称、重量、成分、特性以及发生泄漏、扩散污染事故时的应急措施和补救方法防止学生接触。转运路径应固定，并避开课间人流较大时段。</w:t>
            </w:r>
          </w:p>
          <w:p w14:paraId="684BC0F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贮存点贮存的危险废物应及时运出，转移时应遵守《危险化学品安全管理条例》和《危险废物转移联单管理办法》要求，做好废物的记录登记交接工作。同时，危 险废物应按照国家有关规定向当地环境保护行政主管部门申报登记，接受当地环保行政主管部门监督管理。</w:t>
            </w:r>
          </w:p>
          <w:p w14:paraId="6EB1FE9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由有资质单位采用专用运输车对贮存点的危险废物进行转移时应尽量选择周末或节假日校区师生较少时段，由于实验楼位于校区北侧，临近麟绛西大街，因此减少了运输危废的车辆在园区泄漏等风险，运输环境影响较小。</w:t>
            </w:r>
          </w:p>
          <w:p w14:paraId="1489D21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综上，项目生产过程中产生的各项固废均得到了合理处置或循环利用，不会对外界环境产生不良影响</w:t>
            </w:r>
            <w:r>
              <w:rPr>
                <w:rFonts w:hint="eastAsia"/>
                <w:b w:val="0"/>
                <w:bCs w:val="0"/>
                <w:color w:val="auto"/>
                <w:sz w:val="24"/>
                <w:szCs w:val="21"/>
                <w:lang w:val="en-US" w:eastAsia="zh-CN"/>
              </w:rPr>
              <w:t>。</w:t>
            </w:r>
          </w:p>
          <w:p w14:paraId="0B50D49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2" w:firstLineChars="200"/>
              <w:jc w:val="both"/>
              <w:textAlignment w:val="auto"/>
              <w:rPr>
                <w:rFonts w:hint="eastAsia"/>
                <w:b/>
                <w:bCs/>
                <w:color w:val="auto"/>
                <w:sz w:val="24"/>
                <w:szCs w:val="21"/>
                <w:lang w:val="en-US" w:eastAsia="zh-CN"/>
              </w:rPr>
            </w:pPr>
            <w:r>
              <w:rPr>
                <w:rFonts w:hint="eastAsia"/>
                <w:b/>
                <w:bCs/>
                <w:color w:val="auto"/>
                <w:sz w:val="24"/>
                <w:szCs w:val="21"/>
                <w:lang w:val="en-US" w:eastAsia="zh-CN"/>
              </w:rPr>
              <w:t>4.9地下水、土壤环境影响分析</w:t>
            </w:r>
          </w:p>
          <w:p w14:paraId="475FC74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本项目</w:t>
            </w:r>
            <w:r>
              <w:rPr>
                <w:rFonts w:hint="eastAsia"/>
                <w:b w:val="0"/>
                <w:bCs w:val="0"/>
                <w:color w:val="auto"/>
                <w:sz w:val="24"/>
                <w:szCs w:val="21"/>
                <w:lang w:val="en-US" w:eastAsia="zh-CN"/>
              </w:rPr>
              <w:t>为</w:t>
            </w:r>
            <w:r>
              <w:rPr>
                <w:rFonts w:hint="default"/>
                <w:b w:val="0"/>
                <w:bCs w:val="0"/>
                <w:color w:val="auto"/>
                <w:sz w:val="24"/>
                <w:szCs w:val="21"/>
                <w:lang w:val="en-US" w:eastAsia="zh-CN"/>
              </w:rPr>
              <w:t>初中学校建设项目，实验楼、实验室等均在建筑物内部，且采取硬底化、防腐防渗等措施；校区所在地市政污水管网已完善，营运期间废水纳入城镇污水厂处理，不存在明显的地下水、土壤污染途径</w:t>
            </w:r>
            <w:r>
              <w:rPr>
                <w:rFonts w:hint="eastAsia"/>
                <w:b w:val="0"/>
                <w:bCs w:val="0"/>
                <w:color w:val="auto"/>
                <w:sz w:val="24"/>
                <w:szCs w:val="21"/>
                <w:lang w:val="en-US" w:eastAsia="zh-CN"/>
              </w:rPr>
              <w:t>。</w:t>
            </w:r>
          </w:p>
          <w:p w14:paraId="146A4DD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为避免事故状况下可能会对土壤和地下水环境产生污染，建设单位应采取合理的主动防控以及被动防渗等土壤和地下水防治措施，使得土壤和地下水污染风险降到最低。本项目分区防渗划分要求具体见下表。</w:t>
            </w:r>
          </w:p>
          <w:p w14:paraId="2DC4B5A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表4-9 分区防渗划分及要求表</w:t>
            </w:r>
          </w:p>
          <w:tbl>
            <w:tblPr>
              <w:tblStyle w:val="8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08"/>
              <w:gridCol w:w="1432"/>
              <w:gridCol w:w="5150"/>
            </w:tblGrid>
            <w:tr w14:paraId="1CEB3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123" w:type="pct"/>
                  <w:tcBorders>
                    <w:tl2br w:val="nil"/>
                    <w:tr2bl w:val="nil"/>
                  </w:tcBorders>
                  <w:vAlign w:val="center"/>
                </w:tcPr>
                <w:p w14:paraId="2A8F3D19">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防渗区域</w:t>
                  </w:r>
                </w:p>
              </w:tc>
              <w:tc>
                <w:tcPr>
                  <w:tcW w:w="843" w:type="pct"/>
                  <w:tcBorders>
                    <w:tl2br w:val="nil"/>
                    <w:tr2bl w:val="nil"/>
                  </w:tcBorders>
                  <w:vAlign w:val="center"/>
                </w:tcPr>
                <w:p w14:paraId="2BB1DF56">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防渗分区</w:t>
                  </w:r>
                </w:p>
              </w:tc>
              <w:tc>
                <w:tcPr>
                  <w:tcW w:w="3032" w:type="pct"/>
                  <w:tcBorders>
                    <w:tl2br w:val="nil"/>
                    <w:tr2bl w:val="nil"/>
                  </w:tcBorders>
                  <w:vAlign w:val="center"/>
                </w:tcPr>
                <w:p w14:paraId="1BD5373B">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6"/>
                      <w:sz w:val="21"/>
                      <w:szCs w:val="21"/>
                    </w:rPr>
                    <w:t>防渗技术要求</w:t>
                  </w:r>
                </w:p>
              </w:tc>
            </w:tr>
            <w:tr w14:paraId="2D974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83" w:hRule="atLeast"/>
              </w:trPr>
              <w:tc>
                <w:tcPr>
                  <w:tcW w:w="1123" w:type="pct"/>
                  <w:tcBorders>
                    <w:tl2br w:val="nil"/>
                    <w:tr2bl w:val="nil"/>
                  </w:tcBorders>
                  <w:vAlign w:val="center"/>
                </w:tcPr>
                <w:p w14:paraId="0CF64A7C">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z w:val="21"/>
                      <w:szCs w:val="21"/>
                      <w:lang w:val="en-US" w:eastAsia="zh-CN"/>
                    </w:rPr>
                  </w:pPr>
                  <w:r>
                    <w:rPr>
                      <w:color w:val="auto"/>
                      <w:spacing w:val="6"/>
                      <w:sz w:val="21"/>
                      <w:szCs w:val="21"/>
                    </w:rPr>
                    <w:t>危废贮存点</w:t>
                  </w:r>
                </w:p>
              </w:tc>
              <w:tc>
                <w:tcPr>
                  <w:tcW w:w="843" w:type="pct"/>
                  <w:tcBorders>
                    <w:tl2br w:val="nil"/>
                    <w:tr2bl w:val="nil"/>
                  </w:tcBorders>
                  <w:vAlign w:val="center"/>
                </w:tcPr>
                <w:p w14:paraId="66655BF5">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7"/>
                      <w:sz w:val="21"/>
                      <w:szCs w:val="21"/>
                    </w:rPr>
                    <w:t>重点防渗区</w:t>
                  </w:r>
                </w:p>
              </w:tc>
              <w:tc>
                <w:tcPr>
                  <w:tcW w:w="3032" w:type="pct"/>
                  <w:tcBorders>
                    <w:tl2br w:val="nil"/>
                    <w:tr2bl w:val="nil"/>
                  </w:tcBorders>
                  <w:vAlign w:val="center"/>
                </w:tcPr>
                <w:p w14:paraId="5E6C28D7">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hint="default" w:ascii="Times New Roman" w:hAnsi="Times New Roman" w:cs="Times New Roman"/>
                      <w:color w:val="auto"/>
                      <w:spacing w:val="7"/>
                      <w:sz w:val="21"/>
                      <w:szCs w:val="21"/>
                    </w:rPr>
                    <w:t>等效黏土防渗层</w:t>
                  </w:r>
                  <w:r>
                    <w:rPr>
                      <w:rFonts w:hint="default" w:ascii="Times New Roman" w:hAnsi="Times New Roman" w:eastAsia="Times New Roman" w:cs="Times New Roman"/>
                      <w:color w:val="auto"/>
                      <w:sz w:val="21"/>
                      <w:szCs w:val="21"/>
                    </w:rPr>
                    <w:t>Mb</w:t>
                  </w:r>
                  <w:r>
                    <w:rPr>
                      <w:rFonts w:hint="default" w:ascii="Times New Roman" w:hAnsi="Times New Roman" w:eastAsia="Times New Roman" w:cs="Times New Roman"/>
                      <w:color w:val="auto"/>
                      <w:spacing w:val="7"/>
                      <w:sz w:val="21"/>
                      <w:szCs w:val="21"/>
                    </w:rPr>
                    <w:t>≥6.0m</w:t>
                  </w:r>
                  <w:r>
                    <w:rPr>
                      <w:rFonts w:hint="default" w:ascii="Times New Roman" w:hAnsi="Times New Roman" w:cs="Times New Roman"/>
                      <w:color w:val="auto"/>
                      <w:spacing w:val="7"/>
                      <w:sz w:val="21"/>
                      <w:szCs w:val="21"/>
                    </w:rPr>
                    <w:t>，</w:t>
                  </w:r>
                  <w:r>
                    <w:rPr>
                      <w:rFonts w:hint="default" w:ascii="Times New Roman" w:hAnsi="Times New Roman" w:eastAsia="Times New Roman" w:cs="Times New Roman"/>
                      <w:color w:val="auto"/>
                      <w:spacing w:val="4"/>
                      <w:sz w:val="21"/>
                      <w:szCs w:val="21"/>
                    </w:rPr>
                    <w:t>K≤1.0×10</w:t>
                  </w:r>
                  <w:r>
                    <w:rPr>
                      <w:rFonts w:hint="default" w:ascii="Times New Roman" w:hAnsi="Times New Roman" w:eastAsia="宋体" w:cs="Times New Roman"/>
                      <w:color w:val="auto"/>
                      <w:spacing w:val="4"/>
                      <w:sz w:val="21"/>
                      <w:szCs w:val="21"/>
                      <w:vertAlign w:val="superscript"/>
                      <w:lang w:val="en-US" w:eastAsia="zh-CN"/>
                    </w:rPr>
                    <w:t>-7</w:t>
                  </w:r>
                  <w:r>
                    <w:rPr>
                      <w:rFonts w:hint="default" w:ascii="Times New Roman" w:hAnsi="Times New Roman" w:eastAsia="Times New Roman" w:cs="Times New Roman"/>
                      <w:color w:val="auto"/>
                      <w:sz w:val="21"/>
                      <w:szCs w:val="21"/>
                    </w:rPr>
                    <w:t>cm</w:t>
                  </w:r>
                  <w:r>
                    <w:rPr>
                      <w:rFonts w:hint="default" w:ascii="Times New Roman" w:hAnsi="Times New Roman" w:eastAsia="Times New Roman" w:cs="Times New Roman"/>
                      <w:color w:val="auto"/>
                      <w:spacing w:val="4"/>
                      <w:sz w:val="21"/>
                      <w:szCs w:val="21"/>
                    </w:rPr>
                    <w:t>/s</w:t>
                  </w:r>
                  <w:r>
                    <w:rPr>
                      <w:rFonts w:hint="default" w:ascii="Times New Roman" w:hAnsi="Times New Roman" w:cs="Times New Roman"/>
                      <w:color w:val="auto"/>
                      <w:spacing w:val="4"/>
                      <w:sz w:val="21"/>
                      <w:szCs w:val="21"/>
                    </w:rPr>
                    <w:t>或2mm 厚的高密度聚乙烯，或至少2mm厚的其它人工材料，渗透系数≤1×10</w:t>
                  </w:r>
                  <w:r>
                    <w:rPr>
                      <w:rFonts w:hint="default" w:ascii="Times New Roman" w:hAnsi="Times New Roman" w:cs="Times New Roman"/>
                      <w:color w:val="auto"/>
                      <w:spacing w:val="4"/>
                      <w:sz w:val="21"/>
                      <w:szCs w:val="21"/>
                      <w:vertAlign w:val="superscript"/>
                    </w:rPr>
                    <w:t>-10</w:t>
                  </w:r>
                  <w:r>
                    <w:rPr>
                      <w:rFonts w:hint="default" w:ascii="Times New Roman" w:hAnsi="Times New Roman" w:cs="Times New Roman"/>
                      <w:color w:val="auto"/>
                      <w:spacing w:val="4"/>
                      <w:sz w:val="21"/>
                      <w:szCs w:val="21"/>
                    </w:rPr>
                    <w:t>cm/s，地面加覆 2mm 厚环氧树脂膜</w:t>
                  </w:r>
                </w:p>
              </w:tc>
            </w:tr>
            <w:tr w14:paraId="4D4C29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1123" w:type="pct"/>
                  <w:tcBorders>
                    <w:tl2br w:val="nil"/>
                    <w:tr2bl w:val="nil"/>
                  </w:tcBorders>
                  <w:vAlign w:val="center"/>
                </w:tcPr>
                <w:p w14:paraId="3F95A395">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pacing w:val="7"/>
                      <w:sz w:val="21"/>
                      <w:szCs w:val="21"/>
                      <w:lang w:val="en-US" w:eastAsia="zh-CN"/>
                    </w:rPr>
                  </w:pPr>
                  <w:r>
                    <w:rPr>
                      <w:color w:val="auto"/>
                      <w:spacing w:val="7"/>
                      <w:sz w:val="21"/>
                      <w:szCs w:val="21"/>
                    </w:rPr>
                    <w:t>实验室</w:t>
                  </w:r>
                  <w:r>
                    <w:rPr>
                      <w:rFonts w:hint="eastAsia"/>
                      <w:color w:val="auto"/>
                      <w:spacing w:val="7"/>
                      <w:sz w:val="21"/>
                      <w:szCs w:val="21"/>
                      <w:lang w:eastAsia="zh-CN"/>
                    </w:rPr>
                    <w:t>、</w:t>
                  </w:r>
                  <w:r>
                    <w:rPr>
                      <w:rFonts w:hint="eastAsia"/>
                      <w:color w:val="auto"/>
                      <w:spacing w:val="7"/>
                      <w:sz w:val="21"/>
                      <w:szCs w:val="21"/>
                      <w:lang w:val="en-US" w:eastAsia="zh-CN"/>
                    </w:rPr>
                    <w:t>药品储藏室、准备室、</w:t>
                  </w:r>
                </w:p>
                <w:p w14:paraId="561A0F00">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pacing w:val="7"/>
                      <w:sz w:val="21"/>
                      <w:szCs w:val="21"/>
                      <w:lang w:val="en-US" w:eastAsia="zh-CN"/>
                    </w:rPr>
                  </w:pPr>
                  <w:r>
                    <w:rPr>
                      <w:rFonts w:hint="eastAsia"/>
                      <w:color w:val="auto"/>
                      <w:spacing w:val="7"/>
                      <w:sz w:val="21"/>
                      <w:szCs w:val="21"/>
                      <w:lang w:val="en-US" w:eastAsia="zh-CN"/>
                    </w:rPr>
                    <w:t>化粪池、污水管网</w:t>
                  </w:r>
                </w:p>
              </w:tc>
              <w:tc>
                <w:tcPr>
                  <w:tcW w:w="843" w:type="pct"/>
                  <w:tcBorders>
                    <w:tl2br w:val="nil"/>
                    <w:tr2bl w:val="nil"/>
                  </w:tcBorders>
                  <w:vAlign w:val="center"/>
                </w:tcPr>
                <w:p w14:paraId="3340F6DA">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7"/>
                      <w:sz w:val="21"/>
                      <w:szCs w:val="21"/>
                    </w:rPr>
                    <w:t>一般防渗区</w:t>
                  </w:r>
                </w:p>
              </w:tc>
              <w:tc>
                <w:tcPr>
                  <w:tcW w:w="3032" w:type="pct"/>
                  <w:tcBorders>
                    <w:tl2br w:val="nil"/>
                    <w:tr2bl w:val="nil"/>
                  </w:tcBorders>
                  <w:vAlign w:val="center"/>
                </w:tcPr>
                <w:p w14:paraId="22AE56EB">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z w:val="21"/>
                      <w:szCs w:val="21"/>
                      <w:lang w:val="en-US" w:eastAsia="zh-CN"/>
                    </w:rPr>
                  </w:pPr>
                  <w:r>
                    <w:rPr>
                      <w:color w:val="auto"/>
                      <w:spacing w:val="7"/>
                      <w:sz w:val="21"/>
                      <w:szCs w:val="21"/>
                    </w:rPr>
                    <w:t>等效黏土防渗层</w:t>
                  </w:r>
                  <w:r>
                    <w:rPr>
                      <w:rFonts w:ascii="Times New Roman" w:hAnsi="Times New Roman" w:eastAsia="Times New Roman" w:cs="Times New Roman"/>
                      <w:color w:val="auto"/>
                      <w:sz w:val="21"/>
                      <w:szCs w:val="21"/>
                    </w:rPr>
                    <w:t>Mb</w:t>
                  </w:r>
                  <w:r>
                    <w:rPr>
                      <w:rFonts w:ascii="Times New Roman" w:hAnsi="Times New Roman" w:eastAsia="Times New Roman" w:cs="Times New Roman"/>
                      <w:color w:val="auto"/>
                      <w:spacing w:val="7"/>
                      <w:sz w:val="21"/>
                      <w:szCs w:val="21"/>
                    </w:rPr>
                    <w:t>≥1.5m</w:t>
                  </w:r>
                  <w:r>
                    <w:rPr>
                      <w:color w:val="auto"/>
                      <w:spacing w:val="7"/>
                      <w:sz w:val="21"/>
                      <w:szCs w:val="21"/>
                    </w:rPr>
                    <w:t>，</w:t>
                  </w:r>
                  <w:r>
                    <w:rPr>
                      <w:rFonts w:ascii="Times New Roman" w:hAnsi="Times New Roman" w:eastAsia="Times New Roman" w:cs="Times New Roman"/>
                      <w:color w:val="auto"/>
                      <w:spacing w:val="5"/>
                      <w:sz w:val="21"/>
                      <w:szCs w:val="21"/>
                    </w:rPr>
                    <w:t>K≤1.0×10</w:t>
                  </w:r>
                  <w:r>
                    <w:rPr>
                      <w:rFonts w:hint="eastAsia" w:ascii="Times New Roman" w:hAnsi="Times New Roman" w:eastAsia="宋体" w:cs="Times New Roman"/>
                      <w:color w:val="auto"/>
                      <w:spacing w:val="5"/>
                      <w:sz w:val="21"/>
                      <w:szCs w:val="21"/>
                      <w:vertAlign w:val="superscript"/>
                      <w:lang w:val="en-US" w:eastAsia="zh-CN"/>
                    </w:rPr>
                    <w:t>-7</w:t>
                  </w:r>
                  <w:r>
                    <w:rPr>
                      <w:rFonts w:ascii="Times New Roman" w:hAnsi="Times New Roman" w:eastAsia="Times New Roman" w:cs="Times New Roman"/>
                      <w:color w:val="auto"/>
                      <w:sz w:val="21"/>
                      <w:szCs w:val="21"/>
                    </w:rPr>
                    <w:t>cm</w:t>
                  </w:r>
                  <w:r>
                    <w:rPr>
                      <w:rFonts w:ascii="Times New Roman" w:hAnsi="Times New Roman" w:eastAsia="Times New Roman" w:cs="Times New Roman"/>
                      <w:color w:val="auto"/>
                      <w:spacing w:val="5"/>
                      <w:sz w:val="21"/>
                      <w:szCs w:val="21"/>
                    </w:rPr>
                    <w:t>/s</w:t>
                  </w:r>
                  <w:r>
                    <w:rPr>
                      <w:rFonts w:hint="eastAsia" w:eastAsia="宋体"/>
                      <w:color w:val="auto"/>
                      <w:spacing w:val="5"/>
                      <w:sz w:val="21"/>
                      <w:szCs w:val="21"/>
                      <w:lang w:eastAsia="zh-CN"/>
                    </w:rPr>
                    <w:t>，</w:t>
                  </w:r>
                  <w:r>
                    <w:rPr>
                      <w:rFonts w:hint="default" w:ascii="Times New Roman" w:hAnsi="Times New Roman" w:eastAsia="宋体" w:cs="Times New Roman"/>
                      <w:color w:val="auto"/>
                      <w:spacing w:val="5"/>
                      <w:sz w:val="21"/>
                      <w:szCs w:val="21"/>
                      <w:lang w:val="en-US" w:eastAsia="zh-CN"/>
                    </w:rPr>
                    <w:t>实验室地面加覆2mm厚环氧树脂膜</w:t>
                  </w:r>
                </w:p>
              </w:tc>
            </w:tr>
            <w:tr w14:paraId="7FCC59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23" w:type="pct"/>
                  <w:tcBorders>
                    <w:tl2br w:val="nil"/>
                    <w:tr2bl w:val="nil"/>
                  </w:tcBorders>
                  <w:vAlign w:val="center"/>
                </w:tcPr>
                <w:p w14:paraId="7661DA1C">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hint="eastAsia"/>
                      <w:color w:val="auto"/>
                      <w:spacing w:val="7"/>
                      <w:sz w:val="21"/>
                      <w:szCs w:val="21"/>
                      <w:lang w:val="en-US" w:eastAsia="zh-CN"/>
                    </w:rPr>
                    <w:t>教学楼、校内道路等</w:t>
                  </w:r>
                  <w:r>
                    <w:rPr>
                      <w:color w:val="auto"/>
                      <w:spacing w:val="7"/>
                      <w:sz w:val="21"/>
                      <w:szCs w:val="21"/>
                    </w:rPr>
                    <w:t>其他位置</w:t>
                  </w:r>
                </w:p>
              </w:tc>
              <w:tc>
                <w:tcPr>
                  <w:tcW w:w="843" w:type="pct"/>
                  <w:tcBorders>
                    <w:tl2br w:val="nil"/>
                    <w:tr2bl w:val="nil"/>
                  </w:tcBorders>
                  <w:vAlign w:val="center"/>
                </w:tcPr>
                <w:p w14:paraId="50FFBE98">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7"/>
                      <w:sz w:val="21"/>
                      <w:szCs w:val="21"/>
                    </w:rPr>
                    <w:t>简单防渗区</w:t>
                  </w:r>
                </w:p>
              </w:tc>
              <w:tc>
                <w:tcPr>
                  <w:tcW w:w="3032" w:type="pct"/>
                  <w:tcBorders>
                    <w:tl2br w:val="nil"/>
                    <w:tr2bl w:val="nil"/>
                  </w:tcBorders>
                  <w:vAlign w:val="center"/>
                </w:tcPr>
                <w:p w14:paraId="576A2A08">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7"/>
                      <w:sz w:val="21"/>
                      <w:szCs w:val="21"/>
                    </w:rPr>
                    <w:t>一般地面硬化</w:t>
                  </w:r>
                </w:p>
              </w:tc>
            </w:tr>
          </w:tbl>
          <w:p w14:paraId="17660FB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综上所述，在运营期间加强管理，严格遵循地下水、土壤环境保护措施的前提下，本项目不会对地下水、土壤造成影响，本建设项目对地下水、土壤环境影响可以接受</w:t>
            </w:r>
            <w:r>
              <w:rPr>
                <w:rFonts w:hint="eastAsia"/>
                <w:b w:val="0"/>
                <w:bCs w:val="0"/>
                <w:color w:val="auto"/>
                <w:sz w:val="24"/>
                <w:szCs w:val="21"/>
                <w:lang w:val="en-US" w:eastAsia="zh-CN"/>
              </w:rPr>
              <w:t>。</w:t>
            </w:r>
          </w:p>
          <w:p w14:paraId="3C73C3C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2" w:firstLineChars="200"/>
              <w:jc w:val="both"/>
              <w:textAlignment w:val="auto"/>
              <w:rPr>
                <w:rFonts w:hint="eastAsia"/>
                <w:b/>
                <w:bCs/>
                <w:color w:val="auto"/>
                <w:sz w:val="24"/>
                <w:szCs w:val="21"/>
                <w:lang w:val="en-US" w:eastAsia="zh-CN"/>
              </w:rPr>
            </w:pPr>
            <w:r>
              <w:rPr>
                <w:rFonts w:hint="eastAsia"/>
                <w:b/>
                <w:bCs/>
                <w:color w:val="auto"/>
                <w:sz w:val="24"/>
                <w:szCs w:val="21"/>
                <w:lang w:val="en-US" w:eastAsia="zh-CN"/>
              </w:rPr>
              <w:t>4.10环境风险影响分析</w:t>
            </w:r>
          </w:p>
          <w:p w14:paraId="097C14C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eastAsia"/>
                <w:b w:val="0"/>
                <w:bCs w:val="0"/>
                <w:color w:val="auto"/>
                <w:sz w:val="24"/>
                <w:szCs w:val="21"/>
                <w:lang w:val="en-US" w:eastAsia="zh-CN"/>
              </w:rPr>
              <w:t>4.10.1风险调查</w:t>
            </w:r>
          </w:p>
          <w:p w14:paraId="167B950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本项目运营过程中所使用的危险物质主要为</w:t>
            </w:r>
            <w:r>
              <w:rPr>
                <w:rFonts w:hint="eastAsia"/>
                <w:b w:val="0"/>
                <w:bCs w:val="0"/>
                <w:color w:val="auto"/>
                <w:sz w:val="24"/>
                <w:szCs w:val="21"/>
                <w:lang w:val="en-US" w:eastAsia="zh-CN"/>
              </w:rPr>
              <w:t>实验室储存的</w:t>
            </w:r>
            <w:r>
              <w:rPr>
                <w:rFonts w:hint="default"/>
                <w:b w:val="0"/>
                <w:bCs w:val="0"/>
                <w:color w:val="auto"/>
                <w:sz w:val="24"/>
                <w:szCs w:val="21"/>
                <w:lang w:val="en-US" w:eastAsia="zh-CN"/>
              </w:rPr>
              <w:t>盐酸、硫酸，存在风险主要为火灾、爆炸风险和危险物质泄露风险。</w:t>
            </w:r>
          </w:p>
          <w:p w14:paraId="484BB0C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4.10.2风险潜势初判及评价等级</w:t>
            </w:r>
          </w:p>
          <w:p w14:paraId="53F28C2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t>根据《建设项目环境风险评价技术导则》（HJ169-2018）“附录B表B.1和表B.2”进行判定</w:t>
            </w:r>
            <w:r>
              <w:rPr>
                <w:rFonts w:hint="eastAsia"/>
                <w:b w:val="0"/>
                <w:bCs w:val="0"/>
                <w:color w:val="auto"/>
                <w:sz w:val="24"/>
                <w:szCs w:val="21"/>
                <w:lang w:val="en-US" w:eastAsia="zh-CN"/>
              </w:rPr>
              <w:t>。本项目危险物质数量与临界量比值见下表。</w:t>
            </w:r>
          </w:p>
          <w:p w14:paraId="4AFE100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default"/>
                <w:b/>
                <w:bCs/>
                <w:color w:val="auto"/>
                <w:sz w:val="21"/>
                <w:szCs w:val="18"/>
                <w:lang w:val="en-US" w:eastAsia="zh-CN"/>
              </w:rPr>
            </w:pPr>
            <w:r>
              <w:rPr>
                <w:rFonts w:hint="eastAsia"/>
                <w:b/>
                <w:bCs/>
                <w:color w:val="auto"/>
                <w:sz w:val="21"/>
                <w:szCs w:val="18"/>
                <w:lang w:val="en-US" w:eastAsia="zh-CN"/>
              </w:rPr>
              <w:t>表4-10  危险物质数量与临界量比值表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590"/>
              <w:gridCol w:w="1131"/>
              <w:gridCol w:w="1809"/>
              <w:gridCol w:w="1692"/>
              <w:gridCol w:w="1600"/>
            </w:tblGrid>
            <w:tr w14:paraId="1B672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4" w:type="pct"/>
                  <w:tcBorders>
                    <w:tl2br w:val="nil"/>
                    <w:tr2bl w:val="nil"/>
                  </w:tcBorders>
                  <w:noWrap w:val="0"/>
                  <w:vAlign w:val="center"/>
                </w:tcPr>
                <w:p w14:paraId="324E5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序号</w:t>
                  </w:r>
                </w:p>
              </w:tc>
              <w:tc>
                <w:tcPr>
                  <w:tcW w:w="936" w:type="pct"/>
                  <w:tcBorders>
                    <w:tl2br w:val="nil"/>
                    <w:tr2bl w:val="nil"/>
                  </w:tcBorders>
                  <w:noWrap w:val="0"/>
                  <w:vAlign w:val="center"/>
                </w:tcPr>
                <w:p w14:paraId="473FA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危险物质</w:t>
                  </w:r>
                </w:p>
              </w:tc>
              <w:tc>
                <w:tcPr>
                  <w:tcW w:w="666" w:type="pct"/>
                  <w:tcBorders>
                    <w:tl2br w:val="nil"/>
                    <w:tr2bl w:val="nil"/>
                  </w:tcBorders>
                  <w:noWrap w:val="0"/>
                  <w:vAlign w:val="center"/>
                </w:tcPr>
                <w:p w14:paraId="6005C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存储规格</w:t>
                  </w:r>
                </w:p>
              </w:tc>
              <w:tc>
                <w:tcPr>
                  <w:tcW w:w="1065" w:type="pct"/>
                  <w:tcBorders>
                    <w:tl2br w:val="nil"/>
                    <w:tr2bl w:val="nil"/>
                  </w:tcBorders>
                  <w:noWrap w:val="0"/>
                  <w:vAlign w:val="center"/>
                </w:tcPr>
                <w:p w14:paraId="6BC41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最大存在量</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q（</w:t>
                  </w:r>
                  <w:r>
                    <w:rPr>
                      <w:rFonts w:hint="default" w:ascii="Times New Roman" w:hAnsi="Times New Roman" w:eastAsia="宋体" w:cs="Times New Roman"/>
                      <w:b/>
                      <w:color w:val="auto"/>
                      <w:sz w:val="21"/>
                      <w:szCs w:val="21"/>
                      <w:highlight w:val="none"/>
                      <w:lang w:val="en-US" w:eastAsia="zh-CN"/>
                    </w:rPr>
                    <w:t>t</w:t>
                  </w:r>
                  <w:r>
                    <w:rPr>
                      <w:rFonts w:hint="eastAsia" w:ascii="Times New Roman" w:hAnsi="Times New Roman" w:eastAsia="宋体" w:cs="Times New Roman"/>
                      <w:b/>
                      <w:color w:val="auto"/>
                      <w:sz w:val="21"/>
                      <w:szCs w:val="21"/>
                      <w:highlight w:val="none"/>
                      <w:lang w:val="en-US" w:eastAsia="zh-CN"/>
                    </w:rPr>
                    <w:t>）</w:t>
                  </w:r>
                </w:p>
              </w:tc>
              <w:tc>
                <w:tcPr>
                  <w:tcW w:w="995" w:type="pct"/>
                  <w:tcBorders>
                    <w:tl2br w:val="nil"/>
                    <w:tr2bl w:val="nil"/>
                  </w:tcBorders>
                  <w:noWrap w:val="0"/>
                  <w:vAlign w:val="center"/>
                </w:tcPr>
                <w:p w14:paraId="0FA44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临界量</w:t>
                  </w:r>
                  <w:r>
                    <w:rPr>
                      <w:rFonts w:hint="eastAsia" w:ascii="Times New Roman" w:hAnsi="Times New Roman" w:eastAsia="宋体" w:cs="Times New Roman"/>
                      <w:b/>
                      <w:color w:val="auto"/>
                      <w:sz w:val="21"/>
                      <w:szCs w:val="21"/>
                      <w:highlight w:val="none"/>
                      <w:lang w:val="en-US" w:eastAsia="zh-CN"/>
                    </w:rPr>
                    <w:t>Q（</w:t>
                  </w:r>
                  <w:r>
                    <w:rPr>
                      <w:rFonts w:hint="default" w:ascii="Times New Roman" w:hAnsi="Times New Roman" w:eastAsia="宋体" w:cs="Times New Roman"/>
                      <w:b/>
                      <w:color w:val="auto"/>
                      <w:sz w:val="21"/>
                      <w:szCs w:val="21"/>
                      <w:highlight w:val="none"/>
                      <w:lang w:val="en-US" w:eastAsia="zh-CN"/>
                    </w:rPr>
                    <w:t>t</w:t>
                  </w:r>
                  <w:r>
                    <w:rPr>
                      <w:rFonts w:hint="eastAsia" w:ascii="Times New Roman" w:hAnsi="Times New Roman" w:eastAsia="宋体" w:cs="Times New Roman"/>
                      <w:b/>
                      <w:color w:val="auto"/>
                      <w:sz w:val="21"/>
                      <w:szCs w:val="21"/>
                      <w:highlight w:val="none"/>
                      <w:lang w:val="en-US" w:eastAsia="zh-CN"/>
                    </w:rPr>
                    <w:t>）</w:t>
                  </w:r>
                </w:p>
              </w:tc>
              <w:tc>
                <w:tcPr>
                  <w:tcW w:w="942" w:type="pct"/>
                  <w:tcBorders>
                    <w:tl2br w:val="nil"/>
                    <w:tr2bl w:val="nil"/>
                  </w:tcBorders>
                  <w:noWrap w:val="0"/>
                  <w:vAlign w:val="center"/>
                </w:tcPr>
                <w:p w14:paraId="42781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q/Q</w:t>
                  </w:r>
                </w:p>
              </w:tc>
            </w:tr>
            <w:tr w14:paraId="7FBC0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94" w:type="pct"/>
                  <w:tcBorders>
                    <w:tl2br w:val="nil"/>
                    <w:tr2bl w:val="nil"/>
                  </w:tcBorders>
                  <w:noWrap w:val="0"/>
                  <w:vAlign w:val="center"/>
                </w:tcPr>
                <w:p w14:paraId="69796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w:t>
                  </w:r>
                </w:p>
              </w:tc>
              <w:tc>
                <w:tcPr>
                  <w:tcW w:w="936" w:type="pct"/>
                  <w:tcBorders>
                    <w:tl2br w:val="nil"/>
                    <w:tr2bl w:val="nil"/>
                  </w:tcBorders>
                  <w:noWrap w:val="0"/>
                  <w:vAlign w:val="top"/>
                </w:tcPr>
                <w:p w14:paraId="2D772F1E">
                  <w:pPr>
                    <w:pStyle w:val="80"/>
                    <w:keepNext w:val="0"/>
                    <w:keepLines w:val="0"/>
                    <w:suppressLineNumbers w:val="0"/>
                    <w:spacing w:before="32" w:beforeAutospacing="0" w:after="0" w:afterAutospacing="0" w:line="222"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b w:val="0"/>
                      <w:bCs/>
                      <w:color w:val="auto"/>
                      <w:spacing w:val="3"/>
                      <w:sz w:val="21"/>
                      <w:szCs w:val="21"/>
                    </w:rPr>
                    <w:t>盐酸</w:t>
                  </w:r>
                </w:p>
              </w:tc>
              <w:tc>
                <w:tcPr>
                  <w:tcW w:w="666" w:type="pct"/>
                  <w:tcBorders>
                    <w:tl2br w:val="nil"/>
                    <w:tr2bl w:val="nil"/>
                  </w:tcBorders>
                  <w:noWrap w:val="0"/>
                  <w:vAlign w:val="center"/>
                </w:tcPr>
                <w:p w14:paraId="4AE76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color w:val="auto"/>
                      <w:sz w:val="21"/>
                      <w:szCs w:val="21"/>
                    </w:rPr>
                    <w:t>AR500mL</w:t>
                  </w:r>
                </w:p>
              </w:tc>
              <w:tc>
                <w:tcPr>
                  <w:tcW w:w="1065" w:type="pct"/>
                  <w:tcBorders>
                    <w:tl2br w:val="nil"/>
                    <w:tr2bl w:val="nil"/>
                  </w:tcBorders>
                  <w:noWrap w:val="0"/>
                  <w:vAlign w:val="center"/>
                </w:tcPr>
                <w:p w14:paraId="60587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0.0024</w:t>
                  </w:r>
                </w:p>
              </w:tc>
              <w:tc>
                <w:tcPr>
                  <w:tcW w:w="995" w:type="pct"/>
                  <w:tcBorders>
                    <w:tl2br w:val="nil"/>
                    <w:tr2bl w:val="nil"/>
                  </w:tcBorders>
                  <w:noWrap w:val="0"/>
                  <w:vAlign w:val="center"/>
                </w:tcPr>
                <w:p w14:paraId="59A5E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7.5</w:t>
                  </w:r>
                </w:p>
              </w:tc>
              <w:tc>
                <w:tcPr>
                  <w:tcW w:w="942" w:type="pct"/>
                  <w:tcBorders>
                    <w:tl2br w:val="nil"/>
                    <w:tr2bl w:val="nil"/>
                  </w:tcBorders>
                  <w:noWrap w:val="0"/>
                  <w:vAlign w:val="center"/>
                </w:tcPr>
                <w:p w14:paraId="290B6F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0.00032</w:t>
                  </w:r>
                </w:p>
              </w:tc>
            </w:tr>
            <w:tr w14:paraId="5E110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94" w:type="pct"/>
                  <w:tcBorders>
                    <w:tl2br w:val="nil"/>
                    <w:tr2bl w:val="nil"/>
                  </w:tcBorders>
                  <w:noWrap w:val="0"/>
                  <w:vAlign w:val="center"/>
                </w:tcPr>
                <w:p w14:paraId="2F405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936" w:type="pct"/>
                  <w:tcBorders>
                    <w:tl2br w:val="nil"/>
                    <w:tr2bl w:val="nil"/>
                  </w:tcBorders>
                  <w:noWrap w:val="0"/>
                  <w:vAlign w:val="top"/>
                </w:tcPr>
                <w:p w14:paraId="0A41A757">
                  <w:pPr>
                    <w:pStyle w:val="80"/>
                    <w:keepNext w:val="0"/>
                    <w:keepLines w:val="0"/>
                    <w:suppressLineNumbers w:val="0"/>
                    <w:spacing w:before="32" w:beforeAutospacing="0" w:after="0" w:afterAutospacing="0" w:line="222" w:lineRule="auto"/>
                    <w:ind w:left="0" w:right="0"/>
                    <w:jc w:val="center"/>
                    <w:rPr>
                      <w:rFonts w:hint="eastAsia" w:eastAsia="宋体"/>
                      <w:b w:val="0"/>
                      <w:bCs/>
                      <w:color w:val="auto"/>
                      <w:spacing w:val="3"/>
                      <w:sz w:val="21"/>
                      <w:szCs w:val="21"/>
                      <w:lang w:val="en-US" w:eastAsia="zh-CN"/>
                    </w:rPr>
                  </w:pPr>
                  <w:r>
                    <w:rPr>
                      <w:rFonts w:hint="eastAsia"/>
                      <w:b w:val="0"/>
                      <w:bCs/>
                      <w:color w:val="auto"/>
                      <w:spacing w:val="3"/>
                      <w:sz w:val="21"/>
                      <w:szCs w:val="21"/>
                      <w:lang w:val="en-US" w:eastAsia="zh-CN"/>
                    </w:rPr>
                    <w:t>氨水</w:t>
                  </w:r>
                </w:p>
              </w:tc>
              <w:tc>
                <w:tcPr>
                  <w:tcW w:w="666" w:type="pct"/>
                  <w:tcBorders>
                    <w:tl2br w:val="nil"/>
                    <w:tr2bl w:val="nil"/>
                  </w:tcBorders>
                  <w:noWrap w:val="0"/>
                  <w:vAlign w:val="center"/>
                </w:tcPr>
                <w:p w14:paraId="32193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rPr>
                    <w:t>AR500mL</w:t>
                  </w:r>
                </w:p>
              </w:tc>
              <w:tc>
                <w:tcPr>
                  <w:tcW w:w="1065" w:type="pct"/>
                  <w:tcBorders>
                    <w:tl2br w:val="nil"/>
                    <w:tr2bl w:val="nil"/>
                  </w:tcBorders>
                  <w:noWrap w:val="0"/>
                  <w:vAlign w:val="center"/>
                </w:tcPr>
                <w:p w14:paraId="1A5E1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0.00048</w:t>
                  </w:r>
                </w:p>
              </w:tc>
              <w:tc>
                <w:tcPr>
                  <w:tcW w:w="995" w:type="pct"/>
                  <w:tcBorders>
                    <w:tl2br w:val="nil"/>
                    <w:tr2bl w:val="nil"/>
                  </w:tcBorders>
                  <w:noWrap w:val="0"/>
                  <w:vAlign w:val="center"/>
                </w:tcPr>
                <w:p w14:paraId="1E297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w:t>
                  </w:r>
                </w:p>
              </w:tc>
              <w:tc>
                <w:tcPr>
                  <w:tcW w:w="942" w:type="pct"/>
                  <w:tcBorders>
                    <w:tl2br w:val="nil"/>
                    <w:tr2bl w:val="nil"/>
                  </w:tcBorders>
                  <w:noWrap w:val="0"/>
                  <w:vAlign w:val="center"/>
                </w:tcPr>
                <w:p w14:paraId="37B16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0.000048</w:t>
                  </w:r>
                </w:p>
              </w:tc>
            </w:tr>
            <w:tr w14:paraId="6335B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94" w:type="pct"/>
                  <w:tcBorders>
                    <w:tl2br w:val="nil"/>
                    <w:tr2bl w:val="nil"/>
                  </w:tcBorders>
                  <w:noWrap w:val="0"/>
                  <w:vAlign w:val="center"/>
                </w:tcPr>
                <w:p w14:paraId="6A55C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p>
              </w:tc>
              <w:tc>
                <w:tcPr>
                  <w:tcW w:w="936" w:type="pct"/>
                  <w:tcBorders>
                    <w:tl2br w:val="nil"/>
                    <w:tr2bl w:val="nil"/>
                  </w:tcBorders>
                  <w:noWrap w:val="0"/>
                  <w:vAlign w:val="top"/>
                </w:tcPr>
                <w:p w14:paraId="4EEE0CAA">
                  <w:pPr>
                    <w:pStyle w:val="80"/>
                    <w:keepNext w:val="0"/>
                    <w:keepLines w:val="0"/>
                    <w:suppressLineNumbers w:val="0"/>
                    <w:spacing w:before="32" w:beforeAutospacing="0" w:after="0" w:afterAutospacing="0" w:line="222" w:lineRule="auto"/>
                    <w:ind w:left="0" w:right="0"/>
                    <w:jc w:val="center"/>
                    <w:rPr>
                      <w:rFonts w:hint="eastAsia" w:eastAsia="宋体"/>
                      <w:b w:val="0"/>
                      <w:bCs/>
                      <w:color w:val="auto"/>
                      <w:spacing w:val="3"/>
                      <w:sz w:val="21"/>
                      <w:szCs w:val="21"/>
                      <w:lang w:val="en-US" w:eastAsia="zh-CN"/>
                    </w:rPr>
                  </w:pPr>
                  <w:r>
                    <w:rPr>
                      <w:rFonts w:hint="eastAsia"/>
                      <w:b w:val="0"/>
                      <w:bCs/>
                      <w:color w:val="auto"/>
                      <w:spacing w:val="3"/>
                      <w:sz w:val="21"/>
                      <w:szCs w:val="21"/>
                      <w:lang w:val="en-US" w:eastAsia="zh-CN"/>
                    </w:rPr>
                    <w:t>硫酸</w:t>
                  </w:r>
                </w:p>
              </w:tc>
              <w:tc>
                <w:tcPr>
                  <w:tcW w:w="666" w:type="pct"/>
                  <w:tcBorders>
                    <w:tl2br w:val="nil"/>
                    <w:tr2bl w:val="nil"/>
                  </w:tcBorders>
                  <w:shd w:val="clear" w:color="auto" w:fill="auto"/>
                  <w:noWrap w:val="0"/>
                  <w:vAlign w:val="center"/>
                </w:tcPr>
                <w:p w14:paraId="31AF0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AR500mL</w:t>
                  </w:r>
                </w:p>
              </w:tc>
              <w:tc>
                <w:tcPr>
                  <w:tcW w:w="1065" w:type="pct"/>
                  <w:tcBorders>
                    <w:tl2br w:val="nil"/>
                    <w:tr2bl w:val="nil"/>
                  </w:tcBorders>
                  <w:noWrap w:val="0"/>
                  <w:vAlign w:val="center"/>
                </w:tcPr>
                <w:p w14:paraId="027E4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0.00368</w:t>
                  </w:r>
                </w:p>
              </w:tc>
              <w:tc>
                <w:tcPr>
                  <w:tcW w:w="995" w:type="pct"/>
                  <w:tcBorders>
                    <w:tl2br w:val="nil"/>
                    <w:tr2bl w:val="nil"/>
                  </w:tcBorders>
                  <w:noWrap w:val="0"/>
                  <w:vAlign w:val="center"/>
                </w:tcPr>
                <w:p w14:paraId="2345D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w:t>
                  </w:r>
                </w:p>
              </w:tc>
              <w:tc>
                <w:tcPr>
                  <w:tcW w:w="942" w:type="pct"/>
                  <w:tcBorders>
                    <w:tl2br w:val="nil"/>
                    <w:tr2bl w:val="nil"/>
                  </w:tcBorders>
                  <w:noWrap w:val="0"/>
                  <w:vAlign w:val="center"/>
                </w:tcPr>
                <w:p w14:paraId="30FC2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0.000368</w:t>
                  </w:r>
                </w:p>
              </w:tc>
            </w:tr>
            <w:tr w14:paraId="4E9DE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94" w:type="pct"/>
                  <w:tcBorders>
                    <w:tl2br w:val="nil"/>
                    <w:tr2bl w:val="nil"/>
                  </w:tcBorders>
                  <w:noWrap w:val="0"/>
                  <w:vAlign w:val="center"/>
                </w:tcPr>
                <w:p w14:paraId="44FE5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w:t>
                  </w:r>
                </w:p>
              </w:tc>
              <w:tc>
                <w:tcPr>
                  <w:tcW w:w="936" w:type="pct"/>
                  <w:tcBorders>
                    <w:tl2br w:val="nil"/>
                    <w:tr2bl w:val="nil"/>
                  </w:tcBorders>
                  <w:noWrap w:val="0"/>
                  <w:vAlign w:val="top"/>
                </w:tcPr>
                <w:p w14:paraId="179EC9D3">
                  <w:pPr>
                    <w:pStyle w:val="80"/>
                    <w:keepNext w:val="0"/>
                    <w:keepLines w:val="0"/>
                    <w:suppressLineNumbers w:val="0"/>
                    <w:spacing w:before="32" w:beforeAutospacing="0" w:after="0" w:afterAutospacing="0" w:line="222" w:lineRule="auto"/>
                    <w:ind w:left="0" w:right="0"/>
                    <w:jc w:val="center"/>
                    <w:rPr>
                      <w:rFonts w:hint="default"/>
                      <w:b w:val="0"/>
                      <w:bCs/>
                      <w:color w:val="auto"/>
                      <w:spacing w:val="3"/>
                      <w:sz w:val="21"/>
                      <w:szCs w:val="21"/>
                      <w:lang w:val="en-US" w:eastAsia="zh-CN"/>
                    </w:rPr>
                  </w:pPr>
                  <w:r>
                    <w:rPr>
                      <w:rFonts w:hint="eastAsia"/>
                      <w:b w:val="0"/>
                      <w:bCs/>
                      <w:color w:val="auto"/>
                      <w:spacing w:val="3"/>
                      <w:sz w:val="21"/>
                      <w:szCs w:val="21"/>
                      <w:lang w:val="en-US" w:eastAsia="zh-CN"/>
                    </w:rPr>
                    <w:t>硫粉</w:t>
                  </w:r>
                </w:p>
              </w:tc>
              <w:tc>
                <w:tcPr>
                  <w:tcW w:w="666" w:type="pct"/>
                  <w:tcBorders>
                    <w:tl2br w:val="nil"/>
                    <w:tr2bl w:val="nil"/>
                  </w:tcBorders>
                  <w:shd w:val="clear" w:color="auto" w:fill="auto"/>
                  <w:noWrap w:val="0"/>
                  <w:vAlign w:val="center"/>
                </w:tcPr>
                <w:p w14:paraId="704AF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rPr>
                  </w:pPr>
                  <w:r>
                    <w:rPr>
                      <w:rFonts w:hint="eastAsia"/>
                      <w:color w:val="auto"/>
                      <w:sz w:val="21"/>
                      <w:szCs w:val="21"/>
                      <w:lang w:val="en-US" w:eastAsia="zh-CN"/>
                    </w:rPr>
                    <w:t>AR500g</w:t>
                  </w:r>
                </w:p>
              </w:tc>
              <w:tc>
                <w:tcPr>
                  <w:tcW w:w="1065" w:type="pct"/>
                  <w:tcBorders>
                    <w:tl2br w:val="nil"/>
                    <w:tr2bl w:val="nil"/>
                  </w:tcBorders>
                  <w:noWrap w:val="0"/>
                  <w:vAlign w:val="center"/>
                </w:tcPr>
                <w:p w14:paraId="119C6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0.001</w:t>
                  </w:r>
                </w:p>
              </w:tc>
              <w:tc>
                <w:tcPr>
                  <w:tcW w:w="995" w:type="pct"/>
                  <w:tcBorders>
                    <w:tl2br w:val="nil"/>
                    <w:tr2bl w:val="nil"/>
                  </w:tcBorders>
                  <w:noWrap w:val="0"/>
                  <w:vAlign w:val="center"/>
                </w:tcPr>
                <w:p w14:paraId="7C585A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w:t>
                  </w:r>
                </w:p>
              </w:tc>
              <w:tc>
                <w:tcPr>
                  <w:tcW w:w="942" w:type="pct"/>
                  <w:tcBorders>
                    <w:tl2br w:val="nil"/>
                    <w:tr2bl w:val="nil"/>
                  </w:tcBorders>
                  <w:noWrap w:val="0"/>
                  <w:vAlign w:val="center"/>
                </w:tcPr>
                <w:p w14:paraId="3EC6C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0.0001</w:t>
                  </w:r>
                </w:p>
              </w:tc>
            </w:tr>
            <w:tr w14:paraId="6138E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057" w:type="pct"/>
                  <w:gridSpan w:val="5"/>
                  <w:tcBorders>
                    <w:tl2br w:val="nil"/>
                    <w:tr2bl w:val="nil"/>
                  </w:tcBorders>
                  <w:noWrap w:val="0"/>
                  <w:vAlign w:val="center"/>
                </w:tcPr>
                <w:p w14:paraId="500FE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val="en-US" w:eastAsia="zh-CN"/>
                    </w:rPr>
                    <w:t>Q值</w:t>
                  </w:r>
                </w:p>
              </w:tc>
              <w:tc>
                <w:tcPr>
                  <w:tcW w:w="942" w:type="pct"/>
                  <w:tcBorders>
                    <w:tl2br w:val="nil"/>
                    <w:tr2bl w:val="nil"/>
                  </w:tcBorders>
                  <w:noWrap w:val="0"/>
                  <w:vAlign w:val="center"/>
                </w:tcPr>
                <w:p w14:paraId="13428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0.000836</w:t>
                  </w:r>
                </w:p>
              </w:tc>
            </w:tr>
          </w:tbl>
          <w:p w14:paraId="41B8F2C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根据《建设项目环境风险评价技术导则》（HJ169-2018），当 Q＜1时，环境风险潜势为 I，评价工作等级为简单分析。</w:t>
            </w:r>
          </w:p>
          <w:p w14:paraId="5727561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eastAsia"/>
                <w:b w:val="0"/>
                <w:bCs w:val="0"/>
                <w:color w:val="auto"/>
                <w:sz w:val="24"/>
                <w:szCs w:val="21"/>
                <w:lang w:val="en-US" w:eastAsia="zh-CN"/>
              </w:rPr>
              <w:t>4.10.3环境影响途径及风险分析</w:t>
            </w:r>
          </w:p>
          <w:p w14:paraId="00409F2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本项目发生事故主要部位为容器等破损，主要风险为实验室化学品出现泄漏、火灾爆炸的情况</w:t>
            </w:r>
            <w:r>
              <w:rPr>
                <w:rFonts w:hint="eastAsia"/>
                <w:b w:val="0"/>
                <w:bCs w:val="0"/>
                <w:color w:val="auto"/>
                <w:sz w:val="24"/>
                <w:szCs w:val="21"/>
                <w:lang w:val="en-US" w:eastAsia="zh-CN"/>
              </w:rPr>
              <w:t>，影响途径为大气、地表径流、下渗等。可能受影响的环境敏感目标为大气环境（周边麟绛小学校、麟绛佳园等），地表水环境（绛河）及地下水环境。</w:t>
            </w:r>
          </w:p>
          <w:p w14:paraId="6E9C279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（1）火灾爆炸事故</w:t>
            </w:r>
          </w:p>
          <w:p w14:paraId="2ED627D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项目使用的乙醇属易燃物品，操作不当的情况下可能发生火灾事故，主要带来热辐射危害，危及火灾周围的人员的生命及毗邻建筑物和设备的安全。火灾时在放出大量辐射热的同时，还散发大量的浓烟，含有一定量CO等，会对周围环境带来一定影响。</w:t>
            </w:r>
          </w:p>
          <w:p w14:paraId="4084004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（2）泄漏事故</w:t>
            </w:r>
          </w:p>
          <w:p w14:paraId="58472F6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项目使用的化学药品存在泄漏风险。在使用或存储过程如发生泄漏，则泄漏物料可能会进入雨水管道随着管网进入附近河道，对地表水体环境产生一定影响，甚至通过下渗对地下水和土壤造成影响。</w:t>
            </w:r>
          </w:p>
          <w:p w14:paraId="5965BB2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4.10.4环境风险防范措施</w:t>
            </w:r>
          </w:p>
          <w:p w14:paraId="3566DF7A">
            <w:pPr>
              <w:keepNext w:val="0"/>
              <w:keepLines w:val="0"/>
              <w:pageBreakBefore w:val="0"/>
              <w:widowControl w:val="0"/>
              <w:numPr>
                <w:ilvl w:val="0"/>
                <w:numId w:val="16"/>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危险化学品储存的管理</w:t>
            </w:r>
          </w:p>
          <w:p w14:paraId="383B001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1 \* GB3 \* MERGEFORMAT </w:instrText>
            </w:r>
            <w:r>
              <w:rPr>
                <w:rFonts w:hint="default"/>
                <w:b w:val="0"/>
                <w:bCs w:val="0"/>
                <w:color w:val="auto"/>
                <w:sz w:val="24"/>
                <w:szCs w:val="21"/>
                <w:lang w:val="en-US" w:eastAsia="zh-CN"/>
              </w:rPr>
              <w:fldChar w:fldCharType="separate"/>
            </w:r>
            <w:r>
              <w:rPr>
                <w:rFonts w:hint="default"/>
                <w:color w:val="auto"/>
              </w:rPr>
              <w:t>①</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分类存放：设置专门的化学品储存室，采用防火、防爆、防泄漏的建筑材料，配备通风、降温、除湿设备。不同试剂分类存放，乙醇等易燃品、盐酸硫酸等强酸分开储存，设置明显标识；</w:t>
            </w:r>
          </w:p>
          <w:p w14:paraId="739E6D7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2 \* GB3 \* MERGEFORMAT </w:instrText>
            </w:r>
            <w:r>
              <w:rPr>
                <w:rFonts w:hint="default"/>
                <w:b w:val="0"/>
                <w:bCs w:val="0"/>
                <w:color w:val="auto"/>
                <w:sz w:val="24"/>
                <w:szCs w:val="21"/>
                <w:lang w:val="en-US" w:eastAsia="zh-CN"/>
              </w:rPr>
              <w:fldChar w:fldCharType="separate"/>
            </w:r>
            <w:r>
              <w:rPr>
                <w:rFonts w:hint="default"/>
                <w:color w:val="auto"/>
              </w:rPr>
              <w:t>②</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标签清晰：所有试剂容器应标明名称、浓度、危险性等信息，确保师生能够识别；</w:t>
            </w:r>
          </w:p>
          <w:p w14:paraId="014F8FA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3 \* GB3 \* MERGEFORMAT </w:instrText>
            </w:r>
            <w:r>
              <w:rPr>
                <w:rFonts w:hint="default"/>
                <w:b w:val="0"/>
                <w:bCs w:val="0"/>
                <w:color w:val="auto"/>
                <w:sz w:val="24"/>
                <w:szCs w:val="21"/>
                <w:lang w:val="en-US" w:eastAsia="zh-CN"/>
              </w:rPr>
              <w:fldChar w:fldCharType="separate"/>
            </w:r>
            <w:r>
              <w:rPr>
                <w:rFonts w:hint="default"/>
                <w:color w:val="auto"/>
              </w:rPr>
              <w:t>③</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限量储存：尽量减少实验室内的化学品储存量，避免大量危险化学品堆积；</w:t>
            </w:r>
          </w:p>
          <w:p w14:paraId="09DD366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4 \* GB3 \* MERGEFORMAT </w:instrText>
            </w:r>
            <w:r>
              <w:rPr>
                <w:rFonts w:hint="default"/>
                <w:b w:val="0"/>
                <w:bCs w:val="0"/>
                <w:color w:val="auto"/>
                <w:sz w:val="24"/>
                <w:szCs w:val="21"/>
                <w:lang w:val="en-US" w:eastAsia="zh-CN"/>
              </w:rPr>
              <w:fldChar w:fldCharType="separate"/>
            </w:r>
            <w:r>
              <w:rPr>
                <w:rFonts w:hint="default"/>
                <w:color w:val="auto"/>
              </w:rPr>
              <w:t>④</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专人管理：指定专人负责化学品管理，定期检查储存条件和使用记录。</w:t>
            </w:r>
          </w:p>
          <w:p w14:paraId="5BEBA8FE">
            <w:pPr>
              <w:keepNext w:val="0"/>
              <w:keepLines w:val="0"/>
              <w:pageBreakBefore w:val="0"/>
              <w:widowControl w:val="0"/>
              <w:numPr>
                <w:ilvl w:val="0"/>
                <w:numId w:val="16"/>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实验室操作过程风险防范</w:t>
            </w:r>
          </w:p>
          <w:p w14:paraId="1715AE2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1 \* GB3 \* MERGEFORMAT </w:instrText>
            </w:r>
            <w:r>
              <w:rPr>
                <w:rFonts w:hint="default"/>
                <w:b w:val="0"/>
                <w:bCs w:val="0"/>
                <w:color w:val="auto"/>
                <w:sz w:val="24"/>
                <w:szCs w:val="21"/>
                <w:lang w:val="en-US" w:eastAsia="zh-CN"/>
              </w:rPr>
              <w:fldChar w:fldCharType="separate"/>
            </w:r>
            <w:r>
              <w:rPr>
                <w:rFonts w:hint="default"/>
                <w:color w:val="auto"/>
              </w:rPr>
              <w:t>①</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人员培训：对实验教师和学生进行化学品安全知识培训，使其了解试剂性质、安全操作规程和应急处理方法；</w:t>
            </w:r>
          </w:p>
          <w:p w14:paraId="6197F57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2 \* GB3 \* MERGEFORMAT </w:instrText>
            </w:r>
            <w:r>
              <w:rPr>
                <w:rFonts w:hint="default"/>
                <w:b w:val="0"/>
                <w:bCs w:val="0"/>
                <w:color w:val="auto"/>
                <w:sz w:val="24"/>
                <w:szCs w:val="21"/>
                <w:lang w:val="en-US" w:eastAsia="zh-CN"/>
              </w:rPr>
              <w:fldChar w:fldCharType="separate"/>
            </w:r>
            <w:r>
              <w:rPr>
                <w:rFonts w:hint="default"/>
                <w:color w:val="auto"/>
              </w:rPr>
              <w:t>②</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操作规范：制定详细的实验操作流程，在通风橱内进行涉及挥发性、腐蚀性试剂的实验；</w:t>
            </w:r>
          </w:p>
          <w:p w14:paraId="707FE60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3 \* GB3 \* MERGEFORMAT </w:instrText>
            </w:r>
            <w:r>
              <w:rPr>
                <w:rFonts w:hint="default"/>
                <w:b w:val="0"/>
                <w:bCs w:val="0"/>
                <w:color w:val="auto"/>
                <w:sz w:val="24"/>
                <w:szCs w:val="21"/>
                <w:lang w:val="en-US" w:eastAsia="zh-CN"/>
              </w:rPr>
              <w:fldChar w:fldCharType="separate"/>
            </w:r>
            <w:r>
              <w:rPr>
                <w:rFonts w:hint="default"/>
                <w:color w:val="auto"/>
              </w:rPr>
              <w:t>③</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废水排放风险防范：设置专门的调节池，对含酸、含碱废水收集后采用中和工艺预处理，确保达标后排放；</w:t>
            </w:r>
          </w:p>
          <w:p w14:paraId="00E1AD5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default"/>
                <w:b w:val="0"/>
                <w:bCs w:val="0"/>
                <w:color w:val="auto"/>
                <w:sz w:val="24"/>
                <w:szCs w:val="21"/>
                <w:lang w:val="en-US" w:eastAsia="zh-CN"/>
              </w:rPr>
              <w:fldChar w:fldCharType="begin"/>
            </w:r>
            <w:r>
              <w:rPr>
                <w:rFonts w:hint="default"/>
                <w:b w:val="0"/>
                <w:bCs w:val="0"/>
                <w:color w:val="auto"/>
                <w:sz w:val="24"/>
                <w:szCs w:val="21"/>
                <w:lang w:val="en-US" w:eastAsia="zh-CN"/>
              </w:rPr>
              <w:instrText xml:space="preserve"> = 4 \* GB3 \* MERGEFORMAT </w:instrText>
            </w:r>
            <w:r>
              <w:rPr>
                <w:rFonts w:hint="default"/>
                <w:b w:val="0"/>
                <w:bCs w:val="0"/>
                <w:color w:val="auto"/>
                <w:sz w:val="24"/>
                <w:szCs w:val="21"/>
                <w:lang w:val="en-US" w:eastAsia="zh-CN"/>
              </w:rPr>
              <w:fldChar w:fldCharType="separate"/>
            </w:r>
            <w:r>
              <w:rPr>
                <w:rFonts w:hint="default"/>
                <w:color w:val="auto"/>
              </w:rPr>
              <w:t>④</w:t>
            </w:r>
            <w:r>
              <w:rPr>
                <w:rFonts w:hint="default"/>
                <w:b w:val="0"/>
                <w:bCs w:val="0"/>
                <w:color w:val="auto"/>
                <w:sz w:val="24"/>
                <w:szCs w:val="21"/>
                <w:lang w:val="en-US" w:eastAsia="zh-CN"/>
              </w:rPr>
              <w:fldChar w:fldCharType="end"/>
            </w:r>
            <w:r>
              <w:rPr>
                <w:rFonts w:hint="eastAsia"/>
                <w:b w:val="0"/>
                <w:bCs w:val="0"/>
                <w:color w:val="auto"/>
                <w:sz w:val="24"/>
                <w:szCs w:val="21"/>
                <w:lang w:val="en-US" w:eastAsia="zh-CN"/>
              </w:rPr>
              <w:t>固废的收集：将实验过程中产生的废试剂、废包装物等危险废物分类收集，暂存于危废贮存点；</w:t>
            </w:r>
          </w:p>
          <w:p w14:paraId="446E533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fldChar w:fldCharType="begin"/>
            </w:r>
            <w:r>
              <w:rPr>
                <w:rFonts w:hint="eastAsia"/>
                <w:b w:val="0"/>
                <w:bCs w:val="0"/>
                <w:color w:val="auto"/>
                <w:sz w:val="24"/>
                <w:szCs w:val="21"/>
                <w:lang w:val="en-US" w:eastAsia="zh-CN"/>
              </w:rPr>
              <w:instrText xml:space="preserve"> = 5 \* GB3 \* MERGEFORMAT </w:instrText>
            </w:r>
            <w:r>
              <w:rPr>
                <w:rFonts w:hint="eastAsia"/>
                <w:b w:val="0"/>
                <w:bCs w:val="0"/>
                <w:color w:val="auto"/>
                <w:sz w:val="24"/>
                <w:szCs w:val="21"/>
                <w:lang w:val="en-US" w:eastAsia="zh-CN"/>
              </w:rPr>
              <w:fldChar w:fldCharType="separate"/>
            </w:r>
            <w:r>
              <w:rPr>
                <w:rFonts w:hint="default"/>
                <w:color w:val="auto"/>
              </w:rPr>
              <w:t>⑤</w:t>
            </w:r>
            <w:r>
              <w:rPr>
                <w:rFonts w:hint="eastAsia"/>
                <w:b w:val="0"/>
                <w:bCs w:val="0"/>
                <w:color w:val="auto"/>
                <w:sz w:val="24"/>
                <w:szCs w:val="21"/>
                <w:lang w:val="en-US" w:eastAsia="zh-CN"/>
              </w:rPr>
              <w:fldChar w:fldCharType="end"/>
            </w:r>
            <w:r>
              <w:rPr>
                <w:rFonts w:hint="eastAsia"/>
                <w:b w:val="0"/>
                <w:bCs w:val="0"/>
                <w:color w:val="auto"/>
                <w:sz w:val="24"/>
                <w:szCs w:val="21"/>
                <w:lang w:val="en-US" w:eastAsia="zh-CN"/>
              </w:rPr>
              <w:t>化学实验室地面涂刷环氧树脂膜，发生泄漏时，泄漏液体不会通过地面渗入地下而污染地下水；</w:t>
            </w:r>
          </w:p>
          <w:p w14:paraId="4AEE5C4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fldChar w:fldCharType="begin"/>
            </w:r>
            <w:r>
              <w:rPr>
                <w:rFonts w:hint="eastAsia"/>
                <w:b w:val="0"/>
                <w:bCs w:val="0"/>
                <w:color w:val="auto"/>
                <w:sz w:val="24"/>
                <w:szCs w:val="21"/>
                <w:lang w:val="en-US" w:eastAsia="zh-CN"/>
              </w:rPr>
              <w:instrText xml:space="preserve"> = 6 \* GB3 \* MERGEFORMAT </w:instrText>
            </w:r>
            <w:r>
              <w:rPr>
                <w:rFonts w:hint="eastAsia"/>
                <w:b w:val="0"/>
                <w:bCs w:val="0"/>
                <w:color w:val="auto"/>
                <w:sz w:val="24"/>
                <w:szCs w:val="21"/>
                <w:lang w:val="en-US" w:eastAsia="zh-CN"/>
              </w:rPr>
              <w:fldChar w:fldCharType="separate"/>
            </w:r>
            <w:r>
              <w:rPr>
                <w:rFonts w:hint="default"/>
                <w:color w:val="auto"/>
              </w:rPr>
              <w:t>⑥</w:t>
            </w:r>
            <w:r>
              <w:rPr>
                <w:rFonts w:hint="eastAsia"/>
                <w:b w:val="0"/>
                <w:bCs w:val="0"/>
                <w:color w:val="auto"/>
                <w:sz w:val="24"/>
                <w:szCs w:val="21"/>
                <w:lang w:val="en-US" w:eastAsia="zh-CN"/>
              </w:rPr>
              <w:fldChar w:fldCharType="end"/>
            </w:r>
            <w:r>
              <w:rPr>
                <w:rFonts w:hint="eastAsia"/>
                <w:b w:val="0"/>
                <w:bCs w:val="0"/>
                <w:color w:val="auto"/>
                <w:sz w:val="24"/>
                <w:szCs w:val="21"/>
                <w:lang w:val="en-US" w:eastAsia="zh-CN"/>
              </w:rPr>
              <w:t>严格按照《危险废物贮存污染控制标准》（GB18597-2023）中的相关规定建设危废贮存点并进行重点防渗，定期交由有资质单位转运处置。</w:t>
            </w:r>
          </w:p>
          <w:p w14:paraId="1ABA5F4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eastAsia"/>
                <w:b w:val="0"/>
                <w:bCs w:val="0"/>
                <w:color w:val="auto"/>
                <w:sz w:val="24"/>
                <w:szCs w:val="21"/>
                <w:lang w:val="en-US" w:eastAsia="zh-CN"/>
              </w:rPr>
            </w:pPr>
            <w:r>
              <w:rPr>
                <w:rFonts w:hint="eastAsia"/>
                <w:b w:val="0"/>
                <w:bCs w:val="0"/>
                <w:color w:val="auto"/>
                <w:sz w:val="24"/>
                <w:szCs w:val="21"/>
                <w:lang w:val="en-US" w:eastAsia="zh-CN"/>
              </w:rPr>
              <w:t>4.10.5评价结果</w:t>
            </w:r>
          </w:p>
          <w:p w14:paraId="7E32CE4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项目环境风险潜势初判为Ⅰ，风险评价等级为简单分析，在采取有效环境风险防范措施后，可将风险减小到最低，控制在可接受水平，不对周围环境造成较大影响。项目环境分析内容见表下表</w:t>
            </w:r>
            <w:r>
              <w:rPr>
                <w:rFonts w:hint="eastAsia"/>
                <w:b w:val="0"/>
                <w:bCs w:val="0"/>
                <w:color w:val="auto"/>
                <w:sz w:val="24"/>
                <w:szCs w:val="21"/>
                <w:lang w:val="en-US" w:eastAsia="zh-CN"/>
              </w:rPr>
              <w:t>。</w:t>
            </w:r>
          </w:p>
          <w:p w14:paraId="1C2C7CD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eastAsia"/>
                <w:b/>
                <w:bCs/>
                <w:color w:val="auto"/>
                <w:sz w:val="21"/>
                <w:szCs w:val="18"/>
                <w:lang w:val="en-US" w:eastAsia="zh-CN"/>
              </w:rPr>
            </w:pPr>
            <w:r>
              <w:rPr>
                <w:rFonts w:hint="eastAsia"/>
                <w:b/>
                <w:bCs/>
                <w:color w:val="auto"/>
                <w:sz w:val="21"/>
                <w:szCs w:val="18"/>
                <w:lang w:val="en-US" w:eastAsia="zh-CN"/>
              </w:rPr>
              <w:t>表4-11  建设项目环境风险简单分析内容表</w:t>
            </w:r>
          </w:p>
          <w:tbl>
            <w:tblPr>
              <w:tblStyle w:val="2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43"/>
              <w:gridCol w:w="1165"/>
              <w:gridCol w:w="1152"/>
              <w:gridCol w:w="1181"/>
              <w:gridCol w:w="2850"/>
            </w:tblGrid>
            <w:tr w14:paraId="7C1C0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1262" w:type="pct"/>
                  <w:tcBorders>
                    <w:tl2br w:val="nil"/>
                    <w:tr2bl w:val="nil"/>
                  </w:tcBorders>
                  <w:noWrap w:val="0"/>
                  <w:vAlign w:val="center"/>
                </w:tcPr>
                <w:p w14:paraId="6B810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建设项目名称</w:t>
                  </w:r>
                </w:p>
              </w:tc>
              <w:tc>
                <w:tcPr>
                  <w:tcW w:w="3737" w:type="pct"/>
                  <w:gridSpan w:val="4"/>
                  <w:tcBorders>
                    <w:tl2br w:val="nil"/>
                    <w:tr2bl w:val="nil"/>
                  </w:tcBorders>
                  <w:noWrap w:val="0"/>
                  <w:vAlign w:val="center"/>
                </w:tcPr>
                <w:p w14:paraId="34F9D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长治市屯留区麟绛小学校扩建初中部项目</w:t>
                  </w:r>
                </w:p>
              </w:tc>
            </w:tr>
            <w:tr w14:paraId="209A85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262" w:type="pct"/>
                  <w:tcBorders>
                    <w:tl2br w:val="nil"/>
                    <w:tr2bl w:val="nil"/>
                  </w:tcBorders>
                  <w:noWrap w:val="0"/>
                  <w:vAlign w:val="center"/>
                </w:tcPr>
                <w:p w14:paraId="5AB9B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建设地点</w:t>
                  </w:r>
                </w:p>
              </w:tc>
              <w:tc>
                <w:tcPr>
                  <w:tcW w:w="686" w:type="pct"/>
                  <w:tcBorders>
                    <w:tl2br w:val="nil"/>
                    <w:tr2bl w:val="nil"/>
                  </w:tcBorders>
                  <w:noWrap w:val="0"/>
                  <w:vAlign w:val="center"/>
                </w:tcPr>
                <w:p w14:paraId="674BB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山西省</w:t>
                  </w:r>
                </w:p>
              </w:tc>
              <w:tc>
                <w:tcPr>
                  <w:tcW w:w="678" w:type="pct"/>
                  <w:tcBorders>
                    <w:tl2br w:val="nil"/>
                    <w:tr2bl w:val="nil"/>
                  </w:tcBorders>
                  <w:noWrap w:val="0"/>
                  <w:vAlign w:val="center"/>
                </w:tcPr>
                <w:p w14:paraId="5135E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长治市</w:t>
                  </w:r>
                </w:p>
              </w:tc>
              <w:tc>
                <w:tcPr>
                  <w:tcW w:w="695" w:type="pct"/>
                  <w:tcBorders>
                    <w:tl2br w:val="nil"/>
                    <w:tr2bl w:val="nil"/>
                  </w:tcBorders>
                  <w:noWrap w:val="0"/>
                  <w:vAlign w:val="center"/>
                </w:tcPr>
                <w:p w14:paraId="35B90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屯留区</w:t>
                  </w:r>
                </w:p>
              </w:tc>
              <w:tc>
                <w:tcPr>
                  <w:tcW w:w="1677" w:type="pct"/>
                  <w:tcBorders>
                    <w:tl2br w:val="nil"/>
                    <w:tr2bl w:val="nil"/>
                  </w:tcBorders>
                  <w:noWrap w:val="0"/>
                  <w:vAlign w:val="center"/>
                </w:tcPr>
                <w:p w14:paraId="3794A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18"/>
                    </w:rPr>
                    <w:t>长治市屯留区麟绛西大街206号麟绛西大街路南</w:t>
                  </w:r>
                </w:p>
              </w:tc>
            </w:tr>
            <w:tr w14:paraId="739BFA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262" w:type="pct"/>
                  <w:tcBorders>
                    <w:tl2br w:val="nil"/>
                    <w:tr2bl w:val="nil"/>
                  </w:tcBorders>
                  <w:noWrap w:val="0"/>
                  <w:vAlign w:val="center"/>
                </w:tcPr>
                <w:p w14:paraId="1D60C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地理坐标</w:t>
                  </w:r>
                </w:p>
              </w:tc>
              <w:tc>
                <w:tcPr>
                  <w:tcW w:w="3737" w:type="pct"/>
                  <w:gridSpan w:val="4"/>
                  <w:tcBorders>
                    <w:tl2br w:val="nil"/>
                    <w:tr2bl w:val="nil"/>
                  </w:tcBorders>
                  <w:noWrap w:val="0"/>
                  <w:vAlign w:val="center"/>
                </w:tcPr>
                <w:p w14:paraId="6A202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112度51分57.421秒，36度19分4.397秒</w:t>
                  </w:r>
                </w:p>
              </w:tc>
            </w:tr>
            <w:tr w14:paraId="0BBC02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1262" w:type="pct"/>
                  <w:tcBorders>
                    <w:tl2br w:val="nil"/>
                    <w:tr2bl w:val="nil"/>
                  </w:tcBorders>
                  <w:noWrap w:val="0"/>
                  <w:vAlign w:val="center"/>
                </w:tcPr>
                <w:p w14:paraId="21F67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主要危险物质及分布</w:t>
                  </w:r>
                </w:p>
              </w:tc>
              <w:tc>
                <w:tcPr>
                  <w:tcW w:w="3737" w:type="pct"/>
                  <w:gridSpan w:val="4"/>
                  <w:tcBorders>
                    <w:tl2br w:val="nil"/>
                    <w:tr2bl w:val="nil"/>
                  </w:tcBorders>
                  <w:noWrap w:val="0"/>
                  <w:vAlign w:val="center"/>
                </w:tcPr>
                <w:p w14:paraId="219C7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项目主要风险物质为盐酸、硫酸等危险化学品，位于实验室</w:t>
                  </w:r>
                  <w:r>
                    <w:rPr>
                      <w:rFonts w:hint="eastAsia" w:ascii="Times New Roman" w:hAnsi="Times New Roman" w:eastAsia="宋体" w:cs="Times New Roman"/>
                      <w:color w:val="auto"/>
                      <w:sz w:val="21"/>
                      <w:szCs w:val="21"/>
                      <w:highlight w:val="none"/>
                      <w:lang w:val="en-US" w:eastAsia="zh-CN"/>
                    </w:rPr>
                    <w:t>药品存储间</w:t>
                  </w:r>
                  <w:r>
                    <w:rPr>
                      <w:rFonts w:hint="default" w:ascii="Times New Roman" w:hAnsi="Times New Roman" w:eastAsia="宋体" w:cs="Times New Roman"/>
                      <w:color w:val="auto"/>
                      <w:sz w:val="21"/>
                      <w:szCs w:val="21"/>
                      <w:highlight w:val="none"/>
                      <w:lang w:val="en-US" w:eastAsia="zh-CN"/>
                    </w:rPr>
                    <w:t>，危险废物暂存于</w:t>
                  </w:r>
                  <w:r>
                    <w:rPr>
                      <w:rFonts w:hint="eastAsia" w:ascii="Times New Roman" w:hAnsi="Times New Roman" w:eastAsia="宋体" w:cs="Times New Roman"/>
                      <w:color w:val="auto"/>
                      <w:sz w:val="21"/>
                      <w:szCs w:val="21"/>
                      <w:highlight w:val="none"/>
                      <w:lang w:val="en-US" w:eastAsia="zh-CN"/>
                    </w:rPr>
                    <w:t>危废贮存点</w:t>
                  </w:r>
                </w:p>
              </w:tc>
            </w:tr>
            <w:tr w14:paraId="5A7594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1262" w:type="pct"/>
                  <w:tcBorders>
                    <w:tl2br w:val="nil"/>
                    <w:tr2bl w:val="nil"/>
                  </w:tcBorders>
                  <w:noWrap w:val="0"/>
                  <w:vAlign w:val="center"/>
                </w:tcPr>
                <w:p w14:paraId="5266C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环境影响途径及危害后果（大气、地表水、地下水等）</w:t>
                  </w:r>
                </w:p>
              </w:tc>
              <w:tc>
                <w:tcPr>
                  <w:tcW w:w="3737" w:type="pct"/>
                  <w:gridSpan w:val="4"/>
                  <w:tcBorders>
                    <w:tl2br w:val="nil"/>
                    <w:tr2bl w:val="nil"/>
                  </w:tcBorders>
                  <w:noWrap w:val="0"/>
                  <w:vAlign w:val="center"/>
                </w:tcPr>
                <w:p w14:paraId="0E0C2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项目潜在风险为</w:t>
                  </w:r>
                  <w:r>
                    <w:rPr>
                      <w:rFonts w:hint="eastAsia" w:ascii="Times New Roman" w:hAnsi="Times New Roman" w:eastAsia="宋体" w:cs="Times New Roman"/>
                      <w:color w:val="auto"/>
                      <w:sz w:val="21"/>
                      <w:szCs w:val="21"/>
                      <w:highlight w:val="none"/>
                      <w:lang w:val="en-US" w:eastAsia="zh-CN"/>
                    </w:rPr>
                    <w:t>物质</w:t>
                  </w:r>
                  <w:r>
                    <w:rPr>
                      <w:rFonts w:hint="default" w:ascii="Times New Roman" w:hAnsi="Times New Roman" w:eastAsia="宋体" w:cs="Times New Roman"/>
                      <w:color w:val="auto"/>
                      <w:sz w:val="21"/>
                      <w:szCs w:val="21"/>
                      <w:highlight w:val="none"/>
                      <w:lang w:val="en-US" w:eastAsia="zh-CN"/>
                    </w:rPr>
                    <w:t>泄漏、火灾爆炸事故。泄漏、火灾爆炸会引发的伴生/次生污染物排放会造成环境污染</w:t>
                  </w:r>
                </w:p>
              </w:tc>
            </w:tr>
            <w:tr w14:paraId="16BA3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262" w:type="pct"/>
                  <w:tcBorders>
                    <w:tl2br w:val="nil"/>
                    <w:tr2bl w:val="nil"/>
                  </w:tcBorders>
                  <w:noWrap w:val="0"/>
                  <w:vAlign w:val="center"/>
                </w:tcPr>
                <w:p w14:paraId="18491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风险防范措施要求</w:t>
                  </w:r>
                </w:p>
              </w:tc>
              <w:tc>
                <w:tcPr>
                  <w:tcW w:w="3737" w:type="pct"/>
                  <w:gridSpan w:val="4"/>
                  <w:tcBorders>
                    <w:tl2br w:val="nil"/>
                    <w:tr2bl w:val="nil"/>
                  </w:tcBorders>
                  <w:noWrap w:val="0"/>
                  <w:vAlign w:val="center"/>
                </w:tcPr>
                <w:p w14:paraId="17964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针对火灾风险，应按规范设置灭火和消防装备，制定巡查制度、提高人员防火意识、加强火源管理，定期培训工作人员防火技能。</w:t>
                  </w:r>
                </w:p>
                <w:p w14:paraId="01737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针对泄漏事故，应按规范储存各类物品，执行定期检查制度，并提高使用人员的安全意识、制定操作指南。</w:t>
                  </w:r>
                </w:p>
              </w:tc>
            </w:tr>
          </w:tbl>
          <w:p w14:paraId="09197FF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2" w:firstLineChars="200"/>
              <w:jc w:val="both"/>
              <w:textAlignment w:val="auto"/>
              <w:rPr>
                <w:rFonts w:hint="eastAsia"/>
                <w:b/>
                <w:bCs/>
                <w:color w:val="auto"/>
                <w:sz w:val="24"/>
                <w:szCs w:val="21"/>
                <w:lang w:val="en-US" w:eastAsia="zh-CN"/>
              </w:rPr>
            </w:pPr>
            <w:r>
              <w:rPr>
                <w:rFonts w:hint="eastAsia"/>
                <w:b/>
                <w:bCs/>
                <w:color w:val="auto"/>
                <w:sz w:val="24"/>
                <w:szCs w:val="21"/>
                <w:lang w:val="en-US" w:eastAsia="zh-CN"/>
              </w:rPr>
              <w:t>4.11外环境对本项目的环境影响分析</w:t>
            </w:r>
          </w:p>
          <w:p w14:paraId="03A463C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本项目位于长治市</w:t>
            </w:r>
            <w:r>
              <w:rPr>
                <w:rFonts w:hint="eastAsia"/>
                <w:b w:val="0"/>
                <w:bCs w:val="0"/>
                <w:color w:val="auto"/>
                <w:sz w:val="24"/>
                <w:szCs w:val="21"/>
                <w:lang w:val="en-US" w:eastAsia="zh-CN"/>
              </w:rPr>
              <w:t>屯留区麟绛西大街路南</w:t>
            </w:r>
            <w:r>
              <w:rPr>
                <w:rFonts w:hint="default"/>
                <w:b w:val="0"/>
                <w:bCs w:val="0"/>
                <w:color w:val="auto"/>
                <w:sz w:val="24"/>
                <w:szCs w:val="21"/>
                <w:lang w:val="en-US" w:eastAsia="zh-CN"/>
              </w:rPr>
              <w:t>，</w:t>
            </w:r>
            <w:r>
              <w:rPr>
                <w:rFonts w:hint="eastAsia"/>
                <w:b w:val="0"/>
                <w:bCs w:val="0"/>
                <w:color w:val="auto"/>
                <w:sz w:val="24"/>
                <w:szCs w:val="21"/>
                <w:lang w:val="en-US" w:eastAsia="zh-CN"/>
              </w:rPr>
              <w:t>周边主要为麟绛小学、书香华庭小区、金威家园等小区以及玉米研究所等企业，</w:t>
            </w:r>
            <w:r>
              <w:rPr>
                <w:rFonts w:hint="default"/>
                <w:b w:val="0"/>
                <w:bCs w:val="0"/>
                <w:color w:val="auto"/>
                <w:sz w:val="24"/>
                <w:szCs w:val="21"/>
                <w:lang w:val="en-US" w:eastAsia="zh-CN"/>
              </w:rPr>
              <w:t>无</w:t>
            </w:r>
            <w:r>
              <w:rPr>
                <w:rFonts w:hint="eastAsia"/>
                <w:b w:val="0"/>
                <w:bCs w:val="0"/>
                <w:color w:val="auto"/>
                <w:sz w:val="24"/>
                <w:szCs w:val="21"/>
                <w:lang w:val="en-US" w:eastAsia="zh-CN"/>
              </w:rPr>
              <w:t>大型</w:t>
            </w:r>
            <w:r>
              <w:rPr>
                <w:rFonts w:hint="default"/>
                <w:b w:val="0"/>
                <w:bCs w:val="0"/>
                <w:color w:val="auto"/>
                <w:sz w:val="24"/>
                <w:szCs w:val="21"/>
                <w:lang w:val="en-US" w:eastAsia="zh-CN"/>
              </w:rPr>
              <w:t>工业</w:t>
            </w:r>
            <w:r>
              <w:rPr>
                <w:rFonts w:hint="eastAsia"/>
                <w:b w:val="0"/>
                <w:bCs w:val="0"/>
                <w:color w:val="auto"/>
                <w:sz w:val="24"/>
                <w:szCs w:val="21"/>
                <w:lang w:val="en-US" w:eastAsia="zh-CN"/>
              </w:rPr>
              <w:t>项目</w:t>
            </w:r>
            <w:r>
              <w:rPr>
                <w:rFonts w:hint="default"/>
                <w:b w:val="0"/>
                <w:bCs w:val="0"/>
                <w:color w:val="auto"/>
                <w:sz w:val="24"/>
                <w:szCs w:val="21"/>
                <w:lang w:val="en-US" w:eastAsia="zh-CN"/>
              </w:rPr>
              <w:t>，外环境对本项目造成的环境影响主要为项目周边城市道路的交通噪声和尾气影响，在采取以下 措施后影响较小。</w:t>
            </w:r>
          </w:p>
          <w:p w14:paraId="24765CA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（1）主要功能房间的室内噪声级和隔声标准满足现行国家标准《民用建筑隔声设计规范》（GB50118）的低限要求。</w:t>
            </w:r>
          </w:p>
          <w:p w14:paraId="009CB79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b w:val="0"/>
                <w:bCs w:val="0"/>
                <w:color w:val="auto"/>
                <w:sz w:val="24"/>
                <w:szCs w:val="21"/>
                <w:lang w:val="en-US" w:eastAsia="zh-CN"/>
              </w:rPr>
            </w:pPr>
            <w:r>
              <w:rPr>
                <w:rFonts w:hint="default"/>
                <w:b w:val="0"/>
                <w:bCs w:val="0"/>
                <w:color w:val="auto"/>
                <w:sz w:val="24"/>
                <w:szCs w:val="21"/>
                <w:lang w:val="en-US" w:eastAsia="zh-CN"/>
              </w:rPr>
              <w:t>（2）沿路侧设置绿化屏障</w:t>
            </w:r>
            <w:r>
              <w:rPr>
                <w:rFonts w:hint="default"/>
                <w:b w:val="0"/>
                <w:bCs w:val="0"/>
                <w:color w:val="auto"/>
                <w:sz w:val="24"/>
                <w:szCs w:val="21"/>
                <w:highlight w:val="none"/>
                <w:lang w:val="en-US" w:eastAsia="zh-CN"/>
              </w:rPr>
              <w:t>以</w:t>
            </w:r>
            <w:r>
              <w:rPr>
                <w:rFonts w:hint="eastAsia"/>
                <w:b w:val="0"/>
                <w:bCs w:val="0"/>
                <w:color w:val="auto"/>
                <w:sz w:val="24"/>
                <w:szCs w:val="21"/>
                <w:highlight w:val="none"/>
                <w:lang w:val="en-US" w:eastAsia="zh-CN"/>
              </w:rPr>
              <w:t>减少</w:t>
            </w:r>
            <w:r>
              <w:rPr>
                <w:rFonts w:hint="default"/>
                <w:b w:val="0"/>
                <w:bCs w:val="0"/>
                <w:color w:val="auto"/>
                <w:sz w:val="24"/>
                <w:szCs w:val="21"/>
                <w:highlight w:val="none"/>
                <w:lang w:val="en-US" w:eastAsia="zh-CN"/>
              </w:rPr>
              <w:t>噪声</w:t>
            </w:r>
            <w:r>
              <w:rPr>
                <w:rFonts w:hint="eastAsia"/>
                <w:b w:val="0"/>
                <w:bCs w:val="0"/>
                <w:color w:val="auto"/>
                <w:sz w:val="24"/>
                <w:szCs w:val="21"/>
                <w:highlight w:val="none"/>
                <w:lang w:val="en-US" w:eastAsia="zh-CN"/>
              </w:rPr>
              <w:t>影响</w:t>
            </w:r>
            <w:r>
              <w:rPr>
                <w:rFonts w:hint="default"/>
                <w:b w:val="0"/>
                <w:bCs w:val="0"/>
                <w:color w:val="auto"/>
                <w:sz w:val="24"/>
                <w:szCs w:val="21"/>
                <w:highlight w:val="none"/>
                <w:lang w:val="en-US" w:eastAsia="zh-CN"/>
              </w:rPr>
              <w:t>。</w:t>
            </w:r>
          </w:p>
          <w:p w14:paraId="65F678D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firstLine="480" w:firstLineChars="200"/>
              <w:jc w:val="both"/>
              <w:textAlignment w:val="auto"/>
              <w:rPr>
                <w:rFonts w:hint="default"/>
                <w:color w:val="auto"/>
                <w:highlight w:val="none"/>
                <w:lang w:val="en-US" w:eastAsia="zh-CN"/>
              </w:rPr>
            </w:pPr>
            <w:r>
              <w:rPr>
                <w:rFonts w:hint="default"/>
                <w:b w:val="0"/>
                <w:bCs w:val="0"/>
                <w:color w:val="auto"/>
                <w:sz w:val="24"/>
                <w:szCs w:val="21"/>
                <w:lang w:val="en-US" w:eastAsia="zh-CN"/>
              </w:rPr>
              <w:t>（3）为减少车辆噪声影响，应加强车辆管理，校外道路</w:t>
            </w:r>
            <w:r>
              <w:rPr>
                <w:rFonts w:hint="eastAsia"/>
                <w:b w:val="0"/>
                <w:bCs w:val="0"/>
                <w:color w:val="auto"/>
                <w:sz w:val="24"/>
                <w:szCs w:val="21"/>
                <w:lang w:val="en-US" w:eastAsia="zh-CN"/>
              </w:rPr>
              <w:t>麟绛西大街</w:t>
            </w:r>
            <w:r>
              <w:rPr>
                <w:rFonts w:hint="default"/>
                <w:b w:val="0"/>
                <w:bCs w:val="0"/>
                <w:color w:val="auto"/>
                <w:sz w:val="24"/>
                <w:szCs w:val="21"/>
                <w:lang w:val="en-US" w:eastAsia="zh-CN"/>
              </w:rPr>
              <w:t>设置减速带、禁止鸣笛标示牌等措施。</w:t>
            </w:r>
          </w:p>
        </w:tc>
      </w:tr>
    </w:tbl>
    <w:p w14:paraId="53460795">
      <w:pPr>
        <w:rPr>
          <w:rFonts w:hint="eastAsia"/>
          <w:color w:val="auto"/>
        </w:rPr>
        <w:sectPr>
          <w:pgSz w:w="11906" w:h="16838"/>
          <w:pgMar w:top="1418" w:right="1474" w:bottom="1418" w:left="1474" w:header="851" w:footer="992" w:gutter="0"/>
          <w:pgBorders>
            <w:top w:val="none" w:sz="0" w:space="0"/>
            <w:left w:val="none" w:sz="0" w:space="0"/>
            <w:bottom w:val="none" w:sz="0" w:space="0"/>
            <w:right w:val="none" w:sz="0" w:space="0"/>
          </w:pgBorders>
          <w:cols w:space="425" w:num="1"/>
          <w:docGrid w:type="lines" w:linePitch="326" w:charSpace="0"/>
        </w:sectPr>
      </w:pPr>
    </w:p>
    <w:bookmarkEnd w:id="7"/>
    <w:p w14:paraId="01CE00A8">
      <w:pPr>
        <w:pStyle w:val="2"/>
        <w:numPr>
          <w:ilvl w:val="0"/>
          <w:numId w:val="9"/>
        </w:numPr>
        <w:ind w:left="240" w:leftChars="0" w:firstLine="0" w:firstLineChars="0"/>
        <w:jc w:val="center"/>
        <w:rPr>
          <w:rFonts w:hint="eastAsia" w:ascii="黑体" w:hAnsi="黑体" w:eastAsia="黑体" w:cs="黑体"/>
          <w:color w:val="auto"/>
        </w:rPr>
      </w:pPr>
      <w:bookmarkStart w:id="8" w:name="_Toc8750"/>
      <w:bookmarkStart w:id="9" w:name="_Hlk145512896"/>
      <w:r>
        <w:rPr>
          <w:rFonts w:hint="eastAsia" w:ascii="黑体" w:hAnsi="黑体" w:eastAsia="黑体" w:cs="黑体"/>
          <w:color w:val="auto"/>
        </w:rPr>
        <w:t>环境保护措施监督检查清单</w:t>
      </w:r>
      <w:bookmarkEnd w:id="8"/>
    </w:p>
    <w:bookmarkEnd w:id="9"/>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78"/>
        <w:gridCol w:w="1112"/>
        <w:gridCol w:w="3612"/>
        <w:gridCol w:w="2004"/>
      </w:tblGrid>
      <w:tr w14:paraId="1DE76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88" w:type="pct"/>
            <w:tcBorders>
              <w:tl2br w:val="single" w:color="auto" w:sz="4" w:space="0"/>
            </w:tcBorders>
          </w:tcPr>
          <w:p w14:paraId="4BCE120B">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firstLine="567"/>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14:paraId="0287443B">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688" w:type="pct"/>
            <w:vAlign w:val="center"/>
          </w:tcPr>
          <w:p w14:paraId="55084344">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599" w:type="pct"/>
            <w:vAlign w:val="center"/>
          </w:tcPr>
          <w:p w14:paraId="0E690C17">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945" w:type="pct"/>
            <w:vAlign w:val="center"/>
          </w:tcPr>
          <w:p w14:paraId="61E3EAB6">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1077" w:type="pct"/>
            <w:vAlign w:val="center"/>
          </w:tcPr>
          <w:p w14:paraId="4CBC4750">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50352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88" w:type="pct"/>
            <w:vAlign w:val="center"/>
          </w:tcPr>
          <w:p w14:paraId="26D385C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688" w:type="pct"/>
            <w:vAlign w:val="center"/>
          </w:tcPr>
          <w:p w14:paraId="09BB83E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实验室废气</w:t>
            </w:r>
          </w:p>
        </w:tc>
        <w:tc>
          <w:tcPr>
            <w:tcW w:w="599" w:type="pct"/>
            <w:vAlign w:val="center"/>
          </w:tcPr>
          <w:p w14:paraId="69268999">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硫酸雾、盐酸雾</w:t>
            </w:r>
          </w:p>
        </w:tc>
        <w:tc>
          <w:tcPr>
            <w:tcW w:w="3612" w:type="dxa"/>
            <w:vAlign w:val="center"/>
          </w:tcPr>
          <w:p w14:paraId="7F6E1C7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实验室设置全面排风系统，每张实验台设计吸风罩收集可能产生的实验废气，吸风罩收集的废气</w:t>
            </w:r>
            <w:r>
              <w:rPr>
                <w:rFonts w:hint="eastAsia"/>
                <w:color w:val="auto"/>
                <w:sz w:val="21"/>
                <w:szCs w:val="21"/>
                <w:highlight w:val="none"/>
                <w:lang w:val="en-US" w:eastAsia="zh-CN"/>
              </w:rPr>
              <w:t>统一</w:t>
            </w:r>
            <w:r>
              <w:rPr>
                <w:rFonts w:hint="default" w:eastAsia="宋体"/>
                <w:color w:val="auto"/>
                <w:sz w:val="21"/>
                <w:szCs w:val="21"/>
                <w:highlight w:val="none"/>
                <w:lang w:val="en-US" w:eastAsia="zh-CN"/>
              </w:rPr>
              <w:t>引至实验室外排放；</w:t>
            </w:r>
          </w:p>
          <w:p w14:paraId="3160F9E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left"/>
              <w:textAlignment w:val="auto"/>
              <w:rPr>
                <w:rFonts w:hint="default" w:ascii="Times New Roman" w:hAnsi="Times New Roman" w:eastAsia="宋体" w:cs="Times New Roman"/>
                <w:color w:val="auto"/>
                <w:sz w:val="21"/>
                <w:szCs w:val="21"/>
                <w:lang w:val="en-US" w:eastAsia="zh-CN"/>
              </w:rPr>
            </w:pPr>
            <w:r>
              <w:rPr>
                <w:rFonts w:hint="default" w:eastAsia="宋体"/>
                <w:color w:val="auto"/>
                <w:sz w:val="21"/>
                <w:szCs w:val="21"/>
                <w:highlight w:val="none"/>
                <w:lang w:val="en-US" w:eastAsia="zh-CN"/>
              </w:rPr>
              <w:t>实验准备室设通风橱，通风橱顶自带通风抽排口，集气部分三面围闭，操作过程中通风橱呈负压状态，废气收集后引至实验室外排放</w:t>
            </w:r>
          </w:p>
        </w:tc>
        <w:tc>
          <w:tcPr>
            <w:tcW w:w="1077" w:type="pct"/>
            <w:vAlign w:val="center"/>
          </w:tcPr>
          <w:p w14:paraId="0B715320">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《大气污染物综合排放标准》（GB16297-1996）表2的二级标准</w:t>
            </w:r>
          </w:p>
        </w:tc>
      </w:tr>
      <w:tr w14:paraId="19622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688" w:type="pct"/>
            <w:vMerge w:val="restart"/>
            <w:vAlign w:val="center"/>
          </w:tcPr>
          <w:p w14:paraId="36648DA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688" w:type="pct"/>
            <w:vAlign w:val="center"/>
          </w:tcPr>
          <w:p w14:paraId="22C914C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实验废水</w:t>
            </w:r>
          </w:p>
        </w:tc>
        <w:tc>
          <w:tcPr>
            <w:tcW w:w="599" w:type="pct"/>
            <w:vMerge w:val="restart"/>
            <w:vAlign w:val="center"/>
          </w:tcPr>
          <w:p w14:paraId="28B10CE0">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32"/>
                <w:sz w:val="21"/>
                <w:szCs w:val="21"/>
              </w:rPr>
              <w:t>COD、BOD</w:t>
            </w:r>
            <w:r>
              <w:rPr>
                <w:rFonts w:hint="default" w:ascii="Times New Roman" w:hAnsi="Times New Roman" w:eastAsia="宋体" w:cs="Times New Roman"/>
                <w:color w:val="auto"/>
                <w:kern w:val="32"/>
                <w:sz w:val="21"/>
                <w:szCs w:val="21"/>
                <w:vertAlign w:val="subscript"/>
                <w:lang w:val="en-US" w:eastAsia="zh-CN"/>
              </w:rPr>
              <w:t>5</w:t>
            </w:r>
            <w:r>
              <w:rPr>
                <w:rFonts w:hint="default" w:ascii="Times New Roman" w:hAnsi="Times New Roman" w:eastAsia="宋体" w:cs="Times New Roman"/>
                <w:color w:val="auto"/>
                <w:kern w:val="32"/>
                <w:sz w:val="21"/>
                <w:szCs w:val="21"/>
              </w:rPr>
              <w:t>、SS</w:t>
            </w:r>
            <w:r>
              <w:rPr>
                <w:rFonts w:hint="default" w:ascii="Times New Roman" w:hAnsi="Times New Roman" w:eastAsia="宋体" w:cs="Times New Roman"/>
                <w:color w:val="auto"/>
                <w:kern w:val="32"/>
                <w:sz w:val="21"/>
                <w:szCs w:val="21"/>
                <w:lang w:eastAsia="zh-CN"/>
              </w:rPr>
              <w:t>、</w:t>
            </w:r>
            <w:r>
              <w:rPr>
                <w:rFonts w:hint="default" w:ascii="Times New Roman" w:hAnsi="Times New Roman" w:eastAsia="宋体" w:cs="Times New Roman"/>
                <w:color w:val="auto"/>
                <w:kern w:val="32"/>
                <w:sz w:val="21"/>
                <w:szCs w:val="21"/>
                <w:lang w:val="en-US" w:eastAsia="zh-CN"/>
              </w:rPr>
              <w:t>氨氮等</w:t>
            </w:r>
          </w:p>
        </w:tc>
        <w:tc>
          <w:tcPr>
            <w:tcW w:w="3612" w:type="dxa"/>
            <w:vMerge w:val="restart"/>
            <w:vAlign w:val="center"/>
          </w:tcPr>
          <w:p w14:paraId="656BB541">
            <w:pPr>
              <w:keepNext w:val="0"/>
              <w:keepLines w:val="0"/>
              <w:pageBreakBefore w:val="0"/>
              <w:widowControl w:val="0"/>
              <w:suppressLineNumbers w:val="0"/>
              <w:kinsoku/>
              <w:wordWrap/>
              <w:overflowPunct w:val="0"/>
              <w:topLinePunct/>
              <w:autoSpaceDE w:val="0"/>
              <w:autoSpaceDN w:val="0"/>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olor w:val="auto"/>
                <w:sz w:val="21"/>
                <w:szCs w:val="21"/>
                <w:lang w:val="en-US" w:eastAsia="zh-CN"/>
              </w:rPr>
              <w:t>实验废水和生活污水排入市政污水管网，最终进去屯留县城区污水处理厂</w:t>
            </w:r>
          </w:p>
        </w:tc>
        <w:tc>
          <w:tcPr>
            <w:tcW w:w="1077" w:type="pct"/>
            <w:vMerge w:val="restart"/>
            <w:vAlign w:val="center"/>
          </w:tcPr>
          <w:p w14:paraId="4B7639A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《污水排入城镇下水道水质标准》（GB/T31962-20 15）中A级排放标准</w:t>
            </w:r>
          </w:p>
        </w:tc>
      </w:tr>
      <w:tr w14:paraId="47497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688" w:type="pct"/>
            <w:vMerge w:val="continue"/>
            <w:vAlign w:val="center"/>
          </w:tcPr>
          <w:p w14:paraId="0789672A">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p>
        </w:tc>
        <w:tc>
          <w:tcPr>
            <w:tcW w:w="688" w:type="pct"/>
            <w:vAlign w:val="center"/>
          </w:tcPr>
          <w:p w14:paraId="76426936">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599" w:type="pct"/>
            <w:vMerge w:val="continue"/>
            <w:vAlign w:val="center"/>
          </w:tcPr>
          <w:p w14:paraId="2C6335A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p>
        </w:tc>
        <w:tc>
          <w:tcPr>
            <w:tcW w:w="1945" w:type="pct"/>
            <w:vMerge w:val="continue"/>
            <w:vAlign w:val="center"/>
          </w:tcPr>
          <w:p w14:paraId="6F032E3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p>
        </w:tc>
        <w:tc>
          <w:tcPr>
            <w:tcW w:w="1077" w:type="pct"/>
            <w:vMerge w:val="continue"/>
            <w:vAlign w:val="center"/>
          </w:tcPr>
          <w:p w14:paraId="64E3399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p>
        </w:tc>
      </w:tr>
      <w:tr w14:paraId="0C684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688" w:type="pct"/>
            <w:vAlign w:val="center"/>
          </w:tcPr>
          <w:p w14:paraId="239B322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688" w:type="pct"/>
            <w:vAlign w:val="center"/>
          </w:tcPr>
          <w:p w14:paraId="243A713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风机等</w:t>
            </w:r>
          </w:p>
        </w:tc>
        <w:tc>
          <w:tcPr>
            <w:tcW w:w="599" w:type="pct"/>
            <w:vAlign w:val="center"/>
          </w:tcPr>
          <w:p w14:paraId="3C0A275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945" w:type="pct"/>
            <w:vAlign w:val="center"/>
          </w:tcPr>
          <w:p w14:paraId="0550016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采</w:t>
            </w:r>
            <w:r>
              <w:rPr>
                <w:rFonts w:hint="eastAsia"/>
                <w:color w:val="auto"/>
                <w:sz w:val="21"/>
                <w:szCs w:val="21"/>
                <w:lang w:eastAsia="zh-CN"/>
              </w:rPr>
              <w:t>用低噪设备，定期维护，保证设备正常运行；</w:t>
            </w:r>
            <w:r>
              <w:rPr>
                <w:rFonts w:hint="eastAsia"/>
                <w:color w:val="auto"/>
                <w:sz w:val="21"/>
                <w:szCs w:val="21"/>
                <w:lang w:val="en-US" w:eastAsia="zh-CN"/>
              </w:rPr>
              <w:t>基础减振，合理布局，布置远离小学部教学楼</w:t>
            </w:r>
          </w:p>
        </w:tc>
        <w:tc>
          <w:tcPr>
            <w:tcW w:w="1077" w:type="pct"/>
            <w:vAlign w:val="center"/>
          </w:tcPr>
          <w:p w14:paraId="4322609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《工业企业厂界环境噪声排放标准》中</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类标准</w:t>
            </w:r>
          </w:p>
        </w:tc>
      </w:tr>
      <w:tr w14:paraId="22451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88" w:type="pct"/>
            <w:vAlign w:val="center"/>
          </w:tcPr>
          <w:p w14:paraId="3BD67F4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688" w:type="pct"/>
            <w:vAlign w:val="center"/>
          </w:tcPr>
          <w:p w14:paraId="0DA426E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9" w:type="pct"/>
            <w:vAlign w:val="center"/>
          </w:tcPr>
          <w:p w14:paraId="7136BF9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45" w:type="pct"/>
            <w:vAlign w:val="center"/>
          </w:tcPr>
          <w:p w14:paraId="649460E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pct"/>
            <w:vAlign w:val="center"/>
          </w:tcPr>
          <w:p w14:paraId="443C1B9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94F4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688" w:type="pct"/>
            <w:vAlign w:val="center"/>
          </w:tcPr>
          <w:p w14:paraId="1A61991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4311" w:type="pct"/>
            <w:gridSpan w:val="4"/>
            <w:vAlign w:val="center"/>
          </w:tcPr>
          <w:p w14:paraId="463D12E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1 \* GB3 \* MERGEFORMAT </w:instrText>
            </w:r>
            <w:r>
              <w:rPr>
                <w:rFonts w:hint="default" w:ascii="Times New Roman" w:hAnsi="Times New Roman" w:eastAsia="宋体" w:cs="Times New Roman"/>
                <w:color w:val="auto"/>
                <w:sz w:val="21"/>
                <w:szCs w:val="21"/>
                <w:lang w:val="en-US" w:eastAsia="zh-CN"/>
              </w:rPr>
              <w:fldChar w:fldCharType="separate"/>
            </w:r>
            <w:r>
              <w:rPr>
                <w:rFonts w:hint="default"/>
                <w:color w:val="auto"/>
                <w:sz w:val="21"/>
                <w:szCs w:val="21"/>
              </w:rPr>
              <w:t>①</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项目生活垃圾收集后交由环卫部门统一处理；</w:t>
            </w:r>
          </w:p>
          <w:p w14:paraId="0136BD6A">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2 \* GB3 \* MERGEFORMAT </w:instrText>
            </w:r>
            <w:r>
              <w:rPr>
                <w:rFonts w:hint="default" w:ascii="Times New Roman" w:hAnsi="Times New Roman" w:eastAsia="宋体" w:cs="Times New Roman"/>
                <w:color w:val="auto"/>
                <w:sz w:val="21"/>
                <w:szCs w:val="21"/>
                <w:lang w:val="en-US" w:eastAsia="zh-CN"/>
              </w:rPr>
              <w:fldChar w:fldCharType="separate"/>
            </w:r>
            <w:r>
              <w:rPr>
                <w:rFonts w:hint="default"/>
                <w:color w:val="auto"/>
                <w:sz w:val="21"/>
                <w:szCs w:val="21"/>
              </w:rPr>
              <w:t>②</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实验室一般固废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废纸箱、废弃或破损玻璃仪器、废纸集中收集后交环卫部门统一处理；</w:t>
            </w:r>
          </w:p>
          <w:p w14:paraId="57D7791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fldChar w:fldCharType="begin"/>
            </w:r>
            <w:r>
              <w:rPr>
                <w:rFonts w:hint="default" w:ascii="Times New Roman" w:hAnsi="Times New Roman" w:eastAsia="宋体" w:cs="Times New Roman"/>
                <w:color w:val="auto"/>
                <w:spacing w:val="-1"/>
                <w:sz w:val="21"/>
                <w:szCs w:val="21"/>
              </w:rPr>
              <w:instrText xml:space="preserve"> = 3 \* GB3 \* MERGEFORMAT </w:instrText>
            </w:r>
            <w:r>
              <w:rPr>
                <w:rFonts w:hint="default" w:ascii="Times New Roman" w:hAnsi="Times New Roman" w:eastAsia="宋体" w:cs="Times New Roman"/>
                <w:color w:val="auto"/>
                <w:spacing w:val="-1"/>
                <w:sz w:val="21"/>
                <w:szCs w:val="21"/>
              </w:rPr>
              <w:fldChar w:fldCharType="separate"/>
            </w:r>
            <w:r>
              <w:rPr>
                <w:rFonts w:hint="default"/>
                <w:color w:val="auto"/>
                <w:sz w:val="21"/>
                <w:szCs w:val="21"/>
              </w:rPr>
              <w:t>③</w:t>
            </w:r>
            <w:r>
              <w:rPr>
                <w:rFonts w:hint="default" w:ascii="Times New Roman" w:hAnsi="Times New Roman" w:eastAsia="宋体" w:cs="Times New Roman"/>
                <w:color w:val="auto"/>
                <w:spacing w:val="-1"/>
                <w:sz w:val="21"/>
                <w:szCs w:val="21"/>
              </w:rPr>
              <w:fldChar w:fldCharType="end"/>
            </w:r>
            <w:r>
              <w:rPr>
                <w:rFonts w:hint="default" w:ascii="Times New Roman" w:hAnsi="Times New Roman" w:eastAsia="宋体" w:cs="Times New Roman"/>
                <w:color w:val="auto"/>
                <w:spacing w:val="-1"/>
                <w:sz w:val="21"/>
                <w:szCs w:val="21"/>
              </w:rPr>
              <w:t>实验室危险废物：危险废物主要为实验废液</w:t>
            </w:r>
            <w:r>
              <w:rPr>
                <w:rFonts w:hint="eastAsia" w:cs="Times New Roman"/>
                <w:color w:val="auto"/>
                <w:spacing w:val="-1"/>
                <w:sz w:val="21"/>
                <w:szCs w:val="21"/>
                <w:lang w:val="en-US" w:eastAsia="zh-CN"/>
              </w:rPr>
              <w:t>及</w:t>
            </w:r>
            <w:r>
              <w:rPr>
                <w:rFonts w:hint="default" w:ascii="Times New Roman" w:hAnsi="Times New Roman" w:eastAsia="宋体" w:cs="Times New Roman"/>
                <w:color w:val="auto"/>
                <w:spacing w:val="-1"/>
                <w:sz w:val="21"/>
                <w:szCs w:val="21"/>
              </w:rPr>
              <w:t>废实验用品，</w:t>
            </w:r>
            <w:r>
              <w:rPr>
                <w:rFonts w:hint="default" w:ascii="Times New Roman" w:hAnsi="Times New Roman" w:eastAsia="宋体" w:cs="Times New Roman"/>
                <w:color w:val="auto"/>
                <w:spacing w:val="-2"/>
                <w:sz w:val="21"/>
                <w:szCs w:val="21"/>
              </w:rPr>
              <w:t>分类暂存危</w:t>
            </w:r>
            <w:r>
              <w:rPr>
                <w:rFonts w:hint="default" w:ascii="Times New Roman" w:hAnsi="Times New Roman" w:eastAsia="宋体" w:cs="Times New Roman"/>
                <w:color w:val="auto"/>
                <w:spacing w:val="-3"/>
                <w:sz w:val="21"/>
                <w:szCs w:val="21"/>
              </w:rPr>
              <w:t>废贮存点，定期交由具有资质单位处置。</w:t>
            </w:r>
          </w:p>
        </w:tc>
      </w:tr>
      <w:tr w14:paraId="43136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688" w:type="pct"/>
            <w:vAlign w:val="center"/>
          </w:tcPr>
          <w:p w14:paraId="49D97E2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4311" w:type="pct"/>
            <w:gridSpan w:val="4"/>
            <w:vAlign w:val="center"/>
          </w:tcPr>
          <w:p w14:paraId="540B1DB3">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 MERGEFORMAT </w:instrText>
            </w:r>
            <w:r>
              <w:rPr>
                <w:rFonts w:hint="default" w:ascii="Times New Roman" w:hAnsi="Times New Roman" w:eastAsia="宋体" w:cs="Times New Roman"/>
                <w:color w:val="auto"/>
                <w:sz w:val="21"/>
                <w:szCs w:val="21"/>
              </w:rPr>
              <w:fldChar w:fldCharType="separate"/>
            </w:r>
            <w:r>
              <w:rPr>
                <w:rFonts w:hint="default"/>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危废</w:t>
            </w:r>
            <w:r>
              <w:rPr>
                <w:rFonts w:hint="eastAsia" w:ascii="Times New Roman" w:hAnsi="Times New Roman" w:eastAsia="宋体" w:cs="Times New Roman"/>
                <w:color w:val="auto"/>
                <w:sz w:val="21"/>
                <w:szCs w:val="21"/>
                <w:lang w:val="en-US" w:eastAsia="zh-CN"/>
              </w:rPr>
              <w:t>贮存点</w:t>
            </w:r>
            <w:r>
              <w:rPr>
                <w:rFonts w:hint="eastAsia" w:cs="Times New Roman"/>
                <w:color w:val="auto"/>
                <w:sz w:val="21"/>
                <w:szCs w:val="21"/>
                <w:lang w:val="en-US" w:eastAsia="zh-CN"/>
              </w:rPr>
              <w:t>进行</w:t>
            </w:r>
            <w:r>
              <w:rPr>
                <w:rFonts w:hint="default" w:ascii="Times New Roman" w:hAnsi="Times New Roman" w:eastAsia="宋体" w:cs="Times New Roman"/>
                <w:color w:val="auto"/>
                <w:sz w:val="21"/>
                <w:szCs w:val="21"/>
              </w:rPr>
              <w:t>重点防渗，防渗技术要求：2mm厚的高密度聚乙烯，或至少2mm厚的其它人工材料，渗透系数≤1×10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cm/s，地面加覆2mm 厚环氧树脂膜；</w:t>
            </w:r>
          </w:p>
          <w:p w14:paraId="31B8D7DF">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 2 \* GB3 \* MERGEFORMAT </w:instrText>
            </w:r>
            <w:r>
              <w:rPr>
                <w:rFonts w:hint="eastAsia" w:ascii="Times New Roman" w:hAnsi="Times New Roman" w:eastAsia="宋体" w:cs="Times New Roman"/>
                <w:color w:val="auto"/>
                <w:sz w:val="21"/>
                <w:szCs w:val="21"/>
                <w:lang w:val="en-US" w:eastAsia="zh-CN"/>
              </w:rPr>
              <w:fldChar w:fldCharType="separate"/>
            </w:r>
            <w:r>
              <w:rPr>
                <w:rFonts w:hint="default"/>
                <w:color w:val="auto"/>
                <w:sz w:val="21"/>
                <w:szCs w:val="21"/>
              </w:rPr>
              <w:t>②</w:t>
            </w:r>
            <w:r>
              <w:rPr>
                <w:rFonts w:hint="eastAsia"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实验室、</w:t>
            </w:r>
            <w:r>
              <w:rPr>
                <w:rFonts w:hint="eastAsia" w:cs="Times New Roman"/>
                <w:color w:val="auto"/>
                <w:sz w:val="21"/>
                <w:szCs w:val="21"/>
                <w:lang w:val="en-US" w:eastAsia="zh-CN"/>
              </w:rPr>
              <w:t>准备室、药品室、</w:t>
            </w:r>
            <w:r>
              <w:rPr>
                <w:rFonts w:hint="eastAsia" w:ascii="Times New Roman" w:hAnsi="Times New Roman" w:eastAsia="宋体" w:cs="Times New Roman"/>
                <w:color w:val="auto"/>
                <w:sz w:val="21"/>
                <w:szCs w:val="21"/>
                <w:lang w:val="en-US" w:eastAsia="zh-CN"/>
              </w:rPr>
              <w:t>化粪池</w:t>
            </w:r>
            <w:r>
              <w:rPr>
                <w:rFonts w:hint="eastAsia" w:cs="Times New Roman"/>
                <w:color w:val="auto"/>
                <w:sz w:val="21"/>
                <w:szCs w:val="21"/>
                <w:lang w:val="en-US" w:eastAsia="zh-CN"/>
              </w:rPr>
              <w:t>、管网等</w:t>
            </w:r>
            <w:r>
              <w:rPr>
                <w:rFonts w:hint="eastAsia" w:ascii="Times New Roman" w:hAnsi="Times New Roman" w:eastAsia="宋体" w:cs="Times New Roman"/>
                <w:color w:val="auto"/>
                <w:sz w:val="21"/>
                <w:szCs w:val="21"/>
                <w:lang w:val="en-US" w:eastAsia="zh-CN"/>
              </w:rPr>
              <w:t>采用</w:t>
            </w:r>
            <w:r>
              <w:rPr>
                <w:rFonts w:hint="default" w:ascii="Times New Roman" w:hAnsi="Times New Roman" w:eastAsia="宋体" w:cs="Times New Roman"/>
                <w:color w:val="auto"/>
                <w:sz w:val="21"/>
                <w:szCs w:val="21"/>
              </w:rPr>
              <w:t>一般防渗，防渗技术要求：等效粘土防渗层Mb≥1.5m，K≤1×10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cs="Times New Roman"/>
                <w:color w:val="auto"/>
                <w:sz w:val="21"/>
                <w:szCs w:val="21"/>
                <w:lang w:eastAsia="zh-CN"/>
              </w:rPr>
              <w:t>，</w:t>
            </w:r>
            <w:r>
              <w:rPr>
                <w:rFonts w:hint="eastAsia" w:cs="Times New Roman"/>
                <w:color w:val="auto"/>
                <w:sz w:val="21"/>
                <w:szCs w:val="21"/>
                <w:lang w:val="en-US" w:eastAsia="zh-CN"/>
              </w:rPr>
              <w:t>其中实验室地面涂刷环氧树脂膜；</w:t>
            </w:r>
          </w:p>
          <w:p w14:paraId="275B5474">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GB3 \* MERGEFORMAT </w:instrText>
            </w:r>
            <w:r>
              <w:rPr>
                <w:rFonts w:hint="default" w:ascii="Times New Roman" w:hAnsi="Times New Roman" w:eastAsia="宋体" w:cs="Times New Roman"/>
                <w:color w:val="auto"/>
                <w:sz w:val="21"/>
                <w:szCs w:val="21"/>
              </w:rPr>
              <w:fldChar w:fldCharType="separate"/>
            </w:r>
            <w:r>
              <w:rPr>
                <w:rFonts w:hint="default"/>
                <w:color w:val="auto"/>
                <w:sz w:val="21"/>
                <w:szCs w:val="21"/>
              </w:rPr>
              <w:t>③</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校区其他区域简单防渗，防渗技术要求：一般地面硬化。</w:t>
            </w:r>
          </w:p>
        </w:tc>
      </w:tr>
      <w:tr w14:paraId="214E0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88" w:type="pct"/>
            <w:vAlign w:val="center"/>
          </w:tcPr>
          <w:p w14:paraId="4850D59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4311" w:type="pct"/>
            <w:gridSpan w:val="4"/>
            <w:vAlign w:val="center"/>
          </w:tcPr>
          <w:p w14:paraId="4C3762E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40057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88" w:type="pct"/>
            <w:vAlign w:val="center"/>
          </w:tcPr>
          <w:p w14:paraId="3A50FD61">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14:paraId="6BD6446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4311" w:type="pct"/>
            <w:gridSpan w:val="4"/>
            <w:vAlign w:val="center"/>
          </w:tcPr>
          <w:p w14:paraId="78E1083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针对泄漏事故，应按规范储存各类物品，执行定期检查制度，并提高使用人员的安全意识、制定操作指南。</w:t>
            </w:r>
          </w:p>
        </w:tc>
      </w:tr>
      <w:tr w14:paraId="08496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688" w:type="pct"/>
            <w:vAlign w:val="center"/>
          </w:tcPr>
          <w:p w14:paraId="157ADE4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14:paraId="40F8E58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4311" w:type="pct"/>
            <w:gridSpan w:val="4"/>
            <w:vAlign w:val="center"/>
          </w:tcPr>
          <w:p w14:paraId="5FC29D81">
            <w:pPr>
              <w:keepNext w:val="0"/>
              <w:keepLines w:val="0"/>
              <w:pageBreakBefore w:val="0"/>
              <w:widowControl w:val="0"/>
              <w:suppressLineNumbers w:val="0"/>
              <w:kinsoku/>
              <w:wordWrap/>
              <w:bidi w:val="0"/>
              <w:adjustRightInd w:val="0"/>
              <w:snapToGrid w:val="0"/>
              <w:spacing w:before="0" w:beforeAutospacing="0" w:after="0" w:afterAutospacing="0" w:line="288" w:lineRule="auto"/>
              <w:ind w:left="-48" w:leftChars="-20" w:right="-48" w:rightChars="-2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项目建成后，应完善环境管理组织，负责校内环保工作，负责对项目废气、废水、噪声和固体废物处理处置情况进行监督管理，履行环境管理和环境监控职责</w:t>
            </w:r>
          </w:p>
        </w:tc>
      </w:tr>
    </w:tbl>
    <w:p w14:paraId="75F42350">
      <w:pPr>
        <w:pStyle w:val="34"/>
        <w:ind w:firstLine="480"/>
        <w:rPr>
          <w:rFonts w:hint="eastAsia"/>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26" w:charSpace="0"/>
        </w:sectPr>
      </w:pPr>
    </w:p>
    <w:p w14:paraId="124ED889">
      <w:pPr>
        <w:pStyle w:val="2"/>
        <w:numPr>
          <w:ilvl w:val="0"/>
          <w:numId w:val="0"/>
        </w:numPr>
        <w:ind w:left="240"/>
        <w:jc w:val="center"/>
        <w:rPr>
          <w:rFonts w:hint="eastAsia" w:ascii="黑体" w:hAnsi="黑体" w:eastAsia="黑体" w:cs="黑体"/>
          <w:color w:val="auto"/>
        </w:rPr>
      </w:pPr>
      <w:bookmarkStart w:id="10" w:name="_Toc23659"/>
      <w:bookmarkStart w:id="11" w:name="_Hlk141108974"/>
      <w:r>
        <w:rPr>
          <w:rFonts w:hint="eastAsia" w:ascii="黑体" w:hAnsi="黑体" w:eastAsia="黑体" w:cs="黑体"/>
          <w:color w:val="auto"/>
        </w:rPr>
        <w:t>六、结论</w:t>
      </w:r>
      <w:bookmarkEnd w:id="10"/>
    </w:p>
    <w:bookmarkEnd w:id="11"/>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A8A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06" w:hRule="atLeast"/>
        </w:trPr>
        <w:tc>
          <w:tcPr>
            <w:tcW w:w="5000" w:type="pct"/>
            <w:tcBorders>
              <w:bottom w:val="single" w:color="auto" w:sz="4" w:space="0"/>
            </w:tcBorders>
          </w:tcPr>
          <w:p w14:paraId="22E86273">
            <w:pPr>
              <w:keepNext w:val="0"/>
              <w:keepLines w:val="0"/>
              <w:suppressLineNumbers w:val="0"/>
              <w:autoSpaceDE w:val="0"/>
              <w:autoSpaceDN w:val="0"/>
              <w:adjustRightInd w:val="0"/>
              <w:spacing w:before="0" w:beforeAutospacing="0" w:after="0" w:afterAutospacing="0" w:line="360" w:lineRule="auto"/>
              <w:ind w:left="0" w:right="0" w:firstLine="480" w:firstLineChars="200"/>
              <w:textAlignment w:val="baseline"/>
              <w:rPr>
                <w:rFonts w:hint="default"/>
                <w:color w:val="auto"/>
                <w:szCs w:val="24"/>
              </w:rPr>
            </w:pPr>
            <w:bookmarkStart w:id="12" w:name="_Hlk141108978"/>
            <w:r>
              <w:rPr>
                <w:rFonts w:hint="eastAsia" w:ascii="宋体" w:cs="宋体"/>
                <w:color w:val="auto"/>
                <w:sz w:val="24"/>
                <w:szCs w:val="24"/>
              </w:rPr>
              <w:t>综上所述，长治市屯留区麟绛小学校扩建初中部项目符合国家和地方政策，符合国家及地区相关规划、区划等的要求，在落实报告表提出的生态保护措施后，环境污染影响和生态环境影响均可得到有效控制和缓解，污染物可以做到达标排放。因此，从环保角度评价，本项目的建设是可行的。</w:t>
            </w:r>
          </w:p>
          <w:p w14:paraId="48158C66">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7DB80EDA">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191EAD52">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48EBDA76">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1B28B923">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04532625">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04EB164A">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49C2B4E0">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4DA1E4B8">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56D03D89">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0DD590AE">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551C29DE">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347F0E81">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095C3113">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30D360F2">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383B02D9">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4AE91DFE">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6C3066F9">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17EB4629">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37EF555B">
            <w:pPr>
              <w:keepNext w:val="0"/>
              <w:keepLines w:val="0"/>
              <w:suppressLineNumbers w:val="0"/>
              <w:autoSpaceDE w:val="0"/>
              <w:autoSpaceDN w:val="0"/>
              <w:adjustRightInd w:val="0"/>
              <w:spacing w:before="0" w:beforeAutospacing="0" w:after="0" w:afterAutospacing="0" w:line="500" w:lineRule="exact"/>
              <w:ind w:left="0" w:right="0" w:firstLine="480" w:firstLineChars="200"/>
              <w:textAlignment w:val="baseline"/>
              <w:rPr>
                <w:rFonts w:hint="default"/>
                <w:color w:val="auto"/>
                <w:szCs w:val="24"/>
              </w:rPr>
            </w:pPr>
          </w:p>
          <w:p w14:paraId="73AA6251">
            <w:pPr>
              <w:keepNext w:val="0"/>
              <w:keepLines w:val="0"/>
              <w:suppressLineNumbers w:val="0"/>
              <w:autoSpaceDE w:val="0"/>
              <w:autoSpaceDN w:val="0"/>
              <w:adjustRightInd w:val="0"/>
              <w:spacing w:before="0" w:beforeAutospacing="0" w:after="0" w:afterAutospacing="0" w:line="500" w:lineRule="exact"/>
              <w:ind w:left="0" w:right="0"/>
              <w:textAlignment w:val="baseline"/>
              <w:rPr>
                <w:rFonts w:hint="default"/>
                <w:color w:val="auto"/>
                <w:szCs w:val="24"/>
              </w:rPr>
            </w:pPr>
          </w:p>
        </w:tc>
      </w:tr>
      <w:bookmarkEnd w:id="12"/>
    </w:tbl>
    <w:p w14:paraId="5B5CECAE">
      <w:pPr>
        <w:rPr>
          <w:rFonts w:hint="eastAsia" w:ascii="宋体" w:hAnsi="宋体"/>
          <w:b/>
          <w:bCs/>
          <w:color w:val="auto"/>
          <w:sz w:val="28"/>
          <w:szCs w:val="28"/>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26" w:charSpace="0"/>
        </w:sectPr>
      </w:pPr>
    </w:p>
    <w:p w14:paraId="21081CEE">
      <w:pPr>
        <w:pStyle w:val="2"/>
        <w:numPr>
          <w:ilvl w:val="0"/>
          <w:numId w:val="0"/>
        </w:numPr>
        <w:bidi w:val="0"/>
        <w:ind w:firstLine="1200" w:firstLineChars="400"/>
        <w:rPr>
          <w:color w:val="auto"/>
        </w:rPr>
      </w:pPr>
      <w:bookmarkStart w:id="13" w:name="_Toc25641"/>
      <w:r>
        <w:rPr>
          <w:color w:val="auto"/>
        </w:rPr>
        <w:t>附表</w:t>
      </w:r>
      <w:bookmarkEnd w:id="13"/>
    </w:p>
    <w:p w14:paraId="4F4A8E22">
      <w:pPr>
        <w:widowControl/>
        <w:adjustRightInd w:val="0"/>
        <w:snapToGrid w:val="0"/>
        <w:jc w:val="center"/>
        <w:outlineLvl w:val="0"/>
        <w:rPr>
          <w:rFonts w:eastAsia="方正小标宋_GBK"/>
          <w:snapToGrid w:val="0"/>
          <w:color w:val="auto"/>
          <w:kern w:val="0"/>
          <w:sz w:val="38"/>
          <w:szCs w:val="38"/>
        </w:rPr>
      </w:pPr>
      <w:bookmarkStart w:id="14" w:name="_Toc1726"/>
      <w:r>
        <w:rPr>
          <w:rFonts w:eastAsia="方正小标宋_GBK"/>
          <w:snapToGrid w:val="0"/>
          <w:color w:val="auto"/>
          <w:kern w:val="0"/>
          <w:sz w:val="38"/>
          <w:szCs w:val="38"/>
        </w:rPr>
        <w:t>建设项目污染物排放量汇总表</w:t>
      </w:r>
      <w:bookmarkEnd w:id="14"/>
    </w:p>
    <w:tbl>
      <w:tblPr>
        <w:tblStyle w:val="24"/>
        <w:tblW w:w="144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114"/>
        <w:gridCol w:w="1408"/>
        <w:gridCol w:w="1309"/>
        <w:gridCol w:w="1745"/>
        <w:gridCol w:w="1600"/>
        <w:gridCol w:w="1808"/>
        <w:gridCol w:w="1729"/>
        <w:gridCol w:w="1418"/>
      </w:tblGrid>
      <w:tr w14:paraId="5E9B6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05" w:type="dxa"/>
            <w:tcBorders>
              <w:tl2br w:val="single" w:color="auto" w:sz="4" w:space="0"/>
            </w:tcBorders>
            <w:tcMar>
              <w:left w:w="28" w:type="dxa"/>
              <w:right w:w="28" w:type="dxa"/>
            </w:tcMar>
            <w:vAlign w:val="center"/>
          </w:tcPr>
          <w:p w14:paraId="5D7A6951">
            <w:pPr>
              <w:pStyle w:val="59"/>
              <w:keepNext w:val="0"/>
              <w:keepLines w:val="0"/>
              <w:suppressLineNumbers w:val="0"/>
              <w:spacing w:before="0" w:beforeLines="0" w:beforeAutospacing="0" w:after="0" w:afterLines="0" w:afterAutospacing="0" w:line="288" w:lineRule="auto"/>
              <w:ind w:left="0" w:right="0"/>
              <w:jc w:val="right"/>
              <w:rPr>
                <w:rFonts w:hint="default"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项目</w:t>
            </w:r>
          </w:p>
          <w:p w14:paraId="575B3BD8">
            <w:pPr>
              <w:pStyle w:val="59"/>
              <w:keepNext w:val="0"/>
              <w:keepLines w:val="0"/>
              <w:suppressLineNumbers w:val="0"/>
              <w:spacing w:before="0" w:beforeLines="0" w:beforeAutospacing="0" w:after="0" w:afterLines="0" w:afterAutospacing="0" w:line="288" w:lineRule="auto"/>
              <w:ind w:left="0" w:right="0"/>
              <w:jc w:val="left"/>
              <w:rPr>
                <w:rFonts w:hint="default"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2114" w:type="dxa"/>
            <w:tcMar>
              <w:left w:w="28" w:type="dxa"/>
              <w:right w:w="28" w:type="dxa"/>
            </w:tcMar>
            <w:vAlign w:val="center"/>
          </w:tcPr>
          <w:p w14:paraId="64EE4FC0">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1408" w:type="dxa"/>
            <w:tcMar>
              <w:left w:w="28" w:type="dxa"/>
              <w:right w:w="28" w:type="dxa"/>
            </w:tcMar>
            <w:vAlign w:val="center"/>
          </w:tcPr>
          <w:p w14:paraId="088642DF">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现有工程</w:t>
            </w:r>
          </w:p>
          <w:p w14:paraId="27BFEE18">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排放量（固</w:t>
            </w:r>
            <w:r>
              <w:rPr>
                <w:rFonts w:hint="eastAsia" w:ascii="黑体" w:hAnsi="黑体" w:eastAsia="黑体"/>
                <w:snapToGrid w:val="0"/>
                <w:color w:val="auto"/>
                <w:spacing w:val="-6"/>
                <w:kern w:val="21"/>
                <w:sz w:val="21"/>
                <w:szCs w:val="21"/>
              </w:rPr>
              <w:t>体</w:t>
            </w:r>
            <w:r>
              <w:rPr>
                <w:rFonts w:hint="default"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hint="default" w:ascii="黑体" w:hAnsi="黑体" w:eastAsia="黑体"/>
                <w:snapToGrid w:val="0"/>
                <w:color w:val="auto"/>
                <w:spacing w:val="-6"/>
                <w:kern w:val="21"/>
                <w:sz w:val="21"/>
                <w:szCs w:val="21"/>
              </w:rPr>
              <w:t>产生量）</w:t>
            </w:r>
            <w:r>
              <w:rPr>
                <w:rFonts w:hint="default" w:ascii="黑体" w:hAnsi="黑体" w:eastAsia="黑体"/>
                <w:snapToGrid w:val="0"/>
                <w:color w:val="auto"/>
                <w:spacing w:val="-6"/>
                <w:kern w:val="21"/>
                <w:sz w:val="21"/>
                <w:szCs w:val="21"/>
              </w:rPr>
              <w:fldChar w:fldCharType="begin"/>
            </w:r>
            <w:r>
              <w:rPr>
                <w:rFonts w:hint="default" w:ascii="黑体" w:hAnsi="黑体" w:eastAsia="黑体"/>
                <w:snapToGrid w:val="0"/>
                <w:color w:val="auto"/>
                <w:spacing w:val="-6"/>
                <w:kern w:val="21"/>
                <w:sz w:val="21"/>
                <w:szCs w:val="21"/>
              </w:rPr>
              <w:instrText xml:space="preserve"> = 1 \* GB3 \* MERGEFORMAT </w:instrText>
            </w:r>
            <w:r>
              <w:rPr>
                <w:rFonts w:hint="default"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①</w:t>
            </w:r>
            <w:r>
              <w:rPr>
                <w:rFonts w:hint="default" w:ascii="黑体" w:hAnsi="黑体" w:eastAsia="黑体"/>
                <w:snapToGrid w:val="0"/>
                <w:color w:val="auto"/>
                <w:spacing w:val="-6"/>
                <w:kern w:val="21"/>
                <w:sz w:val="21"/>
                <w:szCs w:val="21"/>
              </w:rPr>
              <w:fldChar w:fldCharType="end"/>
            </w:r>
          </w:p>
        </w:tc>
        <w:tc>
          <w:tcPr>
            <w:tcW w:w="1309" w:type="dxa"/>
            <w:tcMar>
              <w:left w:w="28" w:type="dxa"/>
              <w:right w:w="28" w:type="dxa"/>
            </w:tcMar>
            <w:vAlign w:val="center"/>
          </w:tcPr>
          <w:p w14:paraId="655A615B">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现有工程</w:t>
            </w:r>
          </w:p>
          <w:p w14:paraId="6BF4C491">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许可排放量</w:t>
            </w:r>
          </w:p>
          <w:p w14:paraId="16EDF8A4">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fldChar w:fldCharType="begin"/>
            </w:r>
            <w:r>
              <w:rPr>
                <w:rFonts w:hint="default" w:ascii="黑体" w:hAnsi="黑体" w:eastAsia="黑体"/>
                <w:snapToGrid w:val="0"/>
                <w:color w:val="auto"/>
                <w:spacing w:val="-6"/>
                <w:kern w:val="21"/>
                <w:sz w:val="21"/>
                <w:szCs w:val="21"/>
              </w:rPr>
              <w:instrText xml:space="preserve"> = 2 \* GB3 \* MERGEFORMAT </w:instrText>
            </w:r>
            <w:r>
              <w:rPr>
                <w:rFonts w:hint="default"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hint="default" w:ascii="黑体" w:hAnsi="黑体" w:eastAsia="黑体"/>
                <w:snapToGrid w:val="0"/>
                <w:color w:val="auto"/>
                <w:spacing w:val="-6"/>
                <w:kern w:val="21"/>
                <w:sz w:val="21"/>
                <w:szCs w:val="21"/>
              </w:rPr>
              <w:fldChar w:fldCharType="end"/>
            </w:r>
          </w:p>
        </w:tc>
        <w:tc>
          <w:tcPr>
            <w:tcW w:w="1745" w:type="dxa"/>
            <w:tcMar>
              <w:left w:w="28" w:type="dxa"/>
              <w:right w:w="28" w:type="dxa"/>
            </w:tcMar>
            <w:vAlign w:val="center"/>
          </w:tcPr>
          <w:p w14:paraId="3A6F3C6C">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在建工程</w:t>
            </w:r>
          </w:p>
          <w:p w14:paraId="529EA7EA">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排放量（固</w:t>
            </w:r>
            <w:r>
              <w:rPr>
                <w:rFonts w:hint="eastAsia" w:ascii="黑体" w:hAnsi="黑体" w:eastAsia="黑体"/>
                <w:snapToGrid w:val="0"/>
                <w:color w:val="auto"/>
                <w:spacing w:val="-6"/>
                <w:kern w:val="21"/>
                <w:sz w:val="21"/>
                <w:szCs w:val="21"/>
              </w:rPr>
              <w:t>体</w:t>
            </w:r>
            <w:r>
              <w:rPr>
                <w:rFonts w:hint="default"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hint="default" w:ascii="黑体" w:hAnsi="黑体" w:eastAsia="黑体"/>
                <w:snapToGrid w:val="0"/>
                <w:color w:val="auto"/>
                <w:spacing w:val="-6"/>
                <w:kern w:val="21"/>
                <w:sz w:val="21"/>
                <w:szCs w:val="21"/>
              </w:rPr>
              <w:t>产生量）</w:t>
            </w:r>
            <w:r>
              <w:rPr>
                <w:rFonts w:hint="default" w:ascii="黑体" w:hAnsi="黑体" w:eastAsia="黑体"/>
                <w:snapToGrid w:val="0"/>
                <w:color w:val="auto"/>
                <w:spacing w:val="-6"/>
                <w:kern w:val="21"/>
                <w:sz w:val="21"/>
                <w:szCs w:val="21"/>
              </w:rPr>
              <w:fldChar w:fldCharType="begin"/>
            </w:r>
            <w:r>
              <w:rPr>
                <w:rFonts w:hint="default" w:ascii="黑体" w:hAnsi="黑体" w:eastAsia="黑体"/>
                <w:snapToGrid w:val="0"/>
                <w:color w:val="auto"/>
                <w:spacing w:val="-6"/>
                <w:kern w:val="21"/>
                <w:sz w:val="21"/>
                <w:szCs w:val="21"/>
              </w:rPr>
              <w:instrText xml:space="preserve"> = 3 \* GB3 \* MERGEFORMAT </w:instrText>
            </w:r>
            <w:r>
              <w:rPr>
                <w:rFonts w:hint="default"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③</w:t>
            </w:r>
            <w:r>
              <w:rPr>
                <w:rFonts w:hint="default" w:ascii="黑体" w:hAnsi="黑体" w:eastAsia="黑体"/>
                <w:snapToGrid w:val="0"/>
                <w:color w:val="auto"/>
                <w:spacing w:val="-6"/>
                <w:kern w:val="21"/>
                <w:sz w:val="21"/>
                <w:szCs w:val="21"/>
              </w:rPr>
              <w:fldChar w:fldCharType="end"/>
            </w:r>
          </w:p>
        </w:tc>
        <w:tc>
          <w:tcPr>
            <w:tcW w:w="1600" w:type="dxa"/>
            <w:tcMar>
              <w:left w:w="28" w:type="dxa"/>
              <w:right w:w="28" w:type="dxa"/>
            </w:tcMar>
            <w:vAlign w:val="center"/>
          </w:tcPr>
          <w:p w14:paraId="6736D801">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本项目</w:t>
            </w:r>
          </w:p>
          <w:p w14:paraId="24C7CC17">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排放量（固</w:t>
            </w:r>
            <w:r>
              <w:rPr>
                <w:rFonts w:hint="eastAsia" w:ascii="黑体" w:hAnsi="黑体" w:eastAsia="黑体"/>
                <w:snapToGrid w:val="0"/>
                <w:color w:val="auto"/>
                <w:spacing w:val="-6"/>
                <w:kern w:val="21"/>
                <w:sz w:val="21"/>
                <w:szCs w:val="21"/>
              </w:rPr>
              <w:t>体</w:t>
            </w:r>
            <w:r>
              <w:rPr>
                <w:rFonts w:hint="default"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hint="default" w:ascii="黑体" w:hAnsi="黑体" w:eastAsia="黑体"/>
                <w:snapToGrid w:val="0"/>
                <w:color w:val="auto"/>
                <w:spacing w:val="-6"/>
                <w:kern w:val="21"/>
                <w:sz w:val="21"/>
                <w:szCs w:val="21"/>
              </w:rPr>
              <w:t>产生量）</w:t>
            </w:r>
            <w:r>
              <w:rPr>
                <w:rFonts w:hint="default" w:ascii="黑体" w:hAnsi="黑体" w:eastAsia="黑体"/>
                <w:snapToGrid w:val="0"/>
                <w:color w:val="auto"/>
                <w:spacing w:val="-6"/>
                <w:kern w:val="21"/>
                <w:sz w:val="21"/>
                <w:szCs w:val="21"/>
              </w:rPr>
              <w:fldChar w:fldCharType="begin"/>
            </w:r>
            <w:r>
              <w:rPr>
                <w:rFonts w:hint="default" w:ascii="黑体" w:hAnsi="黑体" w:eastAsia="黑体"/>
                <w:snapToGrid w:val="0"/>
                <w:color w:val="auto"/>
                <w:spacing w:val="-6"/>
                <w:kern w:val="21"/>
                <w:sz w:val="21"/>
                <w:szCs w:val="21"/>
              </w:rPr>
              <w:instrText xml:space="preserve"> = 4 \* GB3 \* MERGEFORMAT </w:instrText>
            </w:r>
            <w:r>
              <w:rPr>
                <w:rFonts w:hint="default"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④</w:t>
            </w:r>
            <w:r>
              <w:rPr>
                <w:rFonts w:hint="default" w:ascii="黑体" w:hAnsi="黑体" w:eastAsia="黑体"/>
                <w:snapToGrid w:val="0"/>
                <w:color w:val="auto"/>
                <w:spacing w:val="-6"/>
                <w:kern w:val="21"/>
                <w:sz w:val="21"/>
                <w:szCs w:val="21"/>
              </w:rPr>
              <w:fldChar w:fldCharType="end"/>
            </w:r>
          </w:p>
        </w:tc>
        <w:tc>
          <w:tcPr>
            <w:tcW w:w="1808" w:type="dxa"/>
            <w:tcMar>
              <w:left w:w="28" w:type="dxa"/>
              <w:right w:w="28" w:type="dxa"/>
            </w:tcMar>
            <w:vAlign w:val="center"/>
          </w:tcPr>
          <w:p w14:paraId="1C8BAF90">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16"/>
                <w:kern w:val="21"/>
                <w:sz w:val="21"/>
                <w:szCs w:val="21"/>
              </w:rPr>
            </w:pPr>
            <w:r>
              <w:rPr>
                <w:rFonts w:hint="default" w:ascii="黑体" w:hAnsi="黑体" w:eastAsia="黑体"/>
                <w:snapToGrid w:val="0"/>
                <w:color w:val="auto"/>
                <w:spacing w:val="-16"/>
                <w:kern w:val="21"/>
                <w:sz w:val="21"/>
                <w:szCs w:val="21"/>
              </w:rPr>
              <w:t>以新带老削减量</w:t>
            </w:r>
          </w:p>
          <w:p w14:paraId="0267136A">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16"/>
                <w:kern w:val="21"/>
                <w:sz w:val="21"/>
                <w:szCs w:val="21"/>
              </w:rPr>
            </w:pPr>
            <w:r>
              <w:rPr>
                <w:rFonts w:hint="default" w:ascii="黑体" w:hAnsi="黑体" w:eastAsia="黑体"/>
                <w:snapToGrid w:val="0"/>
                <w:color w:val="auto"/>
                <w:spacing w:val="-16"/>
                <w:kern w:val="21"/>
                <w:sz w:val="21"/>
                <w:szCs w:val="21"/>
              </w:rPr>
              <w:t>（新建项目不填）</w:t>
            </w:r>
            <w:r>
              <w:rPr>
                <w:rFonts w:hint="default" w:ascii="黑体" w:hAnsi="黑体" w:eastAsia="黑体"/>
                <w:snapToGrid w:val="0"/>
                <w:color w:val="auto"/>
                <w:spacing w:val="-16"/>
                <w:kern w:val="21"/>
                <w:sz w:val="21"/>
                <w:szCs w:val="21"/>
              </w:rPr>
              <w:fldChar w:fldCharType="begin"/>
            </w:r>
            <w:r>
              <w:rPr>
                <w:rFonts w:hint="default" w:ascii="黑体" w:hAnsi="黑体" w:eastAsia="黑体"/>
                <w:snapToGrid w:val="0"/>
                <w:color w:val="auto"/>
                <w:spacing w:val="-16"/>
                <w:kern w:val="21"/>
                <w:sz w:val="21"/>
                <w:szCs w:val="21"/>
              </w:rPr>
              <w:instrText xml:space="preserve"> = 5 \* GB3 \* MERGEFORMAT </w:instrText>
            </w:r>
            <w:r>
              <w:rPr>
                <w:rFonts w:hint="default" w:ascii="黑体" w:hAnsi="黑体" w:eastAsia="黑体"/>
                <w:snapToGrid w:val="0"/>
                <w:color w:val="auto"/>
                <w:spacing w:val="-16"/>
                <w:kern w:val="21"/>
                <w:sz w:val="21"/>
                <w:szCs w:val="21"/>
              </w:rPr>
              <w:fldChar w:fldCharType="separate"/>
            </w:r>
            <w:r>
              <w:rPr>
                <w:rFonts w:hint="eastAsia" w:ascii="黑体" w:hAnsi="黑体" w:eastAsia="黑体" w:cs="宋体"/>
                <w:color w:val="auto"/>
                <w:sz w:val="21"/>
                <w:szCs w:val="21"/>
              </w:rPr>
              <w:t>⑤</w:t>
            </w:r>
            <w:r>
              <w:rPr>
                <w:rFonts w:hint="default" w:ascii="黑体" w:hAnsi="黑体" w:eastAsia="黑体"/>
                <w:snapToGrid w:val="0"/>
                <w:color w:val="auto"/>
                <w:spacing w:val="-16"/>
                <w:kern w:val="21"/>
                <w:sz w:val="21"/>
                <w:szCs w:val="21"/>
              </w:rPr>
              <w:fldChar w:fldCharType="end"/>
            </w:r>
          </w:p>
        </w:tc>
        <w:tc>
          <w:tcPr>
            <w:tcW w:w="1729" w:type="dxa"/>
            <w:tcMar>
              <w:left w:w="28" w:type="dxa"/>
              <w:right w:w="28" w:type="dxa"/>
            </w:tcMar>
            <w:vAlign w:val="center"/>
          </w:tcPr>
          <w:p w14:paraId="74791029">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16"/>
                <w:kern w:val="21"/>
                <w:sz w:val="21"/>
                <w:szCs w:val="21"/>
              </w:rPr>
            </w:pPr>
            <w:r>
              <w:rPr>
                <w:rFonts w:hint="default" w:ascii="黑体" w:hAnsi="黑体" w:eastAsia="黑体"/>
                <w:snapToGrid w:val="0"/>
                <w:color w:val="auto"/>
                <w:spacing w:val="-16"/>
                <w:kern w:val="21"/>
                <w:sz w:val="21"/>
                <w:szCs w:val="21"/>
              </w:rPr>
              <w:t>本项目建成后</w:t>
            </w:r>
          </w:p>
          <w:p w14:paraId="0AB88709">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16"/>
                <w:kern w:val="21"/>
                <w:sz w:val="21"/>
                <w:szCs w:val="21"/>
              </w:rPr>
            </w:pPr>
            <w:r>
              <w:rPr>
                <w:rFonts w:hint="eastAsia" w:ascii="黑体" w:hAnsi="黑体" w:eastAsia="黑体"/>
                <w:snapToGrid w:val="0"/>
                <w:color w:val="auto"/>
                <w:spacing w:val="-16"/>
                <w:kern w:val="21"/>
                <w:sz w:val="21"/>
                <w:szCs w:val="21"/>
              </w:rPr>
              <w:t>全厂</w:t>
            </w:r>
            <w:r>
              <w:rPr>
                <w:rFonts w:hint="default" w:ascii="黑体" w:hAnsi="黑体" w:eastAsia="黑体"/>
                <w:snapToGrid w:val="0"/>
                <w:color w:val="auto"/>
                <w:spacing w:val="-16"/>
                <w:kern w:val="21"/>
                <w:sz w:val="21"/>
                <w:szCs w:val="21"/>
              </w:rPr>
              <w:t>排放量（固</w:t>
            </w:r>
            <w:r>
              <w:rPr>
                <w:rFonts w:hint="eastAsia" w:ascii="黑体" w:hAnsi="黑体" w:eastAsia="黑体"/>
                <w:snapToGrid w:val="0"/>
                <w:color w:val="auto"/>
                <w:spacing w:val="-16"/>
                <w:kern w:val="21"/>
                <w:sz w:val="21"/>
                <w:szCs w:val="21"/>
              </w:rPr>
              <w:t>体</w:t>
            </w:r>
            <w:r>
              <w:rPr>
                <w:rFonts w:hint="default" w:ascii="黑体" w:hAnsi="黑体" w:eastAsia="黑体"/>
                <w:snapToGrid w:val="0"/>
                <w:color w:val="auto"/>
                <w:spacing w:val="-16"/>
                <w:kern w:val="21"/>
                <w:sz w:val="21"/>
                <w:szCs w:val="21"/>
              </w:rPr>
              <w:t>废</w:t>
            </w:r>
            <w:r>
              <w:rPr>
                <w:rFonts w:hint="eastAsia" w:ascii="黑体" w:hAnsi="黑体" w:eastAsia="黑体"/>
                <w:snapToGrid w:val="0"/>
                <w:color w:val="auto"/>
                <w:spacing w:val="-16"/>
                <w:kern w:val="21"/>
                <w:sz w:val="21"/>
                <w:szCs w:val="21"/>
              </w:rPr>
              <w:t>物</w:t>
            </w:r>
            <w:r>
              <w:rPr>
                <w:rFonts w:hint="default" w:ascii="黑体" w:hAnsi="黑体" w:eastAsia="黑体"/>
                <w:snapToGrid w:val="0"/>
                <w:color w:val="auto"/>
                <w:spacing w:val="-16"/>
                <w:kern w:val="21"/>
                <w:sz w:val="21"/>
                <w:szCs w:val="21"/>
              </w:rPr>
              <w:t>产生量）</w:t>
            </w:r>
            <w:r>
              <w:rPr>
                <w:rFonts w:hint="default" w:ascii="黑体" w:hAnsi="黑体" w:eastAsia="黑体"/>
                <w:snapToGrid w:val="0"/>
                <w:color w:val="auto"/>
                <w:spacing w:val="-16"/>
                <w:kern w:val="21"/>
                <w:sz w:val="21"/>
                <w:szCs w:val="21"/>
              </w:rPr>
              <w:fldChar w:fldCharType="begin"/>
            </w:r>
            <w:r>
              <w:rPr>
                <w:rFonts w:hint="default" w:ascii="黑体" w:hAnsi="黑体" w:eastAsia="黑体"/>
                <w:snapToGrid w:val="0"/>
                <w:color w:val="auto"/>
                <w:spacing w:val="-16"/>
                <w:kern w:val="21"/>
                <w:sz w:val="21"/>
                <w:szCs w:val="21"/>
              </w:rPr>
              <w:instrText xml:space="preserve"> = 6 \* GB3 \* MERGEFORMAT </w:instrText>
            </w:r>
            <w:r>
              <w:rPr>
                <w:rFonts w:hint="default" w:ascii="黑体" w:hAnsi="黑体" w:eastAsia="黑体"/>
                <w:snapToGrid w:val="0"/>
                <w:color w:val="auto"/>
                <w:spacing w:val="-16"/>
                <w:kern w:val="21"/>
                <w:sz w:val="21"/>
                <w:szCs w:val="21"/>
              </w:rPr>
              <w:fldChar w:fldCharType="separate"/>
            </w:r>
            <w:r>
              <w:rPr>
                <w:rFonts w:hint="eastAsia" w:ascii="黑体" w:hAnsi="黑体" w:eastAsia="黑体" w:cs="宋体"/>
                <w:color w:val="auto"/>
                <w:sz w:val="21"/>
                <w:szCs w:val="21"/>
              </w:rPr>
              <w:t>⑥</w:t>
            </w:r>
            <w:r>
              <w:rPr>
                <w:rFonts w:hint="default" w:ascii="黑体" w:hAnsi="黑体" w:eastAsia="黑体"/>
                <w:snapToGrid w:val="0"/>
                <w:color w:val="auto"/>
                <w:spacing w:val="-16"/>
                <w:kern w:val="21"/>
                <w:sz w:val="21"/>
                <w:szCs w:val="21"/>
              </w:rPr>
              <w:fldChar w:fldCharType="end"/>
            </w:r>
          </w:p>
        </w:tc>
        <w:tc>
          <w:tcPr>
            <w:tcW w:w="1418" w:type="dxa"/>
            <w:tcMar>
              <w:left w:w="28" w:type="dxa"/>
              <w:right w:w="28" w:type="dxa"/>
            </w:tcMar>
            <w:vAlign w:val="center"/>
          </w:tcPr>
          <w:p w14:paraId="42F56C37">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t>变化量</w:t>
            </w:r>
          </w:p>
          <w:p w14:paraId="19F3EF68">
            <w:pPr>
              <w:pStyle w:val="59"/>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auto"/>
                <w:spacing w:val="-6"/>
                <w:kern w:val="21"/>
                <w:sz w:val="21"/>
                <w:szCs w:val="21"/>
              </w:rPr>
            </w:pPr>
            <w:r>
              <w:rPr>
                <w:rFonts w:hint="default" w:ascii="黑体" w:hAnsi="黑体" w:eastAsia="黑体"/>
                <w:snapToGrid w:val="0"/>
                <w:color w:val="auto"/>
                <w:spacing w:val="-6"/>
                <w:kern w:val="21"/>
                <w:sz w:val="21"/>
                <w:szCs w:val="21"/>
              </w:rPr>
              <w:fldChar w:fldCharType="begin"/>
            </w:r>
            <w:r>
              <w:rPr>
                <w:rFonts w:hint="default" w:ascii="黑体" w:hAnsi="黑体" w:eastAsia="黑体"/>
                <w:snapToGrid w:val="0"/>
                <w:color w:val="auto"/>
                <w:spacing w:val="-6"/>
                <w:kern w:val="21"/>
                <w:sz w:val="21"/>
                <w:szCs w:val="21"/>
              </w:rPr>
              <w:instrText xml:space="preserve"> = 7 \* GB3 \* MERGEFORMAT </w:instrText>
            </w:r>
            <w:r>
              <w:rPr>
                <w:rFonts w:hint="default"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⑦</w:t>
            </w:r>
            <w:r>
              <w:rPr>
                <w:rFonts w:hint="default" w:ascii="黑体" w:hAnsi="黑体" w:eastAsia="黑体"/>
                <w:snapToGrid w:val="0"/>
                <w:color w:val="auto"/>
                <w:spacing w:val="-6"/>
                <w:kern w:val="21"/>
                <w:sz w:val="21"/>
                <w:szCs w:val="21"/>
              </w:rPr>
              <w:fldChar w:fldCharType="end"/>
            </w:r>
          </w:p>
        </w:tc>
      </w:tr>
      <w:tr w14:paraId="2AFC9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305" w:type="dxa"/>
            <w:vMerge w:val="restart"/>
            <w:vAlign w:val="center"/>
          </w:tcPr>
          <w:p w14:paraId="3FFCDC43">
            <w:pPr>
              <w:pStyle w:val="59"/>
              <w:keepNext w:val="0"/>
              <w:keepLines w:val="0"/>
              <w:suppressLineNumbers w:val="0"/>
              <w:spacing w:before="0" w:beforeLines="0" w:beforeAutospacing="0" w:after="0" w:afterLines="0" w:afterAutospacing="0" w:line="288" w:lineRule="auto"/>
              <w:ind w:left="0" w:right="0"/>
              <w:rPr>
                <w:rFonts w:hint="eastAsia" w:hAnsi="宋体" w:eastAsia="宋体" w:cs="宋体"/>
                <w:snapToGrid w:val="0"/>
                <w:color w:val="auto"/>
                <w:kern w:val="21"/>
                <w:sz w:val="21"/>
                <w:szCs w:val="21"/>
                <w:lang w:val="en-US" w:eastAsia="zh-CN"/>
              </w:rPr>
            </w:pPr>
            <w:r>
              <w:rPr>
                <w:rFonts w:hint="eastAsia" w:hAnsi="宋体" w:cs="宋体"/>
                <w:snapToGrid w:val="0"/>
                <w:color w:val="auto"/>
                <w:kern w:val="21"/>
                <w:sz w:val="21"/>
                <w:szCs w:val="21"/>
                <w:lang w:val="en-US" w:eastAsia="zh-CN"/>
              </w:rPr>
              <w:t>废气</w:t>
            </w:r>
          </w:p>
        </w:tc>
        <w:tc>
          <w:tcPr>
            <w:tcW w:w="2114" w:type="dxa"/>
            <w:vAlign w:val="center"/>
          </w:tcPr>
          <w:p w14:paraId="2E516422">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硫酸雾（无组织）</w:t>
            </w:r>
          </w:p>
        </w:tc>
        <w:tc>
          <w:tcPr>
            <w:tcW w:w="1408" w:type="dxa"/>
            <w:vAlign w:val="center"/>
          </w:tcPr>
          <w:p w14:paraId="48DFA1ED">
            <w:pPr>
              <w:pStyle w:val="59"/>
              <w:keepNext w:val="0"/>
              <w:keepLines w:val="0"/>
              <w:suppressLineNumbers w:val="0"/>
              <w:spacing w:before="0" w:beforeLines="0" w:beforeAutospacing="0" w:after="0" w:afterLines="0" w:afterAutospacing="0" w:line="288"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309" w:type="dxa"/>
            <w:vAlign w:val="center"/>
          </w:tcPr>
          <w:p w14:paraId="6C657344">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0A12AAA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1B65A958">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0.37kg/a</w:t>
            </w:r>
          </w:p>
        </w:tc>
        <w:tc>
          <w:tcPr>
            <w:tcW w:w="1808" w:type="dxa"/>
            <w:vAlign w:val="center"/>
          </w:tcPr>
          <w:p w14:paraId="602BEA84">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7DD01690">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0.37kg/a</w:t>
            </w:r>
          </w:p>
        </w:tc>
        <w:tc>
          <w:tcPr>
            <w:tcW w:w="1418" w:type="dxa"/>
            <w:vAlign w:val="center"/>
          </w:tcPr>
          <w:p w14:paraId="1AAF1B92">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+0.37kg/a</w:t>
            </w:r>
          </w:p>
        </w:tc>
      </w:tr>
      <w:tr w14:paraId="7D4A3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305" w:type="dxa"/>
            <w:vMerge w:val="continue"/>
            <w:vAlign w:val="center"/>
          </w:tcPr>
          <w:p w14:paraId="12B5B09B">
            <w:pPr>
              <w:pStyle w:val="59"/>
              <w:keepNext w:val="0"/>
              <w:keepLines w:val="0"/>
              <w:suppressLineNumbers w:val="0"/>
              <w:spacing w:before="0" w:beforeLines="0" w:beforeAutospacing="0" w:after="0" w:afterLines="0" w:afterAutospacing="0" w:line="288" w:lineRule="auto"/>
              <w:ind w:left="0" w:right="0"/>
              <w:rPr>
                <w:rFonts w:hint="eastAsia" w:hAnsi="宋体" w:cs="宋体"/>
                <w:snapToGrid w:val="0"/>
                <w:color w:val="auto"/>
                <w:kern w:val="21"/>
                <w:sz w:val="21"/>
                <w:szCs w:val="21"/>
              </w:rPr>
            </w:pPr>
          </w:p>
        </w:tc>
        <w:tc>
          <w:tcPr>
            <w:tcW w:w="2114" w:type="dxa"/>
            <w:vAlign w:val="center"/>
          </w:tcPr>
          <w:p w14:paraId="33271BB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HCl（无组织）</w:t>
            </w:r>
          </w:p>
        </w:tc>
        <w:tc>
          <w:tcPr>
            <w:tcW w:w="1408" w:type="dxa"/>
            <w:vAlign w:val="center"/>
          </w:tcPr>
          <w:p w14:paraId="79D9943D">
            <w:pPr>
              <w:pStyle w:val="59"/>
              <w:keepNext w:val="0"/>
              <w:keepLines w:val="0"/>
              <w:suppressLineNumbers w:val="0"/>
              <w:spacing w:before="0" w:beforeLines="0" w:beforeAutospacing="0" w:after="0" w:afterLines="0" w:afterAutospacing="0" w:line="288"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309" w:type="dxa"/>
            <w:vAlign w:val="center"/>
          </w:tcPr>
          <w:p w14:paraId="748A9813">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2AD58E44">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386FC50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0.60kg/a</w:t>
            </w:r>
          </w:p>
        </w:tc>
        <w:tc>
          <w:tcPr>
            <w:tcW w:w="1808" w:type="dxa"/>
            <w:vAlign w:val="center"/>
          </w:tcPr>
          <w:p w14:paraId="14B5D827">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0B90A8FB">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0.60kg/a</w:t>
            </w:r>
          </w:p>
        </w:tc>
        <w:tc>
          <w:tcPr>
            <w:tcW w:w="1418" w:type="dxa"/>
            <w:vAlign w:val="center"/>
          </w:tcPr>
          <w:p w14:paraId="3779A6A1">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+0.60kg/a</w:t>
            </w:r>
          </w:p>
        </w:tc>
      </w:tr>
      <w:tr w14:paraId="58AA2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05" w:type="dxa"/>
            <w:vMerge w:val="restart"/>
            <w:vAlign w:val="center"/>
          </w:tcPr>
          <w:p w14:paraId="3308D000">
            <w:pPr>
              <w:pStyle w:val="59"/>
              <w:keepNext w:val="0"/>
              <w:keepLines w:val="0"/>
              <w:suppressLineNumbers w:val="0"/>
              <w:spacing w:before="0" w:beforeLines="0" w:beforeAutospacing="0" w:after="0" w:afterLines="0" w:afterAutospacing="0" w:line="288" w:lineRule="auto"/>
              <w:ind w:left="0" w:right="0"/>
              <w:rPr>
                <w:rFonts w:hint="default" w:hAnsi="宋体" w:cs="宋体"/>
                <w:snapToGrid w:val="0"/>
                <w:color w:val="auto"/>
                <w:kern w:val="21"/>
                <w:sz w:val="21"/>
                <w:szCs w:val="21"/>
              </w:rPr>
            </w:pPr>
            <w:r>
              <w:rPr>
                <w:rFonts w:hint="eastAsia" w:hAnsi="宋体" w:cs="宋体"/>
                <w:snapToGrid w:val="0"/>
                <w:color w:val="auto"/>
                <w:kern w:val="21"/>
                <w:sz w:val="21"/>
                <w:szCs w:val="21"/>
              </w:rPr>
              <w:t>废水</w:t>
            </w:r>
          </w:p>
        </w:tc>
        <w:tc>
          <w:tcPr>
            <w:tcW w:w="2114" w:type="dxa"/>
            <w:vAlign w:val="center"/>
          </w:tcPr>
          <w:p w14:paraId="726E4753">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COD</w:t>
            </w:r>
          </w:p>
        </w:tc>
        <w:tc>
          <w:tcPr>
            <w:tcW w:w="1408" w:type="dxa"/>
            <w:vAlign w:val="center"/>
          </w:tcPr>
          <w:p w14:paraId="7213281C">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3.835t/a</w:t>
            </w:r>
          </w:p>
        </w:tc>
        <w:tc>
          <w:tcPr>
            <w:tcW w:w="1309" w:type="dxa"/>
            <w:vAlign w:val="center"/>
          </w:tcPr>
          <w:p w14:paraId="7910D492">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63A52A22">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78385B50">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2.522t/a</w:t>
            </w:r>
          </w:p>
        </w:tc>
        <w:tc>
          <w:tcPr>
            <w:tcW w:w="1808" w:type="dxa"/>
            <w:vAlign w:val="center"/>
          </w:tcPr>
          <w:p w14:paraId="239E0C7C">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221404C1">
            <w:pPr>
              <w:pStyle w:val="59"/>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6.357t/a</w:t>
            </w:r>
          </w:p>
        </w:tc>
        <w:tc>
          <w:tcPr>
            <w:tcW w:w="1418" w:type="dxa"/>
            <w:vAlign w:val="center"/>
          </w:tcPr>
          <w:p w14:paraId="21C9D22C">
            <w:pPr>
              <w:pStyle w:val="59"/>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+2.522t/a</w:t>
            </w:r>
          </w:p>
        </w:tc>
      </w:tr>
      <w:tr w14:paraId="774A8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305" w:type="dxa"/>
            <w:vMerge w:val="continue"/>
            <w:vAlign w:val="center"/>
          </w:tcPr>
          <w:p w14:paraId="0EA8BBBA">
            <w:pPr>
              <w:pStyle w:val="59"/>
              <w:keepNext w:val="0"/>
              <w:keepLines w:val="0"/>
              <w:suppressLineNumbers w:val="0"/>
              <w:spacing w:before="0" w:beforeLines="0" w:beforeAutospacing="0" w:after="0" w:afterLines="0" w:afterAutospacing="0" w:line="288" w:lineRule="auto"/>
              <w:ind w:left="0" w:right="0"/>
              <w:rPr>
                <w:rFonts w:hint="eastAsia" w:hAnsi="宋体" w:cs="宋体"/>
                <w:snapToGrid w:val="0"/>
                <w:color w:val="auto"/>
                <w:kern w:val="21"/>
                <w:sz w:val="21"/>
                <w:szCs w:val="21"/>
              </w:rPr>
            </w:pPr>
          </w:p>
        </w:tc>
        <w:tc>
          <w:tcPr>
            <w:tcW w:w="2114" w:type="dxa"/>
            <w:vAlign w:val="center"/>
          </w:tcPr>
          <w:p w14:paraId="15591AFD">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BOD</w:t>
            </w:r>
            <w:r>
              <w:rPr>
                <w:rFonts w:hint="eastAsia" w:ascii="Times New Roman" w:hAnsi="Times New Roman" w:cs="Times New Roman"/>
                <w:snapToGrid w:val="0"/>
                <w:color w:val="auto"/>
                <w:kern w:val="21"/>
                <w:sz w:val="21"/>
                <w:szCs w:val="21"/>
                <w:vertAlign w:val="subscript"/>
                <w:lang w:val="en-US" w:eastAsia="zh-CN"/>
              </w:rPr>
              <w:t>5</w:t>
            </w:r>
          </w:p>
        </w:tc>
        <w:tc>
          <w:tcPr>
            <w:tcW w:w="1408" w:type="dxa"/>
            <w:vAlign w:val="center"/>
          </w:tcPr>
          <w:p w14:paraId="70230768">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2.557t/a</w:t>
            </w:r>
          </w:p>
        </w:tc>
        <w:tc>
          <w:tcPr>
            <w:tcW w:w="1309" w:type="dxa"/>
            <w:vAlign w:val="center"/>
          </w:tcPr>
          <w:p w14:paraId="06C6DE50">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7790C7D0">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2AA41BF2">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1.676t/a</w:t>
            </w:r>
          </w:p>
        </w:tc>
        <w:tc>
          <w:tcPr>
            <w:tcW w:w="1808" w:type="dxa"/>
            <w:vAlign w:val="center"/>
          </w:tcPr>
          <w:p w14:paraId="4E510E35">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37175979">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4.233t/a</w:t>
            </w:r>
          </w:p>
        </w:tc>
        <w:tc>
          <w:tcPr>
            <w:tcW w:w="1418" w:type="dxa"/>
            <w:vAlign w:val="center"/>
          </w:tcPr>
          <w:p w14:paraId="6A29C1EF">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+1.676t/a</w:t>
            </w:r>
          </w:p>
        </w:tc>
      </w:tr>
      <w:tr w14:paraId="76A56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305" w:type="dxa"/>
            <w:vMerge w:val="continue"/>
            <w:vAlign w:val="center"/>
          </w:tcPr>
          <w:p w14:paraId="7C827CDD">
            <w:pPr>
              <w:pStyle w:val="59"/>
              <w:keepNext w:val="0"/>
              <w:keepLines w:val="0"/>
              <w:suppressLineNumbers w:val="0"/>
              <w:spacing w:before="0" w:beforeLines="0" w:beforeAutospacing="0" w:after="0" w:afterLines="0" w:afterAutospacing="0" w:line="288" w:lineRule="auto"/>
              <w:ind w:left="0" w:right="0"/>
              <w:rPr>
                <w:rFonts w:hint="eastAsia" w:hAnsi="宋体" w:cs="宋体"/>
                <w:snapToGrid w:val="0"/>
                <w:color w:val="auto"/>
                <w:kern w:val="21"/>
                <w:sz w:val="21"/>
                <w:szCs w:val="21"/>
              </w:rPr>
            </w:pPr>
          </w:p>
        </w:tc>
        <w:tc>
          <w:tcPr>
            <w:tcW w:w="2114" w:type="dxa"/>
            <w:vAlign w:val="center"/>
          </w:tcPr>
          <w:p w14:paraId="5EAC11C5">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SS</w:t>
            </w:r>
          </w:p>
        </w:tc>
        <w:tc>
          <w:tcPr>
            <w:tcW w:w="1408" w:type="dxa"/>
            <w:vAlign w:val="center"/>
          </w:tcPr>
          <w:p w14:paraId="3B250DF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3.197t/a</w:t>
            </w:r>
          </w:p>
        </w:tc>
        <w:tc>
          <w:tcPr>
            <w:tcW w:w="1309" w:type="dxa"/>
            <w:vAlign w:val="center"/>
          </w:tcPr>
          <w:p w14:paraId="5D2173E5">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075B3C22">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6715628D">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2.072t/a</w:t>
            </w:r>
          </w:p>
        </w:tc>
        <w:tc>
          <w:tcPr>
            <w:tcW w:w="1808" w:type="dxa"/>
            <w:vAlign w:val="center"/>
          </w:tcPr>
          <w:p w14:paraId="0F9023B6">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08ED44E2">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5.269t/a</w:t>
            </w:r>
          </w:p>
        </w:tc>
        <w:tc>
          <w:tcPr>
            <w:tcW w:w="1418" w:type="dxa"/>
            <w:vAlign w:val="center"/>
          </w:tcPr>
          <w:p w14:paraId="00662F17">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+2.072t/a</w:t>
            </w:r>
          </w:p>
        </w:tc>
      </w:tr>
      <w:tr w14:paraId="270D7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305" w:type="dxa"/>
            <w:vMerge w:val="continue"/>
            <w:vAlign w:val="center"/>
          </w:tcPr>
          <w:p w14:paraId="45A6FA78">
            <w:pPr>
              <w:pStyle w:val="59"/>
              <w:keepNext w:val="0"/>
              <w:keepLines w:val="0"/>
              <w:suppressLineNumbers w:val="0"/>
              <w:spacing w:before="0" w:beforeLines="0" w:beforeAutospacing="0" w:after="0" w:afterLines="0" w:afterAutospacing="0" w:line="288" w:lineRule="auto"/>
              <w:ind w:left="0" w:right="0"/>
              <w:rPr>
                <w:rFonts w:hint="eastAsia" w:hAnsi="宋体" w:cs="宋体"/>
                <w:snapToGrid w:val="0"/>
                <w:color w:val="auto"/>
                <w:kern w:val="21"/>
                <w:sz w:val="21"/>
                <w:szCs w:val="21"/>
              </w:rPr>
            </w:pPr>
          </w:p>
        </w:tc>
        <w:tc>
          <w:tcPr>
            <w:tcW w:w="2114" w:type="dxa"/>
            <w:vAlign w:val="center"/>
          </w:tcPr>
          <w:p w14:paraId="70BC5FB9">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氨氮</w:t>
            </w:r>
          </w:p>
        </w:tc>
        <w:tc>
          <w:tcPr>
            <w:tcW w:w="1408" w:type="dxa"/>
            <w:vAlign w:val="center"/>
          </w:tcPr>
          <w:p w14:paraId="4C656DA8">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0.320t/a</w:t>
            </w:r>
          </w:p>
        </w:tc>
        <w:tc>
          <w:tcPr>
            <w:tcW w:w="1309" w:type="dxa"/>
            <w:vAlign w:val="center"/>
          </w:tcPr>
          <w:p w14:paraId="12FD079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1915FBF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79302106">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0.222t/a</w:t>
            </w:r>
          </w:p>
        </w:tc>
        <w:tc>
          <w:tcPr>
            <w:tcW w:w="1808" w:type="dxa"/>
            <w:vAlign w:val="center"/>
          </w:tcPr>
          <w:p w14:paraId="5E1FECC4">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5F92794D">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0.542t/a</w:t>
            </w:r>
          </w:p>
        </w:tc>
        <w:tc>
          <w:tcPr>
            <w:tcW w:w="1418" w:type="dxa"/>
            <w:vAlign w:val="center"/>
          </w:tcPr>
          <w:p w14:paraId="53B24039">
            <w:pPr>
              <w:pStyle w:val="59"/>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+0.222t/a</w:t>
            </w:r>
          </w:p>
        </w:tc>
      </w:tr>
      <w:tr w14:paraId="63E4D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05" w:type="dxa"/>
            <w:vMerge w:val="restart"/>
            <w:vAlign w:val="center"/>
          </w:tcPr>
          <w:p w14:paraId="752D4046">
            <w:pPr>
              <w:pStyle w:val="59"/>
              <w:keepNext w:val="0"/>
              <w:keepLines w:val="0"/>
              <w:suppressLineNumbers w:val="0"/>
              <w:spacing w:before="0" w:beforeLines="0" w:beforeAutospacing="0" w:after="0" w:afterLines="0" w:afterAutospacing="0" w:line="288" w:lineRule="auto"/>
              <w:ind w:left="0" w:right="0"/>
              <w:rPr>
                <w:rFonts w:hint="default" w:hAnsi="宋体" w:cs="宋体"/>
                <w:snapToGrid w:val="0"/>
                <w:color w:val="auto"/>
                <w:kern w:val="21"/>
                <w:sz w:val="21"/>
                <w:szCs w:val="21"/>
              </w:rPr>
            </w:pPr>
            <w:r>
              <w:rPr>
                <w:rFonts w:hint="eastAsia" w:hAnsi="宋体" w:cs="宋体"/>
                <w:snapToGrid w:val="0"/>
                <w:color w:val="auto"/>
                <w:kern w:val="21"/>
                <w:sz w:val="21"/>
                <w:szCs w:val="21"/>
              </w:rPr>
              <w:t>一般工业</w:t>
            </w:r>
          </w:p>
          <w:p w14:paraId="4B5B7DE0">
            <w:pPr>
              <w:pStyle w:val="59"/>
              <w:keepNext w:val="0"/>
              <w:keepLines w:val="0"/>
              <w:suppressLineNumbers w:val="0"/>
              <w:spacing w:before="0" w:beforeLines="0" w:beforeAutospacing="0" w:after="0" w:afterLines="0" w:afterAutospacing="0" w:line="288" w:lineRule="auto"/>
              <w:ind w:left="0" w:right="0"/>
              <w:rPr>
                <w:rFonts w:hint="default" w:hAnsi="宋体" w:cs="宋体"/>
                <w:snapToGrid w:val="0"/>
                <w:color w:val="auto"/>
                <w:kern w:val="21"/>
                <w:sz w:val="21"/>
                <w:szCs w:val="21"/>
              </w:rPr>
            </w:pPr>
            <w:r>
              <w:rPr>
                <w:rFonts w:hint="eastAsia" w:hAnsi="宋体" w:cs="宋体"/>
                <w:snapToGrid w:val="0"/>
                <w:color w:val="auto"/>
                <w:kern w:val="21"/>
                <w:sz w:val="21"/>
                <w:szCs w:val="21"/>
              </w:rPr>
              <w:t>固体废物</w:t>
            </w:r>
          </w:p>
        </w:tc>
        <w:tc>
          <w:tcPr>
            <w:tcW w:w="2114" w:type="dxa"/>
            <w:vAlign w:val="center"/>
          </w:tcPr>
          <w:p w14:paraId="5770D29B">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生活垃圾</w:t>
            </w:r>
          </w:p>
        </w:tc>
        <w:tc>
          <w:tcPr>
            <w:tcW w:w="1408" w:type="dxa"/>
            <w:vAlign w:val="center"/>
          </w:tcPr>
          <w:p w14:paraId="2B788B4E">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210.81t/a</w:t>
            </w:r>
          </w:p>
        </w:tc>
        <w:tc>
          <w:tcPr>
            <w:tcW w:w="1309" w:type="dxa"/>
            <w:vAlign w:val="center"/>
          </w:tcPr>
          <w:p w14:paraId="113CCF1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52F390E0">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375C53E6">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126.74t/a</w:t>
            </w:r>
          </w:p>
        </w:tc>
        <w:tc>
          <w:tcPr>
            <w:tcW w:w="1808" w:type="dxa"/>
            <w:vAlign w:val="center"/>
          </w:tcPr>
          <w:p w14:paraId="585D8F2C">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167B93E2">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337.55t/a</w:t>
            </w:r>
          </w:p>
        </w:tc>
        <w:tc>
          <w:tcPr>
            <w:tcW w:w="1418" w:type="dxa"/>
            <w:vAlign w:val="center"/>
          </w:tcPr>
          <w:p w14:paraId="104F0E3B">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+126.74t/a</w:t>
            </w:r>
          </w:p>
        </w:tc>
      </w:tr>
      <w:tr w14:paraId="6A4C8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305" w:type="dxa"/>
            <w:vMerge w:val="continue"/>
            <w:vAlign w:val="center"/>
          </w:tcPr>
          <w:p w14:paraId="104841DC">
            <w:pPr>
              <w:pStyle w:val="59"/>
              <w:keepNext w:val="0"/>
              <w:keepLines w:val="0"/>
              <w:suppressLineNumbers w:val="0"/>
              <w:spacing w:before="0" w:beforeLines="0" w:beforeAutospacing="0" w:after="0" w:afterLines="0" w:afterAutospacing="0" w:line="288" w:lineRule="auto"/>
              <w:ind w:left="0" w:right="0"/>
              <w:rPr>
                <w:rFonts w:hint="default" w:hAnsi="宋体" w:cs="宋体"/>
                <w:snapToGrid w:val="0"/>
                <w:color w:val="auto"/>
                <w:kern w:val="21"/>
                <w:sz w:val="21"/>
                <w:szCs w:val="21"/>
              </w:rPr>
            </w:pPr>
          </w:p>
        </w:tc>
        <w:tc>
          <w:tcPr>
            <w:tcW w:w="2114" w:type="dxa"/>
            <w:vAlign w:val="center"/>
          </w:tcPr>
          <w:p w14:paraId="12233B82">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废纸箱、破碎仪器等</w:t>
            </w:r>
          </w:p>
        </w:tc>
        <w:tc>
          <w:tcPr>
            <w:tcW w:w="1408" w:type="dxa"/>
            <w:vAlign w:val="center"/>
          </w:tcPr>
          <w:p w14:paraId="3F2CEAD7">
            <w:pPr>
              <w:pStyle w:val="59"/>
              <w:keepNext w:val="0"/>
              <w:keepLines w:val="0"/>
              <w:suppressLineNumbers w:val="0"/>
              <w:spacing w:before="0" w:beforeLines="0" w:beforeAutospacing="0" w:after="0" w:afterLines="0" w:afterAutospacing="0" w:line="288"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309" w:type="dxa"/>
            <w:vAlign w:val="center"/>
          </w:tcPr>
          <w:p w14:paraId="2789060E">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3BE92B8C">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068C5A94">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0.5t/a</w:t>
            </w:r>
          </w:p>
        </w:tc>
        <w:tc>
          <w:tcPr>
            <w:tcW w:w="1808" w:type="dxa"/>
            <w:vAlign w:val="center"/>
          </w:tcPr>
          <w:p w14:paraId="0BA57165">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670C7146">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0.5t/a</w:t>
            </w:r>
          </w:p>
        </w:tc>
        <w:tc>
          <w:tcPr>
            <w:tcW w:w="1418" w:type="dxa"/>
            <w:vAlign w:val="center"/>
          </w:tcPr>
          <w:p w14:paraId="08C9D8AB">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+0.5t/a</w:t>
            </w:r>
          </w:p>
        </w:tc>
      </w:tr>
      <w:tr w14:paraId="2D125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05" w:type="dxa"/>
            <w:vMerge w:val="continue"/>
            <w:vAlign w:val="center"/>
          </w:tcPr>
          <w:p w14:paraId="1C4C0FEB">
            <w:pPr>
              <w:pStyle w:val="59"/>
              <w:keepNext w:val="0"/>
              <w:keepLines w:val="0"/>
              <w:suppressLineNumbers w:val="0"/>
              <w:spacing w:before="0" w:beforeLines="0" w:beforeAutospacing="0" w:after="0" w:afterLines="0" w:afterAutospacing="0" w:line="288" w:lineRule="auto"/>
              <w:ind w:left="0" w:right="0"/>
              <w:rPr>
                <w:rFonts w:hint="default" w:hAnsi="宋体" w:cs="宋体"/>
                <w:snapToGrid w:val="0"/>
                <w:color w:val="auto"/>
                <w:kern w:val="21"/>
                <w:sz w:val="21"/>
                <w:szCs w:val="21"/>
              </w:rPr>
            </w:pPr>
          </w:p>
        </w:tc>
        <w:tc>
          <w:tcPr>
            <w:tcW w:w="2114" w:type="dxa"/>
            <w:vAlign w:val="center"/>
          </w:tcPr>
          <w:p w14:paraId="58BB99B2">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实验废液</w:t>
            </w:r>
          </w:p>
        </w:tc>
        <w:tc>
          <w:tcPr>
            <w:tcW w:w="1408" w:type="dxa"/>
            <w:vAlign w:val="center"/>
          </w:tcPr>
          <w:p w14:paraId="65943F88">
            <w:pPr>
              <w:pStyle w:val="59"/>
              <w:keepNext w:val="0"/>
              <w:keepLines w:val="0"/>
              <w:suppressLineNumbers w:val="0"/>
              <w:spacing w:before="0" w:beforeLines="0" w:beforeAutospacing="0" w:after="0" w:afterLines="0" w:afterAutospacing="0" w:line="288"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309" w:type="dxa"/>
            <w:vAlign w:val="center"/>
          </w:tcPr>
          <w:p w14:paraId="730FEBD7">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564AF17F">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7DBD0FA5">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0.020t/a</w:t>
            </w:r>
          </w:p>
        </w:tc>
        <w:tc>
          <w:tcPr>
            <w:tcW w:w="1808" w:type="dxa"/>
            <w:vAlign w:val="center"/>
          </w:tcPr>
          <w:p w14:paraId="35C2C969">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21741870">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0.020t/a</w:t>
            </w:r>
          </w:p>
        </w:tc>
        <w:tc>
          <w:tcPr>
            <w:tcW w:w="1418" w:type="dxa"/>
            <w:vAlign w:val="center"/>
          </w:tcPr>
          <w:p w14:paraId="74142389">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+0.020t/a</w:t>
            </w:r>
          </w:p>
        </w:tc>
      </w:tr>
      <w:tr w14:paraId="1CC1A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05" w:type="dxa"/>
            <w:vMerge w:val="continue"/>
            <w:vAlign w:val="center"/>
          </w:tcPr>
          <w:p w14:paraId="388A5A7C">
            <w:pPr>
              <w:pStyle w:val="59"/>
              <w:keepNext w:val="0"/>
              <w:keepLines w:val="0"/>
              <w:suppressLineNumbers w:val="0"/>
              <w:spacing w:before="0" w:beforeLines="0" w:beforeAutospacing="0" w:after="0" w:afterLines="0" w:afterAutospacing="0" w:line="288" w:lineRule="auto"/>
              <w:ind w:left="0" w:right="0"/>
              <w:rPr>
                <w:rFonts w:hint="default" w:hAnsi="宋体" w:cs="宋体"/>
                <w:snapToGrid w:val="0"/>
                <w:color w:val="auto"/>
                <w:kern w:val="21"/>
                <w:sz w:val="21"/>
                <w:szCs w:val="21"/>
              </w:rPr>
            </w:pPr>
          </w:p>
        </w:tc>
        <w:tc>
          <w:tcPr>
            <w:tcW w:w="2114" w:type="dxa"/>
            <w:vAlign w:val="center"/>
          </w:tcPr>
          <w:p w14:paraId="5C18E9B8">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废实验用品</w:t>
            </w:r>
          </w:p>
        </w:tc>
        <w:tc>
          <w:tcPr>
            <w:tcW w:w="1408" w:type="dxa"/>
            <w:vAlign w:val="center"/>
          </w:tcPr>
          <w:p w14:paraId="212C97EE">
            <w:pPr>
              <w:pStyle w:val="59"/>
              <w:keepNext w:val="0"/>
              <w:keepLines w:val="0"/>
              <w:suppressLineNumbers w:val="0"/>
              <w:spacing w:before="0" w:beforeLines="0" w:beforeAutospacing="0" w:after="0" w:afterLines="0" w:afterAutospacing="0" w:line="288"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309" w:type="dxa"/>
            <w:vAlign w:val="center"/>
          </w:tcPr>
          <w:p w14:paraId="0B658655">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45" w:type="dxa"/>
            <w:vAlign w:val="center"/>
          </w:tcPr>
          <w:p w14:paraId="415EFCFB">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600" w:type="dxa"/>
            <w:vAlign w:val="center"/>
          </w:tcPr>
          <w:p w14:paraId="365A0DFF">
            <w:pPr>
              <w:keepNext w:val="0"/>
              <w:keepLines w:val="0"/>
              <w:suppressLineNumbers w:val="0"/>
              <w:spacing w:before="0" w:beforeAutospacing="0" w:after="0" w:afterAutospacing="0" w:line="288" w:lineRule="auto"/>
              <w:ind w:left="0" w:right="0"/>
              <w:jc w:val="center"/>
              <w:rPr>
                <w:rFonts w:hint="default" w:eastAsia="宋体"/>
                <w:color w:val="auto"/>
                <w:sz w:val="21"/>
                <w:szCs w:val="21"/>
                <w:lang w:val="en-US" w:eastAsia="zh-CN"/>
              </w:rPr>
            </w:pPr>
            <w:r>
              <w:rPr>
                <w:rFonts w:hint="eastAsia"/>
                <w:color w:val="auto"/>
                <w:sz w:val="21"/>
                <w:szCs w:val="21"/>
                <w:lang w:val="en-US" w:eastAsia="zh-CN"/>
              </w:rPr>
              <w:t>0.01t/a</w:t>
            </w:r>
          </w:p>
        </w:tc>
        <w:tc>
          <w:tcPr>
            <w:tcW w:w="1808" w:type="dxa"/>
            <w:vAlign w:val="center"/>
          </w:tcPr>
          <w:p w14:paraId="66E58374">
            <w:pPr>
              <w:pStyle w:val="59"/>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auto"/>
                <w:kern w:val="21"/>
                <w:sz w:val="21"/>
                <w:szCs w:val="21"/>
              </w:rPr>
            </w:pPr>
          </w:p>
        </w:tc>
        <w:tc>
          <w:tcPr>
            <w:tcW w:w="1729" w:type="dxa"/>
            <w:vAlign w:val="center"/>
          </w:tcPr>
          <w:p w14:paraId="72865D13">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0.01t/a</w:t>
            </w:r>
          </w:p>
        </w:tc>
        <w:tc>
          <w:tcPr>
            <w:tcW w:w="1418" w:type="dxa"/>
            <w:vAlign w:val="center"/>
          </w:tcPr>
          <w:p w14:paraId="07F3E6AE">
            <w:pPr>
              <w:keepNext w:val="0"/>
              <w:keepLines w:val="0"/>
              <w:suppressLineNumbers w:val="0"/>
              <w:spacing w:before="0" w:beforeAutospacing="0" w:after="0" w:afterAutospacing="0" w:line="288" w:lineRule="auto"/>
              <w:ind w:left="0" w:leftChars="0" w:right="0" w:rightChars="0"/>
              <w:jc w:val="center"/>
              <w:rPr>
                <w:rFonts w:hint="default"/>
                <w:color w:val="auto"/>
                <w:sz w:val="21"/>
                <w:szCs w:val="21"/>
              </w:rPr>
            </w:pPr>
            <w:r>
              <w:rPr>
                <w:rFonts w:hint="eastAsia"/>
                <w:color w:val="auto"/>
                <w:sz w:val="21"/>
                <w:szCs w:val="21"/>
                <w:lang w:val="en-US" w:eastAsia="zh-CN"/>
              </w:rPr>
              <w:t>+0.01t/a</w:t>
            </w:r>
          </w:p>
        </w:tc>
      </w:tr>
    </w:tbl>
    <w:p w14:paraId="72A08DA5">
      <w:pPr>
        <w:spacing w:line="240" w:lineRule="auto"/>
        <w:ind w:firstLine="1260" w:firstLineChars="600"/>
        <w:jc w:val="left"/>
        <w:rPr>
          <w:rFonts w:hint="default"/>
          <w:color w:val="auto"/>
          <w:lang w:val="en-US" w:eastAsia="zh-CN"/>
        </w:rPr>
      </w:pPr>
      <w:r>
        <w:rPr>
          <w:snapToGrid w:val="0"/>
          <w:color w:val="auto"/>
          <w:kern w:val="21"/>
          <w:sz w:val="21"/>
        </w:rPr>
        <w:t>注：</w:t>
      </w:r>
      <w:r>
        <w:rPr>
          <w:snapToGrid w:val="0"/>
          <w:color w:val="auto"/>
          <w:spacing w:val="-16"/>
          <w:kern w:val="21"/>
          <w:sz w:val="21"/>
        </w:rPr>
        <w:fldChar w:fldCharType="begin"/>
      </w:r>
      <w:r>
        <w:rPr>
          <w:snapToGrid w:val="0"/>
          <w:color w:val="auto"/>
          <w:spacing w:val="-16"/>
          <w:kern w:val="21"/>
          <w:sz w:val="21"/>
        </w:rPr>
        <w:instrText xml:space="preserve"> = 6 \* GB3 \* MERGEFORMAT </w:instrText>
      </w:r>
      <w:r>
        <w:rPr>
          <w:snapToGrid w:val="0"/>
          <w:color w:val="auto"/>
          <w:spacing w:val="-16"/>
          <w:kern w:val="21"/>
          <w:sz w:val="21"/>
        </w:rPr>
        <w:fldChar w:fldCharType="separate"/>
      </w:r>
      <w:r>
        <w:rPr>
          <w:rFonts w:ascii="宋体"/>
          <w:color w:val="auto"/>
          <w:kern w:val="0"/>
          <w:sz w:val="21"/>
        </w:rPr>
        <w:t>⑥</w:t>
      </w:r>
      <w:r>
        <w:rPr>
          <w:snapToGrid w:val="0"/>
          <w:color w:val="auto"/>
          <w:spacing w:val="-16"/>
          <w:kern w:val="21"/>
          <w:sz w:val="21"/>
        </w:rPr>
        <w:fldChar w:fldCharType="end"/>
      </w:r>
      <w:r>
        <w:rPr>
          <w:snapToGrid w:val="0"/>
          <w:color w:val="auto"/>
          <w:spacing w:val="-16"/>
          <w:kern w:val="21"/>
          <w:sz w:val="21"/>
        </w:rPr>
        <w:t>=</w:t>
      </w:r>
      <w:r>
        <w:rPr>
          <w:snapToGrid w:val="0"/>
          <w:color w:val="auto"/>
          <w:spacing w:val="-6"/>
          <w:kern w:val="21"/>
          <w:sz w:val="21"/>
        </w:rPr>
        <w:fldChar w:fldCharType="begin"/>
      </w:r>
      <w:r>
        <w:rPr>
          <w:snapToGrid w:val="0"/>
          <w:color w:val="auto"/>
          <w:spacing w:val="-6"/>
          <w:kern w:val="21"/>
          <w:sz w:val="21"/>
        </w:rPr>
        <w:instrText xml:space="preserve"> = 1 \* GB3 \* MERGEFORMAT </w:instrText>
      </w:r>
      <w:r>
        <w:rPr>
          <w:snapToGrid w:val="0"/>
          <w:color w:val="auto"/>
          <w:spacing w:val="-6"/>
          <w:kern w:val="21"/>
          <w:sz w:val="21"/>
        </w:rPr>
        <w:fldChar w:fldCharType="separate"/>
      </w:r>
      <w:r>
        <w:rPr>
          <w:rFonts w:ascii="宋体"/>
          <w:color w:val="auto"/>
          <w:kern w:val="0"/>
          <w:sz w:val="21"/>
        </w:rPr>
        <w:t>①</w:t>
      </w:r>
      <w:r>
        <w:rPr>
          <w:snapToGrid w:val="0"/>
          <w:color w:val="auto"/>
          <w:spacing w:val="-6"/>
          <w:kern w:val="21"/>
          <w:sz w:val="21"/>
        </w:rPr>
        <w:fldChar w:fldCharType="end"/>
      </w:r>
      <w:r>
        <w:rPr>
          <w:snapToGrid w:val="0"/>
          <w:color w:val="auto"/>
          <w:spacing w:val="-6"/>
          <w:kern w:val="21"/>
          <w:sz w:val="21"/>
        </w:rPr>
        <w:t>+</w:t>
      </w:r>
      <w:r>
        <w:rPr>
          <w:snapToGrid w:val="0"/>
          <w:color w:val="auto"/>
          <w:spacing w:val="-6"/>
          <w:kern w:val="21"/>
          <w:sz w:val="21"/>
        </w:rPr>
        <w:fldChar w:fldCharType="begin"/>
      </w:r>
      <w:r>
        <w:rPr>
          <w:snapToGrid w:val="0"/>
          <w:color w:val="auto"/>
          <w:spacing w:val="-6"/>
          <w:kern w:val="21"/>
          <w:sz w:val="21"/>
        </w:rPr>
        <w:instrText xml:space="preserve"> = 3 \* GB3 \* MERGEFORMAT </w:instrText>
      </w:r>
      <w:r>
        <w:rPr>
          <w:snapToGrid w:val="0"/>
          <w:color w:val="auto"/>
          <w:spacing w:val="-6"/>
          <w:kern w:val="21"/>
          <w:sz w:val="21"/>
        </w:rPr>
        <w:fldChar w:fldCharType="separate"/>
      </w:r>
      <w:r>
        <w:rPr>
          <w:rFonts w:ascii="宋体"/>
          <w:color w:val="auto"/>
          <w:kern w:val="0"/>
          <w:sz w:val="21"/>
        </w:rPr>
        <w:t>③</w:t>
      </w:r>
      <w:r>
        <w:rPr>
          <w:snapToGrid w:val="0"/>
          <w:color w:val="auto"/>
          <w:spacing w:val="-6"/>
          <w:kern w:val="21"/>
          <w:sz w:val="21"/>
        </w:rPr>
        <w:fldChar w:fldCharType="end"/>
      </w:r>
      <w:r>
        <w:rPr>
          <w:snapToGrid w:val="0"/>
          <w:color w:val="auto"/>
          <w:spacing w:val="-6"/>
          <w:kern w:val="21"/>
          <w:sz w:val="21"/>
        </w:rPr>
        <w:t>+</w:t>
      </w:r>
      <w:r>
        <w:rPr>
          <w:snapToGrid w:val="0"/>
          <w:color w:val="auto"/>
          <w:spacing w:val="-6"/>
          <w:kern w:val="21"/>
          <w:sz w:val="21"/>
        </w:rPr>
        <w:fldChar w:fldCharType="begin"/>
      </w:r>
      <w:r>
        <w:rPr>
          <w:snapToGrid w:val="0"/>
          <w:color w:val="auto"/>
          <w:spacing w:val="-6"/>
          <w:kern w:val="21"/>
          <w:sz w:val="21"/>
        </w:rPr>
        <w:instrText xml:space="preserve"> = 4 \* GB3 \* MERGEFORMAT </w:instrText>
      </w:r>
      <w:r>
        <w:rPr>
          <w:snapToGrid w:val="0"/>
          <w:color w:val="auto"/>
          <w:spacing w:val="-6"/>
          <w:kern w:val="21"/>
          <w:sz w:val="21"/>
        </w:rPr>
        <w:fldChar w:fldCharType="separate"/>
      </w:r>
      <w:r>
        <w:rPr>
          <w:rFonts w:ascii="宋体"/>
          <w:color w:val="auto"/>
          <w:kern w:val="0"/>
          <w:sz w:val="21"/>
        </w:rPr>
        <w:t>④</w:t>
      </w:r>
      <w:r>
        <w:rPr>
          <w:snapToGrid w:val="0"/>
          <w:color w:val="auto"/>
          <w:spacing w:val="-6"/>
          <w:kern w:val="21"/>
          <w:sz w:val="21"/>
        </w:rPr>
        <w:fldChar w:fldCharType="end"/>
      </w:r>
      <w:r>
        <w:rPr>
          <w:snapToGrid w:val="0"/>
          <w:color w:val="auto"/>
          <w:spacing w:val="-6"/>
          <w:kern w:val="21"/>
          <w:sz w:val="21"/>
        </w:rPr>
        <w:t>-</w:t>
      </w:r>
      <w:r>
        <w:rPr>
          <w:snapToGrid w:val="0"/>
          <w:color w:val="auto"/>
          <w:spacing w:val="-16"/>
          <w:kern w:val="21"/>
          <w:sz w:val="21"/>
        </w:rPr>
        <w:fldChar w:fldCharType="begin"/>
      </w:r>
      <w:r>
        <w:rPr>
          <w:snapToGrid w:val="0"/>
          <w:color w:val="auto"/>
          <w:spacing w:val="-16"/>
          <w:kern w:val="21"/>
          <w:sz w:val="21"/>
        </w:rPr>
        <w:instrText xml:space="preserve"> = 5 \* GB3 \* MERGEFORMAT </w:instrText>
      </w:r>
      <w:r>
        <w:rPr>
          <w:snapToGrid w:val="0"/>
          <w:color w:val="auto"/>
          <w:spacing w:val="-16"/>
          <w:kern w:val="21"/>
          <w:sz w:val="21"/>
        </w:rPr>
        <w:fldChar w:fldCharType="separate"/>
      </w:r>
      <w:r>
        <w:rPr>
          <w:rFonts w:ascii="宋体"/>
          <w:color w:val="auto"/>
          <w:kern w:val="0"/>
          <w:sz w:val="21"/>
        </w:rPr>
        <w:t>⑤</w:t>
      </w:r>
      <w:r>
        <w:rPr>
          <w:snapToGrid w:val="0"/>
          <w:color w:val="auto"/>
          <w:spacing w:val="-16"/>
          <w:kern w:val="21"/>
          <w:sz w:val="21"/>
        </w:rPr>
        <w:fldChar w:fldCharType="end"/>
      </w:r>
      <w:r>
        <w:rPr>
          <w:snapToGrid w:val="0"/>
          <w:color w:val="auto"/>
          <w:spacing w:val="-16"/>
          <w:kern w:val="21"/>
          <w:sz w:val="21"/>
        </w:rPr>
        <w:t>；</w:t>
      </w:r>
      <w:r>
        <w:rPr>
          <w:snapToGrid w:val="0"/>
          <w:color w:val="auto"/>
          <w:spacing w:val="-6"/>
          <w:kern w:val="21"/>
          <w:sz w:val="21"/>
        </w:rPr>
        <w:fldChar w:fldCharType="begin"/>
      </w:r>
      <w:r>
        <w:rPr>
          <w:snapToGrid w:val="0"/>
          <w:color w:val="auto"/>
          <w:spacing w:val="-6"/>
          <w:kern w:val="21"/>
          <w:sz w:val="21"/>
        </w:rPr>
        <w:instrText xml:space="preserve"> = 7 \* GB3 \* MERGEFORMAT </w:instrText>
      </w:r>
      <w:r>
        <w:rPr>
          <w:snapToGrid w:val="0"/>
          <w:color w:val="auto"/>
          <w:spacing w:val="-6"/>
          <w:kern w:val="21"/>
          <w:sz w:val="21"/>
        </w:rPr>
        <w:fldChar w:fldCharType="separate"/>
      </w:r>
      <w:r>
        <w:rPr>
          <w:rFonts w:ascii="宋体"/>
          <w:color w:val="auto"/>
          <w:kern w:val="0"/>
          <w:sz w:val="21"/>
        </w:rPr>
        <w:t>⑦</w:t>
      </w:r>
      <w:r>
        <w:rPr>
          <w:snapToGrid w:val="0"/>
          <w:color w:val="auto"/>
          <w:spacing w:val="-6"/>
          <w:kern w:val="21"/>
          <w:sz w:val="21"/>
        </w:rPr>
        <w:fldChar w:fldCharType="end"/>
      </w:r>
      <w:r>
        <w:rPr>
          <w:snapToGrid w:val="0"/>
          <w:color w:val="auto"/>
          <w:spacing w:val="-6"/>
          <w:kern w:val="21"/>
          <w:sz w:val="21"/>
        </w:rPr>
        <w:t>=</w:t>
      </w:r>
      <w:r>
        <w:rPr>
          <w:snapToGrid w:val="0"/>
          <w:color w:val="auto"/>
          <w:spacing w:val="-16"/>
          <w:kern w:val="21"/>
          <w:sz w:val="21"/>
        </w:rPr>
        <w:fldChar w:fldCharType="begin"/>
      </w:r>
      <w:r>
        <w:rPr>
          <w:snapToGrid w:val="0"/>
          <w:color w:val="auto"/>
          <w:spacing w:val="-16"/>
          <w:kern w:val="21"/>
          <w:sz w:val="21"/>
        </w:rPr>
        <w:instrText xml:space="preserve"> = 6 \* GB3 \* MERGEFORMAT </w:instrText>
      </w:r>
      <w:r>
        <w:rPr>
          <w:snapToGrid w:val="0"/>
          <w:color w:val="auto"/>
          <w:spacing w:val="-16"/>
          <w:kern w:val="21"/>
          <w:sz w:val="21"/>
        </w:rPr>
        <w:fldChar w:fldCharType="separate"/>
      </w:r>
      <w:r>
        <w:rPr>
          <w:rFonts w:ascii="宋体"/>
          <w:color w:val="auto"/>
          <w:kern w:val="0"/>
          <w:sz w:val="21"/>
        </w:rPr>
        <w:t>⑥</w:t>
      </w:r>
      <w:r>
        <w:rPr>
          <w:snapToGrid w:val="0"/>
          <w:color w:val="auto"/>
          <w:spacing w:val="-16"/>
          <w:kern w:val="21"/>
          <w:sz w:val="21"/>
        </w:rPr>
        <w:fldChar w:fldCharType="end"/>
      </w:r>
      <w:r>
        <w:rPr>
          <w:snapToGrid w:val="0"/>
          <w:color w:val="auto"/>
          <w:spacing w:val="-16"/>
          <w:kern w:val="21"/>
          <w:sz w:val="21"/>
        </w:rPr>
        <w:t>-</w:t>
      </w:r>
      <w:r>
        <w:rPr>
          <w:snapToGrid w:val="0"/>
          <w:color w:val="auto"/>
          <w:spacing w:val="-6"/>
          <w:kern w:val="21"/>
          <w:sz w:val="21"/>
        </w:rPr>
        <w:fldChar w:fldCharType="begin"/>
      </w:r>
      <w:r>
        <w:rPr>
          <w:snapToGrid w:val="0"/>
          <w:color w:val="auto"/>
          <w:spacing w:val="-6"/>
          <w:kern w:val="21"/>
          <w:sz w:val="21"/>
        </w:rPr>
        <w:instrText xml:space="preserve"> = 1 \* GB3 \* MERGEFORMAT </w:instrText>
      </w:r>
      <w:r>
        <w:rPr>
          <w:snapToGrid w:val="0"/>
          <w:color w:val="auto"/>
          <w:spacing w:val="-6"/>
          <w:kern w:val="21"/>
          <w:sz w:val="21"/>
        </w:rPr>
        <w:fldChar w:fldCharType="separate"/>
      </w:r>
      <w:r>
        <w:rPr>
          <w:rFonts w:ascii="宋体"/>
          <w:color w:val="auto"/>
          <w:kern w:val="0"/>
          <w:sz w:val="21"/>
        </w:rPr>
        <w:t>①</w:t>
      </w:r>
      <w:r>
        <w:rPr>
          <w:snapToGrid w:val="0"/>
          <w:color w:val="auto"/>
          <w:spacing w:val="-6"/>
          <w:kern w:val="21"/>
          <w:sz w:val="21"/>
        </w:rPr>
        <w:fldChar w:fldCharType="end"/>
      </w:r>
    </w:p>
    <w:sectPr>
      <w:headerReference r:id="rId9" w:type="default"/>
      <w:footerReference r:id="rId10" w:type="default"/>
      <w:pgSz w:w="16838" w:h="11906" w:orient="landscape"/>
      <w:pgMar w:top="0" w:right="0" w:bottom="0" w:left="0" w:header="0" w:footer="0" w:gutter="0"/>
      <w:pgBorders>
        <w:top w:val="none" w:sz="0" w:space="0"/>
        <w:left w:val="none" w:sz="0" w:space="0"/>
        <w:bottom w:val="none" w:sz="0" w:space="0"/>
        <w:right w:val="none" w:sz="0" w:space="0"/>
      </w:pgBorders>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4B67B6-E9B0-4250-B9FB-5A145F7B3542}"/>
  </w:font>
  <w:font w:name="黑体">
    <w:panose1 w:val="02010609060101010101"/>
    <w:charset w:val="86"/>
    <w:family w:val="auto"/>
    <w:pitch w:val="default"/>
    <w:sig w:usb0="800002BF" w:usb1="38CF7CFA" w:usb2="00000016" w:usb3="00000000" w:csb0="00040001" w:csb1="00000000"/>
    <w:embedRegular r:id="rId2" w:fontKey="{A559C1C9-3168-4A0C-A9F0-48E627CE44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8A94D820-D98E-48C4-BABC-EC5A4A943F98}"/>
  </w:font>
  <w:font w:name="等线 Light">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A6A12B7-F3DE-4030-B2A7-BDD899A4BFFE}"/>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5" w:fontKey="{147FB48B-B716-4995-B71F-0BA3B1F93AB4}"/>
  </w:font>
  <w:font w:name="楷体_GB2312">
    <w:panose1 w:val="02010609030101010101"/>
    <w:charset w:val="86"/>
    <w:family w:val="modern"/>
    <w:pitch w:val="default"/>
    <w:sig w:usb0="00000001" w:usb1="080E0000" w:usb2="00000000" w:usb3="00000000" w:csb0="00040000" w:csb1="00000000"/>
    <w:embedRegular r:id="rId6" w:fontKey="{40C625E5-3208-4B70-8771-5856524D46B4}"/>
  </w:font>
  <w:font w:name="华文楷体">
    <w:panose1 w:val="02010600040101010101"/>
    <w:charset w:val="86"/>
    <w:family w:val="auto"/>
    <w:pitch w:val="default"/>
    <w:sig w:usb0="00000287" w:usb1="080F0000" w:usb2="00000000" w:usb3="00000000" w:csb0="0004009F" w:csb1="DFD70000"/>
    <w:embedRegular r:id="rId7" w:fontKey="{661DAF9B-06DE-4515-9BDF-B53E102AB6BB}"/>
  </w:font>
  <w:font w:name="Wingdings 2">
    <w:panose1 w:val="05020102010507070707"/>
    <w:charset w:val="02"/>
    <w:family w:val="roman"/>
    <w:pitch w:val="default"/>
    <w:sig w:usb0="00000000" w:usb1="00000000" w:usb2="00000000" w:usb3="00000000" w:csb0="80000000" w:csb1="00000000"/>
    <w:embedRegular r:id="rId8" w:fontKey="{AEA046A4-0DA9-4F38-B277-CCAEEA932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80EF">
    <w:pPr>
      <w:pStyle w:val="14"/>
      <w:ind w:firstLine="210"/>
    </w:pPr>
  </w:p>
  <w:p w14:paraId="05181311">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42CB">
    <w:pPr>
      <w:pStyle w:val="14"/>
      <w:ind w:firstLine="210"/>
    </w:pPr>
  </w:p>
  <w:p w14:paraId="6432310C">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17636">
    <w:pPr>
      <w:pStyle w:val="14"/>
      <w:ind w:firstLine="2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71475" cy="17653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71475"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E8DF7">
                          <w:pPr>
                            <w:pStyle w:val="14"/>
                            <w:ind w:firstLine="210"/>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9pt;width:29.25pt;mso-position-horizontal:center;mso-position-horizontal-relative:margin;z-index:251660288;mso-width-relative:page;mso-height-relative:page;" filled="f" stroked="f" coordsize="21600,21600" o:gfxdata="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sW6WPUAAAAAwEAAA8AAAAAAAAAAQAgAAAAIgAAAGRycy9kb3ducmV2LnhtbFBL&#10;AQIUABQAAAAIAIdO4kDIEciNMwIAAFkEAAAOAAAAAAAAAAEAIAAAACMBAABkcnMvZTJvRG9jLnht&#10;bFBLBQYAAAAABgAGAFkBAADIBQAAAAA=&#10;">
              <v:fill on="f" focussize="0,0"/>
              <v:stroke on="f" weight="0.5pt"/>
              <v:imagedata o:title=""/>
              <o:lock v:ext="edit" aspectratio="f"/>
              <v:textbox inset="0mm,0mm,0mm,0mm">
                <w:txbxContent>
                  <w:p w14:paraId="1ABE8DF7">
                    <w:pPr>
                      <w:pStyle w:val="14"/>
                      <w:ind w:firstLine="21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4FBE">
    <w:pPr>
      <w:pStyle w:val="14"/>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87C8">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TLFctAgAAW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Yd4sC1v9YHmE&#10;juJ5uzoECJh0jaJ0SvRaYeJSZ/rXEUf6z32Kevoj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9TLFctAgAAWQQAAA4AAAAAAAAAAQAgAAAAHwEAAGRycy9lMm9Eb2MueG1sUEsFBgAAAAAG&#10;AAYAWQEAAL4FAAAAAA==&#10;">
              <v:fill on="f" focussize="0,0"/>
              <v:stroke on="f" weight="0.5pt"/>
              <v:imagedata o:title=""/>
              <o:lock v:ext="edit" aspectratio="f"/>
              <v:textbox inset="0mm,0mm,0mm,0mm" style="mso-fit-shape-to-text:t;">
                <w:txbxContent>
                  <w:p w14:paraId="60DD87C8">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0304D">
    <w:pPr>
      <w:pStyle w:val="15"/>
      <w:jc w:val="both"/>
      <w:rPr>
        <w:rFonts w:hint="eastAsia"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943C">
    <w:pPr>
      <w:pStyle w:val="2"/>
      <w:numPr>
        <w:ilvl w:val="0"/>
        <w:numId w:val="0"/>
      </w:numPr>
      <w:pBdr>
        <w:bottom w:val="none" w:color="auto" w:sz="0" w:space="0"/>
      </w:pBdr>
      <w:bidi w:val="0"/>
      <w:ind w:left="240" w:leftChars="0" w:firstLine="1500" w:firstLineChars="500"/>
      <w:jc w:val="center"/>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E99D0"/>
    <w:multiLevelType w:val="singleLevel"/>
    <w:tmpl w:val="891E99D0"/>
    <w:lvl w:ilvl="0" w:tentative="0">
      <w:start w:val="1"/>
      <w:numFmt w:val="decimal"/>
      <w:suff w:val="nothing"/>
      <w:lvlText w:val="（%1）"/>
      <w:lvlJc w:val="left"/>
    </w:lvl>
  </w:abstractNum>
  <w:abstractNum w:abstractNumId="1">
    <w:nsid w:val="961CFDAE"/>
    <w:multiLevelType w:val="singleLevel"/>
    <w:tmpl w:val="961CFDAE"/>
    <w:lvl w:ilvl="0" w:tentative="0">
      <w:start w:val="1"/>
      <w:numFmt w:val="decimal"/>
      <w:suff w:val="nothing"/>
      <w:lvlText w:val="（%1）"/>
      <w:lvlJc w:val="left"/>
    </w:lvl>
  </w:abstractNum>
  <w:abstractNum w:abstractNumId="2">
    <w:nsid w:val="A0750989"/>
    <w:multiLevelType w:val="singleLevel"/>
    <w:tmpl w:val="A0750989"/>
    <w:lvl w:ilvl="0" w:tentative="0">
      <w:start w:val="1"/>
      <w:numFmt w:val="decimal"/>
      <w:suff w:val="nothing"/>
      <w:lvlText w:val="（%1）"/>
      <w:lvlJc w:val="left"/>
    </w:lvl>
  </w:abstractNum>
  <w:abstractNum w:abstractNumId="3">
    <w:nsid w:val="A91D01D1"/>
    <w:multiLevelType w:val="singleLevel"/>
    <w:tmpl w:val="A91D01D1"/>
    <w:lvl w:ilvl="0" w:tentative="0">
      <w:start w:val="3"/>
      <w:numFmt w:val="decimal"/>
      <w:suff w:val="nothing"/>
      <w:lvlText w:val="%1、"/>
      <w:lvlJc w:val="left"/>
    </w:lvl>
  </w:abstractNum>
  <w:abstractNum w:abstractNumId="4">
    <w:nsid w:val="A9F035BF"/>
    <w:multiLevelType w:val="singleLevel"/>
    <w:tmpl w:val="A9F035BF"/>
    <w:lvl w:ilvl="0" w:tentative="0">
      <w:start w:val="1"/>
      <w:numFmt w:val="decimal"/>
      <w:suff w:val="nothing"/>
      <w:lvlText w:val="（%1）"/>
      <w:lvlJc w:val="left"/>
    </w:lvl>
  </w:abstractNum>
  <w:abstractNum w:abstractNumId="5">
    <w:nsid w:val="ADC895C9"/>
    <w:multiLevelType w:val="singleLevel"/>
    <w:tmpl w:val="ADC895C9"/>
    <w:lvl w:ilvl="0" w:tentative="0">
      <w:start w:val="1"/>
      <w:numFmt w:val="decimal"/>
      <w:suff w:val="nothing"/>
      <w:lvlText w:val="%1、"/>
      <w:lvlJc w:val="left"/>
    </w:lvl>
  </w:abstractNum>
  <w:abstractNum w:abstractNumId="6">
    <w:nsid w:val="B562B8A8"/>
    <w:multiLevelType w:val="singleLevel"/>
    <w:tmpl w:val="B562B8A8"/>
    <w:lvl w:ilvl="0" w:tentative="0">
      <w:start w:val="1"/>
      <w:numFmt w:val="decimal"/>
      <w:suff w:val="nothing"/>
      <w:lvlText w:val="（%1）"/>
      <w:lvlJc w:val="left"/>
    </w:lvl>
  </w:abstractNum>
  <w:abstractNum w:abstractNumId="7">
    <w:nsid w:val="B6B45793"/>
    <w:multiLevelType w:val="singleLevel"/>
    <w:tmpl w:val="B6B45793"/>
    <w:lvl w:ilvl="0" w:tentative="0">
      <w:start w:val="1"/>
      <w:numFmt w:val="decimal"/>
      <w:suff w:val="nothing"/>
      <w:lvlText w:val="（%1）"/>
      <w:lvlJc w:val="left"/>
    </w:lvl>
  </w:abstractNum>
  <w:abstractNum w:abstractNumId="8">
    <w:nsid w:val="C4695BEC"/>
    <w:multiLevelType w:val="singleLevel"/>
    <w:tmpl w:val="C4695BEC"/>
    <w:lvl w:ilvl="0" w:tentative="0">
      <w:start w:val="1"/>
      <w:numFmt w:val="decimal"/>
      <w:suff w:val="nothing"/>
      <w:lvlText w:val="（%1）"/>
      <w:lvlJc w:val="left"/>
    </w:lvl>
  </w:abstractNum>
  <w:abstractNum w:abstractNumId="9">
    <w:nsid w:val="DE38E45E"/>
    <w:multiLevelType w:val="singleLevel"/>
    <w:tmpl w:val="DE38E45E"/>
    <w:lvl w:ilvl="0" w:tentative="0">
      <w:start w:val="1"/>
      <w:numFmt w:val="decimal"/>
      <w:suff w:val="nothing"/>
      <w:lvlText w:val="（%1）"/>
      <w:lvlJc w:val="left"/>
    </w:lvl>
  </w:abstractNum>
  <w:abstractNum w:abstractNumId="10">
    <w:nsid w:val="F6072026"/>
    <w:multiLevelType w:val="singleLevel"/>
    <w:tmpl w:val="F6072026"/>
    <w:lvl w:ilvl="0" w:tentative="0">
      <w:start w:val="4"/>
      <w:numFmt w:val="chineseCounting"/>
      <w:suff w:val="nothing"/>
      <w:lvlText w:val="%1、"/>
      <w:lvlJc w:val="left"/>
      <w:rPr>
        <w:rFonts w:hint="eastAsia"/>
      </w:rPr>
    </w:lvl>
  </w:abstractNum>
  <w:abstractNum w:abstractNumId="11">
    <w:nsid w:val="FDDDC954"/>
    <w:multiLevelType w:val="singleLevel"/>
    <w:tmpl w:val="FDDDC954"/>
    <w:lvl w:ilvl="0" w:tentative="0">
      <w:start w:val="1"/>
      <w:numFmt w:val="decimal"/>
      <w:suff w:val="nothing"/>
      <w:lvlText w:val="（%1）"/>
      <w:lvlJc w:val="left"/>
    </w:lvl>
  </w:abstractNum>
  <w:abstractNum w:abstractNumId="12">
    <w:nsid w:val="28F25D24"/>
    <w:multiLevelType w:val="singleLevel"/>
    <w:tmpl w:val="28F25D24"/>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3">
    <w:nsid w:val="2CEC88C4"/>
    <w:multiLevelType w:val="singleLevel"/>
    <w:tmpl w:val="2CEC88C4"/>
    <w:lvl w:ilvl="0" w:tentative="0">
      <w:start w:val="2"/>
      <w:numFmt w:val="decimal"/>
      <w:suff w:val="nothing"/>
      <w:lvlText w:val="（%1）"/>
      <w:lvlJc w:val="left"/>
    </w:lvl>
  </w:abstractNum>
  <w:abstractNum w:abstractNumId="14">
    <w:nsid w:val="3B710C24"/>
    <w:multiLevelType w:val="multilevel"/>
    <w:tmpl w:val="3B710C24"/>
    <w:lvl w:ilvl="0" w:tentative="0">
      <w:start w:val="1"/>
      <w:numFmt w:val="decimal"/>
      <w:pStyle w:val="2"/>
      <w:suff w:val="nothing"/>
      <w:lvlText w:val="%1"/>
      <w:lvlJc w:val="left"/>
      <w:pPr>
        <w:ind w:left="240" w:firstLine="0"/>
      </w:pPr>
      <w:rPr>
        <w:rFonts w:hint="eastAsia"/>
      </w:rPr>
    </w:lvl>
    <w:lvl w:ilvl="1" w:tentative="0">
      <w:start w:val="1"/>
      <w:numFmt w:val="decimal"/>
      <w:pStyle w:val="3"/>
      <w:suff w:val="nothing"/>
      <w:lvlText w:val="%1.%2"/>
      <w:lvlJc w:val="left"/>
      <w:pPr>
        <w:ind w:left="240" w:firstLine="0"/>
      </w:pPr>
      <w:rPr>
        <w:rFonts w:hint="eastAsia"/>
      </w:rPr>
    </w:lvl>
    <w:lvl w:ilvl="2" w:tentative="0">
      <w:start w:val="1"/>
      <w:numFmt w:val="decimal"/>
      <w:pStyle w:val="4"/>
      <w:suff w:val="nothing"/>
      <w:lvlText w:val="%1.%2.%3"/>
      <w:lvlJc w:val="left"/>
      <w:pPr>
        <w:ind w:left="240" w:firstLine="0"/>
      </w:pPr>
      <w:rPr>
        <w:rFonts w:hint="eastAsia"/>
      </w:rPr>
    </w:lvl>
    <w:lvl w:ilvl="3" w:tentative="0">
      <w:start w:val="1"/>
      <w:numFmt w:val="decimal"/>
      <w:pStyle w:val="5"/>
      <w:suff w:val="nothing"/>
      <w:lvlText w:val="%1.%2.%3.%4"/>
      <w:lvlJc w:val="left"/>
      <w:pPr>
        <w:ind w:left="240" w:firstLine="0"/>
      </w:pPr>
      <w:rPr>
        <w:rFonts w:hint="eastAsia"/>
      </w:rPr>
    </w:lvl>
    <w:lvl w:ilvl="4" w:tentative="0">
      <w:start w:val="1"/>
      <w:numFmt w:val="decimal"/>
      <w:lvlText w:val="%1.%2.%3.%4.%5"/>
      <w:lvlJc w:val="left"/>
      <w:pPr>
        <w:ind w:left="1248" w:hanging="1008"/>
      </w:pPr>
      <w:rPr>
        <w:rFonts w:hint="eastAsia"/>
      </w:rPr>
    </w:lvl>
    <w:lvl w:ilvl="5" w:tentative="0">
      <w:start w:val="1"/>
      <w:numFmt w:val="decimal"/>
      <w:lvlText w:val="%1.%2.%3.%4.%5.%6"/>
      <w:lvlJc w:val="left"/>
      <w:pPr>
        <w:ind w:left="1392" w:hanging="1152"/>
      </w:pPr>
      <w:rPr>
        <w:rFonts w:hint="eastAsia"/>
      </w:rPr>
    </w:lvl>
    <w:lvl w:ilvl="6" w:tentative="0">
      <w:start w:val="1"/>
      <w:numFmt w:val="decimal"/>
      <w:lvlText w:val="%1.%2.%3.%4.%5.%6.%7"/>
      <w:lvlJc w:val="left"/>
      <w:pPr>
        <w:ind w:left="1536" w:hanging="1296"/>
      </w:pPr>
      <w:rPr>
        <w:rFonts w:hint="eastAsia"/>
      </w:rPr>
    </w:lvl>
    <w:lvl w:ilvl="7" w:tentative="0">
      <w:start w:val="1"/>
      <w:numFmt w:val="decimal"/>
      <w:lvlText w:val="%1.%2.%3.%4.%5.%6.%7.%8"/>
      <w:lvlJc w:val="left"/>
      <w:pPr>
        <w:ind w:left="1680" w:hanging="1440"/>
      </w:pPr>
      <w:rPr>
        <w:rFonts w:hint="eastAsia"/>
      </w:rPr>
    </w:lvl>
    <w:lvl w:ilvl="8" w:tentative="0">
      <w:start w:val="1"/>
      <w:numFmt w:val="decimal"/>
      <w:lvlText w:val="%1.%2.%3.%4.%5.%6.%7.%8.%9"/>
      <w:lvlJc w:val="left"/>
      <w:pPr>
        <w:ind w:left="1824" w:hanging="1584"/>
      </w:pPr>
      <w:rPr>
        <w:rFonts w:hint="eastAsia"/>
      </w:rPr>
    </w:lvl>
  </w:abstractNum>
  <w:abstractNum w:abstractNumId="15">
    <w:nsid w:val="57201056"/>
    <w:multiLevelType w:val="singleLevel"/>
    <w:tmpl w:val="57201056"/>
    <w:lvl w:ilvl="0" w:tentative="0">
      <w:start w:val="1"/>
      <w:numFmt w:val="decimal"/>
      <w:suff w:val="nothing"/>
      <w:lvlText w:val="（%1）"/>
      <w:lvlJc w:val="left"/>
    </w:lvl>
  </w:abstractNum>
  <w:num w:numId="1">
    <w:abstractNumId w:val="14"/>
  </w:num>
  <w:num w:numId="2">
    <w:abstractNumId w:val="12"/>
  </w:num>
  <w:num w:numId="3">
    <w:abstractNumId w:val="13"/>
  </w:num>
  <w:num w:numId="4">
    <w:abstractNumId w:val="8"/>
  </w:num>
  <w:num w:numId="5">
    <w:abstractNumId w:val="0"/>
  </w:num>
  <w:num w:numId="6">
    <w:abstractNumId w:val="7"/>
  </w:num>
  <w:num w:numId="7">
    <w:abstractNumId w:val="15"/>
  </w:num>
  <w:num w:numId="8">
    <w:abstractNumId w:val="4"/>
  </w:num>
  <w:num w:numId="9">
    <w:abstractNumId w:val="10"/>
  </w:num>
  <w:num w:numId="10">
    <w:abstractNumId w:val="1"/>
  </w:num>
  <w:num w:numId="11">
    <w:abstractNumId w:val="3"/>
  </w:num>
  <w:num w:numId="12">
    <w:abstractNumId w:val="5"/>
  </w:num>
  <w:num w:numId="13">
    <w:abstractNumId w:val="2"/>
  </w:num>
  <w:num w:numId="14">
    <w:abstractNumId w:val="6"/>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wNGU0NTBlOTNiNjBlOTMyNTI2N2IyZTUyN2QwZTgifQ=="/>
  </w:docVars>
  <w:rsids>
    <w:rsidRoot w:val="00172A27"/>
    <w:rsid w:val="00005ACB"/>
    <w:rsid w:val="0000795A"/>
    <w:rsid w:val="00015444"/>
    <w:rsid w:val="000157BE"/>
    <w:rsid w:val="00021596"/>
    <w:rsid w:val="00025D78"/>
    <w:rsid w:val="00025E53"/>
    <w:rsid w:val="0003250A"/>
    <w:rsid w:val="00032FAF"/>
    <w:rsid w:val="00033735"/>
    <w:rsid w:val="00035011"/>
    <w:rsid w:val="00044EF3"/>
    <w:rsid w:val="00046548"/>
    <w:rsid w:val="00046AE9"/>
    <w:rsid w:val="000503A6"/>
    <w:rsid w:val="00050A81"/>
    <w:rsid w:val="00051532"/>
    <w:rsid w:val="000523D7"/>
    <w:rsid w:val="00061471"/>
    <w:rsid w:val="00063359"/>
    <w:rsid w:val="00065F12"/>
    <w:rsid w:val="000666DA"/>
    <w:rsid w:val="00070376"/>
    <w:rsid w:val="00071E99"/>
    <w:rsid w:val="00074750"/>
    <w:rsid w:val="000778BD"/>
    <w:rsid w:val="000851B0"/>
    <w:rsid w:val="00091BC9"/>
    <w:rsid w:val="000921DA"/>
    <w:rsid w:val="0009313D"/>
    <w:rsid w:val="0009321B"/>
    <w:rsid w:val="000A065D"/>
    <w:rsid w:val="000A6CBE"/>
    <w:rsid w:val="000A7438"/>
    <w:rsid w:val="000A7AD5"/>
    <w:rsid w:val="000B02D9"/>
    <w:rsid w:val="000B0362"/>
    <w:rsid w:val="000B4C50"/>
    <w:rsid w:val="000B744B"/>
    <w:rsid w:val="000B745D"/>
    <w:rsid w:val="000C1D23"/>
    <w:rsid w:val="000C340C"/>
    <w:rsid w:val="000C52B5"/>
    <w:rsid w:val="000C6042"/>
    <w:rsid w:val="000C77C6"/>
    <w:rsid w:val="000C7F05"/>
    <w:rsid w:val="000D1F19"/>
    <w:rsid w:val="000D4F8B"/>
    <w:rsid w:val="000E01A3"/>
    <w:rsid w:val="000E7724"/>
    <w:rsid w:val="001007A7"/>
    <w:rsid w:val="0010487A"/>
    <w:rsid w:val="00107BC7"/>
    <w:rsid w:val="00113246"/>
    <w:rsid w:val="00115D0B"/>
    <w:rsid w:val="0012087E"/>
    <w:rsid w:val="001314E1"/>
    <w:rsid w:val="00132913"/>
    <w:rsid w:val="00133D00"/>
    <w:rsid w:val="001365FE"/>
    <w:rsid w:val="00136815"/>
    <w:rsid w:val="00144B94"/>
    <w:rsid w:val="00144F9D"/>
    <w:rsid w:val="00150D0F"/>
    <w:rsid w:val="00151F2B"/>
    <w:rsid w:val="00152703"/>
    <w:rsid w:val="00152766"/>
    <w:rsid w:val="0015408E"/>
    <w:rsid w:val="0015639A"/>
    <w:rsid w:val="00170640"/>
    <w:rsid w:val="00174084"/>
    <w:rsid w:val="00174684"/>
    <w:rsid w:val="001810FA"/>
    <w:rsid w:val="00183DAF"/>
    <w:rsid w:val="00195048"/>
    <w:rsid w:val="001955A2"/>
    <w:rsid w:val="00197EF1"/>
    <w:rsid w:val="001A179A"/>
    <w:rsid w:val="001A4386"/>
    <w:rsid w:val="001A438C"/>
    <w:rsid w:val="001A5114"/>
    <w:rsid w:val="001C6406"/>
    <w:rsid w:val="001D0788"/>
    <w:rsid w:val="001D2F10"/>
    <w:rsid w:val="001D6B66"/>
    <w:rsid w:val="001E3757"/>
    <w:rsid w:val="001F211F"/>
    <w:rsid w:val="001F5F78"/>
    <w:rsid w:val="002017E0"/>
    <w:rsid w:val="0020449F"/>
    <w:rsid w:val="002055E1"/>
    <w:rsid w:val="002078A0"/>
    <w:rsid w:val="00207B22"/>
    <w:rsid w:val="002115EF"/>
    <w:rsid w:val="002150B0"/>
    <w:rsid w:val="0021579D"/>
    <w:rsid w:val="002158E7"/>
    <w:rsid w:val="00215D5B"/>
    <w:rsid w:val="00216269"/>
    <w:rsid w:val="00216B13"/>
    <w:rsid w:val="00220522"/>
    <w:rsid w:val="00221140"/>
    <w:rsid w:val="00221233"/>
    <w:rsid w:val="0022138A"/>
    <w:rsid w:val="0022153A"/>
    <w:rsid w:val="0023171F"/>
    <w:rsid w:val="00241DFC"/>
    <w:rsid w:val="00242A41"/>
    <w:rsid w:val="0024303A"/>
    <w:rsid w:val="002460CA"/>
    <w:rsid w:val="0024648E"/>
    <w:rsid w:val="0025005A"/>
    <w:rsid w:val="00253B94"/>
    <w:rsid w:val="00257C12"/>
    <w:rsid w:val="002614DE"/>
    <w:rsid w:val="0026295A"/>
    <w:rsid w:val="002639E1"/>
    <w:rsid w:val="00275FB8"/>
    <w:rsid w:val="00277B93"/>
    <w:rsid w:val="002824FE"/>
    <w:rsid w:val="00282789"/>
    <w:rsid w:val="0028613B"/>
    <w:rsid w:val="00287E28"/>
    <w:rsid w:val="00294C8B"/>
    <w:rsid w:val="002A087A"/>
    <w:rsid w:val="002A0E4E"/>
    <w:rsid w:val="002A34B8"/>
    <w:rsid w:val="002A5ED9"/>
    <w:rsid w:val="002A6EB2"/>
    <w:rsid w:val="002A6F16"/>
    <w:rsid w:val="002B128B"/>
    <w:rsid w:val="002C2DA7"/>
    <w:rsid w:val="002C5734"/>
    <w:rsid w:val="002D2351"/>
    <w:rsid w:val="002D410A"/>
    <w:rsid w:val="002D50D2"/>
    <w:rsid w:val="002D7045"/>
    <w:rsid w:val="002D7435"/>
    <w:rsid w:val="002E1508"/>
    <w:rsid w:val="002E6998"/>
    <w:rsid w:val="002F0CB3"/>
    <w:rsid w:val="002F136A"/>
    <w:rsid w:val="002F2676"/>
    <w:rsid w:val="002F3456"/>
    <w:rsid w:val="002F58FA"/>
    <w:rsid w:val="002F5972"/>
    <w:rsid w:val="00305BE2"/>
    <w:rsid w:val="0031462E"/>
    <w:rsid w:val="003168B5"/>
    <w:rsid w:val="00317608"/>
    <w:rsid w:val="00317673"/>
    <w:rsid w:val="0032165F"/>
    <w:rsid w:val="0032658F"/>
    <w:rsid w:val="00326819"/>
    <w:rsid w:val="00327593"/>
    <w:rsid w:val="0033099F"/>
    <w:rsid w:val="00334759"/>
    <w:rsid w:val="00335C7C"/>
    <w:rsid w:val="00336104"/>
    <w:rsid w:val="003447A7"/>
    <w:rsid w:val="00345213"/>
    <w:rsid w:val="00350E0D"/>
    <w:rsid w:val="003559B1"/>
    <w:rsid w:val="0036197F"/>
    <w:rsid w:val="0036416E"/>
    <w:rsid w:val="003718F2"/>
    <w:rsid w:val="00385659"/>
    <w:rsid w:val="00385803"/>
    <w:rsid w:val="00386014"/>
    <w:rsid w:val="003869D9"/>
    <w:rsid w:val="003872E8"/>
    <w:rsid w:val="0039073B"/>
    <w:rsid w:val="003926EF"/>
    <w:rsid w:val="003931DD"/>
    <w:rsid w:val="003A030E"/>
    <w:rsid w:val="003A20EA"/>
    <w:rsid w:val="003A2F3E"/>
    <w:rsid w:val="003A4CDD"/>
    <w:rsid w:val="003A662E"/>
    <w:rsid w:val="003B386B"/>
    <w:rsid w:val="003C0F86"/>
    <w:rsid w:val="003C268D"/>
    <w:rsid w:val="003C749D"/>
    <w:rsid w:val="003D09FA"/>
    <w:rsid w:val="003D4156"/>
    <w:rsid w:val="003D54C5"/>
    <w:rsid w:val="003D68D5"/>
    <w:rsid w:val="003D7778"/>
    <w:rsid w:val="003E0E3F"/>
    <w:rsid w:val="003E29B4"/>
    <w:rsid w:val="003E3AB2"/>
    <w:rsid w:val="003E5FD8"/>
    <w:rsid w:val="003E69B7"/>
    <w:rsid w:val="003E759E"/>
    <w:rsid w:val="003F4E25"/>
    <w:rsid w:val="003F5942"/>
    <w:rsid w:val="003F765A"/>
    <w:rsid w:val="003F77A9"/>
    <w:rsid w:val="00400382"/>
    <w:rsid w:val="004005C7"/>
    <w:rsid w:val="00401572"/>
    <w:rsid w:val="004016AF"/>
    <w:rsid w:val="0040171B"/>
    <w:rsid w:val="00407DA2"/>
    <w:rsid w:val="00413456"/>
    <w:rsid w:val="004134CE"/>
    <w:rsid w:val="004145B1"/>
    <w:rsid w:val="0042736C"/>
    <w:rsid w:val="00427F0C"/>
    <w:rsid w:val="0043195D"/>
    <w:rsid w:val="00433523"/>
    <w:rsid w:val="004414EF"/>
    <w:rsid w:val="0044225C"/>
    <w:rsid w:val="00444E4E"/>
    <w:rsid w:val="0044735E"/>
    <w:rsid w:val="00450050"/>
    <w:rsid w:val="0045100B"/>
    <w:rsid w:val="00452F93"/>
    <w:rsid w:val="00455EBB"/>
    <w:rsid w:val="004604D4"/>
    <w:rsid w:val="004623B2"/>
    <w:rsid w:val="00464D47"/>
    <w:rsid w:val="00471D2E"/>
    <w:rsid w:val="0047603E"/>
    <w:rsid w:val="00476811"/>
    <w:rsid w:val="00477ECB"/>
    <w:rsid w:val="00486C04"/>
    <w:rsid w:val="00492648"/>
    <w:rsid w:val="00497B77"/>
    <w:rsid w:val="004A2D74"/>
    <w:rsid w:val="004A359B"/>
    <w:rsid w:val="004A54B2"/>
    <w:rsid w:val="004A61BF"/>
    <w:rsid w:val="004B28F1"/>
    <w:rsid w:val="004B4119"/>
    <w:rsid w:val="004B6E78"/>
    <w:rsid w:val="004C296D"/>
    <w:rsid w:val="004C6776"/>
    <w:rsid w:val="004D201F"/>
    <w:rsid w:val="004D2764"/>
    <w:rsid w:val="004D3050"/>
    <w:rsid w:val="004D35AA"/>
    <w:rsid w:val="004D3CC7"/>
    <w:rsid w:val="004D4E9E"/>
    <w:rsid w:val="004D6548"/>
    <w:rsid w:val="004E0839"/>
    <w:rsid w:val="004E40D4"/>
    <w:rsid w:val="004E5DFD"/>
    <w:rsid w:val="004E7065"/>
    <w:rsid w:val="004F3AC0"/>
    <w:rsid w:val="004F56E7"/>
    <w:rsid w:val="004F5A82"/>
    <w:rsid w:val="00503015"/>
    <w:rsid w:val="00505517"/>
    <w:rsid w:val="0050696C"/>
    <w:rsid w:val="0050765E"/>
    <w:rsid w:val="00510E98"/>
    <w:rsid w:val="00511261"/>
    <w:rsid w:val="005134A4"/>
    <w:rsid w:val="0052196A"/>
    <w:rsid w:val="00521C77"/>
    <w:rsid w:val="0052321D"/>
    <w:rsid w:val="005238B7"/>
    <w:rsid w:val="005241C6"/>
    <w:rsid w:val="00525059"/>
    <w:rsid w:val="00526C0E"/>
    <w:rsid w:val="005342A0"/>
    <w:rsid w:val="0053552C"/>
    <w:rsid w:val="00547833"/>
    <w:rsid w:val="00547F75"/>
    <w:rsid w:val="00550DA4"/>
    <w:rsid w:val="0055128A"/>
    <w:rsid w:val="00552762"/>
    <w:rsid w:val="00552B29"/>
    <w:rsid w:val="00552FD7"/>
    <w:rsid w:val="00555E04"/>
    <w:rsid w:val="00557700"/>
    <w:rsid w:val="0055793B"/>
    <w:rsid w:val="0056234A"/>
    <w:rsid w:val="00566058"/>
    <w:rsid w:val="005670CC"/>
    <w:rsid w:val="005713F9"/>
    <w:rsid w:val="00574B71"/>
    <w:rsid w:val="005801D0"/>
    <w:rsid w:val="00581DA6"/>
    <w:rsid w:val="00583300"/>
    <w:rsid w:val="005839E3"/>
    <w:rsid w:val="00587CFA"/>
    <w:rsid w:val="005922FF"/>
    <w:rsid w:val="005925F1"/>
    <w:rsid w:val="00592D10"/>
    <w:rsid w:val="00596A50"/>
    <w:rsid w:val="005A0F1A"/>
    <w:rsid w:val="005A19B5"/>
    <w:rsid w:val="005A4519"/>
    <w:rsid w:val="005A4C61"/>
    <w:rsid w:val="005A5BB0"/>
    <w:rsid w:val="005B1798"/>
    <w:rsid w:val="005B1EAC"/>
    <w:rsid w:val="005B3F48"/>
    <w:rsid w:val="005B4ECD"/>
    <w:rsid w:val="005B53E5"/>
    <w:rsid w:val="005B76C0"/>
    <w:rsid w:val="005C17D4"/>
    <w:rsid w:val="005C3CB8"/>
    <w:rsid w:val="005C6AEC"/>
    <w:rsid w:val="005D1016"/>
    <w:rsid w:val="005D1E93"/>
    <w:rsid w:val="005D262A"/>
    <w:rsid w:val="005D3D6B"/>
    <w:rsid w:val="005E0109"/>
    <w:rsid w:val="005E1D0B"/>
    <w:rsid w:val="005E3CD3"/>
    <w:rsid w:val="005E3EBE"/>
    <w:rsid w:val="005E4D66"/>
    <w:rsid w:val="005E616F"/>
    <w:rsid w:val="005E6303"/>
    <w:rsid w:val="005F01A2"/>
    <w:rsid w:val="005F0486"/>
    <w:rsid w:val="005F246D"/>
    <w:rsid w:val="005F3422"/>
    <w:rsid w:val="005F3576"/>
    <w:rsid w:val="005F4EC0"/>
    <w:rsid w:val="005F51AC"/>
    <w:rsid w:val="005F687D"/>
    <w:rsid w:val="005F7BAB"/>
    <w:rsid w:val="00600B9B"/>
    <w:rsid w:val="00603969"/>
    <w:rsid w:val="00606F2A"/>
    <w:rsid w:val="0061119C"/>
    <w:rsid w:val="006166C2"/>
    <w:rsid w:val="00616F6B"/>
    <w:rsid w:val="00621204"/>
    <w:rsid w:val="0062410C"/>
    <w:rsid w:val="0062721A"/>
    <w:rsid w:val="00630D57"/>
    <w:rsid w:val="00633DF1"/>
    <w:rsid w:val="00635409"/>
    <w:rsid w:val="006403D2"/>
    <w:rsid w:val="006408AB"/>
    <w:rsid w:val="00641480"/>
    <w:rsid w:val="00642575"/>
    <w:rsid w:val="0064747A"/>
    <w:rsid w:val="00654696"/>
    <w:rsid w:val="00660DB6"/>
    <w:rsid w:val="0066667B"/>
    <w:rsid w:val="00666866"/>
    <w:rsid w:val="00683565"/>
    <w:rsid w:val="00683F2F"/>
    <w:rsid w:val="00684198"/>
    <w:rsid w:val="0068535A"/>
    <w:rsid w:val="00685623"/>
    <w:rsid w:val="0068660F"/>
    <w:rsid w:val="00690CC6"/>
    <w:rsid w:val="00695DEC"/>
    <w:rsid w:val="00697F8E"/>
    <w:rsid w:val="006A11E0"/>
    <w:rsid w:val="006A296F"/>
    <w:rsid w:val="006B1799"/>
    <w:rsid w:val="006B1E56"/>
    <w:rsid w:val="006B71E9"/>
    <w:rsid w:val="006C1084"/>
    <w:rsid w:val="006C31CC"/>
    <w:rsid w:val="006C341A"/>
    <w:rsid w:val="006C49A5"/>
    <w:rsid w:val="006C54A2"/>
    <w:rsid w:val="006C6DFE"/>
    <w:rsid w:val="006D556D"/>
    <w:rsid w:val="006D699F"/>
    <w:rsid w:val="006F2EFE"/>
    <w:rsid w:val="006F3280"/>
    <w:rsid w:val="006F54E4"/>
    <w:rsid w:val="00702555"/>
    <w:rsid w:val="007172A9"/>
    <w:rsid w:val="00717AEC"/>
    <w:rsid w:val="00720D36"/>
    <w:rsid w:val="0072186E"/>
    <w:rsid w:val="00731246"/>
    <w:rsid w:val="00733921"/>
    <w:rsid w:val="00740AB1"/>
    <w:rsid w:val="007437AA"/>
    <w:rsid w:val="00743966"/>
    <w:rsid w:val="00744587"/>
    <w:rsid w:val="00750A95"/>
    <w:rsid w:val="00756577"/>
    <w:rsid w:val="00756BDA"/>
    <w:rsid w:val="0075701D"/>
    <w:rsid w:val="0076114B"/>
    <w:rsid w:val="00762F0C"/>
    <w:rsid w:val="00763B45"/>
    <w:rsid w:val="00764AF8"/>
    <w:rsid w:val="00772BD4"/>
    <w:rsid w:val="0077304F"/>
    <w:rsid w:val="0078066E"/>
    <w:rsid w:val="007818C9"/>
    <w:rsid w:val="0078374F"/>
    <w:rsid w:val="00784A7E"/>
    <w:rsid w:val="007855C2"/>
    <w:rsid w:val="00785856"/>
    <w:rsid w:val="00785984"/>
    <w:rsid w:val="007859D2"/>
    <w:rsid w:val="00787431"/>
    <w:rsid w:val="007875CF"/>
    <w:rsid w:val="0079119D"/>
    <w:rsid w:val="007917BA"/>
    <w:rsid w:val="007961D3"/>
    <w:rsid w:val="00796664"/>
    <w:rsid w:val="007A38C1"/>
    <w:rsid w:val="007A3A49"/>
    <w:rsid w:val="007A78C8"/>
    <w:rsid w:val="007A7D2D"/>
    <w:rsid w:val="007B3AF1"/>
    <w:rsid w:val="007B4BDF"/>
    <w:rsid w:val="007B6D15"/>
    <w:rsid w:val="007C401E"/>
    <w:rsid w:val="007C60E3"/>
    <w:rsid w:val="007C6573"/>
    <w:rsid w:val="007D0D50"/>
    <w:rsid w:val="007D2A67"/>
    <w:rsid w:val="007D2EE0"/>
    <w:rsid w:val="007D43E9"/>
    <w:rsid w:val="007D65C6"/>
    <w:rsid w:val="007D7A4F"/>
    <w:rsid w:val="007E11EE"/>
    <w:rsid w:val="007E1BE3"/>
    <w:rsid w:val="007E29B6"/>
    <w:rsid w:val="007E46EA"/>
    <w:rsid w:val="007E7B50"/>
    <w:rsid w:val="007F50C1"/>
    <w:rsid w:val="007F6B80"/>
    <w:rsid w:val="008008AC"/>
    <w:rsid w:val="008010CD"/>
    <w:rsid w:val="0080179A"/>
    <w:rsid w:val="00803363"/>
    <w:rsid w:val="00805B94"/>
    <w:rsid w:val="00815103"/>
    <w:rsid w:val="00816367"/>
    <w:rsid w:val="00816CD6"/>
    <w:rsid w:val="008211C3"/>
    <w:rsid w:val="0082436A"/>
    <w:rsid w:val="00827B12"/>
    <w:rsid w:val="00835F3D"/>
    <w:rsid w:val="00844AF5"/>
    <w:rsid w:val="0084540F"/>
    <w:rsid w:val="0085068C"/>
    <w:rsid w:val="0085203B"/>
    <w:rsid w:val="00854BCD"/>
    <w:rsid w:val="00855CD2"/>
    <w:rsid w:val="008615E1"/>
    <w:rsid w:val="00862ABE"/>
    <w:rsid w:val="00864BE1"/>
    <w:rsid w:val="008735C5"/>
    <w:rsid w:val="00874533"/>
    <w:rsid w:val="008843E1"/>
    <w:rsid w:val="00885111"/>
    <w:rsid w:val="008918E1"/>
    <w:rsid w:val="00891E13"/>
    <w:rsid w:val="0089226A"/>
    <w:rsid w:val="00895DC1"/>
    <w:rsid w:val="008963C8"/>
    <w:rsid w:val="00896F39"/>
    <w:rsid w:val="008970E0"/>
    <w:rsid w:val="008977EE"/>
    <w:rsid w:val="00897C64"/>
    <w:rsid w:val="008A4B86"/>
    <w:rsid w:val="008A634B"/>
    <w:rsid w:val="008A72BB"/>
    <w:rsid w:val="008C3C72"/>
    <w:rsid w:val="008C488E"/>
    <w:rsid w:val="008D1D22"/>
    <w:rsid w:val="008D3467"/>
    <w:rsid w:val="008D3D43"/>
    <w:rsid w:val="008E5C2D"/>
    <w:rsid w:val="008F04DC"/>
    <w:rsid w:val="008F3640"/>
    <w:rsid w:val="008F4806"/>
    <w:rsid w:val="008F63B7"/>
    <w:rsid w:val="00902568"/>
    <w:rsid w:val="0090729B"/>
    <w:rsid w:val="00907822"/>
    <w:rsid w:val="009143C0"/>
    <w:rsid w:val="009150B4"/>
    <w:rsid w:val="00915AC7"/>
    <w:rsid w:val="00927076"/>
    <w:rsid w:val="0093027D"/>
    <w:rsid w:val="00933A92"/>
    <w:rsid w:val="00941CDE"/>
    <w:rsid w:val="00943AC3"/>
    <w:rsid w:val="00944147"/>
    <w:rsid w:val="009457F3"/>
    <w:rsid w:val="009502D0"/>
    <w:rsid w:val="0095042C"/>
    <w:rsid w:val="009505BA"/>
    <w:rsid w:val="00951A4E"/>
    <w:rsid w:val="009523F3"/>
    <w:rsid w:val="00953BAD"/>
    <w:rsid w:val="0095508E"/>
    <w:rsid w:val="00957BB3"/>
    <w:rsid w:val="00960883"/>
    <w:rsid w:val="00961D24"/>
    <w:rsid w:val="00963182"/>
    <w:rsid w:val="009639E4"/>
    <w:rsid w:val="00964382"/>
    <w:rsid w:val="00964735"/>
    <w:rsid w:val="00964F63"/>
    <w:rsid w:val="00967A19"/>
    <w:rsid w:val="00971824"/>
    <w:rsid w:val="009746E9"/>
    <w:rsid w:val="00975C06"/>
    <w:rsid w:val="009769E4"/>
    <w:rsid w:val="0098043A"/>
    <w:rsid w:val="0098172B"/>
    <w:rsid w:val="0098298C"/>
    <w:rsid w:val="009830B0"/>
    <w:rsid w:val="009855E6"/>
    <w:rsid w:val="00985692"/>
    <w:rsid w:val="00987E62"/>
    <w:rsid w:val="009920D3"/>
    <w:rsid w:val="0099641E"/>
    <w:rsid w:val="009A02B4"/>
    <w:rsid w:val="009A159D"/>
    <w:rsid w:val="009B43E9"/>
    <w:rsid w:val="009B4EC8"/>
    <w:rsid w:val="009B5CCF"/>
    <w:rsid w:val="009B7C2D"/>
    <w:rsid w:val="009C0474"/>
    <w:rsid w:val="009C18E1"/>
    <w:rsid w:val="009C1CA4"/>
    <w:rsid w:val="009C1E38"/>
    <w:rsid w:val="009C2192"/>
    <w:rsid w:val="009C3626"/>
    <w:rsid w:val="009C5ADE"/>
    <w:rsid w:val="009C664B"/>
    <w:rsid w:val="009C6CFC"/>
    <w:rsid w:val="009D1439"/>
    <w:rsid w:val="009D4DCD"/>
    <w:rsid w:val="009D576F"/>
    <w:rsid w:val="009D57D6"/>
    <w:rsid w:val="009D5FBA"/>
    <w:rsid w:val="009D7EEB"/>
    <w:rsid w:val="009E6D0C"/>
    <w:rsid w:val="009E775D"/>
    <w:rsid w:val="009F4387"/>
    <w:rsid w:val="00A0540A"/>
    <w:rsid w:val="00A06896"/>
    <w:rsid w:val="00A132CB"/>
    <w:rsid w:val="00A20E61"/>
    <w:rsid w:val="00A21A7B"/>
    <w:rsid w:val="00A221FA"/>
    <w:rsid w:val="00A2220C"/>
    <w:rsid w:val="00A24401"/>
    <w:rsid w:val="00A25827"/>
    <w:rsid w:val="00A34999"/>
    <w:rsid w:val="00A374F5"/>
    <w:rsid w:val="00A3781E"/>
    <w:rsid w:val="00A40EB9"/>
    <w:rsid w:val="00A4167F"/>
    <w:rsid w:val="00A41FF8"/>
    <w:rsid w:val="00A450C7"/>
    <w:rsid w:val="00A45779"/>
    <w:rsid w:val="00A46BFC"/>
    <w:rsid w:val="00A46F7F"/>
    <w:rsid w:val="00A4719F"/>
    <w:rsid w:val="00A51AC0"/>
    <w:rsid w:val="00A53C31"/>
    <w:rsid w:val="00A54677"/>
    <w:rsid w:val="00A558E9"/>
    <w:rsid w:val="00A56F67"/>
    <w:rsid w:val="00A5781B"/>
    <w:rsid w:val="00A57F5F"/>
    <w:rsid w:val="00A61368"/>
    <w:rsid w:val="00A64C86"/>
    <w:rsid w:val="00A66A04"/>
    <w:rsid w:val="00A6713B"/>
    <w:rsid w:val="00A70700"/>
    <w:rsid w:val="00A70A6E"/>
    <w:rsid w:val="00A7102E"/>
    <w:rsid w:val="00A741C1"/>
    <w:rsid w:val="00A765B1"/>
    <w:rsid w:val="00A816D9"/>
    <w:rsid w:val="00A85C6C"/>
    <w:rsid w:val="00A907CF"/>
    <w:rsid w:val="00A91176"/>
    <w:rsid w:val="00A9173E"/>
    <w:rsid w:val="00A9375B"/>
    <w:rsid w:val="00A94679"/>
    <w:rsid w:val="00A97119"/>
    <w:rsid w:val="00AA2CDC"/>
    <w:rsid w:val="00AA3095"/>
    <w:rsid w:val="00AB2B20"/>
    <w:rsid w:val="00AB486D"/>
    <w:rsid w:val="00AB48BA"/>
    <w:rsid w:val="00AB5A47"/>
    <w:rsid w:val="00AB5DDE"/>
    <w:rsid w:val="00AC277B"/>
    <w:rsid w:val="00AC5909"/>
    <w:rsid w:val="00AC5E37"/>
    <w:rsid w:val="00AD00DE"/>
    <w:rsid w:val="00AD0777"/>
    <w:rsid w:val="00AD0D2B"/>
    <w:rsid w:val="00AD237D"/>
    <w:rsid w:val="00AD70E0"/>
    <w:rsid w:val="00AE185F"/>
    <w:rsid w:val="00AE69F9"/>
    <w:rsid w:val="00AE6B55"/>
    <w:rsid w:val="00AF057F"/>
    <w:rsid w:val="00AF205D"/>
    <w:rsid w:val="00AF339C"/>
    <w:rsid w:val="00AF7349"/>
    <w:rsid w:val="00B001F4"/>
    <w:rsid w:val="00B0128B"/>
    <w:rsid w:val="00B06C73"/>
    <w:rsid w:val="00B12256"/>
    <w:rsid w:val="00B16C42"/>
    <w:rsid w:val="00B20C5C"/>
    <w:rsid w:val="00B2149E"/>
    <w:rsid w:val="00B22CD5"/>
    <w:rsid w:val="00B23A3B"/>
    <w:rsid w:val="00B23EA1"/>
    <w:rsid w:val="00B24F22"/>
    <w:rsid w:val="00B26642"/>
    <w:rsid w:val="00B26ACA"/>
    <w:rsid w:val="00B332F1"/>
    <w:rsid w:val="00B35877"/>
    <w:rsid w:val="00B35D6A"/>
    <w:rsid w:val="00B36920"/>
    <w:rsid w:val="00B42084"/>
    <w:rsid w:val="00B44E37"/>
    <w:rsid w:val="00B4607F"/>
    <w:rsid w:val="00B5141B"/>
    <w:rsid w:val="00B57370"/>
    <w:rsid w:val="00B7225A"/>
    <w:rsid w:val="00B72821"/>
    <w:rsid w:val="00B77625"/>
    <w:rsid w:val="00B8351D"/>
    <w:rsid w:val="00B90844"/>
    <w:rsid w:val="00B90852"/>
    <w:rsid w:val="00B927CD"/>
    <w:rsid w:val="00B94CE4"/>
    <w:rsid w:val="00B9670A"/>
    <w:rsid w:val="00BA0563"/>
    <w:rsid w:val="00BB4311"/>
    <w:rsid w:val="00BB4542"/>
    <w:rsid w:val="00BC250C"/>
    <w:rsid w:val="00BC3AB1"/>
    <w:rsid w:val="00BC5628"/>
    <w:rsid w:val="00BC614F"/>
    <w:rsid w:val="00BC655C"/>
    <w:rsid w:val="00BC6F70"/>
    <w:rsid w:val="00BD2FB2"/>
    <w:rsid w:val="00BD367D"/>
    <w:rsid w:val="00BD67AA"/>
    <w:rsid w:val="00BD78ED"/>
    <w:rsid w:val="00BD7973"/>
    <w:rsid w:val="00BE21A2"/>
    <w:rsid w:val="00BE47AA"/>
    <w:rsid w:val="00BE5521"/>
    <w:rsid w:val="00BE5570"/>
    <w:rsid w:val="00BE67A0"/>
    <w:rsid w:val="00BE766D"/>
    <w:rsid w:val="00BF354C"/>
    <w:rsid w:val="00BF7B31"/>
    <w:rsid w:val="00C02B76"/>
    <w:rsid w:val="00C03DCD"/>
    <w:rsid w:val="00C0462C"/>
    <w:rsid w:val="00C06A16"/>
    <w:rsid w:val="00C075D5"/>
    <w:rsid w:val="00C11148"/>
    <w:rsid w:val="00C129BC"/>
    <w:rsid w:val="00C13074"/>
    <w:rsid w:val="00C13F76"/>
    <w:rsid w:val="00C14653"/>
    <w:rsid w:val="00C14C54"/>
    <w:rsid w:val="00C16874"/>
    <w:rsid w:val="00C16D7F"/>
    <w:rsid w:val="00C24C0D"/>
    <w:rsid w:val="00C25960"/>
    <w:rsid w:val="00C2743B"/>
    <w:rsid w:val="00C323C9"/>
    <w:rsid w:val="00C326D4"/>
    <w:rsid w:val="00C34473"/>
    <w:rsid w:val="00C35F50"/>
    <w:rsid w:val="00C362C5"/>
    <w:rsid w:val="00C365FB"/>
    <w:rsid w:val="00C368AE"/>
    <w:rsid w:val="00C45B36"/>
    <w:rsid w:val="00C50499"/>
    <w:rsid w:val="00C53A45"/>
    <w:rsid w:val="00C54373"/>
    <w:rsid w:val="00C60C37"/>
    <w:rsid w:val="00C628C2"/>
    <w:rsid w:val="00C629E6"/>
    <w:rsid w:val="00C75638"/>
    <w:rsid w:val="00C768C6"/>
    <w:rsid w:val="00C77F04"/>
    <w:rsid w:val="00C8100D"/>
    <w:rsid w:val="00C90F23"/>
    <w:rsid w:val="00C934B9"/>
    <w:rsid w:val="00C934D2"/>
    <w:rsid w:val="00C943B2"/>
    <w:rsid w:val="00C946BA"/>
    <w:rsid w:val="00C96DFC"/>
    <w:rsid w:val="00C9754E"/>
    <w:rsid w:val="00CA25CB"/>
    <w:rsid w:val="00CA58ED"/>
    <w:rsid w:val="00CB14B8"/>
    <w:rsid w:val="00CB2342"/>
    <w:rsid w:val="00CB3F5B"/>
    <w:rsid w:val="00CB648D"/>
    <w:rsid w:val="00CC00AF"/>
    <w:rsid w:val="00CC58CB"/>
    <w:rsid w:val="00CD39AF"/>
    <w:rsid w:val="00CD4DD3"/>
    <w:rsid w:val="00CE0266"/>
    <w:rsid w:val="00CE1C04"/>
    <w:rsid w:val="00CE3C43"/>
    <w:rsid w:val="00CE638A"/>
    <w:rsid w:val="00CF0E23"/>
    <w:rsid w:val="00CF155A"/>
    <w:rsid w:val="00CF2862"/>
    <w:rsid w:val="00CF425D"/>
    <w:rsid w:val="00CF5861"/>
    <w:rsid w:val="00CF7C9E"/>
    <w:rsid w:val="00D022AF"/>
    <w:rsid w:val="00D03216"/>
    <w:rsid w:val="00D0536C"/>
    <w:rsid w:val="00D05699"/>
    <w:rsid w:val="00D069A2"/>
    <w:rsid w:val="00D10D47"/>
    <w:rsid w:val="00D12859"/>
    <w:rsid w:val="00D15182"/>
    <w:rsid w:val="00D164D4"/>
    <w:rsid w:val="00D24195"/>
    <w:rsid w:val="00D2428B"/>
    <w:rsid w:val="00D24486"/>
    <w:rsid w:val="00D24ACD"/>
    <w:rsid w:val="00D24B46"/>
    <w:rsid w:val="00D2516C"/>
    <w:rsid w:val="00D25618"/>
    <w:rsid w:val="00D25C04"/>
    <w:rsid w:val="00D26710"/>
    <w:rsid w:val="00D26A46"/>
    <w:rsid w:val="00D320A7"/>
    <w:rsid w:val="00D350CC"/>
    <w:rsid w:val="00D37A6C"/>
    <w:rsid w:val="00D42702"/>
    <w:rsid w:val="00D46446"/>
    <w:rsid w:val="00D47F9E"/>
    <w:rsid w:val="00D52A88"/>
    <w:rsid w:val="00D5696E"/>
    <w:rsid w:val="00D56DBF"/>
    <w:rsid w:val="00D60609"/>
    <w:rsid w:val="00D60779"/>
    <w:rsid w:val="00D61E48"/>
    <w:rsid w:val="00D80B2A"/>
    <w:rsid w:val="00D81D5F"/>
    <w:rsid w:val="00D81F3F"/>
    <w:rsid w:val="00D85A36"/>
    <w:rsid w:val="00D9096E"/>
    <w:rsid w:val="00D952B7"/>
    <w:rsid w:val="00D9580A"/>
    <w:rsid w:val="00D96853"/>
    <w:rsid w:val="00D97DD3"/>
    <w:rsid w:val="00DA2EF6"/>
    <w:rsid w:val="00DA3F0D"/>
    <w:rsid w:val="00DA561F"/>
    <w:rsid w:val="00DA70AC"/>
    <w:rsid w:val="00DA7B1F"/>
    <w:rsid w:val="00DA7D36"/>
    <w:rsid w:val="00DB51DD"/>
    <w:rsid w:val="00DB5FC3"/>
    <w:rsid w:val="00DC074C"/>
    <w:rsid w:val="00DC0FB3"/>
    <w:rsid w:val="00DC5BDA"/>
    <w:rsid w:val="00DD3D61"/>
    <w:rsid w:val="00DD4D63"/>
    <w:rsid w:val="00DD773B"/>
    <w:rsid w:val="00DD77A4"/>
    <w:rsid w:val="00DE111B"/>
    <w:rsid w:val="00DE5495"/>
    <w:rsid w:val="00DE65F7"/>
    <w:rsid w:val="00DE72E4"/>
    <w:rsid w:val="00DF0D55"/>
    <w:rsid w:val="00DF65BE"/>
    <w:rsid w:val="00DF7417"/>
    <w:rsid w:val="00DF7D10"/>
    <w:rsid w:val="00E00699"/>
    <w:rsid w:val="00E0169C"/>
    <w:rsid w:val="00E03814"/>
    <w:rsid w:val="00E0448A"/>
    <w:rsid w:val="00E046B9"/>
    <w:rsid w:val="00E0644C"/>
    <w:rsid w:val="00E11024"/>
    <w:rsid w:val="00E14695"/>
    <w:rsid w:val="00E1497D"/>
    <w:rsid w:val="00E31028"/>
    <w:rsid w:val="00E32D51"/>
    <w:rsid w:val="00E3665F"/>
    <w:rsid w:val="00E41556"/>
    <w:rsid w:val="00E41722"/>
    <w:rsid w:val="00E42286"/>
    <w:rsid w:val="00E43AF2"/>
    <w:rsid w:val="00E44E18"/>
    <w:rsid w:val="00E552ED"/>
    <w:rsid w:val="00E55636"/>
    <w:rsid w:val="00E557F6"/>
    <w:rsid w:val="00E55BD5"/>
    <w:rsid w:val="00E57394"/>
    <w:rsid w:val="00E61274"/>
    <w:rsid w:val="00E63735"/>
    <w:rsid w:val="00E6458E"/>
    <w:rsid w:val="00E66F03"/>
    <w:rsid w:val="00E6725F"/>
    <w:rsid w:val="00E705CE"/>
    <w:rsid w:val="00E7176F"/>
    <w:rsid w:val="00E733F3"/>
    <w:rsid w:val="00E7532B"/>
    <w:rsid w:val="00E76C94"/>
    <w:rsid w:val="00E774B8"/>
    <w:rsid w:val="00E8159A"/>
    <w:rsid w:val="00E834B4"/>
    <w:rsid w:val="00E835A4"/>
    <w:rsid w:val="00E83C09"/>
    <w:rsid w:val="00E84A52"/>
    <w:rsid w:val="00E938F7"/>
    <w:rsid w:val="00E93FC4"/>
    <w:rsid w:val="00E94E98"/>
    <w:rsid w:val="00E963F7"/>
    <w:rsid w:val="00EA2037"/>
    <w:rsid w:val="00EA21A0"/>
    <w:rsid w:val="00EA49C6"/>
    <w:rsid w:val="00EA4C30"/>
    <w:rsid w:val="00EA6227"/>
    <w:rsid w:val="00EB20C7"/>
    <w:rsid w:val="00EB629A"/>
    <w:rsid w:val="00EB70C0"/>
    <w:rsid w:val="00EC143A"/>
    <w:rsid w:val="00EC22F3"/>
    <w:rsid w:val="00EC30B5"/>
    <w:rsid w:val="00EC3BD0"/>
    <w:rsid w:val="00EC5455"/>
    <w:rsid w:val="00ED09AB"/>
    <w:rsid w:val="00ED0DC6"/>
    <w:rsid w:val="00ED45A9"/>
    <w:rsid w:val="00ED5516"/>
    <w:rsid w:val="00ED5E1E"/>
    <w:rsid w:val="00ED601C"/>
    <w:rsid w:val="00ED6AF1"/>
    <w:rsid w:val="00ED6B0F"/>
    <w:rsid w:val="00EF2373"/>
    <w:rsid w:val="00EF26E6"/>
    <w:rsid w:val="00EF3298"/>
    <w:rsid w:val="00F007BA"/>
    <w:rsid w:val="00F02202"/>
    <w:rsid w:val="00F0317E"/>
    <w:rsid w:val="00F03C8A"/>
    <w:rsid w:val="00F047F9"/>
    <w:rsid w:val="00F04C83"/>
    <w:rsid w:val="00F05116"/>
    <w:rsid w:val="00F05FC6"/>
    <w:rsid w:val="00F133A6"/>
    <w:rsid w:val="00F1593D"/>
    <w:rsid w:val="00F15C71"/>
    <w:rsid w:val="00F27777"/>
    <w:rsid w:val="00F27F7D"/>
    <w:rsid w:val="00F32F71"/>
    <w:rsid w:val="00F336D3"/>
    <w:rsid w:val="00F341A7"/>
    <w:rsid w:val="00F41214"/>
    <w:rsid w:val="00F47F7A"/>
    <w:rsid w:val="00F52D1F"/>
    <w:rsid w:val="00F52FAB"/>
    <w:rsid w:val="00F60413"/>
    <w:rsid w:val="00F6064F"/>
    <w:rsid w:val="00F618F0"/>
    <w:rsid w:val="00F627CD"/>
    <w:rsid w:val="00F630FE"/>
    <w:rsid w:val="00F652B0"/>
    <w:rsid w:val="00F6560B"/>
    <w:rsid w:val="00F678B3"/>
    <w:rsid w:val="00F71ECC"/>
    <w:rsid w:val="00F72805"/>
    <w:rsid w:val="00F77BFF"/>
    <w:rsid w:val="00F818B4"/>
    <w:rsid w:val="00F82414"/>
    <w:rsid w:val="00F82843"/>
    <w:rsid w:val="00F84B79"/>
    <w:rsid w:val="00F9097A"/>
    <w:rsid w:val="00F90A59"/>
    <w:rsid w:val="00F9254F"/>
    <w:rsid w:val="00F925D5"/>
    <w:rsid w:val="00F94105"/>
    <w:rsid w:val="00F952AF"/>
    <w:rsid w:val="00F954CF"/>
    <w:rsid w:val="00F96B93"/>
    <w:rsid w:val="00FA0F0C"/>
    <w:rsid w:val="00FA6A60"/>
    <w:rsid w:val="00FA7E72"/>
    <w:rsid w:val="00FB091F"/>
    <w:rsid w:val="00FB4C63"/>
    <w:rsid w:val="00FC0CD2"/>
    <w:rsid w:val="00FC123A"/>
    <w:rsid w:val="00FC27C8"/>
    <w:rsid w:val="00FC60E8"/>
    <w:rsid w:val="00FC6220"/>
    <w:rsid w:val="00FD1365"/>
    <w:rsid w:val="00FD27D0"/>
    <w:rsid w:val="00FD2EB7"/>
    <w:rsid w:val="00FD3CEB"/>
    <w:rsid w:val="00FD5466"/>
    <w:rsid w:val="00FE13F7"/>
    <w:rsid w:val="00FE1E93"/>
    <w:rsid w:val="00FE25E5"/>
    <w:rsid w:val="00FE6E2C"/>
    <w:rsid w:val="00FF3D3C"/>
    <w:rsid w:val="00FF4C34"/>
    <w:rsid w:val="00FF5BB4"/>
    <w:rsid w:val="01C454FF"/>
    <w:rsid w:val="01C82346"/>
    <w:rsid w:val="01D77541"/>
    <w:rsid w:val="01DC4C17"/>
    <w:rsid w:val="01E776DC"/>
    <w:rsid w:val="02894997"/>
    <w:rsid w:val="040914A5"/>
    <w:rsid w:val="043A0D44"/>
    <w:rsid w:val="04F80754"/>
    <w:rsid w:val="04F82597"/>
    <w:rsid w:val="064C13E1"/>
    <w:rsid w:val="067F52BA"/>
    <w:rsid w:val="06CC35C6"/>
    <w:rsid w:val="06F7498D"/>
    <w:rsid w:val="072923EB"/>
    <w:rsid w:val="0754675F"/>
    <w:rsid w:val="07B168E2"/>
    <w:rsid w:val="08831082"/>
    <w:rsid w:val="08E3429E"/>
    <w:rsid w:val="08EB2CB3"/>
    <w:rsid w:val="09541A38"/>
    <w:rsid w:val="09624A21"/>
    <w:rsid w:val="097C7C49"/>
    <w:rsid w:val="09A301DE"/>
    <w:rsid w:val="0A5321F0"/>
    <w:rsid w:val="0AEF66A5"/>
    <w:rsid w:val="0B1E6CE1"/>
    <w:rsid w:val="0BCA7E40"/>
    <w:rsid w:val="0C2A6EAC"/>
    <w:rsid w:val="0C6C56D2"/>
    <w:rsid w:val="0D8A047F"/>
    <w:rsid w:val="0DB90E44"/>
    <w:rsid w:val="0E2F5830"/>
    <w:rsid w:val="0E477C8F"/>
    <w:rsid w:val="0E7E24E1"/>
    <w:rsid w:val="0EDA4A15"/>
    <w:rsid w:val="0F4B7B14"/>
    <w:rsid w:val="0F6450F6"/>
    <w:rsid w:val="0F6D7850"/>
    <w:rsid w:val="0F7A7318"/>
    <w:rsid w:val="0F842A3E"/>
    <w:rsid w:val="0FA16C0A"/>
    <w:rsid w:val="100D467D"/>
    <w:rsid w:val="103A0019"/>
    <w:rsid w:val="105216A0"/>
    <w:rsid w:val="11153D27"/>
    <w:rsid w:val="116C5049"/>
    <w:rsid w:val="11750060"/>
    <w:rsid w:val="118C1F4F"/>
    <w:rsid w:val="124A2691"/>
    <w:rsid w:val="130E07E9"/>
    <w:rsid w:val="136C1CE7"/>
    <w:rsid w:val="136E0C91"/>
    <w:rsid w:val="13E74870"/>
    <w:rsid w:val="13F468A1"/>
    <w:rsid w:val="13FC109B"/>
    <w:rsid w:val="13FC20DB"/>
    <w:rsid w:val="145F19A8"/>
    <w:rsid w:val="14AD188F"/>
    <w:rsid w:val="14C44DCC"/>
    <w:rsid w:val="14E1184E"/>
    <w:rsid w:val="152A5F52"/>
    <w:rsid w:val="15735D78"/>
    <w:rsid w:val="15D90A9B"/>
    <w:rsid w:val="15E86A7A"/>
    <w:rsid w:val="162044B3"/>
    <w:rsid w:val="174003AE"/>
    <w:rsid w:val="17656594"/>
    <w:rsid w:val="181B0D02"/>
    <w:rsid w:val="182A542D"/>
    <w:rsid w:val="186D3839"/>
    <w:rsid w:val="188F5193"/>
    <w:rsid w:val="19226993"/>
    <w:rsid w:val="195D2F32"/>
    <w:rsid w:val="197163C4"/>
    <w:rsid w:val="19C65F4E"/>
    <w:rsid w:val="19F3662C"/>
    <w:rsid w:val="1A14168E"/>
    <w:rsid w:val="1A253B92"/>
    <w:rsid w:val="1A7B68EC"/>
    <w:rsid w:val="1B3B1189"/>
    <w:rsid w:val="1B3D6519"/>
    <w:rsid w:val="1BE72BD8"/>
    <w:rsid w:val="1BEF101C"/>
    <w:rsid w:val="1C105369"/>
    <w:rsid w:val="1C2E672D"/>
    <w:rsid w:val="1C3F7403"/>
    <w:rsid w:val="1C733256"/>
    <w:rsid w:val="1C8264CF"/>
    <w:rsid w:val="1CA41306"/>
    <w:rsid w:val="1CD145B6"/>
    <w:rsid w:val="1CE159A7"/>
    <w:rsid w:val="1CE40C36"/>
    <w:rsid w:val="1D4C1C14"/>
    <w:rsid w:val="1DD42501"/>
    <w:rsid w:val="1E13369A"/>
    <w:rsid w:val="1E436DD4"/>
    <w:rsid w:val="1E5114AE"/>
    <w:rsid w:val="1E536264"/>
    <w:rsid w:val="1E546FD7"/>
    <w:rsid w:val="1EAB76B3"/>
    <w:rsid w:val="1ED30005"/>
    <w:rsid w:val="1F41404E"/>
    <w:rsid w:val="211233F7"/>
    <w:rsid w:val="214361D9"/>
    <w:rsid w:val="21840E14"/>
    <w:rsid w:val="219B43F9"/>
    <w:rsid w:val="21AA36F4"/>
    <w:rsid w:val="21B90EF9"/>
    <w:rsid w:val="21FE2436"/>
    <w:rsid w:val="22496313"/>
    <w:rsid w:val="22EE39A9"/>
    <w:rsid w:val="23994E34"/>
    <w:rsid w:val="23A32089"/>
    <w:rsid w:val="23AB39C8"/>
    <w:rsid w:val="23D94A9B"/>
    <w:rsid w:val="240B41F2"/>
    <w:rsid w:val="24A25850"/>
    <w:rsid w:val="257656EE"/>
    <w:rsid w:val="258922E3"/>
    <w:rsid w:val="25C5391F"/>
    <w:rsid w:val="264E3225"/>
    <w:rsid w:val="2653729C"/>
    <w:rsid w:val="2699695C"/>
    <w:rsid w:val="26BF0216"/>
    <w:rsid w:val="271E484C"/>
    <w:rsid w:val="273E6B61"/>
    <w:rsid w:val="27E71FB3"/>
    <w:rsid w:val="28031B20"/>
    <w:rsid w:val="28203095"/>
    <w:rsid w:val="28511D36"/>
    <w:rsid w:val="28ED3EC6"/>
    <w:rsid w:val="294C1F6F"/>
    <w:rsid w:val="2958531C"/>
    <w:rsid w:val="296B483F"/>
    <w:rsid w:val="29AC2A6D"/>
    <w:rsid w:val="29DE3384"/>
    <w:rsid w:val="2A2D285E"/>
    <w:rsid w:val="2AE6330A"/>
    <w:rsid w:val="2B305A68"/>
    <w:rsid w:val="2B3B63F1"/>
    <w:rsid w:val="2B6C185F"/>
    <w:rsid w:val="2B7B223A"/>
    <w:rsid w:val="2BB1153F"/>
    <w:rsid w:val="2BF32DBB"/>
    <w:rsid w:val="2BF73620"/>
    <w:rsid w:val="2C541A41"/>
    <w:rsid w:val="2C866FA2"/>
    <w:rsid w:val="2C9C4091"/>
    <w:rsid w:val="2CA127DE"/>
    <w:rsid w:val="2D6C4410"/>
    <w:rsid w:val="2D9065D7"/>
    <w:rsid w:val="2DDA2D6E"/>
    <w:rsid w:val="2DED3370"/>
    <w:rsid w:val="2EA81203"/>
    <w:rsid w:val="2F9C01BF"/>
    <w:rsid w:val="2FC57023"/>
    <w:rsid w:val="300E07BB"/>
    <w:rsid w:val="302817D1"/>
    <w:rsid w:val="30480F9E"/>
    <w:rsid w:val="30F45F41"/>
    <w:rsid w:val="30F51516"/>
    <w:rsid w:val="312B5FA2"/>
    <w:rsid w:val="319C5ED3"/>
    <w:rsid w:val="31DE1B26"/>
    <w:rsid w:val="321C6B3E"/>
    <w:rsid w:val="3268280F"/>
    <w:rsid w:val="333E1137"/>
    <w:rsid w:val="34533999"/>
    <w:rsid w:val="34E03013"/>
    <w:rsid w:val="34E94971"/>
    <w:rsid w:val="3526226C"/>
    <w:rsid w:val="35E74A3E"/>
    <w:rsid w:val="360E5ADE"/>
    <w:rsid w:val="36745BC0"/>
    <w:rsid w:val="368F6409"/>
    <w:rsid w:val="36A116D4"/>
    <w:rsid w:val="36A400A3"/>
    <w:rsid w:val="36E8404C"/>
    <w:rsid w:val="379A1F41"/>
    <w:rsid w:val="37AE3545"/>
    <w:rsid w:val="37DC4744"/>
    <w:rsid w:val="38C80958"/>
    <w:rsid w:val="397D3044"/>
    <w:rsid w:val="3A726921"/>
    <w:rsid w:val="3A8D07FB"/>
    <w:rsid w:val="3ABC7923"/>
    <w:rsid w:val="3ADD4453"/>
    <w:rsid w:val="3B021074"/>
    <w:rsid w:val="3B073F2B"/>
    <w:rsid w:val="3B2277F6"/>
    <w:rsid w:val="3BF75D4E"/>
    <w:rsid w:val="3C1C5B86"/>
    <w:rsid w:val="3C2C2D97"/>
    <w:rsid w:val="3D0A0246"/>
    <w:rsid w:val="3D2A52C9"/>
    <w:rsid w:val="3D585888"/>
    <w:rsid w:val="3DF902E8"/>
    <w:rsid w:val="3ED052A8"/>
    <w:rsid w:val="3F4C552A"/>
    <w:rsid w:val="3FBD0075"/>
    <w:rsid w:val="3FC90F8F"/>
    <w:rsid w:val="401A7772"/>
    <w:rsid w:val="40415FAF"/>
    <w:rsid w:val="409C3B48"/>
    <w:rsid w:val="40A90614"/>
    <w:rsid w:val="40C81580"/>
    <w:rsid w:val="40D639A4"/>
    <w:rsid w:val="416E73A7"/>
    <w:rsid w:val="42036144"/>
    <w:rsid w:val="42615F6A"/>
    <w:rsid w:val="427C4CBE"/>
    <w:rsid w:val="428F23B5"/>
    <w:rsid w:val="432F045A"/>
    <w:rsid w:val="433E4B96"/>
    <w:rsid w:val="437B4971"/>
    <w:rsid w:val="43A74AC4"/>
    <w:rsid w:val="43FB7152"/>
    <w:rsid w:val="440C5CCB"/>
    <w:rsid w:val="443415A6"/>
    <w:rsid w:val="446C1F8B"/>
    <w:rsid w:val="44EE123E"/>
    <w:rsid w:val="44F556FA"/>
    <w:rsid w:val="463257A1"/>
    <w:rsid w:val="46577591"/>
    <w:rsid w:val="466C70E1"/>
    <w:rsid w:val="46B53403"/>
    <w:rsid w:val="47521F43"/>
    <w:rsid w:val="47BF4CA2"/>
    <w:rsid w:val="47EB174F"/>
    <w:rsid w:val="482A50FB"/>
    <w:rsid w:val="48900146"/>
    <w:rsid w:val="48D6467A"/>
    <w:rsid w:val="49CB3AD2"/>
    <w:rsid w:val="49E03163"/>
    <w:rsid w:val="4A167812"/>
    <w:rsid w:val="4A435BE4"/>
    <w:rsid w:val="4A4E34BC"/>
    <w:rsid w:val="4AB47526"/>
    <w:rsid w:val="4AF405D6"/>
    <w:rsid w:val="4AFC07D7"/>
    <w:rsid w:val="4BBA05D9"/>
    <w:rsid w:val="4C1A65F0"/>
    <w:rsid w:val="4C441C5E"/>
    <w:rsid w:val="4C775080"/>
    <w:rsid w:val="4CA0339B"/>
    <w:rsid w:val="4D187BB4"/>
    <w:rsid w:val="4D7C5695"/>
    <w:rsid w:val="4D8100ED"/>
    <w:rsid w:val="4DB27D77"/>
    <w:rsid w:val="4DB76774"/>
    <w:rsid w:val="4E0563E4"/>
    <w:rsid w:val="4E78422E"/>
    <w:rsid w:val="4EC26A69"/>
    <w:rsid w:val="4F417F00"/>
    <w:rsid w:val="4F853113"/>
    <w:rsid w:val="4F87448B"/>
    <w:rsid w:val="4FA859E2"/>
    <w:rsid w:val="4FDA431D"/>
    <w:rsid w:val="4FFA7C32"/>
    <w:rsid w:val="50661AB8"/>
    <w:rsid w:val="51595C7B"/>
    <w:rsid w:val="51D20C10"/>
    <w:rsid w:val="52026A0D"/>
    <w:rsid w:val="527B54B4"/>
    <w:rsid w:val="529D45DE"/>
    <w:rsid w:val="536D4D7A"/>
    <w:rsid w:val="53E82AD4"/>
    <w:rsid w:val="53EE642D"/>
    <w:rsid w:val="53F52E07"/>
    <w:rsid w:val="54A02550"/>
    <w:rsid w:val="54A053A4"/>
    <w:rsid w:val="54CA6593"/>
    <w:rsid w:val="54E70B40"/>
    <w:rsid w:val="55264C2A"/>
    <w:rsid w:val="555F00C7"/>
    <w:rsid w:val="55842A22"/>
    <w:rsid w:val="55EE256B"/>
    <w:rsid w:val="563A433F"/>
    <w:rsid w:val="568F2946"/>
    <w:rsid w:val="57C10917"/>
    <w:rsid w:val="57C9355A"/>
    <w:rsid w:val="583E3BC5"/>
    <w:rsid w:val="58780544"/>
    <w:rsid w:val="587D49B7"/>
    <w:rsid w:val="58A33B70"/>
    <w:rsid w:val="5988262C"/>
    <w:rsid w:val="59C42889"/>
    <w:rsid w:val="59E51601"/>
    <w:rsid w:val="59F06197"/>
    <w:rsid w:val="5A714825"/>
    <w:rsid w:val="5ABC7FC6"/>
    <w:rsid w:val="5AED0D8F"/>
    <w:rsid w:val="5B8A65B0"/>
    <w:rsid w:val="5BA31564"/>
    <w:rsid w:val="5C1B359A"/>
    <w:rsid w:val="5C475A6A"/>
    <w:rsid w:val="5C5264F0"/>
    <w:rsid w:val="5CBC4242"/>
    <w:rsid w:val="5CCE37FE"/>
    <w:rsid w:val="5D6263CC"/>
    <w:rsid w:val="5D834C8A"/>
    <w:rsid w:val="5DAC08D0"/>
    <w:rsid w:val="5DB27C47"/>
    <w:rsid w:val="5E512F9A"/>
    <w:rsid w:val="5ED90C16"/>
    <w:rsid w:val="5F0A7101"/>
    <w:rsid w:val="5F8F0E6B"/>
    <w:rsid w:val="5FA07051"/>
    <w:rsid w:val="5FBF01EE"/>
    <w:rsid w:val="5FF13021"/>
    <w:rsid w:val="60057D51"/>
    <w:rsid w:val="60B16A2F"/>
    <w:rsid w:val="60D80F3D"/>
    <w:rsid w:val="60F4333C"/>
    <w:rsid w:val="614B40CB"/>
    <w:rsid w:val="61513EFA"/>
    <w:rsid w:val="62070E8E"/>
    <w:rsid w:val="62533FCF"/>
    <w:rsid w:val="6283463D"/>
    <w:rsid w:val="63091854"/>
    <w:rsid w:val="6322598D"/>
    <w:rsid w:val="634017AC"/>
    <w:rsid w:val="63E1599D"/>
    <w:rsid w:val="64976053"/>
    <w:rsid w:val="64E10894"/>
    <w:rsid w:val="65E5173B"/>
    <w:rsid w:val="65EA1B88"/>
    <w:rsid w:val="66135ED1"/>
    <w:rsid w:val="66226B5A"/>
    <w:rsid w:val="66405E5E"/>
    <w:rsid w:val="667A437B"/>
    <w:rsid w:val="67631BAC"/>
    <w:rsid w:val="67B61902"/>
    <w:rsid w:val="67BB366F"/>
    <w:rsid w:val="67BD235B"/>
    <w:rsid w:val="67FF02F1"/>
    <w:rsid w:val="682003D9"/>
    <w:rsid w:val="682747DD"/>
    <w:rsid w:val="682874FA"/>
    <w:rsid w:val="686F7EBD"/>
    <w:rsid w:val="6975200B"/>
    <w:rsid w:val="69857039"/>
    <w:rsid w:val="6A487024"/>
    <w:rsid w:val="6A9767A5"/>
    <w:rsid w:val="6ADA186C"/>
    <w:rsid w:val="6B9939D5"/>
    <w:rsid w:val="6BA51E03"/>
    <w:rsid w:val="6BF74DA0"/>
    <w:rsid w:val="6C032A7F"/>
    <w:rsid w:val="6C111246"/>
    <w:rsid w:val="6C3F6BCF"/>
    <w:rsid w:val="6C6E6699"/>
    <w:rsid w:val="6CA63BA4"/>
    <w:rsid w:val="6D9A1ED7"/>
    <w:rsid w:val="6DCE6EF9"/>
    <w:rsid w:val="6E697E23"/>
    <w:rsid w:val="6F22799D"/>
    <w:rsid w:val="6F74609B"/>
    <w:rsid w:val="6F79782E"/>
    <w:rsid w:val="6FAA3207"/>
    <w:rsid w:val="70473628"/>
    <w:rsid w:val="706148EA"/>
    <w:rsid w:val="70820AF2"/>
    <w:rsid w:val="711814CA"/>
    <w:rsid w:val="716F44F4"/>
    <w:rsid w:val="71B30E95"/>
    <w:rsid w:val="71C86DB3"/>
    <w:rsid w:val="71FA513C"/>
    <w:rsid w:val="723C307A"/>
    <w:rsid w:val="72A53C19"/>
    <w:rsid w:val="732C6966"/>
    <w:rsid w:val="7341145C"/>
    <w:rsid w:val="734372AC"/>
    <w:rsid w:val="73514FEE"/>
    <w:rsid w:val="742765EB"/>
    <w:rsid w:val="743F1F6C"/>
    <w:rsid w:val="74DF1AC4"/>
    <w:rsid w:val="753A04A7"/>
    <w:rsid w:val="754E3609"/>
    <w:rsid w:val="75585079"/>
    <w:rsid w:val="756B1FBC"/>
    <w:rsid w:val="757D64F2"/>
    <w:rsid w:val="75B4309E"/>
    <w:rsid w:val="75D54D66"/>
    <w:rsid w:val="75F07C9F"/>
    <w:rsid w:val="760A5963"/>
    <w:rsid w:val="76151ECA"/>
    <w:rsid w:val="76B81D17"/>
    <w:rsid w:val="770025E3"/>
    <w:rsid w:val="7796138A"/>
    <w:rsid w:val="77987A9B"/>
    <w:rsid w:val="77B24B2A"/>
    <w:rsid w:val="77B739BB"/>
    <w:rsid w:val="78432069"/>
    <w:rsid w:val="784D5C00"/>
    <w:rsid w:val="787B43D1"/>
    <w:rsid w:val="79300FDE"/>
    <w:rsid w:val="793648DC"/>
    <w:rsid w:val="79440654"/>
    <w:rsid w:val="799A5DD3"/>
    <w:rsid w:val="79C0122F"/>
    <w:rsid w:val="79FB0D06"/>
    <w:rsid w:val="7A8A6D94"/>
    <w:rsid w:val="7AA953BB"/>
    <w:rsid w:val="7AFC1F7E"/>
    <w:rsid w:val="7B4422DD"/>
    <w:rsid w:val="7B9A3AD5"/>
    <w:rsid w:val="7BA71EFB"/>
    <w:rsid w:val="7BE60B36"/>
    <w:rsid w:val="7C1A344E"/>
    <w:rsid w:val="7C9725F4"/>
    <w:rsid w:val="7CF579E8"/>
    <w:rsid w:val="7D1A7849"/>
    <w:rsid w:val="7D357F4B"/>
    <w:rsid w:val="7D4B3817"/>
    <w:rsid w:val="7D6268BC"/>
    <w:rsid w:val="7D6F05D7"/>
    <w:rsid w:val="7E667660"/>
    <w:rsid w:val="7E8D664E"/>
    <w:rsid w:val="7E9E696A"/>
    <w:rsid w:val="7F0B581F"/>
    <w:rsid w:val="7F293A17"/>
    <w:rsid w:val="7F3020F8"/>
    <w:rsid w:val="7F30215E"/>
    <w:rsid w:val="7FBE3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3"/>
    <w:autoRedefine/>
    <w:qFormat/>
    <w:uiPriority w:val="0"/>
    <w:pPr>
      <w:keepNext/>
      <w:keepLines/>
      <w:numPr>
        <w:ilvl w:val="0"/>
        <w:numId w:val="1"/>
      </w:numPr>
      <w:spacing w:line="360" w:lineRule="auto"/>
      <w:contextualSpacing/>
      <w:outlineLvl w:val="0"/>
    </w:pPr>
    <w:rPr>
      <w:rFonts w:ascii="Times New Roman" w:hAnsi="Times New Roman" w:eastAsia="宋体" w:cstheme="minorBidi"/>
      <w:bCs/>
      <w:kern w:val="44"/>
      <w:sz w:val="30"/>
      <w:szCs w:val="44"/>
      <w:lang w:val="en-US" w:eastAsia="zh-CN" w:bidi="ar-SA"/>
    </w:rPr>
  </w:style>
  <w:style w:type="paragraph" w:styleId="3">
    <w:name w:val="heading 2"/>
    <w:basedOn w:val="1"/>
    <w:next w:val="1"/>
    <w:link w:val="32"/>
    <w:autoRedefine/>
    <w:semiHidden/>
    <w:unhideWhenUsed/>
    <w:qFormat/>
    <w:uiPriority w:val="0"/>
    <w:pPr>
      <w:keepNext/>
      <w:keepLines/>
      <w:numPr>
        <w:ilvl w:val="1"/>
        <w:numId w:val="1"/>
      </w:numPr>
      <w:spacing w:line="360" w:lineRule="auto"/>
      <w:outlineLvl w:val="1"/>
    </w:pPr>
    <w:rPr>
      <w:rFonts w:cstheme="majorBidi"/>
      <w:bCs/>
      <w:sz w:val="32"/>
      <w:szCs w:val="32"/>
    </w:rPr>
  </w:style>
  <w:style w:type="paragraph" w:styleId="4">
    <w:name w:val="heading 3"/>
    <w:basedOn w:val="1"/>
    <w:next w:val="1"/>
    <w:link w:val="31"/>
    <w:autoRedefine/>
    <w:semiHidden/>
    <w:unhideWhenUsed/>
    <w:qFormat/>
    <w:uiPriority w:val="0"/>
    <w:pPr>
      <w:keepNext/>
      <w:keepLines/>
      <w:numPr>
        <w:ilvl w:val="2"/>
        <w:numId w:val="1"/>
      </w:numPr>
      <w:spacing w:line="240" w:lineRule="auto"/>
      <w:outlineLvl w:val="2"/>
    </w:pPr>
    <w:rPr>
      <w:bCs/>
      <w:sz w:val="32"/>
      <w:szCs w:val="32"/>
    </w:rPr>
  </w:style>
  <w:style w:type="paragraph" w:styleId="5">
    <w:name w:val="heading 4"/>
    <w:basedOn w:val="1"/>
    <w:next w:val="1"/>
    <w:link w:val="36"/>
    <w:autoRedefine/>
    <w:semiHidden/>
    <w:unhideWhenUsed/>
    <w:qFormat/>
    <w:uiPriority w:val="0"/>
    <w:pPr>
      <w:keepNext/>
      <w:keepLines/>
      <w:numPr>
        <w:ilvl w:val="3"/>
        <w:numId w:val="1"/>
      </w:numPr>
      <w:spacing w:line="240" w:lineRule="auto"/>
      <w:outlineLvl w:val="3"/>
    </w:pPr>
    <w:rPr>
      <w:rFonts w:cstheme="majorBidi"/>
      <w:bCs/>
      <w:szCs w:val="28"/>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1"/>
    <w:link w:val="57"/>
    <w:autoRedefine/>
    <w:qFormat/>
    <w:uiPriority w:val="0"/>
    <w:pPr>
      <w:adjustRightInd w:val="0"/>
      <w:snapToGrid w:val="0"/>
      <w:spacing w:beforeLines="50" w:afterLines="50" w:line="360" w:lineRule="auto"/>
      <w:ind w:firstLine="560" w:firstLineChars="200"/>
    </w:pPr>
    <w:rPr>
      <w:rFonts w:ascii="宋体" w:hAnsi="宋体" w:cs="宋体"/>
      <w:sz w:val="28"/>
      <w:szCs w:val="28"/>
    </w:rPr>
  </w:style>
  <w:style w:type="paragraph" w:styleId="7">
    <w:name w:val="annotation text"/>
    <w:basedOn w:val="1"/>
    <w:link w:val="42"/>
    <w:autoRedefine/>
    <w:qFormat/>
    <w:uiPriority w:val="0"/>
    <w:pPr>
      <w:jc w:val="left"/>
    </w:pPr>
  </w:style>
  <w:style w:type="paragraph" w:styleId="8">
    <w:name w:val="Body Text"/>
    <w:basedOn w:val="1"/>
    <w:next w:val="9"/>
    <w:link w:val="41"/>
    <w:autoRedefine/>
    <w:qFormat/>
    <w:uiPriority w:val="0"/>
    <w:pPr>
      <w:adjustRightInd w:val="0"/>
      <w:spacing w:after="120" w:line="312" w:lineRule="atLeast"/>
      <w:textAlignment w:val="baseline"/>
    </w:pPr>
    <w:rPr>
      <w:kern w:val="0"/>
      <w:sz w:val="21"/>
      <w:szCs w:val="20"/>
    </w:rPr>
  </w:style>
  <w:style w:type="paragraph" w:styleId="9">
    <w:name w:val="List Bullet 5"/>
    <w:basedOn w:val="1"/>
    <w:qFormat/>
    <w:uiPriority w:val="0"/>
    <w:pPr>
      <w:numPr>
        <w:ilvl w:val="0"/>
        <w:numId w:val="2"/>
      </w:numPr>
    </w:pPr>
  </w:style>
  <w:style w:type="paragraph" w:styleId="10">
    <w:name w:val="Body Text Indent"/>
    <w:basedOn w:val="1"/>
    <w:link w:val="46"/>
    <w:autoRedefine/>
    <w:qFormat/>
    <w:uiPriority w:val="0"/>
    <w:pPr>
      <w:spacing w:after="120"/>
      <w:ind w:left="420" w:leftChars="200"/>
    </w:pPr>
  </w:style>
  <w:style w:type="paragraph" w:styleId="11">
    <w:name w:val="Plain Text"/>
    <w:basedOn w:val="1"/>
    <w:link w:val="60"/>
    <w:autoRedefine/>
    <w:qFormat/>
    <w:uiPriority w:val="0"/>
    <w:rPr>
      <w:rFonts w:hAnsi="Courier New" w:cs="Courier New" w:asciiTheme="minorEastAsia" w:eastAsiaTheme="minorEastAsia"/>
    </w:rPr>
  </w:style>
  <w:style w:type="paragraph" w:styleId="12">
    <w:name w:val="Body Text Indent 2"/>
    <w:basedOn w:val="1"/>
    <w:next w:val="1"/>
    <w:link w:val="49"/>
    <w:autoRedefine/>
    <w:qFormat/>
    <w:uiPriority w:val="0"/>
    <w:pPr>
      <w:spacing w:after="120" w:line="480" w:lineRule="auto"/>
      <w:ind w:left="420" w:leftChars="200"/>
    </w:pPr>
  </w:style>
  <w:style w:type="paragraph" w:styleId="13">
    <w:name w:val="Balloon Text"/>
    <w:basedOn w:val="1"/>
    <w:link w:val="77"/>
    <w:qFormat/>
    <w:uiPriority w:val="0"/>
    <w:pPr>
      <w:spacing w:line="240" w:lineRule="auto"/>
    </w:pPr>
    <w:rPr>
      <w:rFonts w:ascii="Calibri" w:hAnsi="Calibri" w:eastAsia="宋体" w:cs="Times New Roman"/>
      <w:sz w:val="18"/>
      <w:szCs w:val="18"/>
    </w:rPr>
  </w:style>
  <w:style w:type="paragraph" w:styleId="14">
    <w:name w:val="footer"/>
    <w:basedOn w:val="1"/>
    <w:link w:val="78"/>
    <w:autoRedefine/>
    <w:qFormat/>
    <w:uiPriority w:val="0"/>
    <w:pPr>
      <w:tabs>
        <w:tab w:val="center" w:pos="4153"/>
        <w:tab w:val="right" w:pos="8306"/>
      </w:tabs>
      <w:snapToGrid w:val="0"/>
      <w:spacing w:line="240" w:lineRule="atLeast"/>
      <w:jc w:val="left"/>
    </w:pPr>
    <w:rPr>
      <w:sz w:val="18"/>
      <w:szCs w:val="18"/>
    </w:rPr>
  </w:style>
  <w:style w:type="paragraph" w:styleId="15">
    <w:name w:val="header"/>
    <w:basedOn w:val="1"/>
    <w:link w:val="79"/>
    <w:autoRedefine/>
    <w:qFormat/>
    <w:uiPriority w:val="0"/>
    <w:pPr>
      <w:tabs>
        <w:tab w:val="center" w:pos="4153"/>
        <w:tab w:val="right" w:pos="8306"/>
      </w:tabs>
      <w:snapToGrid w:val="0"/>
      <w:spacing w:line="240" w:lineRule="atLeast"/>
      <w:jc w:val="center"/>
    </w:pPr>
    <w:rPr>
      <w:sz w:val="18"/>
      <w:szCs w:val="18"/>
    </w:rPr>
  </w:style>
  <w:style w:type="paragraph" w:styleId="16">
    <w:name w:val="toc 1"/>
    <w:basedOn w:val="1"/>
    <w:next w:val="1"/>
    <w:qFormat/>
    <w:uiPriority w:val="0"/>
  </w:style>
  <w:style w:type="paragraph" w:styleId="17">
    <w:name w:val="List"/>
    <w:basedOn w:val="1"/>
    <w:autoRedefine/>
    <w:qFormat/>
    <w:uiPriority w:val="0"/>
    <w:pPr>
      <w:ind w:left="200" w:hanging="200" w:hangingChars="200"/>
    </w:pPr>
  </w:style>
  <w:style w:type="paragraph" w:styleId="18">
    <w:name w:val="Body Text 2"/>
    <w:basedOn w:val="1"/>
    <w:autoRedefine/>
    <w:qFormat/>
    <w:uiPriority w:val="0"/>
    <w:pPr>
      <w:spacing w:after="120" w:line="480" w:lineRule="auto"/>
    </w:pPr>
  </w:style>
  <w:style w:type="paragraph" w:styleId="19">
    <w:name w:val="Normal (Web)"/>
    <w:basedOn w:val="1"/>
    <w:autoRedefine/>
    <w:qFormat/>
    <w:uiPriority w:val="0"/>
    <w:pPr>
      <w:widowControl/>
      <w:spacing w:before="100" w:beforeAutospacing="1" w:after="100" w:afterAutospacing="1"/>
      <w:jc w:val="left"/>
    </w:pPr>
    <w:rPr>
      <w:rFonts w:ascii="宋体" w:hAnsi="宋体" w:cs="宋体"/>
      <w:kern w:val="0"/>
      <w:szCs w:val="24"/>
    </w:rPr>
  </w:style>
  <w:style w:type="paragraph" w:styleId="20">
    <w:name w:val="Title"/>
    <w:basedOn w:val="1"/>
    <w:link w:val="35"/>
    <w:autoRedefine/>
    <w:qFormat/>
    <w:uiPriority w:val="0"/>
    <w:pPr>
      <w:spacing w:before="240" w:after="60" w:line="240" w:lineRule="auto"/>
      <w:jc w:val="center"/>
      <w:outlineLvl w:val="0"/>
    </w:pPr>
    <w:rPr>
      <w:rFonts w:asciiTheme="majorHAnsi" w:hAnsiTheme="majorHAnsi" w:cstheme="majorBidi"/>
      <w:b/>
      <w:bCs/>
      <w:sz w:val="32"/>
      <w:szCs w:val="32"/>
    </w:rPr>
  </w:style>
  <w:style w:type="paragraph" w:styleId="21">
    <w:name w:val="annotation subject"/>
    <w:basedOn w:val="7"/>
    <w:next w:val="1"/>
    <w:qFormat/>
    <w:uiPriority w:val="0"/>
    <w:rPr>
      <w:b/>
    </w:rPr>
  </w:style>
  <w:style w:type="paragraph" w:styleId="22">
    <w:name w:val="Body Text First Indent"/>
    <w:basedOn w:val="8"/>
    <w:next w:val="1"/>
    <w:link w:val="51"/>
    <w:autoRedefine/>
    <w:qFormat/>
    <w:uiPriority w:val="0"/>
    <w:pPr>
      <w:widowControl/>
      <w:snapToGrid w:val="0"/>
      <w:spacing w:before="60" w:after="160" w:line="256" w:lineRule="auto"/>
      <w:ind w:right="113" w:firstLine="420" w:firstLineChars="100"/>
    </w:pPr>
    <w:rPr>
      <w:sz w:val="18"/>
      <w:szCs w:val="18"/>
    </w:rPr>
  </w:style>
  <w:style w:type="paragraph" w:styleId="23">
    <w:name w:val="Body Text First Indent 2"/>
    <w:basedOn w:val="10"/>
    <w:next w:val="1"/>
    <w:link w:val="47"/>
    <w:autoRedefine/>
    <w:qFormat/>
    <w:uiPriority w:val="0"/>
    <w:pPr>
      <w:ind w:firstLine="420" w:firstLineChars="200"/>
    </w:p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Emphasis"/>
    <w:basedOn w:val="26"/>
    <w:qFormat/>
    <w:uiPriority w:val="0"/>
    <w:rPr>
      <w:i/>
    </w:rPr>
  </w:style>
  <w:style w:type="character" w:styleId="29">
    <w:name w:val="annotation reference"/>
    <w:basedOn w:val="26"/>
    <w:qFormat/>
    <w:uiPriority w:val="0"/>
    <w:rPr>
      <w:sz w:val="21"/>
      <w:szCs w:val="21"/>
    </w:rPr>
  </w:style>
  <w:style w:type="paragraph" w:customStyle="1" w:styleId="30">
    <w:name w:val="样式5"/>
    <w:basedOn w:val="6"/>
    <w:next w:val="20"/>
    <w:autoRedefine/>
    <w:qFormat/>
    <w:uiPriority w:val="0"/>
    <w:pPr>
      <w:spacing w:line="380" w:lineRule="exact"/>
      <w:ind w:firstLine="566" w:firstLineChars="202"/>
    </w:pPr>
    <w:rPr>
      <w:rFonts w:eastAsia="华文行楷"/>
    </w:rPr>
  </w:style>
  <w:style w:type="character" w:customStyle="1" w:styleId="31">
    <w:name w:val="标题 3 字符"/>
    <w:basedOn w:val="26"/>
    <w:link w:val="4"/>
    <w:autoRedefine/>
    <w:qFormat/>
    <w:uiPriority w:val="9"/>
    <w:rPr>
      <w:rFonts w:ascii="Times New Roman" w:hAnsi="Times New Roman" w:eastAsia="宋体"/>
      <w:bCs/>
      <w:sz w:val="32"/>
      <w:szCs w:val="32"/>
    </w:rPr>
  </w:style>
  <w:style w:type="character" w:customStyle="1" w:styleId="32">
    <w:name w:val="标题 2 字符"/>
    <w:basedOn w:val="26"/>
    <w:link w:val="3"/>
    <w:autoRedefine/>
    <w:qFormat/>
    <w:uiPriority w:val="9"/>
    <w:rPr>
      <w:rFonts w:ascii="Times New Roman" w:hAnsi="Times New Roman" w:eastAsia="宋体" w:cstheme="majorBidi"/>
      <w:bCs/>
      <w:sz w:val="32"/>
      <w:szCs w:val="32"/>
    </w:rPr>
  </w:style>
  <w:style w:type="character" w:customStyle="1" w:styleId="33">
    <w:name w:val="标题 1 字符"/>
    <w:basedOn w:val="26"/>
    <w:link w:val="2"/>
    <w:autoRedefine/>
    <w:qFormat/>
    <w:uiPriority w:val="9"/>
    <w:rPr>
      <w:rFonts w:ascii="Times New Roman" w:hAnsi="Times New Roman" w:eastAsia="宋体"/>
      <w:bCs/>
      <w:kern w:val="44"/>
      <w:sz w:val="30"/>
      <w:szCs w:val="44"/>
    </w:rPr>
  </w:style>
  <w:style w:type="paragraph" w:customStyle="1" w:styleId="34">
    <w:name w:val="样式 仿宋_GB2312 四号 行距: 1.5 倍行距"/>
    <w:basedOn w:val="1"/>
    <w:autoRedefine/>
    <w:qFormat/>
    <w:uiPriority w:val="0"/>
    <w:pPr>
      <w:spacing w:after="120" w:line="360" w:lineRule="auto"/>
      <w:ind w:firstLine="560" w:firstLineChars="200"/>
    </w:pPr>
    <w:rPr>
      <w:rFonts w:ascii="宋体" w:hAnsi="宋体"/>
      <w:color w:val="000000"/>
      <w:szCs w:val="20"/>
    </w:rPr>
  </w:style>
  <w:style w:type="character" w:customStyle="1" w:styleId="35">
    <w:name w:val="标题 字符"/>
    <w:basedOn w:val="26"/>
    <w:link w:val="20"/>
    <w:autoRedefine/>
    <w:qFormat/>
    <w:uiPriority w:val="0"/>
    <w:rPr>
      <w:rFonts w:eastAsia="宋体" w:asciiTheme="majorHAnsi" w:hAnsiTheme="majorHAnsi" w:cstheme="majorBidi"/>
      <w:b/>
      <w:bCs/>
      <w:sz w:val="32"/>
      <w:szCs w:val="32"/>
    </w:rPr>
  </w:style>
  <w:style w:type="character" w:customStyle="1" w:styleId="36">
    <w:name w:val="标题 4 字符"/>
    <w:basedOn w:val="26"/>
    <w:link w:val="5"/>
    <w:autoRedefine/>
    <w:qFormat/>
    <w:uiPriority w:val="9"/>
    <w:rPr>
      <w:rFonts w:ascii="Times New Roman" w:hAnsi="Times New Roman" w:eastAsia="宋体" w:cstheme="majorBidi"/>
      <w:bCs/>
      <w:sz w:val="28"/>
      <w:szCs w:val="28"/>
    </w:rPr>
  </w:style>
  <w:style w:type="paragraph" w:styleId="37">
    <w:name w:val="List Paragraph"/>
    <w:basedOn w:val="1"/>
    <w:autoRedefine/>
    <w:semiHidden/>
    <w:unhideWhenUsed/>
    <w:qFormat/>
    <w:uiPriority w:val="99"/>
    <w:pPr>
      <w:ind w:firstLine="420" w:firstLineChars="200"/>
    </w:pPr>
  </w:style>
  <w:style w:type="paragraph" w:customStyle="1" w:styleId="38">
    <w:name w:val="Char"/>
    <w:basedOn w:val="1"/>
    <w:autoRedefine/>
    <w:qFormat/>
    <w:uiPriority w:val="0"/>
    <w:pPr>
      <w:snapToGrid w:val="0"/>
      <w:spacing w:line="360" w:lineRule="auto"/>
      <w:ind w:firstLine="529" w:firstLineChars="200"/>
    </w:pPr>
    <w:rPr>
      <w:rFonts w:ascii="宋体" w:hAnsi="宋体"/>
      <w:b/>
      <w:szCs w:val="24"/>
    </w:rPr>
  </w:style>
  <w:style w:type="paragraph" w:customStyle="1" w:styleId="39">
    <w:name w:val="Char Char Char Char Char Char Char"/>
    <w:basedOn w:val="1"/>
    <w:autoRedefine/>
    <w:qFormat/>
    <w:uiPriority w:val="0"/>
    <w:pPr>
      <w:snapToGrid w:val="0"/>
      <w:spacing w:line="360" w:lineRule="auto"/>
      <w:ind w:firstLine="529" w:firstLineChars="200"/>
    </w:pPr>
    <w:rPr>
      <w:rFonts w:ascii="宋体" w:hAnsi="宋体" w:cs="宋体"/>
      <w:b/>
      <w:sz w:val="21"/>
    </w:rPr>
  </w:style>
  <w:style w:type="paragraph" w:customStyle="1" w:styleId="40">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41">
    <w:name w:val="正文文本 字符"/>
    <w:basedOn w:val="26"/>
    <w:link w:val="8"/>
    <w:autoRedefine/>
    <w:qFormat/>
    <w:uiPriority w:val="0"/>
    <w:rPr>
      <w:rFonts w:ascii="Times New Roman" w:hAnsi="Times New Roman" w:eastAsia="宋体" w:cs="Times New Roman"/>
      <w:sz w:val="21"/>
    </w:rPr>
  </w:style>
  <w:style w:type="character" w:customStyle="1" w:styleId="42">
    <w:name w:val="批注文字 字符"/>
    <w:basedOn w:val="26"/>
    <w:link w:val="7"/>
    <w:autoRedefine/>
    <w:qFormat/>
    <w:uiPriority w:val="99"/>
    <w:rPr>
      <w:rFonts w:ascii="Times New Roman" w:hAnsi="Times New Roman" w:eastAsia="宋体" w:cs="Times New Roman"/>
      <w:kern w:val="2"/>
      <w:sz w:val="24"/>
      <w:szCs w:val="21"/>
    </w:rPr>
  </w:style>
  <w:style w:type="paragraph" w:customStyle="1" w:styleId="43">
    <w:name w:val="Default"/>
    <w:basedOn w:val="1"/>
    <w:next w:val="44"/>
    <w:autoRedefine/>
    <w:qFormat/>
    <w:uiPriority w:val="0"/>
    <w:pPr>
      <w:autoSpaceDE w:val="0"/>
      <w:autoSpaceDN w:val="0"/>
      <w:adjustRightInd w:val="0"/>
      <w:snapToGrid w:val="0"/>
      <w:spacing w:line="520" w:lineRule="exact"/>
      <w:ind w:firstLine="200" w:firstLineChars="200"/>
    </w:pPr>
    <w:rPr>
      <w:rFonts w:ascii="宋体" w:cs="宋体"/>
      <w:color w:val="000000"/>
      <w:szCs w:val="24"/>
    </w:rPr>
  </w:style>
  <w:style w:type="paragraph" w:customStyle="1" w:styleId="44">
    <w:name w:val="表格文字"/>
    <w:basedOn w:val="6"/>
    <w:next w:val="1"/>
    <w:qFormat/>
    <w:uiPriority w:val="0"/>
    <w:pPr>
      <w:ind w:firstLine="420"/>
      <w:jc w:val="center"/>
    </w:pPr>
    <w:rPr>
      <w:rFonts w:ascii="仿宋_GB2312" w:hAnsi="Arial Black" w:eastAsia="仿宋_GB2312" w:cs="Times New Roman"/>
      <w:kern w:val="44"/>
      <w:sz w:val="24"/>
      <w:szCs w:val="24"/>
    </w:rPr>
  </w:style>
  <w:style w:type="paragraph" w:customStyle="1" w:styleId="45">
    <w:name w:val="正文首行缩进 21"/>
    <w:basedOn w:val="10"/>
    <w:next w:val="1"/>
    <w:autoRedefine/>
    <w:qFormat/>
    <w:uiPriority w:val="0"/>
    <w:pPr>
      <w:spacing w:before="100" w:beforeAutospacing="1" w:line="360" w:lineRule="auto"/>
      <w:ind w:firstLine="420" w:firstLineChars="200"/>
      <w:jc w:val="left"/>
    </w:pPr>
    <w:rPr>
      <w:kern w:val="0"/>
      <w:szCs w:val="24"/>
    </w:rPr>
  </w:style>
  <w:style w:type="character" w:customStyle="1" w:styleId="46">
    <w:name w:val="正文文本缩进 字符"/>
    <w:basedOn w:val="26"/>
    <w:link w:val="10"/>
    <w:autoRedefine/>
    <w:semiHidden/>
    <w:qFormat/>
    <w:uiPriority w:val="99"/>
    <w:rPr>
      <w:rFonts w:ascii="Times New Roman" w:hAnsi="Times New Roman" w:eastAsia="宋体" w:cs="Times New Roman"/>
      <w:kern w:val="2"/>
      <w:sz w:val="24"/>
      <w:szCs w:val="21"/>
    </w:rPr>
  </w:style>
  <w:style w:type="character" w:customStyle="1" w:styleId="47">
    <w:name w:val="正文文本首行缩进 2 字符"/>
    <w:basedOn w:val="46"/>
    <w:link w:val="23"/>
    <w:autoRedefine/>
    <w:qFormat/>
    <w:uiPriority w:val="0"/>
    <w:rPr>
      <w:rFonts w:ascii="Times New Roman" w:hAnsi="Times New Roman" w:eastAsia="宋体" w:cs="Times New Roman"/>
      <w:kern w:val="2"/>
      <w:sz w:val="24"/>
      <w:szCs w:val="21"/>
    </w:rPr>
  </w:style>
  <w:style w:type="paragraph" w:customStyle="1" w:styleId="48">
    <w:name w:val="正文2"/>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49">
    <w:name w:val="正文文本缩进 2 字符"/>
    <w:basedOn w:val="26"/>
    <w:link w:val="12"/>
    <w:autoRedefine/>
    <w:semiHidden/>
    <w:qFormat/>
    <w:uiPriority w:val="99"/>
    <w:rPr>
      <w:rFonts w:ascii="Times New Roman" w:hAnsi="Times New Roman" w:eastAsia="宋体" w:cs="Times New Roman"/>
      <w:kern w:val="2"/>
      <w:sz w:val="24"/>
      <w:szCs w:val="21"/>
    </w:rPr>
  </w:style>
  <w:style w:type="paragraph" w:customStyle="1" w:styleId="50">
    <w:name w:val="表中"/>
    <w:basedOn w:val="1"/>
    <w:autoRedefine/>
    <w:qFormat/>
    <w:uiPriority w:val="0"/>
    <w:pPr>
      <w:adjustRightInd w:val="0"/>
      <w:spacing w:line="360" w:lineRule="exact"/>
      <w:jc w:val="center"/>
      <w:textAlignment w:val="baseline"/>
    </w:pPr>
    <w:rPr>
      <w:kern w:val="0"/>
      <w:sz w:val="21"/>
      <w:lang w:val="de-DE"/>
    </w:rPr>
  </w:style>
  <w:style w:type="character" w:customStyle="1" w:styleId="51">
    <w:name w:val="正文文本首行缩进 字符"/>
    <w:basedOn w:val="41"/>
    <w:link w:val="22"/>
    <w:autoRedefine/>
    <w:qFormat/>
    <w:uiPriority w:val="0"/>
    <w:rPr>
      <w:rFonts w:ascii="Times New Roman" w:hAnsi="Times New Roman" w:eastAsia="宋体" w:cs="Times New Roman"/>
      <w:sz w:val="21"/>
    </w:rPr>
  </w:style>
  <w:style w:type="paragraph" w:customStyle="1" w:styleId="52">
    <w:name w:val="表头常用"/>
    <w:basedOn w:val="1"/>
    <w:autoRedefine/>
    <w:qFormat/>
    <w:uiPriority w:val="0"/>
    <w:pPr>
      <w:adjustRightInd w:val="0"/>
      <w:spacing w:line="500" w:lineRule="exact"/>
      <w:jc w:val="center"/>
      <w:textAlignment w:val="baseline"/>
    </w:pPr>
    <w:rPr>
      <w:rFonts w:eastAsia="黑体"/>
      <w:sz w:val="21"/>
    </w:rPr>
  </w:style>
  <w:style w:type="paragraph" w:styleId="53">
    <w:name w:val="No Spacing"/>
    <w:link w:val="54"/>
    <w:autoRedefine/>
    <w:semiHidden/>
    <w:unhideWhenUsed/>
    <w:qFormat/>
    <w:uiPriority w:val="99"/>
    <w:pPr>
      <w:widowControl w:val="0"/>
      <w:adjustRightInd w:val="0"/>
      <w:jc w:val="center"/>
      <w:textAlignment w:val="baseline"/>
    </w:pPr>
    <w:rPr>
      <w:rFonts w:ascii="Times New Roman" w:hAnsi="Times New Roman" w:eastAsia="宋体" w:cs="Times New Roman"/>
      <w:kern w:val="2"/>
      <w:sz w:val="21"/>
      <w:lang w:val="en-US" w:eastAsia="zh-CN" w:bidi="ar-SA"/>
    </w:rPr>
  </w:style>
  <w:style w:type="character" w:customStyle="1" w:styleId="54">
    <w:name w:val="无间隔 字符"/>
    <w:link w:val="53"/>
    <w:autoRedefine/>
    <w:qFormat/>
    <w:uiPriority w:val="99"/>
    <w:rPr>
      <w:rFonts w:ascii="Times New Roman" w:hAnsi="Times New Roman" w:eastAsia="宋体" w:cs="Times New Roman"/>
      <w:kern w:val="2"/>
      <w:sz w:val="21"/>
    </w:rPr>
  </w:style>
  <w:style w:type="paragraph" w:customStyle="1" w:styleId="55">
    <w:name w:val="xl28"/>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312" w:lineRule="atLeast"/>
      <w:jc w:val="center"/>
      <w:textAlignment w:val="baseline"/>
    </w:pPr>
    <w:rPr>
      <w:rFonts w:ascii="Arial Unicode MS" w:hAnsi="Arial Unicode MS" w:eastAsia="Arial Unicode MS"/>
      <w:b/>
      <w:bCs/>
      <w:kern w:val="0"/>
      <w:sz w:val="21"/>
    </w:rPr>
  </w:style>
  <w:style w:type="paragraph" w:customStyle="1" w:styleId="56">
    <w:name w:val="山焦报告正文"/>
    <w:basedOn w:val="1"/>
    <w:autoRedefine/>
    <w:qFormat/>
    <w:uiPriority w:val="0"/>
    <w:pPr>
      <w:adjustRightInd w:val="0"/>
      <w:snapToGrid w:val="0"/>
      <w:spacing w:before="78" w:beforeLines="25" w:line="440" w:lineRule="exact"/>
      <w:ind w:firstLine="200" w:firstLineChars="200"/>
      <w:textAlignment w:val="baseline"/>
    </w:pPr>
    <w:rPr>
      <w:color w:val="000000"/>
      <w:kern w:val="0"/>
      <w:szCs w:val="20"/>
    </w:rPr>
  </w:style>
  <w:style w:type="character" w:customStyle="1" w:styleId="57">
    <w:name w:val="正文缩进 字符"/>
    <w:link w:val="6"/>
    <w:autoRedefine/>
    <w:qFormat/>
    <w:uiPriority w:val="0"/>
    <w:rPr>
      <w:rFonts w:ascii="宋体" w:hAnsi="宋体" w:eastAsia="宋体" w:cs="宋体"/>
      <w:kern w:val="2"/>
      <w:sz w:val="28"/>
      <w:szCs w:val="28"/>
    </w:rPr>
  </w:style>
  <w:style w:type="paragraph" w:customStyle="1" w:styleId="58">
    <w:name w:val="正文文字（首行缩进2字）"/>
    <w:basedOn w:val="1"/>
    <w:autoRedefine/>
    <w:qFormat/>
    <w:uiPriority w:val="0"/>
    <w:pPr>
      <w:adjustRightInd w:val="0"/>
      <w:spacing w:line="360" w:lineRule="auto"/>
      <w:ind w:firstLine="200" w:firstLineChars="200"/>
      <w:textAlignment w:val="baseline"/>
    </w:pPr>
    <w:rPr>
      <w:rFonts w:ascii="Arial" w:hAnsi="Arial"/>
      <w:kern w:val="0"/>
      <w:position w:val="-30"/>
      <w:szCs w:val="20"/>
    </w:rPr>
  </w:style>
  <w:style w:type="paragraph" w:customStyle="1" w:styleId="59">
    <w:name w:val="表格"/>
    <w:basedOn w:val="11"/>
    <w:next w:val="1"/>
    <w:autoRedefine/>
    <w:qFormat/>
    <w:uiPriority w:val="0"/>
    <w:pPr>
      <w:spacing w:line="360" w:lineRule="auto"/>
      <w:jc w:val="center"/>
    </w:pPr>
    <w:rPr>
      <w:rFonts w:ascii="宋体" w:eastAsia="宋体" w:cs="Times New Roman"/>
      <w:bCs/>
      <w:sz w:val="21"/>
    </w:rPr>
  </w:style>
  <w:style w:type="character" w:customStyle="1" w:styleId="60">
    <w:name w:val="纯文本 字符"/>
    <w:basedOn w:val="26"/>
    <w:link w:val="11"/>
    <w:autoRedefine/>
    <w:semiHidden/>
    <w:qFormat/>
    <w:uiPriority w:val="99"/>
    <w:rPr>
      <w:rFonts w:hAnsi="Courier New" w:cs="Courier New" w:asciiTheme="minorEastAsia"/>
      <w:kern w:val="2"/>
      <w:sz w:val="24"/>
      <w:szCs w:val="21"/>
    </w:rPr>
  </w:style>
  <w:style w:type="character" w:customStyle="1" w:styleId="61">
    <w:name w:val="页眉 字符"/>
    <w:basedOn w:val="26"/>
    <w:link w:val="15"/>
    <w:autoRedefine/>
    <w:qFormat/>
    <w:uiPriority w:val="99"/>
    <w:rPr>
      <w:rFonts w:ascii="Times New Roman" w:hAnsi="Times New Roman" w:eastAsia="宋体" w:cs="Times New Roman"/>
      <w:kern w:val="2"/>
      <w:sz w:val="18"/>
      <w:szCs w:val="18"/>
    </w:rPr>
  </w:style>
  <w:style w:type="character" w:customStyle="1" w:styleId="62">
    <w:name w:val="页脚 字符"/>
    <w:basedOn w:val="26"/>
    <w:link w:val="14"/>
    <w:autoRedefine/>
    <w:qFormat/>
    <w:uiPriority w:val="99"/>
    <w:rPr>
      <w:rFonts w:ascii="Times New Roman" w:hAnsi="Times New Roman" w:eastAsia="宋体" w:cs="Times New Roman"/>
      <w:kern w:val="2"/>
      <w:sz w:val="18"/>
      <w:szCs w:val="18"/>
    </w:rPr>
  </w:style>
  <w:style w:type="character" w:customStyle="1" w:styleId="63">
    <w:name w:val="cf01"/>
    <w:basedOn w:val="26"/>
    <w:autoRedefine/>
    <w:qFormat/>
    <w:uiPriority w:val="0"/>
    <w:rPr>
      <w:rFonts w:hint="eastAsia" w:ascii="Microsoft YaHei UI" w:hAnsi="Microsoft YaHei UI" w:eastAsia="Microsoft YaHei UI"/>
      <w:sz w:val="18"/>
      <w:szCs w:val="18"/>
    </w:rPr>
  </w:style>
  <w:style w:type="character" w:customStyle="1" w:styleId="64">
    <w:name w:val="cf11"/>
    <w:basedOn w:val="26"/>
    <w:autoRedefine/>
    <w:qFormat/>
    <w:uiPriority w:val="0"/>
    <w:rPr>
      <w:rFonts w:hint="eastAsia" w:ascii="Microsoft YaHei UI" w:hAnsi="Microsoft YaHei UI" w:eastAsia="Microsoft YaHei UI"/>
      <w:sz w:val="18"/>
      <w:szCs w:val="18"/>
      <w:u w:val="single"/>
    </w:rPr>
  </w:style>
  <w:style w:type="character" w:customStyle="1" w:styleId="65">
    <w:name w:val="cf21"/>
    <w:basedOn w:val="26"/>
    <w:autoRedefine/>
    <w:qFormat/>
    <w:uiPriority w:val="0"/>
    <w:rPr>
      <w:rFonts w:hint="eastAsia" w:ascii="Microsoft YaHei UI" w:hAnsi="Microsoft YaHei UI" w:eastAsia="Microsoft YaHei UI"/>
      <w:sz w:val="18"/>
      <w:szCs w:val="18"/>
    </w:rPr>
  </w:style>
  <w:style w:type="paragraph" w:customStyle="1" w:styleId="66">
    <w:name w:val="正文首行缩进1"/>
    <w:basedOn w:val="8"/>
    <w:next w:val="1"/>
    <w:autoRedefine/>
    <w:qFormat/>
    <w:uiPriority w:val="0"/>
    <w:pPr>
      <w:spacing w:before="100" w:beforeAutospacing="1"/>
      <w:ind w:firstLine="420" w:firstLineChars="100"/>
    </w:pPr>
    <w:rPr>
      <w:szCs w:val="21"/>
    </w:rPr>
  </w:style>
  <w:style w:type="paragraph" w:customStyle="1" w:styleId="67">
    <w:name w:val="xl97"/>
    <w:basedOn w:val="1"/>
    <w:next w:val="68"/>
    <w:autoRedefine/>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21"/>
    </w:rPr>
  </w:style>
  <w:style w:type="paragraph" w:customStyle="1" w:styleId="68">
    <w:name w:val="xl127"/>
    <w:basedOn w:val="8"/>
    <w:next w:val="69"/>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sz w:val="20"/>
    </w:rPr>
  </w:style>
  <w:style w:type="paragraph" w:customStyle="1" w:styleId="69">
    <w:name w:val="1"/>
    <w:basedOn w:val="18"/>
    <w:next w:val="1"/>
    <w:autoRedefine/>
    <w:qFormat/>
    <w:uiPriority w:val="0"/>
  </w:style>
  <w:style w:type="paragraph" w:customStyle="1" w:styleId="70">
    <w:name w:val="表格文字（小）"/>
    <w:basedOn w:val="1"/>
    <w:autoRedefine/>
    <w:qFormat/>
    <w:uiPriority w:val="0"/>
    <w:pPr>
      <w:snapToGrid w:val="0"/>
      <w:spacing w:line="240" w:lineRule="atLeast"/>
      <w:jc w:val="center"/>
    </w:pPr>
    <w:rPr>
      <w:color w:val="000000"/>
      <w:kern w:val="0"/>
    </w:rPr>
  </w:style>
  <w:style w:type="table" w:customStyle="1" w:styleId="71">
    <w:name w:val="网格型3"/>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72">
    <w:name w:val="图表"/>
    <w:qFormat/>
    <w:uiPriority w:val="0"/>
    <w:pPr>
      <w:keepNext/>
      <w:keepLines/>
      <w:widowControl w:val="0"/>
      <w:spacing w:line="360" w:lineRule="auto"/>
      <w:jc w:val="center"/>
    </w:pPr>
    <w:rPr>
      <w:rFonts w:ascii="Times New Roman" w:hAnsi="Times New Roman" w:eastAsia="宋体" w:cs="Times New Roman"/>
      <w:b/>
      <w:bCs/>
      <w:sz w:val="21"/>
      <w:szCs w:val="21"/>
      <w:lang w:val="en-US" w:eastAsia="zh-CN" w:bidi="ar-SA"/>
    </w:rPr>
  </w:style>
  <w:style w:type="paragraph" w:customStyle="1" w:styleId="73">
    <w:name w:val="表格内容"/>
    <w:basedOn w:val="1"/>
    <w:qFormat/>
    <w:uiPriority w:val="0"/>
    <w:pPr>
      <w:snapToGrid w:val="0"/>
      <w:jc w:val="center"/>
    </w:pPr>
    <w:rPr>
      <w:kern w:val="0"/>
      <w:sz w:val="21"/>
    </w:rPr>
  </w:style>
  <w:style w:type="paragraph" w:customStyle="1" w:styleId="74">
    <w:name w:val="正文样式"/>
    <w:basedOn w:val="1"/>
    <w:qFormat/>
    <w:uiPriority w:val="0"/>
    <w:pPr>
      <w:adjustRightInd w:val="0"/>
      <w:snapToGrid w:val="0"/>
      <w:spacing w:line="360" w:lineRule="auto"/>
      <w:ind w:firstLine="542" w:firstLineChars="225"/>
      <w:jc w:val="center"/>
    </w:pPr>
    <w:rPr>
      <w:b/>
      <w:color w:val="FF0000"/>
    </w:rPr>
  </w:style>
  <w:style w:type="paragraph" w:customStyle="1" w:styleId="75">
    <w:name w:val="Revision"/>
    <w:hidden/>
    <w:unhideWhenUsed/>
    <w:qFormat/>
    <w:uiPriority w:val="99"/>
    <w:rPr>
      <w:rFonts w:ascii="Times New Roman" w:hAnsi="Times New Roman" w:eastAsia="宋体" w:cs="Times New Roman"/>
      <w:kern w:val="2"/>
      <w:sz w:val="24"/>
      <w:szCs w:val="21"/>
      <w:lang w:val="en-US" w:eastAsia="zh-CN" w:bidi="ar-SA"/>
    </w:rPr>
  </w:style>
  <w:style w:type="paragraph" w:customStyle="1" w:styleId="76">
    <w:name w:val="Table Paragraph"/>
    <w:basedOn w:val="1"/>
    <w:unhideWhenUsed/>
    <w:qFormat/>
    <w:uiPriority w:val="1"/>
    <w:pPr>
      <w:autoSpaceDE w:val="0"/>
      <w:autoSpaceDN w:val="0"/>
      <w:adjustRightInd w:val="0"/>
      <w:spacing w:beforeLines="0" w:afterLines="0"/>
      <w:jc w:val="left"/>
    </w:pPr>
    <w:rPr>
      <w:rFonts w:hint="default"/>
      <w:kern w:val="0"/>
      <w:sz w:val="24"/>
      <w:szCs w:val="24"/>
    </w:rPr>
  </w:style>
  <w:style w:type="character" w:customStyle="1" w:styleId="77">
    <w:name w:val="批注框文本 Char"/>
    <w:basedOn w:val="26"/>
    <w:link w:val="13"/>
    <w:semiHidden/>
    <w:qFormat/>
    <w:uiPriority w:val="99"/>
    <w:rPr>
      <w:rFonts w:ascii="Calibri" w:hAnsi="Calibri" w:eastAsia="宋体" w:cs="Times New Roman"/>
      <w:sz w:val="18"/>
      <w:szCs w:val="18"/>
    </w:rPr>
  </w:style>
  <w:style w:type="character" w:customStyle="1" w:styleId="78">
    <w:name w:val="页脚 Char"/>
    <w:basedOn w:val="26"/>
    <w:link w:val="14"/>
    <w:semiHidden/>
    <w:qFormat/>
    <w:uiPriority w:val="99"/>
    <w:rPr>
      <w:rFonts w:ascii="Calibri" w:hAnsi="Calibri" w:eastAsia="宋体" w:cs="Times New Roman"/>
      <w:sz w:val="18"/>
      <w:szCs w:val="18"/>
    </w:rPr>
  </w:style>
  <w:style w:type="character" w:customStyle="1" w:styleId="79">
    <w:name w:val="页眉 Char"/>
    <w:basedOn w:val="26"/>
    <w:link w:val="15"/>
    <w:semiHidden/>
    <w:qFormat/>
    <w:uiPriority w:val="99"/>
    <w:rPr>
      <w:rFonts w:ascii="Calibri" w:hAnsi="Calibri" w:eastAsia="宋体" w:cs="Times New Roman"/>
      <w:sz w:val="18"/>
      <w:szCs w:val="18"/>
    </w:rPr>
  </w:style>
  <w:style w:type="paragraph" w:customStyle="1" w:styleId="80">
    <w:name w:val="Table Text"/>
    <w:basedOn w:val="1"/>
    <w:semiHidden/>
    <w:qFormat/>
    <w:uiPriority w:val="0"/>
    <w:rPr>
      <w:rFonts w:ascii="宋体" w:hAnsi="宋体" w:eastAsia="宋体" w:cs="宋体"/>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paragraph" w:customStyle="1" w:styleId="82">
    <w:name w:val="表格式"/>
    <w:basedOn w:val="17"/>
    <w:autoRedefine/>
    <w:qFormat/>
    <w:uiPriority w:val="0"/>
    <w:pPr>
      <w:adjustRightInd w:val="0"/>
      <w:snapToGrid w:val="0"/>
      <w:spacing w:line="240" w:lineRule="auto"/>
    </w:pPr>
    <w:rPr>
      <w:rFonts w:ascii="宋体" w:hAnsi="宋体"/>
      <w:kern w:val="2"/>
      <w:sz w:val="21"/>
      <w:szCs w:val="21"/>
    </w:rPr>
  </w:style>
  <w:style w:type="paragraph" w:customStyle="1" w:styleId="83">
    <w:name w:val="正文 New New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4"/>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jpe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oleObject" Target="embeddings/oleObject7.bin"/><Relationship Id="rId27" Type="http://schemas.openxmlformats.org/officeDocument/2006/relationships/image" Target="media/image10.emf"/><Relationship Id="rId26" Type="http://schemas.openxmlformats.org/officeDocument/2006/relationships/oleObject" Target="embeddings/oleObject6.bin"/><Relationship Id="rId25" Type="http://schemas.openxmlformats.org/officeDocument/2006/relationships/image" Target="media/image9.emf"/><Relationship Id="rId24" Type="http://schemas.openxmlformats.org/officeDocument/2006/relationships/oleObject" Target="embeddings/oleObject5.bin"/><Relationship Id="rId23" Type="http://schemas.openxmlformats.org/officeDocument/2006/relationships/image" Target="media/image8.emf"/><Relationship Id="rId22" Type="http://schemas.openxmlformats.org/officeDocument/2006/relationships/oleObject" Target="embeddings/oleObject4.bin"/><Relationship Id="rId21" Type="http://schemas.openxmlformats.org/officeDocument/2006/relationships/image" Target="media/image7.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2.bin"/><Relationship Id="rId17" Type="http://schemas.openxmlformats.org/officeDocument/2006/relationships/image" Target="media/image5.emf"/><Relationship Id="rId16" Type="http://schemas.openxmlformats.org/officeDocument/2006/relationships/oleObject" Target="embeddings/oleObject1.bin"/><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4701</Words>
  <Characters>4993</Characters>
  <Lines>1</Lines>
  <Paragraphs>1</Paragraphs>
  <TotalTime>32</TotalTime>
  <ScaleCrop>false</ScaleCrop>
  <LinksUpToDate>false</LinksUpToDate>
  <CharactersWithSpaces>5069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2023-05-29T01:20:00Z</dcterms:created>
  <dc:creator>z1410</dc:creator>
  <cp:lastModifiedBy>ଘ梁新艳ଓ</cp:lastModifiedBy>
  <cp:lastPrinted>2024-05-27T01:48:00Z</cp:lastPrinted>
  <dcterms:modified xsi:type="dcterms:W3CDTF">2025-03-20T01:32:40Z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18BC0E07AA1B476083AA083BC172C93D_13</vt:lpwstr>
  </property>
  <property fmtid="{D5CDD505-2E9C-101B-9397-08002B2CF9AE}" pid="4" name="KSOTemplateDocerSaveRecord">
    <vt:lpwstr>eyJoZGlkIjoiMzE0NGYwODFjOWVhNzI2ZGY1NjBjZjM4ZmVhZDU5YjgiLCJ1c2VySWQiOiIyOTY0NDk3NTkifQ==</vt:lpwstr>
  </property>
</Properties>
</file>